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REJAS.DEV</w:t>
      </w:r>
    </w:p>
    <w:p>
      <w:r>
        <w:t>Documento maestro de producto, arquitectura funcional, identidad visual y plan de implementación</w:t>
      </w:r>
    </w:p>
    <w:p>
      <w:r>
        <w:t>Dominio previsto: eduarrejas.com  |  Versión 1.0  |  15 de octubre de 2026</w:t>
      </w:r>
    </w:p>
    <w:p>
      <w:r>
        <w:t>Estado: propuesta de diseño basada en los requisitos conversados; no es una implementación ni una especificación contractual definitiva.</w:t>
      </w:r>
    </w:p>
    <w:p>
      <w:pPr>
        <w:pStyle w:val="Heading1"/>
      </w:pPr>
      <w:r>
        <w:t>1. Visión y objetivos</w:t>
      </w:r>
    </w:p>
    <w:p>
      <w:r>
        <w:t>Rejas.dev será la marca y plataforma de servicios de desarrollo de software a medida y soluciones reutilizables por rubro (talleres, colegios, inventarios, finanzas y otros). El dominio eduarrejas.com alojará un portafolio público y un sistema privado de gestión de la empresa.</w:t>
      </w:r>
    </w:p>
    <w:p>
      <w:pPr>
        <w:pStyle w:val="ListBullet"/>
      </w:pPr>
      <w:r>
        <w:t>Centralizar prospectos, clientes, cotizaciones, contratos, proyectos, tareas y cobros.</w:t>
      </w:r>
    </w:p>
    <w:p>
      <w:pPr>
        <w:pStyle w:val="ListBullet"/>
      </w:pPr>
      <w:r>
        <w:t>Gestionar proyectos por fechas y porcentajes calculados automáticamente, sin tablero Kanban.</w:t>
      </w:r>
    </w:p>
    <w:p>
      <w:pPr>
        <w:pStyle w:val="ListBullet"/>
      </w:pPr>
      <w:r>
        <w:t>Registrar pagos por hitos (habitualmente 50 % inicial y 50 % final) y suscripciones mensuales cobradas fuera de la web.</w:t>
      </w:r>
    </w:p>
    <w:p>
      <w:pPr>
        <w:pStyle w:val="ListBullet"/>
      </w:pPr>
      <w:r>
        <w:t>Facilitar el crecimiento con usuarios, roles, permisos y auditoría.</w:t>
      </w:r>
    </w:p>
    <w:p>
      <w:pPr>
        <w:pStyle w:val="ListBullet"/>
      </w:pPr>
      <w:r>
        <w:t>Mostrar trabajos realizados y captar solicitudes de cotización desde la web pública.</w:t>
      </w:r>
    </w:p>
    <w:p>
      <w:pPr>
        <w:pStyle w:val="Heading1"/>
      </w:pPr>
      <w:r>
        <w:t>2. Alcance y experiencias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Sitio público</w:t>
            </w:r>
          </w:p>
        </w:tc>
        <w:tc>
          <w:tcPr>
            <w:tcW w:type="dxa" w:w="4320"/>
          </w:tcPr>
          <w:p>
            <w:r>
              <w:t>Panel privado</w:t>
            </w:r>
          </w:p>
        </w:tc>
      </w:tr>
      <w:tr>
        <w:tc>
          <w:tcPr>
            <w:tcW w:type="dxa" w:w="4320"/>
          </w:tcPr>
          <w:p>
            <w:r>
              <w:t>Portada, servicios, soluciones por sector, portafolio, planes referenciales, contacto y solicitud de cotización.</w:t>
            </w:r>
          </w:p>
        </w:tc>
        <w:tc>
          <w:tcPr>
            <w:tcW w:type="dxa" w:w="4320"/>
          </w:tcPr>
          <w:p>
            <w:r>
              <w:t>Dashboard, clientes, oportunidades, documentos, proyectos, calendario, tareas, finanzas, suscripciones, reportes, configuración.</w:t>
            </w:r>
          </w:p>
        </w:tc>
      </w:tr>
    </w:tbl>
    <w:p>
      <w:r>
        <w:t>La página pública no procesará pagos de suscripción: solo captará contactos y mostrará información comercial. Los cobros se acuerdan directamente con cada cliente y se registran internamente.</w:t>
      </w:r>
    </w:p>
    <w:p>
      <w:pPr>
        <w:pStyle w:val="Heading1"/>
      </w:pPr>
      <w:r>
        <w:t>3. Roles y permisos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Acceso previsto</w:t>
            </w:r>
          </w:p>
        </w:tc>
      </w:tr>
      <w:tr>
        <w:tc>
          <w:tcPr>
            <w:tcW w:type="dxa" w:w="4320"/>
          </w:tcPr>
          <w:p>
            <w:r>
              <w:t>Administrador</w:t>
            </w:r>
          </w:p>
        </w:tc>
        <w:tc>
          <w:tcPr>
            <w:tcW w:type="dxa" w:w="4320"/>
          </w:tcPr>
          <w:p>
            <w:r>
              <w:t>Acceso completo; configuración, usuarios, reportes financieros, márgenes y auditoría.</w:t>
            </w:r>
          </w:p>
        </w:tc>
      </w:tr>
      <w:tr>
        <w:tc>
          <w:tcPr>
            <w:tcW w:type="dxa" w:w="4320"/>
          </w:tcPr>
          <w:p>
            <w:r>
              <w:t>Secretaría</w:t>
            </w:r>
          </w:p>
        </w:tc>
        <w:tc>
          <w:tcPr>
            <w:tcW w:type="dxa" w:w="4320"/>
          </w:tcPr>
          <w:p>
            <w:r>
              <w:t>Gestiona clientes, cotizaciones (crea y envía), contratos, proyectos, asignaciones, fechas internas y registro de pagos; no ve márgenes ni reportes de rentabilidad restringidos.</w:t>
            </w:r>
          </w:p>
        </w:tc>
      </w:tr>
      <w:tr>
        <w:tc>
          <w:tcPr>
            <w:tcW w:type="dxa" w:w="4320"/>
          </w:tcPr>
          <w:p>
            <w:r>
              <w:t>Trabajador</w:t>
            </w:r>
          </w:p>
        </w:tc>
        <w:tc>
          <w:tcPr>
            <w:tcW w:type="dxa" w:w="4320"/>
          </w:tcPr>
          <w:p>
            <w:r>
              <w:t>Ve proyectos y tareas asignadas, actualiza estados, agrega comentarios y adjuntos; sin acceso financiero salvo permiso explícito.</w:t>
            </w:r>
          </w:p>
        </w:tc>
      </w:tr>
    </w:tbl>
    <w:p>
      <w:r>
        <w:t>Implementar permisos granulares por acción y recurso, no solo por nombre de rol. Registrar autor, fecha y detalle de cambios importantes. La fecha contractual de entrega no puede cambiarla la secretaría; sí las fechas internas.</w:t>
      </w:r>
    </w:p>
    <w:p>
      <w:pPr>
        <w:pStyle w:val="Heading1"/>
      </w:pPr>
      <w:r>
        <w:t>4. Flujo comercial</w:t>
      </w:r>
    </w:p>
    <w:p>
      <w:r>
        <w:t>Solicitud web → prospecto → contacto y evaluación → cotización → envío → aceptación → contrato → proyecto → adelanto → ejecución → entrega → pago final → posible suscripción de soporte/servicio.</w:t>
      </w:r>
    </w:p>
    <w:p>
      <w:pPr>
        <w:pStyle w:val="ListBullet"/>
      </w:pPr>
      <w:r>
        <w:t>La secretaría puede crear, editar y enviar cotizaciones sin aprobación previa.</w:t>
      </w:r>
    </w:p>
    <w:p>
      <w:pPr>
        <w:pStyle w:val="ListBullet"/>
      </w:pPr>
      <w:r>
        <w:t>Versionar cotizaciones; registrar fecha de envío, vigencia, aceptación y cambios.</w:t>
      </w:r>
    </w:p>
    <w:p>
      <w:pPr>
        <w:pStyle w:val="ListBullet"/>
      </w:pPr>
      <w:r>
        <w:t>Generar PDFs con numeración, partidas, alcance, precio, impuestos aplicables, plazos y condiciones.</w:t>
      </w:r>
    </w:p>
    <w:p>
      <w:pPr>
        <w:pStyle w:val="ListBullet"/>
      </w:pPr>
      <w:r>
        <w:t>Contratos basados en plantillas revisables, con entregables, exclusiones, cronograma, cambios de alcance y condiciones de pago.</w:t>
      </w:r>
    </w:p>
    <w:p>
      <w:pPr>
        <w:pStyle w:val="ListBullet"/>
      </w:pPr>
      <w:r>
        <w:t>No asumir que el cliente aceptó por abrir un PDF: registrar evidencia de aceptación por el canal utilizado.</w:t>
      </w:r>
    </w:p>
    <w:p>
      <w:pPr>
        <w:pStyle w:val="Heading1"/>
      </w:pPr>
      <w:r>
        <w:t>5. Proyectos, tareas y avance</w:t>
      </w:r>
    </w:p>
    <w:p>
      <w:pPr>
        <w:pStyle w:val="ListBullet"/>
      </w:pPr>
      <w:r>
        <w:t>Vista principal: tabla con proyecto, cliente, responsables, entrega interna, entrega contractual, avance, estado operativo y estado de cobro.</w:t>
      </w:r>
    </w:p>
    <w:p>
      <w:pPr>
        <w:pStyle w:val="ListBullet"/>
      </w:pPr>
      <w:r>
        <w:t>Estados sugeridos: por iniciar, en ejecución, pausado, entregado, finalizado y cancelado.</w:t>
      </w:r>
    </w:p>
    <w:p>
      <w:pPr>
        <w:pStyle w:val="ListBullet"/>
      </w:pPr>
      <w:r>
        <w:t>Semáforo: verde en plazo; amarillo cuando faltan 5 días o menos; rojo cuando venció y no finalizó; finalizado con estado independiente.</w:t>
      </w:r>
    </w:p>
    <w:p>
      <w:pPr>
        <w:pStyle w:val="ListBullet"/>
      </w:pPr>
      <w:r>
        <w:t>Plantillas por tipo de servicio: página web, sistema de inventario, gestión escolar, finanzas, etc. Copiar tareas y estimaciones al crear un proyecto; cambios futuros a la plantilla no alteran proyectos existentes.</w:t>
      </w:r>
    </w:p>
    <w:p>
      <w:pPr>
        <w:pStyle w:val="ListBullet"/>
      </w:pPr>
      <w:r>
        <w:t>Varios trabajadores por proyecto; cada tarea puede tener responsable, fecha, estimación, prioridad, comentarios, adjuntos e historial.</w:t>
      </w:r>
    </w:p>
    <w:p>
      <w:pPr>
        <w:pStyle w:val="ListBullet"/>
      </w:pPr>
      <w:r>
        <w:t>Completar una tarea actualiza el avance inmediatamente, sin aprobación; reabrirla revierte el cálculo.</w:t>
      </w:r>
    </w:p>
    <w:p>
      <w:pPr>
        <w:pStyle w:val="Heading2"/>
      </w:pPr>
      <w:r>
        <w:t>Regla de cálculo</w:t>
      </w:r>
    </w:p>
    <w:p>
      <w:r>
        <w:t>Avance (%) = 100 × suma de pesos de tareas completadas / suma de pesos de todas las tareas computables. Peso inicial sugerido: horas estimadas; si no existen, peso 1 por tarea. No usar tareas canceladas en el denominador. Si no hay tareas computables, mostrar “sin planificación”, no 0 % engañoso. Registrar cambios de estimación y evitar que tareas nuevas alteren históricos sin trazabilidad.</w:t>
      </w:r>
    </w:p>
    <w:p>
      <w:pPr>
        <w:pStyle w:val="Heading2"/>
      </w:pPr>
      <w:r>
        <w:t>Margen de planificación</w:t>
      </w:r>
    </w:p>
    <w:p>
      <w:r>
        <w:t>Propuesta inicial: reservar internamente 20–30 % del plazo contractual, configurable por proyecto. Ejemplo: compromiso de 20 días hábiles y meta interna de 15 días (25 % de margen). El margen es una meta de gestión, no una garantía de cumplimiento. Alertar cuando el avance real sea bajo respecto al tiempo restante.</w:t>
      </w:r>
    </w:p>
    <w:p>
      <w:pPr>
        <w:pStyle w:val="Heading1"/>
      </w:pPr>
      <w:r>
        <w:t>6. Calendario y exportaciones</w:t>
      </w:r>
    </w:p>
    <w:p>
      <w:pPr>
        <w:pStyle w:val="ListBullet"/>
      </w:pPr>
      <w:r>
        <w:t>Vistas mensual, semanal y diaria; hitos, entregas, reuniones, tareas y recordatorios personales.</w:t>
      </w:r>
    </w:p>
    <w:p>
      <w:pPr>
        <w:pStyle w:val="ListBullet"/>
      </w:pPr>
      <w:r>
        <w:t>Filtros por responsable, cliente, proyecto, rango de fechas y tipo de evento.</w:t>
      </w:r>
    </w:p>
    <w:p>
      <w:pPr>
        <w:pStyle w:val="ListBullet"/>
      </w:pPr>
      <w:r>
        <w:t>Calendario y tabla sincronizados con las mismas fuentes de datos.</w:t>
      </w:r>
    </w:p>
    <w:p>
      <w:pPr>
        <w:pStyle w:val="ListBullet"/>
      </w:pPr>
      <w:r>
        <w:t>Exportar calendario y tabla a Excel (.xlsx) y PDF con filtros, fechas y zona horaria explícitos.</w:t>
      </w:r>
    </w:p>
    <w:p>
      <w:pPr>
        <w:pStyle w:val="ListBullet"/>
      </w:pPr>
      <w:r>
        <w:t>Recordatorios de entregas, tareas reasignadas y cambios de fecha; notificaciones internas primero y correo opcional posteriormente.</w:t>
      </w:r>
    </w:p>
    <w:p>
      <w:pPr>
        <w:pStyle w:val="ListBullet"/>
      </w:pPr>
      <w:r>
        <w:t>Las tareas personales privadas no se exponen a otros usuarios sin autorización.</w:t>
      </w:r>
    </w:p>
    <w:p>
      <w:pPr>
        <w:pStyle w:val="Heading1"/>
      </w:pPr>
      <w:r>
        <w:t>7. Finanzas y suscripciones</w:t>
      </w:r>
    </w:p>
    <w:p>
      <w:pPr>
        <w:pStyle w:val="Heading2"/>
      </w:pPr>
      <w:r>
        <w:t>Cobros por proyecto</w:t>
      </w:r>
    </w:p>
    <w:p>
      <w:r>
        <w:t>Cada proyecto puede tener un plan de pagos con hitos editables: por defecto 50 % de adelanto y 50 % al finalizar. Registrar fecha, importe, moneda, método, referencia, responsable, comprobante y saldo pendiente. Admitir pagos parciales y ajustes autorizados.</w:t>
      </w:r>
    </w:p>
    <w:p>
      <w:pPr>
        <w:pStyle w:val="Heading2"/>
      </w:pPr>
      <w:r>
        <w:t>Suscripciones</w:t>
      </w:r>
    </w:p>
    <w:p>
      <w:r>
        <w:t>Registro administrativo de planes, servicio asociado, cliente, monto, periodicidad mensual, inicio, siguiente vencimiento, estado (activa, suspendida, cancelada), pagos y renovaciones. No habrá pasarela de pago en la primera versión. Registrar el cobro manualmente y diferenciar “por cobrar” de “cobrado”.</w:t>
      </w:r>
    </w:p>
    <w:p>
      <w:pPr>
        <w:pStyle w:val="Heading2"/>
      </w:pPr>
      <w:r>
        <w:t>Control financiero</w:t>
      </w:r>
    </w:p>
    <w:p>
      <w:pPr>
        <w:pStyle w:val="ListBullet"/>
      </w:pPr>
      <w:r>
        <w:t>Ingresos, gastos, cuentas por cobrar, vencimientos y flujo de caja por periodos.</w:t>
      </w:r>
    </w:p>
    <w:p>
      <w:pPr>
        <w:pStyle w:val="ListBullet"/>
      </w:pPr>
      <w:r>
        <w:t>Separar importe cotizado, importe facturado (si corresponde), dinero recibido y utilidad estimada.</w:t>
      </w:r>
    </w:p>
    <w:p>
      <w:pPr>
        <w:pStyle w:val="ListBullet"/>
      </w:pPr>
      <w:r>
        <w:t>La secretaría registra cobros, pero el acceso a márgenes y gastos internos puede restringirse.</w:t>
      </w:r>
    </w:p>
    <w:p>
      <w:pPr>
        <w:pStyle w:val="ListBullet"/>
      </w:pPr>
      <w:r>
        <w:t>No registrar una suscripción como ingreso recibido solo porque venció la mensualidad.</w:t>
      </w:r>
    </w:p>
    <w:p>
      <w:pPr>
        <w:pStyle w:val="ListBullet"/>
      </w:pPr>
      <w:r>
        <w:t>Moneda base PEN; contemplar otras monedas y tipo de cambio si el negocio crece.</w:t>
      </w:r>
    </w:p>
    <w:p>
      <w:pPr>
        <w:pStyle w:val="Heading1"/>
      </w:pPr>
      <w:r>
        <w:t>8. Privacidad, formularios y documentos legales</w:t>
      </w:r>
    </w:p>
    <w:p>
      <w:r>
        <w:t>En el formulario público solicitar nombre, correo, teléfono, tipo de servicio y descripción; DNI solo cuando sea realmente necesario para contratación o documentación. Publicar política de privacidad y términos aplicables, con casillas y evidencia de aceptación/consentimiento cuando corresponda. Evitar casillas premarcadas y separar el consentimiento comercial opcional.</w:t>
      </w:r>
    </w:p>
    <w:p>
      <w:pPr>
        <w:pStyle w:val="ListBullet"/>
      </w:pPr>
      <w:r>
        <w:t>Informar finalidad, responsable del tratamiento, destinatarios, conservación y mecanismos para ejercer derechos sobre datos.</w:t>
      </w:r>
    </w:p>
    <w:p>
      <w:pPr>
        <w:pStyle w:val="ListBullet"/>
      </w:pPr>
      <w:r>
        <w:t>Restringir acceso a datos personales, cifrar conexiones, proteger respaldos y definir retención/eliminación.</w:t>
      </w:r>
    </w:p>
    <w:p>
      <w:pPr>
        <w:pStyle w:val="ListBullet"/>
      </w:pPr>
      <w:r>
        <w:t>Revisar obligaciones bajo la normativa peruana vigente de protección de datos personales y sus disposiciones reglamentarias antes de publicar.</w:t>
      </w:r>
    </w:p>
    <w:p>
      <w:pPr>
        <w:pStyle w:val="ListBullet"/>
      </w:pPr>
      <w:r>
        <w:t>Los contratos y textos legales deben revisarse con asesoría legal local; este documento no sustituye esa revisión.</w:t>
      </w:r>
    </w:p>
    <w:p>
      <w:pPr>
        <w:pStyle w:val="Heading1"/>
      </w:pPr>
      <w:r>
        <w:t>9. Diseño visual e identidad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Definición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Rejas.dev</w:t>
            </w:r>
          </w:p>
        </w:tc>
      </w:tr>
      <w:tr>
        <w:tc>
          <w:tcPr>
            <w:tcW w:type="dxa" w:w="4320"/>
          </w:tcPr>
          <w:p>
            <w:r>
              <w:t>Dominio</w:t>
            </w:r>
          </w:p>
        </w:tc>
        <w:tc>
          <w:tcPr>
            <w:tcW w:type="dxa" w:w="4320"/>
          </w:tcPr>
          <w:p>
            <w:r>
              <w:t>eduarrejas.com</w:t>
            </w:r>
          </w:p>
        </w:tc>
      </w:tr>
      <w:tr>
        <w:tc>
          <w:tcPr>
            <w:tcW w:type="dxa" w:w="4320"/>
          </w:tcPr>
          <w:p>
            <w:r>
              <w:t>Negro profundo</w:t>
            </w:r>
          </w:p>
        </w:tc>
        <w:tc>
          <w:tcPr>
            <w:tcW w:type="dxa" w:w="4320"/>
          </w:tcPr>
          <w:p>
            <w:r>
              <w:t>#080B12</w:t>
            </w:r>
          </w:p>
        </w:tc>
      </w:tr>
      <w:tr>
        <w:tc>
          <w:tcPr>
            <w:tcW w:type="dxa" w:w="4320"/>
          </w:tcPr>
          <w:p>
            <w:r>
              <w:t>Azul eléctrico</w:t>
            </w:r>
          </w:p>
        </w:tc>
        <w:tc>
          <w:tcPr>
            <w:tcW w:type="dxa" w:w="4320"/>
          </w:tcPr>
          <w:p>
            <w:r>
              <w:t>#2563EB</w:t>
            </w:r>
          </w:p>
        </w:tc>
      </w:tr>
      <w:tr>
        <w:tc>
          <w:tcPr>
            <w:tcW w:type="dxa" w:w="4320"/>
          </w:tcPr>
          <w:p>
            <w:r>
              <w:t>Azul grisáceo oscuro</w:t>
            </w:r>
          </w:p>
        </w:tc>
        <w:tc>
          <w:tcPr>
            <w:tcW w:type="dxa" w:w="4320"/>
          </w:tcPr>
          <w:p>
            <w:r>
              <w:t>#111827</w:t>
            </w:r>
          </w:p>
        </w:tc>
      </w:tr>
      <w:tr>
        <w:tc>
          <w:tcPr>
            <w:tcW w:type="dxa" w:w="4320"/>
          </w:tcPr>
          <w:p>
            <w:r>
              <w:t>Blanco</w:t>
            </w:r>
          </w:p>
        </w:tc>
        <w:tc>
          <w:tcPr>
            <w:tcW w:type="dxa" w:w="4320"/>
          </w:tcPr>
          <w:p>
            <w:r>
              <w:t>#FFFFFF</w:t>
            </w:r>
          </w:p>
        </w:tc>
      </w:tr>
      <w:tr>
        <w:tc>
          <w:tcPr>
            <w:tcW w:type="dxa" w:w="4320"/>
          </w:tcPr>
          <w:p>
            <w:r>
              <w:t>Gris secundario</w:t>
            </w:r>
          </w:p>
        </w:tc>
        <w:tc>
          <w:tcPr>
            <w:tcW w:type="dxa" w:w="4320"/>
          </w:tcPr>
          <w:p>
            <w:r>
              <w:t>#94A3B8</w:t>
            </w:r>
          </w:p>
        </w:tc>
      </w:tr>
      <w:tr>
        <w:tc>
          <w:tcPr>
            <w:tcW w:type="dxa" w:w="4320"/>
          </w:tcPr>
          <w:p>
            <w:r>
              <w:t>Tipografías</w:t>
            </w:r>
          </w:p>
        </w:tc>
        <w:tc>
          <w:tcPr>
            <w:tcW w:type="dxa" w:w="4320"/>
          </w:tcPr>
          <w:p>
            <w:r>
              <w:t>Space Grotesk para títulos; Inter para interfaz y lectura</w:t>
            </w:r>
          </w:p>
        </w:tc>
      </w:tr>
    </w:tbl>
    <w:p>
      <w:r>
        <w:t>Portafolio: experiencia oscura, editorial, tecnológica y premium. Panel: menú lateral oscuro y área de trabajo clara, con opción de tema oscuro. Bordes finos, espacios generosos, jerarquía clara y tablas legibles.</w:t>
      </w:r>
    </w:p>
    <w:p>
      <w:pPr>
        <w:pStyle w:val="Heading1"/>
      </w:pPr>
      <w:r>
        <w:t>10. Experiencia interactiva de la web pública</w:t>
      </w:r>
    </w:p>
    <w:p>
      <w:pPr>
        <w:pStyle w:val="ListBullet"/>
      </w:pPr>
      <w:r>
        <w:t>Hero: logotipo REJAS.DEV, mensaje “Desarrollamos tecnología que impulsa tu negocio”, CTA “Explorar proyectos” y “Solicitar cotización”.</w:t>
      </w:r>
    </w:p>
    <w:p>
      <w:pPr>
        <w:pStyle w:val="ListBullet"/>
      </w:pPr>
      <w:r>
        <w:t>Objeto 3D conceptual: letra R metálica/abstracta con acentos azules que rota sutilmente según el cursor; alternativa ligera en CSS/WebGL.</w:t>
      </w:r>
    </w:p>
    <w:p>
      <w:pPr>
        <w:pStyle w:val="ListBullet"/>
      </w:pPr>
      <w:r>
        <w:t>Scroll narrativo: secciones que entran con transiciones suaves y presentan servicios, casos de uso, trabajos y CTA final.</w:t>
      </w:r>
    </w:p>
    <w:p>
      <w:pPr>
        <w:pStyle w:val="ListBullet"/>
      </w:pPr>
      <w:r>
        <w:t>Tecnologías candidatas: Spline o Three.js para 3D, GSAP ScrollTrigger para scroll, con integración progresiva.</w:t>
      </w:r>
    </w:p>
    <w:p>
      <w:pPr>
        <w:pStyle w:val="ListBullet"/>
      </w:pPr>
      <w:r>
        <w:t>Respetar prefers-reduced-motion, controles táctiles, contraste, carga diferida, versión estática y rendimiento en móviles.</w:t>
      </w:r>
    </w:p>
    <w:p>
      <w:pPr>
        <w:pStyle w:val="ListBullet"/>
      </w:pPr>
      <w:r>
        <w:t>Evitar que la animación obstaculice formularios, lectura o navegación.</w:t>
      </w:r>
    </w:p>
    <w:p>
      <w:pPr>
        <w:pStyle w:val="Heading1"/>
      </w:pPr>
      <w:r>
        <w:t>11. Arquitectura técnica propuesta</w:t>
      </w:r>
    </w:p>
    <w:p>
      <w:r>
        <w:t>Monolito modular inicial: Laravel + PHP, MySQL/MariaDB, Blade, Tailwind CSS y Alpine.js; colas para correos, PDFs y notificaciones. Para la portada interactiva integrar componentes 3D aislados sin obligar a que todo el panel use WebGL.</w:t>
      </w:r>
    </w:p>
    <w:p>
      <w:pPr>
        <w:pStyle w:val="ListBullet"/>
      </w:pPr>
      <w:r>
        <w:t>Autenticación segura, recuperación de contraseña, verificación de correo y MFA opcional para administrador.</w:t>
      </w:r>
    </w:p>
    <w:p>
      <w:pPr>
        <w:pStyle w:val="ListBullet"/>
      </w:pPr>
      <w:r>
        <w:t>Autorización por políticas y permisos; auditoría de acciones críticas.</w:t>
      </w:r>
    </w:p>
    <w:p>
      <w:pPr>
        <w:pStyle w:val="ListBullet"/>
      </w:pPr>
      <w:r>
        <w:t>Almacenamiento privado de contratos, comprobantes y adjuntos; enlaces temporales para descarga.</w:t>
      </w:r>
    </w:p>
    <w:p>
      <w:pPr>
        <w:pStyle w:val="ListBullet"/>
      </w:pPr>
      <w:r>
        <w:t>Servicios separados por dominio: CRM, Cotizaciones, Contratos, Proyectos, Agenda, Facturación/Cobros, Suscripciones, Portafolio y Administración.</w:t>
      </w:r>
    </w:p>
    <w:p>
      <w:pPr>
        <w:pStyle w:val="ListBullet"/>
      </w:pPr>
      <w:r>
        <w:t>Procesos en cola para PDF, Excel, avisos y correos; copias de seguridad y restauración probada.</w:t>
      </w:r>
    </w:p>
    <w:p>
      <w:pPr>
        <w:pStyle w:val="ListBullet"/>
      </w:pPr>
      <w:r>
        <w:t>Entornos separados: desarrollo, pruebas y producción; HTTPS, logs, monitoreo y pruebas automatizadas.</w:t>
      </w:r>
    </w:p>
    <w:p>
      <w:pPr>
        <w:pStyle w:val="Heading1"/>
      </w:pPr>
      <w:r>
        <w:t>12. Entidades de datos principales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Entidades sugeridas</w:t>
            </w:r>
          </w:p>
        </w:tc>
      </w:tr>
      <w:tr>
        <w:tc>
          <w:tcPr>
            <w:tcW w:type="dxa" w:w="4320"/>
          </w:tcPr>
          <w:p>
            <w:r>
              <w:t>Identidad</w:t>
            </w:r>
          </w:p>
        </w:tc>
        <w:tc>
          <w:tcPr>
            <w:tcW w:type="dxa" w:w="4320"/>
          </w:tcPr>
          <w:p>
            <w:r>
              <w:t>users, roles, permissions, user_roles, audit_logs</w:t>
            </w:r>
          </w:p>
        </w:tc>
      </w:tr>
      <w:tr>
        <w:tc>
          <w:tcPr>
            <w:tcW w:type="dxa" w:w="4320"/>
          </w:tcPr>
          <w:p>
            <w:r>
              <w:t>CRM</w:t>
            </w:r>
          </w:p>
        </w:tc>
        <w:tc>
          <w:tcPr>
            <w:tcW w:type="dxa" w:w="4320"/>
          </w:tcPr>
          <w:p>
            <w:r>
              <w:t>leads, clients, client_contacts, lead_consents</w:t>
            </w:r>
          </w:p>
        </w:tc>
      </w:tr>
      <w:tr>
        <w:tc>
          <w:tcPr>
            <w:tcW w:type="dxa" w:w="4320"/>
          </w:tcPr>
          <w:p>
            <w:r>
              <w:t>Comercial</w:t>
            </w:r>
          </w:p>
        </w:tc>
        <w:tc>
          <w:tcPr>
            <w:tcW w:type="dxa" w:w="4320"/>
          </w:tcPr>
          <w:p>
            <w:r>
              <w:t>quotes, quote_versions, quote_items, contracts, contract_files</w:t>
            </w:r>
          </w:p>
        </w:tc>
      </w:tr>
      <w:tr>
        <w:tc>
          <w:tcPr>
            <w:tcW w:type="dxa" w:w="4320"/>
          </w:tcPr>
          <w:p>
            <w:r>
              <w:t>Proyectos</w:t>
            </w:r>
          </w:p>
        </w:tc>
        <w:tc>
          <w:tcPr>
            <w:tcW w:type="dxa" w:w="4320"/>
          </w:tcPr>
          <w:p>
            <w:r>
              <w:t>project_templates, template_tasks, projects, project_members, tasks, task_assignees, task_comments, attachments</w:t>
            </w:r>
          </w:p>
        </w:tc>
      </w:tr>
      <w:tr>
        <w:tc>
          <w:tcPr>
            <w:tcW w:type="dxa" w:w="4320"/>
          </w:tcPr>
          <w:p>
            <w:r>
              <w:t>Agenda</w:t>
            </w:r>
          </w:p>
        </w:tc>
        <w:tc>
          <w:tcPr>
            <w:tcW w:type="dxa" w:w="4320"/>
          </w:tcPr>
          <w:p>
            <w:r>
              <w:t>calendar_events, reminders</w:t>
            </w:r>
          </w:p>
        </w:tc>
      </w:tr>
      <w:tr>
        <w:tc>
          <w:tcPr>
            <w:tcW w:type="dxa" w:w="4320"/>
          </w:tcPr>
          <w:p>
            <w:r>
              <w:t>Finanzas</w:t>
            </w:r>
          </w:p>
        </w:tc>
        <w:tc>
          <w:tcPr>
            <w:tcW w:type="dxa" w:w="4320"/>
          </w:tcPr>
          <w:p>
            <w:r>
              <w:t>payment_schedules, payments, expenses, financial_categories</w:t>
            </w:r>
          </w:p>
        </w:tc>
      </w:tr>
      <w:tr>
        <w:tc>
          <w:tcPr>
            <w:tcW w:type="dxa" w:w="4320"/>
          </w:tcPr>
          <w:p>
            <w:r>
              <w:t>Recurrentes</w:t>
            </w:r>
          </w:p>
        </w:tc>
        <w:tc>
          <w:tcPr>
            <w:tcW w:type="dxa" w:w="4320"/>
          </w:tcPr>
          <w:p>
            <w:r>
              <w:t>subscription_plans, subscriptions, subscription_charges</w:t>
            </w:r>
          </w:p>
        </w:tc>
      </w:tr>
      <w:tr>
        <w:tc>
          <w:tcPr>
            <w:tcW w:type="dxa" w:w="4320"/>
          </w:tcPr>
          <w:p>
            <w:r>
              <w:t>Sitio público</w:t>
            </w:r>
          </w:p>
        </w:tc>
        <w:tc>
          <w:tcPr>
            <w:tcW w:type="dxa" w:w="4320"/>
          </w:tcPr>
          <w:p>
            <w:r>
              <w:t>portfolio_projects, services, inquiries, site_settings</w:t>
            </w:r>
          </w:p>
        </w:tc>
      </w:tr>
    </w:tbl>
    <w:p>
      <w:r>
        <w:t>Relaciones clave: cliente → múltiples cotizaciones/proyectos/suscripciones; cotización aceptada → contrato y proyecto; proyecto → tareas, integrantes, cronograma y plan de cobros; suscripción → cargos periódicos y pagos. Usar IDs internos, timestamps y soft delete cuando sea apropiado.</w:t>
      </w:r>
    </w:p>
    <w:p>
      <w:pPr>
        <w:pStyle w:val="Heading1"/>
      </w:pPr>
      <w:r>
        <w:t>13. Pantallas propuestas</w:t>
      </w:r>
    </w:p>
    <w:p>
      <w:pPr>
        <w:pStyle w:val="ListBullet"/>
      </w:pPr>
      <w:r>
        <w:t>Público: Inicio, Servicios, Soluciones por sector, Portafolio, Caso de estudio, Solicitar cotización, Contacto, Privacidad y Términos.</w:t>
      </w:r>
    </w:p>
    <w:p>
      <w:pPr>
        <w:pStyle w:val="ListBullet"/>
      </w:pPr>
      <w:r>
        <w:t>Privado: Resumen, Prospectos, Clientes, Cotizaciones, Contratos, Proyectos (tabla), Detalle de proyecto, Calendario, Tareas, Finanzas, Suscripciones, Reportes, Portafolio y Usuarios/Configuración.</w:t>
      </w:r>
    </w:p>
    <w:p>
      <w:pPr>
        <w:pStyle w:val="ListBullet"/>
      </w:pPr>
      <w:r>
        <w:t>En detalle de proyecto: cabecera, semáforo, barra de avance, tareas por responsable, fechas, documentos, pagos y actividad.</w:t>
      </w:r>
    </w:p>
    <w:p>
      <w:pPr>
        <w:pStyle w:val="Heading1"/>
      </w:pPr>
      <w:r>
        <w:t>14. Roadmap sugerido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Fase</w:t>
            </w:r>
          </w:p>
        </w:tc>
        <w:tc>
          <w:tcPr>
            <w:tcW w:type="dxa" w:w="4320"/>
          </w:tcPr>
          <w:p>
            <w:r>
              <w:t>Entregables</w:t>
            </w:r>
          </w:p>
        </w:tc>
      </w:tr>
      <w:tr>
        <w:tc>
          <w:tcPr>
            <w:tcW w:type="dxa" w:w="4320"/>
          </w:tcPr>
          <w:p>
            <w:r>
              <w:t>0 · Diseño</w:t>
            </w:r>
          </w:p>
        </w:tc>
        <w:tc>
          <w:tcPr>
            <w:tcW w:type="dxa" w:w="4320"/>
          </w:tcPr>
          <w:p>
            <w:r>
              <w:t>Wireframes, flujos, reglas de negocio, esquema ER, prototipo visual, permisos y criterios de aceptación.</w:t>
            </w:r>
          </w:p>
        </w:tc>
      </w:tr>
      <w:tr>
        <w:tc>
          <w:tcPr>
            <w:tcW w:type="dxa" w:w="4320"/>
          </w:tcPr>
          <w:p>
            <w:r>
              <w:t>1 · Base MVP</w:t>
            </w:r>
          </w:p>
        </w:tc>
        <w:tc>
          <w:tcPr>
            <w:tcW w:type="dxa" w:w="4320"/>
          </w:tcPr>
          <w:p>
            <w:r>
              <w:t>Login, roles, clientes, cotizaciones, proyectos, tareas, plantillas, tabla, calendario y registro de pagos.</w:t>
            </w:r>
          </w:p>
        </w:tc>
      </w:tr>
      <w:tr>
        <w:tc>
          <w:tcPr>
            <w:tcW w:type="dxa" w:w="4320"/>
          </w:tcPr>
          <w:p>
            <w:r>
              <w:t>2 · Operación</w:t>
            </w:r>
          </w:p>
        </w:tc>
        <w:tc>
          <w:tcPr>
            <w:tcW w:type="dxa" w:w="4320"/>
          </w:tcPr>
          <w:p>
            <w:r>
              <w:t>Contratos PDF, gastos, suscripciones manuales, exportación Excel/PDF, alertas y auditoría.</w:t>
            </w:r>
          </w:p>
        </w:tc>
      </w:tr>
      <w:tr>
        <w:tc>
          <w:tcPr>
            <w:tcW w:type="dxa" w:w="4320"/>
          </w:tcPr>
          <w:p>
            <w:r>
              <w:t>3 · Presencia pública</w:t>
            </w:r>
          </w:p>
        </w:tc>
        <w:tc>
          <w:tcPr>
            <w:tcW w:type="dxa" w:w="4320"/>
          </w:tcPr>
          <w:p>
            <w:r>
              <w:t>Portafolio, formularios, política de privacidad, SEO y experiencia 3D optimizada.</w:t>
            </w:r>
          </w:p>
        </w:tc>
      </w:tr>
      <w:tr>
        <w:tc>
          <w:tcPr>
            <w:tcW w:type="dxa" w:w="4320"/>
          </w:tcPr>
          <w:p>
            <w:r>
              <w:t>4 · Escalamiento</w:t>
            </w:r>
          </w:p>
        </w:tc>
        <w:tc>
          <w:tcPr>
            <w:tcW w:type="dxa" w:w="4320"/>
          </w:tcPr>
          <w:p>
            <w:r>
              <w:t>Reportes avanzados, integraciones, automatizaciones, mejoras de rendimiento y permisos más finos.</w:t>
            </w:r>
          </w:p>
        </w:tc>
      </w:tr>
    </w:tbl>
    <w:p>
      <w:pPr>
        <w:pStyle w:val="Heading1"/>
      </w:pPr>
      <w:r>
        <w:t>15. Criterios mínimos de aceptación</w:t>
      </w:r>
    </w:p>
    <w:p>
      <w:pPr>
        <w:pStyle w:val="ListBullet"/>
      </w:pPr>
      <w:r>
        <w:t>Una solicitud web crea un prospecto con datos y evidencia de aceptación de privacidad.</w:t>
      </w:r>
    </w:p>
    <w:p>
      <w:pPr>
        <w:pStyle w:val="ListBullet"/>
      </w:pPr>
      <w:r>
        <w:t>La secretaría puede enviar cotizaciones y registrar pagos, pero no acceder a márgenes restringidos.</w:t>
      </w:r>
    </w:p>
    <w:p>
      <w:pPr>
        <w:pStyle w:val="ListBullet"/>
      </w:pPr>
      <w:r>
        <w:t>Un proyecto puede tener varios trabajadores y tareas individuales.</w:t>
      </w:r>
    </w:p>
    <w:p>
      <w:pPr>
        <w:pStyle w:val="ListBullet"/>
      </w:pPr>
      <w:r>
        <w:t>Completar/reabrir tareas recalcula el avance sin aprobación.</w:t>
      </w:r>
    </w:p>
    <w:p>
      <w:pPr>
        <w:pStyle w:val="ListBullet"/>
      </w:pPr>
      <w:r>
        <w:t>El semáforo responde a las fechas y el estado finalizado, sin mezclar pagos.</w:t>
      </w:r>
    </w:p>
    <w:p>
      <w:pPr>
        <w:pStyle w:val="ListBullet"/>
      </w:pPr>
      <w:r>
        <w:t>La secretaría puede modificar fechas internas, no la fecha contractual.</w:t>
      </w:r>
    </w:p>
    <w:p>
      <w:pPr>
        <w:pStyle w:val="ListBullet"/>
      </w:pPr>
      <w:r>
        <w:t>Se pueden exportar tabla y calendario filtrados a PDF y Excel.</w:t>
      </w:r>
    </w:p>
    <w:p>
      <w:pPr>
        <w:pStyle w:val="ListBullet"/>
      </w:pPr>
      <w:r>
        <w:t>Una suscripción vencida figura pendiente hasta registrar el cobro real.</w:t>
      </w:r>
    </w:p>
    <w:p>
      <w:pPr>
        <w:pStyle w:val="ListBullet"/>
      </w:pPr>
      <w:r>
        <w:t>El portafolio funciona también en móvil y sin animaciones avanzadas.</w:t>
      </w:r>
    </w:p>
    <w:p>
      <w:pPr>
        <w:pStyle w:val="Heading1"/>
      </w:pPr>
      <w:r>
        <w:t>16. Decisiones pendientes</w:t>
      </w:r>
    </w:p>
    <w:p>
      <w:pPr>
        <w:pStyle w:val="ListBullet"/>
      </w:pPr>
      <w:r>
        <w:t>Definir nombre comercial exacto en cabecera: Rejas.dev y forma de mostrar eduarrejas.com.</w:t>
      </w:r>
    </w:p>
    <w:p>
      <w:pPr>
        <w:pStyle w:val="ListBullet"/>
      </w:pPr>
      <w:r>
        <w:t>Precisar cómo se aprueban/firmarán contratos y si se emitirán comprobantes desde el sistema o fuera de él.</w:t>
      </w:r>
    </w:p>
    <w:p>
      <w:pPr>
        <w:pStyle w:val="ListBullet"/>
      </w:pPr>
      <w:r>
        <w:t>Definir políticas de edición/anulación de pagos y control de caja.</w:t>
      </w:r>
    </w:p>
    <w:p>
      <w:pPr>
        <w:pStyle w:val="ListBullet"/>
      </w:pPr>
      <w:r>
        <w:t>Acordar si el avance ponderado por horas estimadas es la regla definitiva.</w:t>
      </w:r>
    </w:p>
    <w:p>
      <w:pPr>
        <w:pStyle w:val="ListBullet"/>
      </w:pPr>
      <w:r>
        <w:t>Definir canales de notificación (correo, WhatsApp u otros), hosting y presupuesto.</w:t>
      </w:r>
    </w:p>
    <w:p>
      <w:pPr>
        <w:pStyle w:val="ListBullet"/>
      </w:pPr>
      <w:r>
        <w:t>Preparar textos legales, identidad gráfica final y primeros casos del portafolio.</w:t>
      </w:r>
    </w:p>
    <w:p>
      <w:r>
        <w:t>FIN DEL DOCUMENTO · Documento vivo: actualizar al validar prototipos y reglas con usuarios reales.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REJAS.DEV  /  DOCUMENTO MAESTRO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563E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