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cmp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Hogyan működik?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cmp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Hogyan működik?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cmp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cmp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CMP konfiguráció kinyerése Playwright segítségével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07 CMP Konfig</w:t>
            </w:r>
          </w:p>
        </w:tc>
      </w:tr>
    </w:tbl>
    <w:p>
      <w:pPr>
        <w:pStyle w:val="Norml"/>
      </w:pPr>
      <w:r>
        <w:t xml:space="preserve">07 CMP Konfig</w:t>
      </w:r>
    </w:p>
    <w:p>
      <w:pPr>
        <w:pStyle w:val="Norml"/>
      </w:pPr>
      <w:r>
        <w:t xml:space="preserve">Az Analyse képes automatikusan kinyerni egy projekt</w:t>
      </w:r>
      <w:r>
        <w:t xml:space="preserve"> </w:t>
      </w:r>
      <w:r>
        <w:rPr>
          <w:b/>
          <w:bCs/>
        </w:rPr>
        <w:t xml:space="preserve">CMP (Content Management Platform) konfigurációját</w:t>
      </w:r>
      <w:r>
        <w:t xml:space="preserve">, és azt strukturált formátumban (XLS, JSON stb.) elérhetővé tenni a csapat számára. Az integráció projektenként konfigurálható a CMP azonosító megadásával.</w:t>
      </w:r>
    </w:p>
    <w:p>
      <w:pPr>
        <w:pStyle w:val="Cmsor2"/>
      </w:pPr>
      <w:r>
        <w:t xml:space="preserve">Hogyan működik?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Projekt létrehozásakor vagy szerkesztésekor add meg a projekt</w:t>
      </w:r>
      <w:r>
        <w:t xml:space="preserve"> </w:t>
      </w:r>
      <w:r>
        <w:rPr>
          <w:b/>
          <w:bCs/>
        </w:rPr>
        <w:t xml:space="preserve">CMP azonosítóját</w:t>
      </w:r>
      <w:r>
        <w:t xml:space="preserve"> </w:t>
      </w:r>
      <w:r>
        <w:t xml:space="preserve">az integrációs mezőben. A mező</w:t>
      </w:r>
      <w:r>
        <w:t xml:space="preserve"> </w:t>
      </w:r>
      <w:r>
        <w:t xml:space="preserve">opcionális — ha üresen hagyod, a konfigurációkinyerés nem fut le az adott projekthez.</w:t>
      </w:r>
      <w:r>
        <w:t xml:space="preserve"> </w:t>
      </w:r>
      <w:r>
        <w:t xml:space="preserve"> </w:t>
      </w:r>
      <w:r>
        <w:t xml:space="preserve"> </w:t>
      </w:r>
      <w:r>
        <w:t xml:space="preserve">Az Analyse egy háttérben futó</w:t>
      </w:r>
      <w:r>
        <w:t xml:space="preserve"> </w:t>
      </w:r>
      <w:r>
        <w:rPr>
          <w:b/>
          <w:bCs/>
        </w:rPr>
        <w:t xml:space="preserve">Playwright</w:t>
      </w:r>
      <w:r>
        <w:t xml:space="preserve"> </w:t>
      </w:r>
      <w:r>
        <w:t xml:space="preserve">folyamatot indít, amely a CMP azonosítót paraméterként átadva megnyit</w:t>
      </w:r>
      <w:r>
        <w:t xml:space="preserve"> </w:t>
      </w:r>
      <w:r>
        <w:t xml:space="preserve">egy helyi weboldalt.</w:t>
      </w:r>
      <w:r>
        <w:t xml:space="preserve"> </w:t>
      </w:r>
      <w:r>
        <w:t xml:space="preserve"> </w:t>
      </w:r>
      <w:r>
        <w:t xml:space="preserve"> </w:t>
      </w:r>
      <w:r>
        <w:t xml:space="preserve">A helyi oldal betölti a CMP konfigurációs JavaScript fájlt, amelyet Playwright headless böngészőként hajt végre —</w:t>
      </w:r>
      <w:r>
        <w:t xml:space="preserve"> </w:t>
      </w:r>
      <w:r>
        <w:t xml:space="preserve">így a böngészős CORS-korlátok és a dinamikus JS végrehajtás sem jelent akadályt.</w:t>
      </w:r>
      <w:r>
        <w:t xml:space="preserve"> </w:t>
      </w:r>
      <w:r>
        <w:t xml:space="preserve"> </w:t>
      </w:r>
      <w:r>
        <w:t xml:space="preserve"> </w:t>
      </w:r>
      <w:r>
        <w:t xml:space="preserve">Playwright kinyeri az adatokat az oldalból, majd az Analyse XLS, JSON és egyéb formátumokban teszi elérhetővé a</w:t>
      </w:r>
      <w:r>
        <w:t xml:space="preserve"> </w:t>
      </w:r>
      <w:r>
        <w:t xml:space="preserve">konfigurációt.</w:t>
      </w:r>
      <w:r>
        <w:t xml:space="preserve"> </w:t>
      </w:r>
      <w:r>
        <w:t xml:space="preserve"> </w:t>
      </w:r>
    </w:p>
    <w:p>
      <w:pPr>
        <w:pStyle w:val="Norml"/>
      </w:pPr>
      <w:r>
        <w:t xml:space="preserve">08 CMP Konfig Excel</w:t>
      </w:r>
    </w:p>
    <w:p>
      <w:pPr>
        <w:pStyle w:val="Cmsor2"/>
      </w:pPr>
      <w:r>
        <w:t xml:space="preserve">Miért Playwright? (workaround)</w:t>
      </w:r>
    </w:p>
    <w:p>
      <w:pPr>
        <w:pStyle w:val="Norml"/>
      </w:pPr>
      <w:r>
        <w:t xml:space="preserve">A CMP konfigurációs fájlok jellemzően csak böngészőkörnyezetben tölthetők be helyesen: CORS-szabályok blokkolhatják az egyszerű HTTP-kéréseket, és a konfiguráció gyakran dinamikus JavaScript végrehajtást igényel. Egy sima szerver oldali HTTP-lekérés ezért nem működne.</w:t>
      </w:r>
    </w:p>
    <w:p>
      <w:pPr>
        <w:pStyle w:val="Norml"/>
      </w:pPr>
      <w:r>
        <w:t xml:space="preserve">Ezért az Analyse</w:t>
      </w:r>
      <w:r>
        <w:t xml:space="preserve"> </w:t>
      </w:r>
      <w:r>
        <w:rPr>
          <w:b/>
          <w:bCs/>
        </w:rPr>
        <w:t xml:space="preserve">Playwright</w:t>
      </w:r>
      <w:r>
        <w:t xml:space="preserve">-ot használ headless böngészőként:</w:t>
      </w:r>
    </w:p>
    <w:p>
      <w:pPr>
        <w:pStyle w:val="Nincstrkz"/>
      </w:pPr>
      <w:r>
        <w:rPr/>
        <w:t xml:space="preserve">CMP azonosító → helyi szerver URL összeállítása paraméterekkel</w:t>
      </w:r>
      <w:r>
        <w:br/>
      </w:r>
      <w:r>
        <w:rPr/>
        <w:t xml:space="preserve">                ↓</w:t>
      </w:r>
      <w:r>
        <w:br/>
      </w:r>
      <w:r>
        <w:rPr/>
        <w:t xml:space="preserve">        Playwright headless böngésző megnyitja az URL-t</w:t>
      </w:r>
      <w:r>
        <w:br/>
      </w:r>
      <w:r>
        <w:rPr/>
        <w:t xml:space="preserve">                ↓</w:t>
      </w:r>
      <w:r>
        <w:br/>
      </w:r>
      <w:r>
        <w:rPr/>
        <w:t xml:space="preserve">        CMP konfigurációs JS betöltődik és végrehajtódik</w:t>
      </w:r>
      <w:r>
        <w:br/>
      </w:r>
      <w:r>
        <w:rPr/>
        <w:t xml:space="preserve">                ↓</w:t>
      </w:r>
      <w:r>
        <w:br/>
      </w:r>
      <w:r>
        <w:rPr/>
        <w:t xml:space="preserve">        Playwright kinyeri az adatokat az oldalból</w:t>
      </w:r>
      <w:r>
        <w:br/>
      </w:r>
      <w:r>
        <w:rPr/>
        <w:t xml:space="preserve">                ↓</w:t>
      </w:r>
      <w:r>
        <w:br/>
      </w:r>
      <w:r>
        <w:rPr/>
        <w:t xml:space="preserve">        XLS / JSON / egyéb fájlok generálása</w:t>
      </w:r>
    </w:p>
    <w:p>
      <w:pPr>
        <w:pStyle w:val="Norml"/>
      </w:pPr>
      <w:r>
        <w:t xml:space="preserve">A Playwright folyamat lefutásához a helyi webszervernek elérhetőnek kell lennie az Analyse alkalmazás számára. Ha a</w:t>
      </w:r>
      <w:r>
        <w:t xml:space="preserve"> </w:t>
      </w:r>
      <w:r>
        <w:t xml:space="preserve">konfiguráció kinyerése nem sikerül, ellenőrizd, hogy a helyi webszerver fut-e, és a megadott CMP azonosító helyes-e.</w:t>
      </w:r>
    </w:p>
    <w:p>
      <w:pPr>
        <w:pStyle w:val="Cmsor2"/>
      </w:pPr>
      <w:r>
        <w:t xml:space="preserve">Konfiguráció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061"/>
        <w:gridCol w:w="653"/>
        <w:gridCol w:w="6205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Mező</w:t>
            </w:r>
          </w:p>
        </w:tc>
        <w:tc>
          <w:tcPr/>
          <w:p>
            <w:pPr>
              <w:pStyle w:val="Norml"/>
            </w:pPr>
            <w:r>
              <w:t xml:space="preserve">Kötelező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t xml:space="preserve">CMP azonosító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A projekt CMP-beli azonosítója; paraméterként kerül átadásra a helyi URL-nek</w:t>
            </w:r>
          </w:p>
        </w:tc>
      </w:tr>
    </w:tbl>
    <w:p>
      <w:pPr>
        <w:pStyle w:val="Norml"/>
      </w:pPr>
      <w:r>
        <w:t xml:space="preserve">A CMP azonosítót a projekt létrehozásakor vagy utólag a projekt szerkesztési felületén adhatod meg. Bővebben lásd a</w:t>
      </w:r>
      <w:r>
        <w:t xml:space="preserve"> </w:t>
      </w:r>
      <w:hyperlink r:id="rId11">
        <w:r>
          <w:rPr>
            <w:rStyle w:val="Hyperlink"/>
          </w:rPr>
          <w:t xml:space="preserve">Projektbeállítások</w:t>
        </w:r>
      </w:hyperlink>
      <w:r>
        <w:t xml:space="preserve"> </w:t>
      </w:r>
      <w:r>
        <w:t xml:space="preserve">oldalt.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