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Клиент платит, а не говорит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Клиент платит, а не говорит. Campaign angle: Cash Register Test.</w:t>
      </w:r>
    </w:p>
    <w:p>
      <w:r>
        <w:t>Main idea: Praise is not demand until it changes behavior.</w:t>
      </w:r>
    </w:p>
    <w:p>
      <w:r>
        <w:t>False belief to challenge: Если клиент хвалит продукт, значит продукт нужен.</w:t>
      </w:r>
    </w:p>
    <w:p>
      <w:r>
        <w:t>Historical cue: Джон Остин - Oxford ordinary language philosophy; лекции Остина How to Do Things with Words; переход от языка как описания к языку как действию.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ФАКТ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