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Историческая справка: Духа из машины нет</w:t>
      </w:r>
    </w:p>
    <w:p>
      <w:r>
        <w:rPr>
          <w:i/>
        </w:rPr>
        <w:t>Контекст для редактора, сценариста и SMM-команды.</w:t>
      </w:r>
    </w:p>
    <w:p>
      <w:pPr>
        <w:pStyle w:val="Heading1"/>
      </w:pPr>
      <w:r>
        <w:t>Исторический контекст</w:t>
      </w:r>
    </w:p>
    <w:p>
      <w:r>
        <w:t>Выпуск опирается на линию: The Concept of Mind; критика картезианского dualism; выражение ghost in the machine как разоблачение категориальной ошибки. Важно показать, что историческая справка здесь не декоративна. Она объясняет, почему тема выпуска является не вкусовой позицией, а методом различения знания и самообмана.</w:t>
      </w:r>
    </w:p>
    <w:p>
      <w:r>
        <w:t>Аналитическая философия в XX веке развивалась как дисциплина очищения понятий. Ее центральный жест — не дать языку заменить реальность. Для бизнеса это особенно важно: управленческие системы живут словами, отчетами, обещаниями и метриками, которые легко превращаются в автономную реальность.</w:t>
      </w:r>
    </w:p>
    <w:p>
      <w:pPr>
        <w:pStyle w:val="Heading1"/>
      </w:pPr>
      <w:r>
        <w:t>Связь с бизнесом</w:t>
      </w:r>
    </w:p>
    <w:p>
      <w:r>
        <w:t>Исторический материал нужно связать с практикой так: Ответственность, инициативность и вовлеченность не являются внутренними предметами. Это устойчивые паттерны действия в системе правил и ожиданий. История философии становится производственным инструментом, когда помогает спросить: что именно мы знаем, а что только называем знанием?</w:t>
      </w:r>
    </w:p>
    <w:p>
      <w:r>
        <w:t>В этом выпуске историческая справка должна поддерживать главный тезис, а не уводить зрителя в академический экскурс. Зритель должен увидеть: философская строгость нужна предпринимателю потому, что рынок не прощает расплывчатых понятий.</w:t>
      </w:r>
    </w:p>
    <w:p>
      <w:pPr>
        <w:pStyle w:val="Heading1"/>
      </w:pPr>
      <w:r>
        <w:t>Опорные источники для редактора</w:t>
      </w:r>
    </w:p>
    <w:p>
      <w:r>
        <w:t>Gilbert Ryle, The Concept of Mind, 1949.</w:t>
      </w:r>
    </w:p>
    <w:p>
      <w:r>
        <w:t>Joseph Weizenbaum, Computer Power and Human Reason, 1976.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