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Проблема как инженерная спецификация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problem discovery stage.</w:t>
      </w:r>
    </w:p>
    <w:p>
      <w:r>
        <w:t>Main outcome: the audience should understand one operational distinction - Проблема становится инженерной только тогда, когда ее можно перевести в ограничение, сценарий, критерий приемки и риск, который продукт обязан снять.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Если клиент описал боль, значит проблема уже понятна.</w:t>
      </w:r>
    </w:p>
    <w:p>
      <w:r>
        <w:t>Analytic cue: Sally Haslanger - амелиоративный анализ: понятие определяется через работу, которую должно выполнить.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ПРОБЛЕМА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