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ptos" w:hAnsi="Aptos" w:eastAsia="Aptos"/>
          <w:b/>
          <w:color w:val="1F4E5F"/>
          <w:sz w:val="40"/>
        </w:rPr>
        <w:t>One-Month TIMS Readout Plan</w:t>
      </w:r>
    </w:p>
    <w:p>
      <w:pPr>
        <w:spacing w:before="20" w:after="140"/>
      </w:pPr>
      <w:r>
        <w:rPr>
          <w:rFonts w:ascii="Aptos" w:hAnsi="Aptos" w:eastAsia="Aptos"/>
          <w:b w:val="0"/>
          <w:color w:val="5B6670"/>
          <w:sz w:val="17"/>
        </w:rPr>
        <w:t>Prepared for Francesca | Start date: April 29, 2026 | Weekly touchpoint: Francesca, Khalid, and N</w:t>
      </w:r>
    </w:p>
    <w:p>
      <w:pPr>
        <w:spacing w:before="100" w:after="40"/>
      </w:pPr>
      <w:r>
        <w:rPr>
          <w:rFonts w:ascii="Aptos" w:hAnsi="Aptos" w:eastAsia="Aptos"/>
          <w:b/>
          <w:color w:val="0F766E"/>
          <w:sz w:val="16"/>
        </w:rPr>
        <w:t>OBJECTIVE</w:t>
      </w:r>
    </w:p>
    <w:p>
      <w:pPr>
        <w:spacing w:before="0" w:after="60" w:line="240" w:lineRule="auto"/>
      </w:pPr>
      <w:r>
        <w:rPr>
          <w:rFonts w:ascii="Aptos" w:hAnsi="Aptos" w:eastAsia="Aptos"/>
          <w:b w:val="0"/>
          <w:color w:val="1F2933"/>
          <w:sz w:val="18"/>
        </w:rPr>
        <w:t>I want to keep the next month focused. I would not add MEG into this first month, because that would add a separate lab, booking, acquisition setup, and analysis pipeline. The first step is simpler: show whether TIMS gives us a recoverable EEG response, and whether that response changes with stimulation intensity in a way that is comparable to the logic we use in TMS.</w:t>
      </w:r>
    </w:p>
    <w:p>
      <w:pPr>
        <w:spacing w:before="0" w:after="60" w:line="240" w:lineRule="auto"/>
      </w:pPr>
      <w:r>
        <w:rPr>
          <w:rFonts w:ascii="Aptos" w:hAnsi="Aptos" w:eastAsia="Aptos"/>
          <w:b w:val="0"/>
          <w:color w:val="1F2933"/>
          <w:sz w:val="18"/>
        </w:rPr>
        <w:t>Success does not require every metric to work. The month is successful if one or two readouts are reliable enough to justify the next step: a TIMS-evoked potential, ITPC/PLV or coherence, resting-state power or delta stability, entropy, or cortical excitability before versus after stimulation.</w:t>
      </w:r>
    </w:p>
    <w:p>
      <w:pPr>
        <w:spacing w:before="100" w:after="40"/>
      </w:pPr>
      <w:r>
        <w:rPr>
          <w:rFonts w:ascii="Aptos" w:hAnsi="Aptos" w:eastAsia="Aptos"/>
          <w:b/>
          <w:color w:val="0F766E"/>
          <w:sz w:val="16"/>
        </w:rPr>
        <w:t>PROTOCOL LOGIC</w:t>
      </w:r>
    </w:p>
    <w:p>
      <w:pPr>
        <w:spacing w:before="0" w:after="60" w:line="240" w:lineRule="auto"/>
      </w:pPr>
      <w:r>
        <w:rPr>
          <w:rFonts w:ascii="Aptos" w:hAnsi="Aptos" w:eastAsia="Aptos"/>
          <w:b w:val="0"/>
          <w:color w:val="1F2933"/>
          <w:sz w:val="18"/>
        </w:rPr>
        <w:t>We start with the 100% theta-burst stimulation protocol on Khalid, focused on M1 first because it gives the clearest comparison point to TMS-EEG and MEP-based excitability. We recover the immediate event-related response, then test whether the signal is clean enough to interpret and not dominated by artifact.</w:t>
      </w:r>
    </w:p>
    <w:p>
      <w:pPr>
        <w:spacing w:before="0" w:after="60" w:line="240" w:lineRule="auto"/>
      </w:pPr>
      <w:r>
        <w:rPr>
          <w:rFonts w:ascii="Aptos" w:hAnsi="Aptos" w:eastAsia="Aptos"/>
          <w:b w:val="0"/>
          <w:color w:val="1F2933"/>
          <w:sz w:val="18"/>
        </w:rPr>
        <w:t>In parallel, we run before/after readouts: resting-state EEG for power, delta stability, and entropy, plus sparse pulse stimulation to test whether cortical excitability changes after TIMS. If the 100% protocol gives a convincing signal, we move into dose-response testing at 100%, 50%, 25%, and 10% using the same acquisition and analysis logic.</w:t>
      </w:r>
    </w:p>
    <w:p>
      <w:pPr>
        <w:spacing w:before="100" w:after="40"/>
      </w:pPr>
      <w:r>
        <w:rPr>
          <w:rFonts w:ascii="Aptos" w:hAnsi="Aptos" w:eastAsia="Aptos"/>
          <w:b/>
          <w:color w:val="0F766E"/>
          <w:sz w:val="16"/>
        </w:rPr>
        <w:t>EXPERIMENT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5"/>
        <w:gridCol w:w="1535"/>
        <w:gridCol w:w="1535"/>
        <w:gridCol w:w="1535"/>
        <w:gridCol w:w="1535"/>
        <w:gridCol w:w="1535"/>
        <w:gridCol w:w="1535"/>
      </w:tblGrid>
      <w:tr>
        <w:tc>
          <w:tcPr>
            <w:tcW w:type="dxa" w:w="2664"/>
            <w:vAlign w:val="center"/>
            <w:shd w:fill="E6F4F1"/>
            <w:tcBorders>
              <w:top w:val="single" w:sz="6" w:space="0" w:color="B9D8D3"/>
              <w:left w:val="single" w:sz="6" w:space="0" w:color="B9D8D3"/>
              <w:bottom w:val="single" w:sz="6" w:space="0" w:color="B9D8D3"/>
              <w:right w:val="single" w:sz="6" w:space="0" w:color="B9D8D3"/>
            </w:tcBorders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1F4E5F"/>
                <w:sz w:val="15"/>
              </w:rPr>
              <w:t>1. 100% M1 TIMS</w:t>
            </w:r>
            <w:r>
              <w:br/>
            </w:r>
            <w:r>
              <w:rPr>
                <w:rFonts w:ascii="Aptos" w:hAnsi="Aptos" w:eastAsia="Aptos"/>
                <w:b w:val="0"/>
                <w:color w:val="1F2933"/>
                <w:sz w:val="13"/>
              </w:rPr>
              <w:t>Khalid; recover evoked response + before/after EEG</w:t>
            </w:r>
          </w:p>
        </w:tc>
        <w:tc>
          <w:tcPr>
            <w:tcW w:type="dxa" w:w="432"/>
            <w:vAlign w:val="center"/>
            <w:shd w:fill="FFFFFF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start w:w="25" w:type="dxa"/>
              <w:bottom w:w="80" w:type="dxa"/>
              <w:end w:w="2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0F766E"/>
                <w:sz w:val="18"/>
              </w:rPr>
              <w:t>&gt;</w:t>
            </w:r>
          </w:p>
        </w:tc>
        <w:tc>
          <w:tcPr>
            <w:tcW w:type="dxa" w:w="2664"/>
            <w:vAlign w:val="center"/>
            <w:shd w:fill="E6F4F1"/>
            <w:tcBorders>
              <w:top w:val="single" w:sz="6" w:space="0" w:color="B9D8D3"/>
              <w:left w:val="single" w:sz="6" w:space="0" w:color="B9D8D3"/>
              <w:bottom w:val="single" w:sz="6" w:space="0" w:color="B9D8D3"/>
              <w:right w:val="single" w:sz="6" w:space="0" w:color="B9D8D3"/>
            </w:tcBorders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1F4E5F"/>
                <w:sz w:val="15"/>
              </w:rPr>
              <w:t>2. Metric decision</w:t>
            </w:r>
            <w:r>
              <w:br/>
            </w:r>
            <w:r>
              <w:rPr>
                <w:rFonts w:ascii="Aptos" w:hAnsi="Aptos" w:eastAsia="Aptos"/>
                <w:b w:val="0"/>
                <w:color w:val="1F2933"/>
                <w:sz w:val="13"/>
              </w:rPr>
              <w:t>TEP first; otherwise ITPC/PLV, power, entropy, excitability</w:t>
            </w:r>
          </w:p>
        </w:tc>
        <w:tc>
          <w:tcPr>
            <w:tcW w:type="dxa" w:w="432"/>
            <w:vAlign w:val="center"/>
            <w:shd w:fill="FFFFFF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start w:w="25" w:type="dxa"/>
              <w:bottom w:w="80" w:type="dxa"/>
              <w:end w:w="2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0F766E"/>
                <w:sz w:val="18"/>
              </w:rPr>
              <w:t>&gt;</w:t>
            </w:r>
          </w:p>
        </w:tc>
        <w:tc>
          <w:tcPr>
            <w:tcW w:type="dxa" w:w="2664"/>
            <w:vAlign w:val="center"/>
            <w:shd w:fill="E6F4F1"/>
            <w:tcBorders>
              <w:top w:val="single" w:sz="6" w:space="0" w:color="B9D8D3"/>
              <w:left w:val="single" w:sz="6" w:space="0" w:color="B9D8D3"/>
              <w:bottom w:val="single" w:sz="6" w:space="0" w:color="B9D8D3"/>
              <w:right w:val="single" w:sz="6" w:space="0" w:color="B9D8D3"/>
            </w:tcBorders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1F4E5F"/>
                <w:sz w:val="15"/>
              </w:rPr>
              <w:t>3. Dose response</w:t>
            </w:r>
            <w:r>
              <w:br/>
            </w:r>
            <w:r>
              <w:rPr>
                <w:rFonts w:ascii="Aptos" w:hAnsi="Aptos" w:eastAsia="Aptos"/>
                <w:b w:val="0"/>
                <w:color w:val="1F2933"/>
                <w:sz w:val="13"/>
              </w:rPr>
              <w:t>Repeat at 100%, 50%, 25%, and 10%</w:t>
            </w:r>
          </w:p>
        </w:tc>
        <w:tc>
          <w:tcPr>
            <w:tcW w:type="dxa" w:w="432"/>
            <w:vAlign w:val="center"/>
            <w:shd w:fill="FFFFFF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start w:w="25" w:type="dxa"/>
              <w:bottom w:w="80" w:type="dxa"/>
              <w:end w:w="2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0F766E"/>
                <w:sz w:val="18"/>
              </w:rPr>
              <w:t>&gt;</w:t>
            </w:r>
          </w:p>
        </w:tc>
        <w:tc>
          <w:tcPr>
            <w:tcW w:type="dxa" w:w="2664"/>
            <w:vAlign w:val="center"/>
            <w:shd w:fill="E6F4F1"/>
            <w:tcBorders>
              <w:top w:val="single" w:sz="6" w:space="0" w:color="B9D8D3"/>
              <w:left w:val="single" w:sz="6" w:space="0" w:color="B9D8D3"/>
              <w:bottom w:val="single" w:sz="6" w:space="0" w:color="B9D8D3"/>
              <w:right w:val="single" w:sz="6" w:space="0" w:color="B9D8D3"/>
            </w:tcBorders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1F4E5F"/>
                <w:sz w:val="15"/>
              </w:rPr>
              <w:t>4. Replication</w:t>
            </w:r>
            <w:r>
              <w:br/>
            </w:r>
            <w:r>
              <w:rPr>
                <w:rFonts w:ascii="Aptos" w:hAnsi="Aptos" w:eastAsia="Aptos"/>
                <w:b w:val="0"/>
                <w:color w:val="1F2933"/>
                <w:sz w:val="13"/>
              </w:rPr>
              <w:t>Four additional participants; individual + group readout</w:t>
            </w:r>
          </w:p>
        </w:tc>
      </w:tr>
    </w:tbl>
    <w:p>
      <w:pPr>
        <w:spacing w:before="100" w:after="40"/>
      </w:pPr>
      <w:r>
        <w:rPr>
          <w:rFonts w:ascii="Aptos" w:hAnsi="Aptos" w:eastAsia="Aptos"/>
          <w:b/>
          <w:color w:val="0F766E"/>
          <w:sz w:val="16"/>
        </w:rPr>
        <w:t>MONTHLY LAYOUT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8"/>
        <w:gridCol w:w="2148"/>
        <w:gridCol w:w="2148"/>
        <w:gridCol w:w="2148"/>
        <w:gridCol w:w="2148"/>
      </w:tblGrid>
      <w:tr>
        <w:tc>
          <w:tcPr>
            <w:tcW w:type="dxa" w:w="1440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</w:tcBorders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Week</w:t>
            </w:r>
          </w:p>
        </w:tc>
        <w:tc>
          <w:tcPr>
            <w:tcW w:type="dxa" w:w="2951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</w:tcBorders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Key action</w:t>
            </w:r>
          </w:p>
        </w:tc>
        <w:tc>
          <w:tcPr>
            <w:tcW w:type="dxa" w:w="3528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</w:tcBorders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2376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</w:tcBorders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Main constraint</w:t>
            </w:r>
          </w:p>
        </w:tc>
        <w:tc>
          <w:tcPr>
            <w:tcW w:type="dxa" w:w="1655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</w:tcBorders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People</w:t>
            </w:r>
          </w:p>
        </w:tc>
      </w:tr>
      <w:tr>
        <w:tc>
          <w:tcPr>
            <w:tcW w:type="dxa" w:w="1440"/>
            <w:shd w:fill="E6F4F1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Week 1</w:t>
              <w:br/>
              <w:t>Apr 29-May 3</w:t>
            </w:r>
          </w:p>
        </w:tc>
        <w:tc>
          <w:tcPr>
            <w:tcW w:type="dxa" w:w="2951"/>
            <w:shd w:fill="E6F4F1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Finalize the analysis pipeline, run the field/depth simulation from the core drive, and recover first TIMS-evoked responses from available data.</w:t>
            </w:r>
          </w:p>
        </w:tc>
        <w:tc>
          <w:tcPr>
            <w:tcW w:type="dxa" w:w="3528"/>
            <w:shd w:fill="E6F4F1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Short simulation output plus first EEG plots showing whether we can recover a clean response and phase-consistency metrics.</w:t>
            </w:r>
          </w:p>
        </w:tc>
        <w:tc>
          <w:tcPr>
            <w:tcW w:type="dxa" w:w="2376"/>
            <w:shd w:fill="E6F4F1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Pipeline sorting and true response versus stimulation artifact.</w:t>
            </w:r>
          </w:p>
        </w:tc>
        <w:tc>
          <w:tcPr>
            <w:tcW w:type="dxa" w:w="1655"/>
            <w:shd w:fill="E6F4F1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Khalid + N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Week 2</w:t>
              <w:br/>
              <w:t>May 4-May 10</w:t>
            </w:r>
          </w:p>
        </w:tc>
        <w:tc>
          <w:tcPr>
            <w:tcW w:type="dxa" w:w="2951"/>
            <w:shd w:fill="FFFFFF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Run the 100% M1 theta-burst protocol on Khalid and analyze immediate, resting-state, and excitability readouts.</w:t>
            </w:r>
          </w:p>
        </w:tc>
        <w:tc>
          <w:tcPr>
            <w:tcW w:type="dxa" w:w="3528"/>
            <w:shd w:fill="FFFFFF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First decision memo: best metric, whether the response is TMS-like enough to compare, and whether to move into dose response.</w:t>
            </w:r>
          </w:p>
        </w:tc>
        <w:tc>
          <w:tcPr>
            <w:tcW w:type="dxa" w:w="2376"/>
            <w:shd w:fill="FFFFFF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Not all metrics will be reliable; pivot to the strongest readout.</w:t>
            </w:r>
          </w:p>
        </w:tc>
        <w:tc>
          <w:tcPr>
            <w:tcW w:type="dxa" w:w="1655"/>
            <w:shd w:fill="FFFFFF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Khalid + N; Francesca review</w:t>
            </w:r>
          </w:p>
        </w:tc>
      </w:tr>
      <w:tr>
        <w:tc>
          <w:tcPr>
            <w:tcW w:type="dxa" w:w="1440"/>
            <w:shd w:fill="E6F4F1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Week 3</w:t>
              <w:br/>
              <w:t>May 11-May 17</w:t>
            </w:r>
          </w:p>
        </w:tc>
        <w:tc>
          <w:tcPr>
            <w:tcW w:type="dxa" w:w="2951"/>
            <w:shd w:fill="E6F4F1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Repeat the same protocol across 100%, 50%, 25%, and 10% stimulation intensity.</w:t>
            </w:r>
          </w:p>
        </w:tc>
        <w:tc>
          <w:tcPr>
            <w:tcW w:type="dxa" w:w="3528"/>
            <w:shd w:fill="E6F4F1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Preliminary dose-response trend across the strongest metrics: TIMS-evoked response, ITPC/PLV/coherence, power/entropy, or excitability.</w:t>
            </w:r>
          </w:p>
        </w:tc>
        <w:tc>
          <w:tcPr>
            <w:tcW w:type="dxa" w:w="2376"/>
            <w:shd w:fill="E6F4F1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Order effects, fatigue, and keeping the protocol identical.</w:t>
            </w:r>
          </w:p>
        </w:tc>
        <w:tc>
          <w:tcPr>
            <w:tcW w:type="dxa" w:w="1655"/>
            <w:shd w:fill="E6F4F1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Khalid + N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Week 4</w:t>
              <w:br/>
              <w:t>May 18-May 24</w:t>
            </w:r>
          </w:p>
        </w:tc>
        <w:tc>
          <w:tcPr>
            <w:tcW w:type="dxa" w:w="2951"/>
            <w:shd w:fill="FFFFFF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Replicate the most promising protocol in four additional participants or patients.</w:t>
            </w:r>
          </w:p>
        </w:tc>
        <w:tc>
          <w:tcPr>
            <w:tcW w:type="dxa" w:w="3528"/>
            <w:shd w:fill="FFFFFF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Individual plots plus a first group-average summary showing whether the effect replicates beyond N=1.</w:t>
            </w:r>
          </w:p>
        </w:tc>
        <w:tc>
          <w:tcPr>
            <w:tcW w:type="dxa" w:w="2376"/>
            <w:shd w:fill="FFFFFF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Scheduling and inter-individual variability.</w:t>
            </w:r>
          </w:p>
        </w:tc>
        <w:tc>
          <w:tcPr>
            <w:tcW w:type="dxa" w:w="1655"/>
            <w:shd w:fill="FFFFFF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Khalid + N; Francesca unblockers</w:t>
            </w:r>
          </w:p>
        </w:tc>
      </w:tr>
    </w:tbl>
    <w:p>
      <w:pPr>
        <w:spacing w:before="100" w:after="40"/>
      </w:pPr>
      <w:r>
        <w:rPr>
          <w:rFonts w:ascii="Aptos" w:hAnsi="Aptos" w:eastAsia="Aptos"/>
          <w:b/>
          <w:color w:val="0F766E"/>
          <w:sz w:val="16"/>
        </w:rPr>
        <w:t>DECISION RULE</w:t>
      </w:r>
    </w:p>
    <w:p>
      <w:pPr>
        <w:spacing w:before="0" w:after="40" w:line="240" w:lineRule="auto"/>
      </w:pPr>
      <w:r>
        <w:rPr>
          <w:rFonts w:ascii="Aptos" w:hAnsi="Aptos" w:eastAsia="Aptos"/>
          <w:b w:val="0"/>
          <w:color w:val="1F2933"/>
          <w:sz w:val="18"/>
        </w:rPr>
        <w:t>By the end of Week 2, we choose the metric that carries the project forward. If we have a clean TIMS-evoked potential, that becomes the anchor. If not, we move with the strongest reliable alternative: phase consistency, resting-state power or delta stability, entropy, or cortical excitability. By the end of Week 4, the deliverable is a concise result package showing whether TIMS has a plausible physiological effect, whether it scales with intensity, and whether it replicates across participants.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2024"/>
            <w:shd w:fill="F4F6F7"/>
            <w:tcBorders>
              <w:top w:val="single" w:sz="6" w:space="0" w:color="E1E6EA"/>
              <w:left w:val="single" w:sz="6" w:space="0" w:color="E1E6EA"/>
              <w:bottom w:val="single" w:sz="6" w:space="0" w:color="E1E6EA"/>
              <w:right w:val="single" w:sz="6" w:space="0" w:color="E1E6EA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5B6670"/>
                <w:sz w:val="15"/>
              </w:rPr>
              <w:t>Metric language is aligned with standard TMS-EEG readouts: evoked potentials, GMFA/GMFP, time-frequency measures, phase consistency, and artifact constraints; plus recent descriptions of ITPC and canonical TEP windows.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b w:val="0"/>
        <w:color w:val="5B6670"/>
        <w:sz w:val="15"/>
      </w:rPr>
      <w:t>TIMS planning memo | April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One-Month TIMS Readout Plan</dc:title>
  <dc:subject>TIMS EEG readout planning</dc:subject>
  <dc:creator>TIMS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