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Startbesked – eldstad och rökkanal</w:t>
      </w:r>
    </w:p>
    <w:p>
      <w:r>
        <w:t>Diarienummer:</w:t>
      </w:r>
    </w:p>
    <w:p>
      <w:sdt>
        <w:sdtPr>
          <w:alias w:val="Diarienummer"/>
          <w:tag w:val="diarienummer"/>
          <w:id w:val="1"/>
          <w:showingPlcHdr/>
          <w:text/>
        </w:sdtPr>
        <w:sdtContent>
          <w:r>
            <w:rPr>
              <w:rStyle w:val="PlaceholderText"/>
            </w:rPr>
            <w:t xml:space="preserve">BYGG-ÅÅÅÅ-nnnnnn</w:t>
          </w:r>
        </w:sdtContent>
      </w:sdt>
    </w:p>
    <w:p>
      <w:r>
        <w:t>Datum:</w:t>
      </w:r>
    </w:p>
    <w:p>
      <w:sdt>
        <w:sdtPr>
          <w:alias w:val="Datum"/>
          <w:tag w:val="datum"/>
          <w:id w:val="2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>Fastighet:</w:t>
      </w:r>
    </w:p>
    <w:p>
      <w:sdt>
        <w:sdtPr>
          <w:alias w:val="Fastighet"/>
          <w:tag w:val="fastighet"/>
          <w:id w:val="3"/>
          <w:showingPlcHdr/>
          <w:text/>
        </w:sdtPr>
        <w:sdtContent>
          <w:r>
            <w:rPr>
              <w:rStyle w:val="PlaceholderText"/>
            </w:rPr>
            <w:t xml:space="preserve">Fastighetsbeteckning</w:t>
          </w:r>
        </w:sdtContent>
      </w:sdt>
    </w:p>
    <w:p>
      <w:r>
        <w:t>Byggherre:</w:t>
      </w:r>
    </w:p>
    <w:p>
      <w:sdt>
        <w:sdtPr>
          <w:alias w:val="Byggherre"/>
          <w:tag w:val="byggherre"/>
          <w:id w:val="4"/>
          <w:showingPlcHdr/>
          <w:text/>
        </w:sdtPr>
        <w:sdtContent>
          <w:r>
            <w:rPr>
              <w:rStyle w:val="PlaceholderText"/>
            </w:rPr>
            <w:t xml:space="preserve">Namn och adress</w:t>
          </w:r>
        </w:sdtContent>
      </w:sdt>
    </w:p>
    <w:p>
      <w:r>
        <w:t>Åtgärd:</w:t>
      </w:r>
    </w:p>
    <w:p>
      <w:sdt>
        <w:sdtPr>
          <w:alias w:val="Åtgärd"/>
          <w:tag w:val="atgard"/>
          <w:id w:val="5"/>
          <w:showingPlcHdr/>
          <w:text/>
        </w:sdtPr>
        <w:sdtContent>
          <w:r>
            <w:rPr>
              <w:rStyle w:val="PlaceholderText"/>
            </w:rPr>
            <w:t xml:space="preserve">Den anmälda eldstaden och rökkanalen, fabrikat och modell</w:t>
          </w:r>
        </w:sdtContent>
      </w:sdt>
    </w:p>
    <w:p>
      <w:pPr>
        <w:pStyle w:val="MunicipalHeading"/>
      </w:pPr>
      <w:r>
        <w:t>Beslut</w:t>
      </w:r>
    </w:p>
    <w:p>
      <w:r>
        <w:t>Stadsbyggnadsnämnden ger startbesked för den anmälda åtgärden med stöd av 10 kap. 23 § plan- och bygglagen (2010:900), PBL. Åtgärden är anmälningspliktig enligt 6 kap. 1 § 4 plan- och byggförordningen (2011:338). Kontrollplanen nedan fastställs.</w:t>
      </w:r>
    </w:p>
    <w:p>
      <w:pPr>
        <w:pStyle w:val="MunicipalHeading"/>
      </w:pPr>
      <w:r>
        <w:t>Fastställd kontrollplan</w:t>
      </w:r>
    </w:p>
    <w:sdt>
      <w:sdtPr>
        <w:alias w:val="Kontrollplan"/>
        <w:tag w:val="kontrollplan"/>
        <w:id w:val="6"/>
        <w:showingPlcHdr/>
      </w:sdtPr>
      <w:sdtContent>
        <w:p>
          <w:r>
            <w:rPr>
              <w:rStyle w:val="PlaceholderText"/>
            </w:rPr>
            <w:t xml:space="preserve">Varje kontrollpunkt: vad som kontrolleras, vilket krav som gäller enligt tillverkarens anvisning, hur och av vem.</w:t>
          </w:r>
        </w:p>
      </w:sdtContent>
    </w:sdt>
    <w:p>
      <w:pPr>
        <w:pStyle w:val="MunicipalHeading"/>
      </w:pPr>
      <w:r>
        <w:t>Villkor och upplysningar</w:t>
      </w:r>
    </w:p>
    <w:sdt>
      <w:sdtPr>
        <w:alias w:val="Villkor och upplysningar"/>
        <w:tag w:val="upplysningar"/>
        <w:id w:val="7"/>
        <w:showingPlcHdr/>
      </w:sdtPr>
      <w:sdtContent>
        <w:p>
          <w:r>
            <w:rPr>
              <w:rStyle w:val="PlaceholderText"/>
            </w:rPr>
            <w:t xml:space="preserve">Villkor för installationen och upplysningar till byggherren.</w:t>
          </w:r>
        </w:p>
      </w:sdtContent>
    </w:sdt>
    <w:p>
      <w:pPr>
        <w:pStyle w:val="MunicipalHeading"/>
      </w:pPr>
      <w:r>
        <w:t>Slutbesked</w:t>
      </w:r>
    </w:p>
    <w:p>
      <w:r>
        <w:t>Eldstaden och rökkanalen får inte tas i bruk förrän stadsbyggnadsnämnden har gett slutbesked (10 kap. 4 § PBL). Skicka in intyg om utförd brandskyddskontroll från skorstensfejarmästare och byggherrens intyg om att kontrollplanen har följts.</w:t>
      </w:r>
    </w:p>
    <w:p>
      <w:pPr>
        <w:pStyle w:val="MunicipalHeading"/>
      </w:pPr>
      <w:r>
        <w:t>Avgift</w:t>
      </w:r>
    </w:p>
    <w:p>
      <w:r>
        <w:t>Avgift tas ut enligt stadsbyggnadsnämndens taxa. Fakturan skickas separat.</w:t>
      </w:r>
    </w:p>
    <w:p>
      <w:pPr>
        <w:pStyle w:val="MunicipalHeading"/>
      </w:pPr>
      <w:r>
        <w:t>Hur man överklagar</w:t>
      </w:r>
    </w:p>
    <w:p>
      <w:r>
        <w:t>Startbeskedet kan överklagas av den som har gjort anmälan (13 kap. 15 § PBL). Överklagandet ställs till Länsstyrelsen Västernorrland men skickas till stadsbyggnadsnämnden, Sundsvalls kommun, 851 85 Sundsvall, inom tre veckor från den dag du fick del av beslutet.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STADSBYGGNADSNÄMNDEN – BYGGLOVAVDELNINGEN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Startbesked – eldstad och rökkanal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