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2026-01-15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IAN-2026-00019</w:t>
            </w:r>
          </w:p>
        </w:tc>
      </w:tr>
    </w:tbl>
    <w:p>
      <w:pPr>
        <w:pStyle w:val="MunicipalTitle"/>
        <w:spacing w:before="240"/>
      </w:pPr>
      <w:r>
        <w:t>Rutin för registrering och klassificering av inkommande handlingar – individ- och arbetsmarknadsnämnden</w:t>
      </w:r>
    </w:p>
    <w:p>
      <w:pPr>
        <w:pStyle w:val="MunicipalHeading"/>
      </w:pPr>
      <w:r>
        <w:t>Utgångspunkter</w:t>
      </w:r>
    </w:p>
    <w:p>
      <w:r>
        <w:t>Allmänna handlingar ska registreras utan dröjsmål när de har kommit in (5 kap. 1 § OSL). Registret ska visa datum då handlingen kom in, diarienummer, avsändare och i korthet vad handlingen rör (5 kap. 2 § OSL). Diariet är offentligt: uppgifter om avsändare och vad handlingen rör ska utelämnas eller särskiljas om det behövs för att registret i övrigt ska kunna hållas tillgängligt för allmänheten.</w:t>
      </w:r>
    </w:p>
    <w:p>
      <w:r>
        <w:t>Handlingar i enskilda ärenden om ekonomiskt bistånd, missbruk och barn och unga registreras inte i diariet. De hålls ordnade i verksamhetssystemet Lifecare med stöd av 5 kap. 3 § OSL och offentlighets- och sekretessförordningen (2009:641). Underrättelser från hyresvärdar och synpunkter registreras däremot i diariet.</w:t>
      </w:r>
    </w:p>
    <w:p>
      <w:pPr>
        <w:pStyle w:val="MunicipalHeading"/>
      </w:pPr>
      <w:r>
        <w:t>Klassificeringsstruktur (utdrag)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</w:rPr>
              <w:t>Processkod</w:t>
            </w:r>
          </w:p>
        </w:tc>
        <w:tc>
          <w:tcPr>
            <w:tcW w:type="dxa" w:w="1624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1624"/>
          </w:tcPr>
          <w:p>
            <w:r>
              <w:rPr>
                <w:b/>
              </w:rPr>
              <w:t>Handlingstyp</w:t>
            </w:r>
          </w:p>
        </w:tc>
        <w:tc>
          <w:tcPr>
            <w:tcW w:type="dxa" w:w="1624"/>
          </w:tcPr>
          <w:p>
            <w:r>
              <w:rPr>
                <w:b/>
              </w:rPr>
              <w:t>Registreras i</w:t>
            </w:r>
          </w:p>
        </w:tc>
        <w:tc>
          <w:tcPr>
            <w:tcW w:type="dxa" w:w="1624"/>
          </w:tcPr>
          <w:p>
            <w:r>
              <w:rPr>
                <w:b/>
              </w:rPr>
              <w:t>Sekretessmarkering</w:t>
            </w:r>
          </w:p>
        </w:tc>
        <w:tc>
          <w:tcPr>
            <w:tcW w:type="dxa" w:w="1624"/>
          </w:tcPr>
          <w:p>
            <w:r>
              <w:rPr>
                <w:b/>
              </w:rPr>
              <w:t>Ärendemening</w:t>
            </w:r>
          </w:p>
        </w:tc>
      </w:tr>
      <w:tr>
        <w:tc>
          <w:tcPr>
            <w:tcW w:type="dxa" w:w="1624"/>
          </w:tcPr>
          <w:p>
            <w:r>
              <w:t>1.3.2</w:t>
            </w:r>
          </w:p>
        </w:tc>
        <w:tc>
          <w:tcPr>
            <w:tcW w:type="dxa" w:w="1624"/>
          </w:tcPr>
          <w:p>
            <w:r>
              <w:t>Nämndadministration</w:t>
            </w:r>
          </w:p>
        </w:tc>
        <w:tc>
          <w:tcPr>
            <w:tcW w:type="dxa" w:w="1624"/>
          </w:tcPr>
          <w:p>
            <w:r>
              <w:t>Remiss till nämnden</w:t>
            </w:r>
          </w:p>
        </w:tc>
        <w:tc>
          <w:tcPr>
            <w:tcW w:type="dxa" w:w="1624"/>
          </w:tcPr>
          <w:p>
            <w:r>
              <w:t>Diariet</w:t>
            </w:r>
          </w:p>
        </w:tc>
        <w:tc>
          <w:tcPr>
            <w:tcW w:type="dxa" w:w="1624"/>
          </w:tcPr>
          <w:p>
            <w:r>
              <w:t>Nej</w:t>
            </w:r>
          </w:p>
        </w:tc>
        <w:tc>
          <w:tcPr>
            <w:tcW w:type="dxa" w:w="1624"/>
          </w:tcPr>
          <w:p>
            <w:r>
              <w:t>Remiss – [ämne], från [avsändare]</w:t>
            </w:r>
          </w:p>
        </w:tc>
      </w:tr>
      <w:tr>
        <w:tc>
          <w:tcPr>
            <w:tcW w:type="dxa" w:w="1624"/>
          </w:tcPr>
          <w:p>
            <w:r>
              <w:t>3.1.1</w:t>
            </w:r>
          </w:p>
        </w:tc>
        <w:tc>
          <w:tcPr>
            <w:tcW w:type="dxa" w:w="1624"/>
          </w:tcPr>
          <w:p>
            <w:r>
              <w:t>Ekonomiskt bistånd</w:t>
            </w:r>
          </w:p>
        </w:tc>
        <w:tc>
          <w:tcPr>
            <w:tcW w:type="dxa" w:w="1624"/>
          </w:tcPr>
          <w:p>
            <w:r>
              <w:t>Ansökan om ekonomiskt bistånd</w:t>
            </w:r>
          </w:p>
        </w:tc>
        <w:tc>
          <w:tcPr>
            <w:tcW w:type="dxa" w:w="1624"/>
          </w:tcPr>
          <w:p>
            <w:r>
              <w:t>Lifecare</w:t>
            </w:r>
          </w:p>
        </w:tc>
        <w:tc>
          <w:tcPr>
            <w:tcW w:type="dxa" w:w="1624"/>
          </w:tcPr>
          <w:p>
            <w:r>
              <w:t>26 kap. 1 § OSL</w:t>
            </w:r>
          </w:p>
        </w:tc>
        <w:tc>
          <w:tcPr>
            <w:tcW w:type="dxa" w:w="1624"/>
          </w:tcPr>
          <w:p>
            <w:r>
              <w:t>Registreras inte i diariet</w:t>
            </w:r>
          </w:p>
        </w:tc>
      </w:tr>
      <w:tr>
        <w:tc>
          <w:tcPr>
            <w:tcW w:type="dxa" w:w="1624"/>
          </w:tcPr>
          <w:p>
            <w:r>
              <w:t>3.4.1</w:t>
            </w:r>
          </w:p>
        </w:tc>
        <w:tc>
          <w:tcPr>
            <w:tcW w:type="dxa" w:w="1624"/>
          </w:tcPr>
          <w:p>
            <w:r>
              <w:t>Vräkningsförebyggande arbete</w:t>
            </w:r>
          </w:p>
        </w:tc>
        <w:tc>
          <w:tcPr>
            <w:tcW w:type="dxa" w:w="1624"/>
          </w:tcPr>
          <w:p>
            <w:r>
              <w:t>Underrättelse från hyresvärd om uppsägning på grund av hyresskuld (12 kap. 44 § jordabalken)</w:t>
            </w:r>
          </w:p>
        </w:tc>
        <w:tc>
          <w:tcPr>
            <w:tcW w:type="dxa" w:w="1624"/>
          </w:tcPr>
          <w:p>
            <w:r>
              <w:t>Diariet</w:t>
            </w:r>
          </w:p>
        </w:tc>
        <w:tc>
          <w:tcPr>
            <w:tcW w:type="dxa" w:w="1624"/>
          </w:tcPr>
          <w:p>
            <w:r>
              <w:t>26 kap. 1 § OSL</w:t>
            </w:r>
          </w:p>
        </w:tc>
        <w:tc>
          <w:tcPr>
            <w:tcW w:type="dxa" w:w="1624"/>
          </w:tcPr>
          <w:p>
            <w:r>
              <w:t>Underrättelse om uppsägning av hyresavtal på grund av hyresskuld</w:t>
            </w:r>
          </w:p>
        </w:tc>
      </w:tr>
      <w:tr>
        <w:tc>
          <w:tcPr>
            <w:tcW w:type="dxa" w:w="1624"/>
          </w:tcPr>
          <w:p>
            <w:r>
              <w:t>3.4.2</w:t>
            </w:r>
          </w:p>
        </w:tc>
        <w:tc>
          <w:tcPr>
            <w:tcW w:type="dxa" w:w="1624"/>
          </w:tcPr>
          <w:p>
            <w:r>
              <w:t>Vräkningsförebyggande arbete</w:t>
            </w:r>
          </w:p>
        </w:tc>
        <w:tc>
          <w:tcPr>
            <w:tcW w:type="dxa" w:w="1624"/>
          </w:tcPr>
          <w:p>
            <w:r>
              <w:t>Underrättelse från hyresvärd om störningar eller bristande skötsamhet (12 kap. 25 a § jordabalken)</w:t>
            </w:r>
          </w:p>
        </w:tc>
        <w:tc>
          <w:tcPr>
            <w:tcW w:type="dxa" w:w="1624"/>
          </w:tcPr>
          <w:p>
            <w:r>
              <w:t>Diariet</w:t>
            </w:r>
          </w:p>
        </w:tc>
        <w:tc>
          <w:tcPr>
            <w:tcW w:type="dxa" w:w="1624"/>
          </w:tcPr>
          <w:p>
            <w:r>
              <w:t>26 kap. 1 § OSL</w:t>
            </w:r>
          </w:p>
        </w:tc>
        <w:tc>
          <w:tcPr>
            <w:tcW w:type="dxa" w:w="1624"/>
          </w:tcPr>
          <w:p>
            <w:r>
              <w:t>Underrättelse om störningar i boendet</w:t>
            </w:r>
          </w:p>
        </w:tc>
      </w:tr>
      <w:tr>
        <w:tc>
          <w:tcPr>
            <w:tcW w:type="dxa" w:w="1624"/>
          </w:tcPr>
          <w:p>
            <w:r>
              <w:t>3.5.1</w:t>
            </w:r>
          </w:p>
        </w:tc>
        <w:tc>
          <w:tcPr>
            <w:tcW w:type="dxa" w:w="1624"/>
          </w:tcPr>
          <w:p>
            <w:r>
              <w:t>Barn och unga</w:t>
            </w:r>
          </w:p>
        </w:tc>
        <w:tc>
          <w:tcPr>
            <w:tcW w:type="dxa" w:w="1624"/>
          </w:tcPr>
          <w:p>
            <w:r>
              <w:t>Orosanmälan</w:t>
            </w:r>
          </w:p>
        </w:tc>
        <w:tc>
          <w:tcPr>
            <w:tcW w:type="dxa" w:w="1624"/>
          </w:tcPr>
          <w:p>
            <w:r>
              <w:t>Lifecare</w:t>
            </w:r>
          </w:p>
        </w:tc>
        <w:tc>
          <w:tcPr>
            <w:tcW w:type="dxa" w:w="1624"/>
          </w:tcPr>
          <w:p>
            <w:r>
              <w:t>26 kap. 1 § OSL</w:t>
            </w:r>
          </w:p>
        </w:tc>
        <w:tc>
          <w:tcPr>
            <w:tcW w:type="dxa" w:w="1624"/>
          </w:tcPr>
          <w:p>
            <w:r>
              <w:t>Registreras inte i diariet</w:t>
            </w:r>
          </w:p>
        </w:tc>
      </w:tr>
      <w:tr>
        <w:tc>
          <w:tcPr>
            <w:tcW w:type="dxa" w:w="1624"/>
          </w:tcPr>
          <w:p>
            <w:r>
              <w:t>5.1.1</w:t>
            </w:r>
          </w:p>
        </w:tc>
        <w:tc>
          <w:tcPr>
            <w:tcW w:type="dxa" w:w="1624"/>
          </w:tcPr>
          <w:p>
            <w:r>
              <w:t>Synpunkter och klagomål</w:t>
            </w:r>
          </w:p>
        </w:tc>
        <w:tc>
          <w:tcPr>
            <w:tcW w:type="dxa" w:w="1624"/>
          </w:tcPr>
          <w:p>
            <w:r>
              <w:t>Synpunkt eller klagomål</w:t>
            </w:r>
          </w:p>
        </w:tc>
        <w:tc>
          <w:tcPr>
            <w:tcW w:type="dxa" w:w="1624"/>
          </w:tcPr>
          <w:p>
            <w:r>
              <w:t>Diariet</w:t>
            </w:r>
          </w:p>
        </w:tc>
        <w:tc>
          <w:tcPr>
            <w:tcW w:type="dxa" w:w="1624"/>
          </w:tcPr>
          <w:p>
            <w:r>
              <w:t>Bedöms i varje fall</w:t>
            </w:r>
          </w:p>
        </w:tc>
        <w:tc>
          <w:tcPr>
            <w:tcW w:type="dxa" w:w="1624"/>
          </w:tcPr>
          <w:p>
            <w:r>
              <w:t>Synpunkt på [verksamhet]</w:t>
            </w:r>
          </w:p>
        </w:tc>
      </w:tr>
      <w:tr>
        <w:tc>
          <w:tcPr>
            <w:tcW w:type="dxa" w:w="1624"/>
          </w:tcPr>
          <w:p>
            <w:r>
              <w:t>6.2.3</w:t>
            </w:r>
          </w:p>
        </w:tc>
        <w:tc>
          <w:tcPr>
            <w:tcW w:type="dxa" w:w="1624"/>
          </w:tcPr>
          <w:p>
            <w:r>
              <w:t>Informationshantering</w:t>
            </w:r>
          </w:p>
        </w:tc>
        <w:tc>
          <w:tcPr>
            <w:tcW w:type="dxa" w:w="1624"/>
          </w:tcPr>
          <w:p>
            <w:r>
              <w:t>Begäran om allmän handling</w:t>
            </w:r>
          </w:p>
        </w:tc>
        <w:tc>
          <w:tcPr>
            <w:tcW w:type="dxa" w:w="1624"/>
          </w:tcPr>
          <w:p>
            <w:r>
              <w:t>Diariet</w:t>
            </w:r>
          </w:p>
        </w:tc>
        <w:tc>
          <w:tcPr>
            <w:tcW w:type="dxa" w:w="1624"/>
          </w:tcPr>
          <w:p>
            <w:r>
              <w:t>Nej</w:t>
            </w:r>
          </w:p>
        </w:tc>
        <w:tc>
          <w:tcPr>
            <w:tcW w:type="dxa" w:w="1624"/>
          </w:tcPr>
          <w:p>
            <w:r>
              <w:t>Begäran om allmän handling – [ämne]</w:t>
            </w:r>
          </w:p>
        </w:tc>
      </w:tr>
    </w:tbl>
    <w:p>
      <w:pPr>
        <w:pStyle w:val="MunicipalHeading"/>
      </w:pPr>
      <w:r>
        <w:t>Ärendemening och avsändare</w:t>
      </w:r>
    </w:p>
    <w:p>
      <w:pPr>
        <w:pStyle w:val="ListBullet"/>
      </w:pPr>
      <w:r>
        <w:t>Ärendemeningen är offentlig. I ärenden som rör enskildas personliga förhållanden inom socialtjänsten får den inte innehålla namn, personnummer, adress, lägenhetsnummer eller något annat som gör det möjligt att identifiera den enskilde. Använd ärendemeningen i klassificeringsstrukturen.</w:t>
      </w:r>
    </w:p>
    <w:p>
      <w:pPr>
        <w:pStyle w:val="ListBullet"/>
      </w:pPr>
      <w:r>
        <w:t>Avsändare som är företag, myndigheter eller organisationer registreras med sitt namn. En enskild person i ett sekretessärende registreras som ”Enskild – sekretess”.</w:t>
      </w:r>
    </w:p>
    <w:p>
      <w:pPr>
        <w:pStyle w:val="ListBullet"/>
      </w:pPr>
      <w:r>
        <w:t>Uppgifter om den enskilde registreras inte i diariet utan i Lifecare när ärendet fördelats.</w:t>
      </w:r>
    </w:p>
    <w:p>
      <w:pPr>
        <w:pStyle w:val="MunicipalHeading"/>
      </w:pPr>
      <w:r>
        <w:t>Sekretessmarkering</w:t>
      </w:r>
    </w:p>
    <w:p>
      <w:r>
        <w:t>Handlingar som sannolikt innehåller sekretessbelagda uppgifter markeras med lagrum enligt klassificeringsstrukturen (5 kap. 5 § OSL). Markeringen är ett stöd; sekretessprövningen görs när någon begär att få ta del av handlingen.</w:t>
      </w:r>
    </w:p>
    <w:p>
      <w:pPr>
        <w:pStyle w:val="MunicipalHeading"/>
      </w:pPr>
      <w:r>
        <w:t>Koppling till tidigare ärenden</w:t>
      </w:r>
    </w:p>
    <w:p>
      <w:r>
        <w:t>Sök efter tidigare ärenden med samma hushåll. En ny underrättelse för ett hushåll som haft ett ärende i processen 3.4 de senaste tolv månaderna registreras i det tidigare ärendet, som öppnas igen. Annars skapas ett nytt ärende.</w:t>
      </w:r>
    </w:p>
    <w:p>
      <w:pPr>
        <w:pStyle w:val="MunicipalHeading"/>
      </w:pPr>
      <w:r>
        <w:t>Fördelning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Processkod</w:t>
            </w:r>
          </w:p>
        </w:tc>
        <w:tc>
          <w:tcPr>
            <w:tcW w:type="dxa" w:w="4872"/>
          </w:tcPr>
          <w:p>
            <w:r>
              <w:rPr>
                <w:b/>
              </w:rPr>
              <w:t>Fördelas till</w:t>
            </w:r>
          </w:p>
        </w:tc>
      </w:tr>
      <w:tr>
        <w:tc>
          <w:tcPr>
            <w:tcW w:type="dxa" w:w="4872"/>
          </w:tcPr>
          <w:p>
            <w:r>
              <w:t>3.4.1, 3.4.2</w:t>
            </w:r>
          </w:p>
        </w:tc>
        <w:tc>
          <w:tcPr>
            <w:tcW w:type="dxa" w:w="4872"/>
          </w:tcPr>
          <w:p>
            <w:r>
              <w:t>Vräkningsförebyggande teamet, enheten för ekonomiskt bistånd</w:t>
            </w:r>
          </w:p>
        </w:tc>
      </w:tr>
      <w:tr>
        <w:tc>
          <w:tcPr>
            <w:tcW w:type="dxa" w:w="4872"/>
          </w:tcPr>
          <w:p>
            <w:r>
              <w:t>5.1.1</w:t>
            </w:r>
          </w:p>
        </w:tc>
        <w:tc>
          <w:tcPr>
            <w:tcW w:type="dxa" w:w="4872"/>
          </w:tcPr>
          <w:p>
            <w:r>
              <w:t>Berörd enhetschef, kopia till kvalitetsstrateg</w:t>
            </w:r>
          </w:p>
        </w:tc>
      </w:tr>
      <w:tr>
        <w:tc>
          <w:tcPr>
            <w:tcW w:type="dxa" w:w="4872"/>
          </w:tcPr>
          <w:p>
            <w:r>
              <w:t>6.2.3</w:t>
            </w:r>
          </w:p>
        </w:tc>
        <w:tc>
          <w:tcPr>
            <w:tcW w:type="dxa" w:w="4872"/>
          </w:tcPr>
          <w:p>
            <w:r>
              <w:t>Den som ansvarar för handlingen, kopia till förvaltningsjurist</w:t>
            </w:r>
          </w:p>
        </w:tc>
      </w:tr>
    </w:tbl>
    <w:p>
      <w:pPr>
        <w:pStyle w:val="MunicipalHeading"/>
      </w:pPr>
      <w:r>
        <w:t>Mottagningsbekräftelse</w:t>
      </w:r>
    </w:p>
    <w:p>
      <w:r>
        <w:t>Skicka mottagningsbekräftelse till avsändare som är organisationer. Ange diarienummer och handläggande enhet.</w:t>
      </w:r>
    </w:p>
    <w:p>
      <w:pPr>
        <w:spacing w:before="360"/>
      </w:pPr>
      <w:r>
        <w:t>Ulrika Sjödin</w:t>
      </w:r>
      <w:r>
        <w:br/>
      </w:r>
      <w:r>
        <w:t>Registrator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INDIVID- OCH ARBETSMARKNADSFÖRVALTNINGEN, REGISTRATUREN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Rutin för registrering och klassificering av inkommande handlingar – individ- och arbetsmarknadsnämnden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