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2026-09-28</w:t>
            </w:r>
          </w:p>
        </w:tc>
      </w:tr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KS-2026-00544</w:t>
            </w:r>
          </w:p>
        </w:tc>
      </w:tr>
    </w:tbl>
    <w:p>
      <w:pPr>
        <w:pStyle w:val="MunicipalTitle"/>
        <w:spacing w:before="240"/>
      </w:pPr>
      <w:r>
        <w:t>Underlag till remissvar – SOU 2026:41 Kommunal beredskap i en ny tid</w:t>
      </w:r>
    </w:p>
    <w:p>
      <w:r>
        <w:t>Säkerhets- och beredskapsavdelningen har ombetts att lämna underlag till kommunens remissvar. Underlaget avser de delar som rör kommunens krisledning och samlade beredskap.</w:t>
      </w:r>
    </w:p>
    <w:p>
      <w:pPr>
        <w:pStyle w:val="MunicipalHeading"/>
      </w:pPr>
      <w:r>
        <w:t>Kapitel 7 Ledning</w:t>
      </w:r>
    </w:p>
    <w:p>
      <w:r>
        <w:t>Vi tillstyrker förslaget om en reservledningsplats som ska kunna användas i sju dygn. Sundsvalls reservledningsplats i räddningstjänstens lokaler på Norra kajen uppfyller redan kravet på reservkraft men saknar lager för vatten och livsmedel, vilket kan åtgärdas inom befintlig budget.</w:t>
      </w:r>
    </w:p>
    <w:p>
      <w:pPr>
        <w:pStyle w:val="MunicipalHeading"/>
      </w:pPr>
      <w:r>
        <w:t>Kapitel 8 Reservkraft</w:t>
      </w:r>
    </w:p>
    <w:p>
      <w:r>
        <w:t>Vi tillstyrker kravet på 72 timmars reservkraft i vård- och omsorgsboenden och LSS-bostäder. Elavbrottet i januari 2025 visade att vi inte kan förlita oss på mobila reservkraftverk. Tidpunkten 31 december 2028 är ambitiös men bör hållas; läget motiverar det.</w:t>
      </w:r>
    </w:p>
    <w:p>
      <w:pPr>
        <w:pStyle w:val="MunicipalHeading"/>
      </w:pPr>
      <w:r>
        <w:t>Kapitel 9 Nödvatten</w:t>
      </w:r>
    </w:p>
    <w:p>
      <w:r>
        <w:t>Vi tillstyrker kravet på 10 liter per person och dygn inom 24 timmar och tidpunkten 30 juni 2029. Kommunens nödvattenplan från 2021 behöver revideras oavsett förslaget, och arbetet bör följa MSB:s vägledning för nödvattenplanering.</w:t>
      </w:r>
    </w:p>
    <w:p>
      <w:pPr>
        <w:pStyle w:val="MunicipalHeading"/>
      </w:pPr>
      <w:r>
        <w:t>Kapitel 10 Livsmedel</w:t>
      </w:r>
    </w:p>
    <w:p>
      <w:r>
        <w:t>Vi tillstyrker kravet på sju dygns livsmedelsberedskap. Det är en rimlig nivå med tanke på hur länge en allvarlig störning kan pågå vintertid i vår region.</w:t>
      </w:r>
    </w:p>
    <w:p>
      <w:pPr>
        <w:pStyle w:val="MunicipalHeading"/>
      </w:pPr>
      <w:r>
        <w:t>Kapitel 12 Finansiering</w:t>
      </w:r>
    </w:p>
    <w:p>
      <w:r>
        <w:t>Vi har inga synpunkter på ersättningsmodellen men vill betona att kraven måste finansieras fullt ut av staten.</w:t>
      </w:r>
    </w:p>
    <w:p>
      <w:pPr>
        <w:spacing w:before="360"/>
      </w:pPr>
      <w:r>
        <w:t>Anders Molin</w:t>
      </w:r>
      <w:r>
        <w:br/>
      </w:r>
      <w:r>
        <w:t>Säkerhetschef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  |  851 85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KOMMUNSTYRELSEKONTORET, SÄKERHETS- OCH BEREDSKAPSAVDELNINGEN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Underlag till remissvar – SOU 2026:41 Kommunal beredskap i en ny tid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