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2026-10-05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KS-2026-00544</w:t>
            </w:r>
          </w:p>
        </w:tc>
      </w:tr>
    </w:tbl>
    <w:p>
      <w:pPr>
        <w:pStyle w:val="MunicipalTitle"/>
        <w:spacing w:before="240"/>
      </w:pPr>
      <w:r>
        <w:t>Underlag till remissvar – SOU 2026:41 Kommunal beredskap i en ny tid</w:t>
      </w:r>
    </w:p>
    <w:p>
      <w:r>
        <w:t>Vård- och omsorgsförvaltningen lämnar underlag avseende förslagen som berör vård- och omsorgsboenden, LSS-bostäder och hemtjänstens matdistribution.</w:t>
      </w:r>
    </w:p>
    <w:p>
      <w:pPr>
        <w:pStyle w:val="MunicipalHeading"/>
      </w:pPr>
      <w:r>
        <w:t>Avsnitt 8.3 Reservkraft</w:t>
      </w:r>
    </w:p>
    <w:p>
      <w:r>
        <w:t>Förvaltningen tillstyrker kravet i sak. Av kommunens 11 vård- och omsorgsboenden har 3 fast reservkraft. Kostnaden för att förse övriga 8 boenden och 14 LSS-bostäder med fast reservkraft eller förberedd anslutning beräknas till 22 miljoner kronor. Tidpunkten 31 december 2028 går att hålla bara om investeringsstödet betalas ut 2027.</w:t>
      </w:r>
    </w:p>
    <w:p>
      <w:pPr>
        <w:pStyle w:val="MunicipalHeading"/>
      </w:pPr>
      <w:r>
        <w:t>Avsnitt 10.3 Livsmedelsberedskap</w:t>
      </w:r>
    </w:p>
    <w:p>
      <w:r>
        <w:t>Förvaltningen avstyrker kravet på sju dygn. Boendena saknar lagerutrymmen för sju dygns livsmedel inklusive specialkost och konsistensanpassad kost, och lager måste omsättas för att inte kasseras. Förvaltningen föreslår i stället ett krav på tre dygns lager kombinerat med avtal om prioriterade leveranser. Matdistributionen inom hemtjänsten omfattar cirka 640 personer och kan inte lagerhållas hos den enskilde.</w:t>
      </w:r>
    </w:p>
    <w:p>
      <w:pPr>
        <w:pStyle w:val="MunicipalHeading"/>
      </w:pPr>
      <w:r>
        <w:t>Kapitel 12 Finansiering</w:t>
      </w:r>
    </w:p>
    <w:p>
      <w:r>
        <w:t>Förvaltningen delar utredningens bedömning att kraven ska finansieras av staten men ser en risk för att schablonen inte täcker kostnaderna i kommuner med många boenden.</w:t>
      </w:r>
    </w:p>
    <w:p>
      <w:pPr>
        <w:spacing w:before="360"/>
      </w:pPr>
      <w:r>
        <w:t>Jonas Berglund</w:t>
      </w:r>
      <w:r>
        <w:br/>
      </w:r>
      <w:r>
        <w:t>Förvaltningschef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VÅRD- OCH OMSORGSFÖRVALTNINGEN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Underlag till remissvar – SOU 2026:41 Kommunal beredskap i en ny tid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