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872"/>
        <w:gridCol w:w="4872"/>
      </w:tblGrid>
      <w:tr>
        <w:tc>
          <w:tcPr>
            <w:tcW w:type="dxa" w:w="4872"/>
          </w:tcPr>
          <w:p>
            <w:r>
              <w:t>Datum</w:t>
            </w:r>
          </w:p>
        </w:tc>
        <w:tc>
          <w:tcPr>
            <w:tcW w:type="dxa" w:w="4872"/>
          </w:tcPr>
          <w:p>
            <w:r>
              <w:t>2026-05-19</w:t>
            </w:r>
          </w:p>
        </w:tc>
      </w:tr>
      <w:tr>
        <w:tc>
          <w:tcPr>
            <w:tcW w:type="dxa" w:w="4872"/>
          </w:tcPr>
          <w:p>
            <w:r>
              <w:t>Diarienummer</w:t>
            </w:r>
          </w:p>
        </w:tc>
        <w:tc>
          <w:tcPr>
            <w:tcW w:type="dxa" w:w="4872"/>
          </w:tcPr>
          <w:p>
            <w:r>
              <w:t>VON-2026-00612</w:t>
            </w:r>
          </w:p>
        </w:tc>
      </w:tr>
    </w:tbl>
    <w:p>
      <w:pPr>
        <w:pStyle w:val="MunicipalTitle"/>
        <w:spacing w:before="240"/>
      </w:pPr>
      <w:r>
        <w:t>Synpunkter och klagomål inom vård och omsorg – tertial 1 2026</w:t>
      </w:r>
    </w:p>
    <w:p>
      <w:pPr>
        <w:pStyle w:val="MunicipalHeading"/>
      </w:pPr>
      <w:r>
        <w:t>Förslag till beslut</w:t>
      </w:r>
    </w:p>
    <w:p>
      <w:r>
        <w:t>Vård- och omsorgsnämnden noterar rapporten om synpunkter och klagomål för tertial 1 2026 till protokollet.</w:t>
      </w:r>
    </w:p>
    <w:p>
      <w:pPr>
        <w:pStyle w:val="MunicipalHeading"/>
      </w:pPr>
      <w:r>
        <w:t>Inledning</w:t>
      </w:r>
    </w:p>
    <w:p>
      <w:r>
        <w:t>Enligt Socialstyrelsens föreskrifter och allmänna råd (SOSFS 2011:9) om ledningssystem för systematiskt kvalitetsarbete, 5 kap. 3 och 6 §§, ska verksamheten ta emot och utreda klagomål och synpunkter och sammanställa och analysera dem för att se mönster och trender. Klagomål som gäller missförhållanden hanteras även enligt lex Sarah, 14 kap. 3 § socialtjänstlagen (2001:453).</w:t>
      </w:r>
    </w:p>
    <w:p>
      <w:r>
        <w:t>Rapporten bygger på export ur Synpunkt Sundsvall för perioden 2026-01-01 – 2026-04-30. Varje ärende räknas en gång, även om det har flera åtgärder. Makulerade dubbletter och ärenden som gäller andra förvaltningar räknas inte.</w:t>
      </w:r>
    </w:p>
    <w:p>
      <w:pPr>
        <w:pStyle w:val="MunicipalHeading"/>
      </w:pPr>
      <w:r>
        <w:t>Sammanfattning</w:t>
      </w:r>
    </w:p>
    <w:p>
      <w:r>
        <w:t>Under tertial 1 kom 262 synpunkter in, varav 176 klagomål, 51 beröm, 24 synpunkter och 11 förslag. Klagomålen gäller främst kontinuitet och tider i hemtjänsten och mat på vård- och omsorgsboenden. Medianen för svarstid var 6 dagar.</w:t>
      </w:r>
    </w:p>
    <w:p>
      <w:pPr>
        <w:pStyle w:val="MunicipalHeading"/>
      </w:pPr>
      <w:r>
        <w:t>Antal per typ</w:t>
      </w:r>
    </w:p>
    <w:tbl>
      <w:tblPr>
        <w:tblStyle w:val="TableGrid"/>
        <w:tblW w:type="auto" w:w="0"/>
        <w:tblLook w:firstColumn="1" w:firstRow="1" w:lastColumn="0" w:lastRow="0" w:noHBand="0" w:noVBand="1" w:val="04A0"/>
      </w:tblPr>
      <w:tblGrid>
        <w:gridCol w:w="3248"/>
        <w:gridCol w:w="3248"/>
        <w:gridCol w:w="3248"/>
      </w:tblGrid>
      <w:tr>
        <w:tc>
          <w:tcPr>
            <w:tcW w:type="dxa" w:w="3248"/>
          </w:tcPr>
          <w:p>
            <w:r>
              <w:rPr>
                <w:b/>
              </w:rPr>
              <w:t>Typ</w:t>
            </w:r>
          </w:p>
        </w:tc>
        <w:tc>
          <w:tcPr>
            <w:tcW w:type="dxa" w:w="3248"/>
          </w:tcPr>
          <w:p>
            <w:r>
              <w:rPr>
                <w:b/>
              </w:rPr>
              <w:t>Tertial 1 2026</w:t>
            </w:r>
          </w:p>
        </w:tc>
        <w:tc>
          <w:tcPr>
            <w:tcW w:type="dxa" w:w="3248"/>
          </w:tcPr>
          <w:p>
            <w:r>
              <w:rPr>
                <w:b/>
              </w:rPr>
              <w:t>Tertial 3 2025</w:t>
            </w:r>
          </w:p>
        </w:tc>
      </w:tr>
      <w:tr>
        <w:tc>
          <w:tcPr>
            <w:tcW w:type="dxa" w:w="3248"/>
          </w:tcPr>
          <w:p>
            <w:r>
              <w:t>Klagomål</w:t>
            </w:r>
          </w:p>
        </w:tc>
        <w:tc>
          <w:tcPr>
            <w:tcW w:type="dxa" w:w="3248"/>
          </w:tcPr>
          <w:p>
            <w:r>
              <w:t>176</w:t>
            </w:r>
          </w:p>
        </w:tc>
        <w:tc>
          <w:tcPr>
            <w:tcW w:type="dxa" w:w="3248"/>
          </w:tcPr>
          <w:p>
            <w:r>
              <w:t>158</w:t>
            </w:r>
          </w:p>
        </w:tc>
      </w:tr>
      <w:tr>
        <w:tc>
          <w:tcPr>
            <w:tcW w:type="dxa" w:w="3248"/>
          </w:tcPr>
          <w:p>
            <w:r>
              <w:t>Beröm</w:t>
            </w:r>
          </w:p>
        </w:tc>
        <w:tc>
          <w:tcPr>
            <w:tcW w:type="dxa" w:w="3248"/>
          </w:tcPr>
          <w:p>
            <w:r>
              <w:t>51</w:t>
            </w:r>
          </w:p>
        </w:tc>
        <w:tc>
          <w:tcPr>
            <w:tcW w:type="dxa" w:w="3248"/>
          </w:tcPr>
          <w:p>
            <w:r>
              <w:t>47</w:t>
            </w:r>
          </w:p>
        </w:tc>
      </w:tr>
      <w:tr>
        <w:tc>
          <w:tcPr>
            <w:tcW w:type="dxa" w:w="3248"/>
          </w:tcPr>
          <w:p>
            <w:r>
              <w:t>Synpunkt</w:t>
            </w:r>
          </w:p>
        </w:tc>
        <w:tc>
          <w:tcPr>
            <w:tcW w:type="dxa" w:w="3248"/>
          </w:tcPr>
          <w:p>
            <w:r>
              <w:t>24</w:t>
            </w:r>
          </w:p>
        </w:tc>
        <w:tc>
          <w:tcPr>
            <w:tcW w:type="dxa" w:w="3248"/>
          </w:tcPr>
          <w:p>
            <w:r>
              <w:t>29</w:t>
            </w:r>
          </w:p>
        </w:tc>
      </w:tr>
      <w:tr>
        <w:tc>
          <w:tcPr>
            <w:tcW w:type="dxa" w:w="3248"/>
          </w:tcPr>
          <w:p>
            <w:r>
              <w:t>Förslag</w:t>
            </w:r>
          </w:p>
        </w:tc>
        <w:tc>
          <w:tcPr>
            <w:tcW w:type="dxa" w:w="3248"/>
          </w:tcPr>
          <w:p>
            <w:r>
              <w:t>11</w:t>
            </w:r>
          </w:p>
        </w:tc>
        <w:tc>
          <w:tcPr>
            <w:tcW w:type="dxa" w:w="3248"/>
          </w:tcPr>
          <w:p>
            <w:r>
              <w:t>8</w:t>
            </w:r>
          </w:p>
        </w:tc>
      </w:tr>
      <w:tr>
        <w:tc>
          <w:tcPr>
            <w:tcW w:type="dxa" w:w="3248"/>
          </w:tcPr>
          <w:p>
            <w:r>
              <w:t>Totalt</w:t>
            </w:r>
          </w:p>
        </w:tc>
        <w:tc>
          <w:tcPr>
            <w:tcW w:type="dxa" w:w="3248"/>
          </w:tcPr>
          <w:p>
            <w:r>
              <w:t>262</w:t>
            </w:r>
          </w:p>
        </w:tc>
        <w:tc>
          <w:tcPr>
            <w:tcW w:type="dxa" w:w="3248"/>
          </w:tcPr>
          <w:p>
            <w:r>
              <w:t>242</w:t>
            </w:r>
          </w:p>
        </w:tc>
      </w:tr>
    </w:tbl>
    <w:p>
      <w:pPr>
        <w:pStyle w:val="MunicipalHeading"/>
      </w:pPr>
      <w:r>
        <w:t>Klagomål per tema</w:t>
      </w:r>
    </w:p>
    <w:tbl>
      <w:tblPr>
        <w:tblStyle w:val="TableGrid"/>
        <w:tblW w:type="auto" w:w="0"/>
        <w:tblLook w:firstColumn="1" w:firstRow="1" w:lastColumn="0" w:lastRow="0" w:noHBand="0" w:noVBand="1" w:val="04A0"/>
      </w:tblPr>
      <w:tblGrid>
        <w:gridCol w:w="3248"/>
        <w:gridCol w:w="3248"/>
        <w:gridCol w:w="3248"/>
      </w:tblGrid>
      <w:tr>
        <w:tc>
          <w:tcPr>
            <w:tcW w:type="dxa" w:w="3248"/>
          </w:tcPr>
          <w:p>
            <w:r>
              <w:rPr>
                <w:b/>
              </w:rPr>
              <w:t>Tema</w:t>
            </w:r>
          </w:p>
        </w:tc>
        <w:tc>
          <w:tcPr>
            <w:tcW w:type="dxa" w:w="3248"/>
          </w:tcPr>
          <w:p>
            <w:r>
              <w:rPr>
                <w:b/>
              </w:rPr>
              <w:t>Antal</w:t>
            </w:r>
          </w:p>
        </w:tc>
        <w:tc>
          <w:tcPr>
            <w:tcW w:type="dxa" w:w="3248"/>
          </w:tcPr>
          <w:p>
            <w:r>
              <w:rPr>
                <w:b/>
              </w:rPr>
              <w:t>Andel</w:t>
            </w:r>
          </w:p>
        </w:tc>
      </w:tr>
      <w:tr>
        <w:tc>
          <w:tcPr>
            <w:tcW w:type="dxa" w:w="3248"/>
          </w:tcPr>
          <w:p>
            <w:r>
              <w:t>Kontinuitet och tider</w:t>
            </w:r>
          </w:p>
        </w:tc>
        <w:tc>
          <w:tcPr>
            <w:tcW w:type="dxa" w:w="3248"/>
          </w:tcPr>
          <w:p>
            <w:r>
              <w:t>54</w:t>
            </w:r>
          </w:p>
        </w:tc>
        <w:tc>
          <w:tcPr>
            <w:tcW w:type="dxa" w:w="3248"/>
          </w:tcPr>
          <w:p>
            <w:r>
              <w:t>31 %</w:t>
            </w:r>
          </w:p>
        </w:tc>
      </w:tr>
      <w:tr>
        <w:tc>
          <w:tcPr>
            <w:tcW w:type="dxa" w:w="3248"/>
          </w:tcPr>
          <w:p>
            <w:r>
              <w:t>Omvårdnad och kvalitet</w:t>
            </w:r>
          </w:p>
        </w:tc>
        <w:tc>
          <w:tcPr>
            <w:tcW w:type="dxa" w:w="3248"/>
          </w:tcPr>
          <w:p>
            <w:r>
              <w:t>33</w:t>
            </w:r>
          </w:p>
        </w:tc>
        <w:tc>
          <w:tcPr>
            <w:tcW w:type="dxa" w:w="3248"/>
          </w:tcPr>
          <w:p>
            <w:r>
              <w:t>19 %</w:t>
            </w:r>
          </w:p>
        </w:tc>
      </w:tr>
      <w:tr>
        <w:tc>
          <w:tcPr>
            <w:tcW w:type="dxa" w:w="3248"/>
          </w:tcPr>
          <w:p>
            <w:r>
              <w:t>Mat och måltider</w:t>
            </w:r>
          </w:p>
        </w:tc>
        <w:tc>
          <w:tcPr>
            <w:tcW w:type="dxa" w:w="3248"/>
          </w:tcPr>
          <w:p>
            <w:r>
              <w:t>24</w:t>
            </w:r>
          </w:p>
        </w:tc>
        <w:tc>
          <w:tcPr>
            <w:tcW w:type="dxa" w:w="3248"/>
          </w:tcPr>
          <w:p>
            <w:r>
              <w:t>14 %</w:t>
            </w:r>
          </w:p>
        </w:tc>
      </w:tr>
      <w:tr>
        <w:tc>
          <w:tcPr>
            <w:tcW w:type="dxa" w:w="3248"/>
          </w:tcPr>
          <w:p>
            <w:r>
              <w:t>Bemötande</w:t>
            </w:r>
          </w:p>
        </w:tc>
        <w:tc>
          <w:tcPr>
            <w:tcW w:type="dxa" w:w="3248"/>
          </w:tcPr>
          <w:p>
            <w:r>
              <w:t>21</w:t>
            </w:r>
          </w:p>
        </w:tc>
        <w:tc>
          <w:tcPr>
            <w:tcW w:type="dxa" w:w="3248"/>
          </w:tcPr>
          <w:p>
            <w:r>
              <w:t>12 %</w:t>
            </w:r>
          </w:p>
        </w:tc>
      </w:tr>
      <w:tr>
        <w:tc>
          <w:tcPr>
            <w:tcW w:type="dxa" w:w="3248"/>
          </w:tcPr>
          <w:p>
            <w:r>
              <w:t>Handläggningstid</w:t>
            </w:r>
          </w:p>
        </w:tc>
        <w:tc>
          <w:tcPr>
            <w:tcW w:type="dxa" w:w="3248"/>
          </w:tcPr>
          <w:p>
            <w:r>
              <w:t>18</w:t>
            </w:r>
          </w:p>
        </w:tc>
        <w:tc>
          <w:tcPr>
            <w:tcW w:type="dxa" w:w="3248"/>
          </w:tcPr>
          <w:p>
            <w:r>
              <w:t>10 %</w:t>
            </w:r>
          </w:p>
        </w:tc>
      </w:tr>
      <w:tr>
        <w:tc>
          <w:tcPr>
            <w:tcW w:type="dxa" w:w="3248"/>
          </w:tcPr>
          <w:p>
            <w:r>
              <w:t>Information</w:t>
            </w:r>
          </w:p>
        </w:tc>
        <w:tc>
          <w:tcPr>
            <w:tcW w:type="dxa" w:w="3248"/>
          </w:tcPr>
          <w:p>
            <w:r>
              <w:t>14</w:t>
            </w:r>
          </w:p>
        </w:tc>
        <w:tc>
          <w:tcPr>
            <w:tcW w:type="dxa" w:w="3248"/>
          </w:tcPr>
          <w:p>
            <w:r>
              <w:t>8 %</w:t>
            </w:r>
          </w:p>
        </w:tc>
      </w:tr>
      <w:tr>
        <w:tc>
          <w:tcPr>
            <w:tcW w:type="dxa" w:w="3248"/>
          </w:tcPr>
          <w:p>
            <w:r>
              <w:t>Läkemedel och hälsa</w:t>
            </w:r>
          </w:p>
        </w:tc>
        <w:tc>
          <w:tcPr>
            <w:tcW w:type="dxa" w:w="3248"/>
          </w:tcPr>
          <w:p>
            <w:r>
              <w:t>8</w:t>
            </w:r>
          </w:p>
        </w:tc>
        <w:tc>
          <w:tcPr>
            <w:tcW w:type="dxa" w:w="3248"/>
          </w:tcPr>
          <w:p>
            <w:r>
              <w:t>5 %</w:t>
            </w:r>
          </w:p>
        </w:tc>
      </w:tr>
      <w:tr>
        <w:tc>
          <w:tcPr>
            <w:tcW w:type="dxa" w:w="3248"/>
          </w:tcPr>
          <w:p>
            <w:r>
              <w:t>Lokaler och miljö</w:t>
            </w:r>
          </w:p>
        </w:tc>
        <w:tc>
          <w:tcPr>
            <w:tcW w:type="dxa" w:w="3248"/>
          </w:tcPr>
          <w:p>
            <w:r>
              <w:t>4</w:t>
            </w:r>
          </w:p>
        </w:tc>
        <w:tc>
          <w:tcPr>
            <w:tcW w:type="dxa" w:w="3248"/>
          </w:tcPr>
          <w:p>
            <w:r>
              <w:t>2 %</w:t>
            </w:r>
          </w:p>
        </w:tc>
      </w:tr>
    </w:tbl>
    <w:p>
      <w:pPr>
        <w:pStyle w:val="MunicipalHeading"/>
      </w:pPr>
      <w:r>
        <w:t>Klagomål per verksamhet</w:t>
      </w:r>
    </w:p>
    <w:tbl>
      <w:tblPr>
        <w:tblStyle w:val="TableGrid"/>
        <w:tblW w:type="auto" w:w="0"/>
        <w:tblLook w:firstColumn="1" w:firstRow="1" w:lastColumn="0" w:lastRow="0" w:noHBand="0" w:noVBand="1" w:val="04A0"/>
      </w:tblPr>
      <w:tblGrid>
        <w:gridCol w:w="3248"/>
        <w:gridCol w:w="3248"/>
        <w:gridCol w:w="3248"/>
      </w:tblGrid>
      <w:tr>
        <w:tc>
          <w:tcPr>
            <w:tcW w:type="dxa" w:w="3248"/>
          </w:tcPr>
          <w:p>
            <w:r>
              <w:rPr>
                <w:b/>
              </w:rPr>
              <w:t>Verksamhet</w:t>
            </w:r>
          </w:p>
        </w:tc>
        <w:tc>
          <w:tcPr>
            <w:tcW w:type="dxa" w:w="3248"/>
          </w:tcPr>
          <w:p>
            <w:r>
              <w:rPr>
                <w:b/>
              </w:rPr>
              <w:t>Antal</w:t>
            </w:r>
          </w:p>
        </w:tc>
        <w:tc>
          <w:tcPr>
            <w:tcW w:type="dxa" w:w="3248"/>
          </w:tcPr>
          <w:p>
            <w:r>
              <w:rPr>
                <w:b/>
              </w:rPr>
              <w:t>Enhet med flest</w:t>
            </w:r>
          </w:p>
        </w:tc>
      </w:tr>
      <w:tr>
        <w:tc>
          <w:tcPr>
            <w:tcW w:type="dxa" w:w="3248"/>
          </w:tcPr>
          <w:p>
            <w:r>
              <w:t>Hemtjänst</w:t>
            </w:r>
          </w:p>
        </w:tc>
        <w:tc>
          <w:tcPr>
            <w:tcW w:type="dxa" w:w="3248"/>
          </w:tcPr>
          <w:p>
            <w:r>
              <w:t>84</w:t>
            </w:r>
          </w:p>
        </w:tc>
        <w:tc>
          <w:tcPr>
            <w:tcW w:type="dxa" w:w="3248"/>
          </w:tcPr>
          <w:p>
            <w:r>
              <w:t>Hemtjänst Matfors (31)</w:t>
            </w:r>
          </w:p>
        </w:tc>
      </w:tr>
      <w:tr>
        <w:tc>
          <w:tcPr>
            <w:tcW w:type="dxa" w:w="3248"/>
          </w:tcPr>
          <w:p>
            <w:r>
              <w:t>Vård- och omsorgsboende</w:t>
            </w:r>
          </w:p>
        </w:tc>
        <w:tc>
          <w:tcPr>
            <w:tcW w:type="dxa" w:w="3248"/>
          </w:tcPr>
          <w:p>
            <w:r>
              <w:t>47</w:t>
            </w:r>
          </w:p>
        </w:tc>
        <w:tc>
          <w:tcPr>
            <w:tcW w:type="dxa" w:w="3248"/>
          </w:tcPr>
          <w:p>
            <w:r>
              <w:t>Björkbackens vård- och omsorgsboende (22)</w:t>
            </w:r>
          </w:p>
        </w:tc>
      </w:tr>
      <w:tr>
        <w:tc>
          <w:tcPr>
            <w:tcW w:type="dxa" w:w="3248"/>
          </w:tcPr>
          <w:p>
            <w:r>
              <w:t>Korttidsvård</w:t>
            </w:r>
          </w:p>
        </w:tc>
        <w:tc>
          <w:tcPr>
            <w:tcW w:type="dxa" w:w="3248"/>
          </w:tcPr>
          <w:p>
            <w:r>
              <w:t>9</w:t>
            </w:r>
          </w:p>
        </w:tc>
        <w:tc>
          <w:tcPr>
            <w:tcW w:type="dxa" w:w="3248"/>
          </w:tcPr>
          <w:p>
            <w:r>
              <w:t>Kvarnbackens korttidsboende (9)</w:t>
            </w:r>
          </w:p>
        </w:tc>
      </w:tr>
      <w:tr>
        <w:tc>
          <w:tcPr>
            <w:tcW w:type="dxa" w:w="3248"/>
          </w:tcPr>
          <w:p>
            <w:r>
              <w:t>Funktionsstöd LSS</w:t>
            </w:r>
          </w:p>
        </w:tc>
        <w:tc>
          <w:tcPr>
            <w:tcW w:type="dxa" w:w="3248"/>
          </w:tcPr>
          <w:p>
            <w:r>
              <w:t>12</w:t>
            </w:r>
          </w:p>
        </w:tc>
        <w:tc>
          <w:tcPr>
            <w:tcW w:type="dxa" w:w="3248"/>
          </w:tcPr>
          <w:p>
            <w:r>
              <w:t>Gruppbostad Västergatan (7)</w:t>
            </w:r>
          </w:p>
        </w:tc>
      </w:tr>
      <w:tr>
        <w:tc>
          <w:tcPr>
            <w:tcW w:type="dxa" w:w="3248"/>
          </w:tcPr>
          <w:p>
            <w:r>
              <w:t>Myndighetsutövning</w:t>
            </w:r>
          </w:p>
        </w:tc>
        <w:tc>
          <w:tcPr>
            <w:tcW w:type="dxa" w:w="3248"/>
          </w:tcPr>
          <w:p>
            <w:r>
              <w:t>24</w:t>
            </w:r>
          </w:p>
        </w:tc>
        <w:tc>
          <w:tcPr>
            <w:tcW w:type="dxa" w:w="3248"/>
          </w:tcPr>
          <w:p>
            <w:r>
              <w:t>Biståndsenheten äldre (24)</w:t>
            </w:r>
          </w:p>
        </w:tc>
      </w:tr>
    </w:tbl>
    <w:p>
      <w:pPr>
        <w:pStyle w:val="MunicipalHeading"/>
      </w:pPr>
      <w:r>
        <w:t>Analys och lärdomar</w:t>
      </w:r>
    </w:p>
    <w:p>
      <w:r>
        <w:t>Kontinuiteten i hemtjänsten har försämrats i takt med att andelen timanställda ökat. Hemtjänst Matfors har flest klagomål och har infört fasta team i två områden från april. På Björkbackens vård- och omsorgsboende gäller klagomålen främst att maten är ljummen och att nattfastan är lång; en ny måltidsrutin införs i maj. Biståndsenhetens handläggningstider har ökat efter vakanser.</w:t>
      </w:r>
    </w:p>
    <w:p>
      <w:pPr>
        <w:pStyle w:val="MunicipalHeading"/>
      </w:pPr>
      <w:r>
        <w:t>Lex Sarah</w:t>
      </w:r>
    </w:p>
    <w:p>
      <w:r>
        <w:t>Under perioden har två klagomål lett till rapport enligt lex Sarah. Båda har utretts och en har anmälts till IVO.</w:t>
      </w:r>
    </w:p>
    <w:p>
      <w:pPr>
        <w:pStyle w:val="MunicipalHeading"/>
      </w:pPr>
      <w:r>
        <w:t>Fortsatt arbete</w:t>
      </w:r>
    </w:p>
    <w:p>
      <w:pPr>
        <w:pStyle w:val="ListBullet"/>
      </w:pPr>
      <w:r>
        <w:t>Följa upp effekten av fasta team i Hemtjänst Matfors.</w:t>
      </w:r>
    </w:p>
    <w:p>
      <w:pPr>
        <w:pStyle w:val="ListBullet"/>
      </w:pPr>
      <w:r>
        <w:t>Följa upp den nya måltidsrutinen på Björkbackens vård- och omsorgsboende.</w:t>
      </w:r>
    </w:p>
    <w:p>
      <w:pPr>
        <w:pStyle w:val="ListBullet"/>
      </w:pPr>
      <w:r>
        <w:t>Minska handläggningstiderna på Biståndsenheten äldre.</w:t>
      </w:r>
    </w:p>
    <w:p>
      <w:pPr>
        <w:spacing w:before="360"/>
      </w:pPr>
      <w:r>
        <w:t>Karin Näslund</w:t>
      </w:r>
      <w:r>
        <w:br/>
      </w:r>
      <w:r>
        <w:t>Kvalitetsstrateg</w:t>
      </w:r>
    </w:p>
    <w:sectPr w:rsidR="00FC693F" w:rsidRPr="0006063C" w:rsidSect="00034616">
      <w:headerReference w:type="default" r:id="rId9"/>
      <w:footerReference w:type="default" r:id="rId10"/>
      <w:pgSz w:w="12240" w:h="15840"/>
      <w:pgMar w:top="1247" w:right="1134"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MunicipalMetadata"/>
      <w:jc w:val="center"/>
    </w:pPr>
    <w:r>
      <w:t>Sundsvalls kommun  |  851 85 Sundsvall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MunicipalMetadata"/>
    </w:pPr>
    <w:r>
      <w:t>SUNDSVALLS KOMMUN  |  VÅRD- OCH OMSORGSFÖRVALTNINGEN, KVALITET OCH UTVECKLING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unicipalTitle">
    <w:name w:val="Municipal Title"/>
    <w:rPr>
      <w:rFonts w:ascii="Arial" w:hAnsi="Arial"/>
      <w:b/>
      <w:sz w:val="40"/>
    </w:rPr>
  </w:style>
  <w:style w:type="paragraph" w:customStyle="1" w:styleId="MunicipalHeading">
    <w:name w:val="Municipal Heading"/>
    <w:rPr>
      <w:rFonts w:ascii="Arial" w:hAnsi="Arial"/>
      <w:b/>
      <w:sz w:val="26"/>
    </w:rPr>
  </w:style>
  <w:style w:type="paragraph" w:customStyle="1" w:styleId="MunicipalMetadata">
    <w:name w:val="Municipal Metadata"/>
    <w:rPr>
      <w:rFonts w:ascii="Arial" w:hAnsi="Arial"/>
      <w:b w:val="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Synpunkter och klagomål inom vård och omsorg – tertial 1 2026</dc:title>
  <dc:subject/>
  <dc:creator>Eneo battle corpus</dc:creator>
  <cp:keywords/>
  <dc:description>generated by python-docx</dc:description>
  <cp:lastModifiedBy/>
  <cp:revision>1</cp:revision>
  <dcterms:created xsi:type="dcterms:W3CDTF">2026-01-01T00:00:00Z</dcterms:created>
  <dcterms:modified xsi:type="dcterms:W3CDTF">2026-01-01T00:00:00Z</dcterms:modified>
  <cp:category/>
  <cp:lastPrinted>2026-01-01T00:00:00Z</cp:lastPrinted>
</cp:coreProperties>
</file>