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  <w:spacing w:before="240"/>
      </w:pPr>
      <w:r>
        <w:t>Tjänsteskrivelse</w:t>
      </w:r>
    </w:p>
    <w:p>
      <w:r>
        <w:t>Diarienummer:</w:t>
      </w:r>
    </w:p>
    <w:p>
      <w:sdt>
        <w:sdtPr>
          <w:alias w:val="Diarienummer"/>
          <w:tag w:val="diarienummer"/>
          <w:id w:val="1"/>
          <w:showingPlcHdr/>
          <w:text/>
        </w:sdtPr>
        <w:sdtContent>
          <w:r>
            <w:rPr>
              <w:rStyle w:val="PlaceholderText"/>
            </w:rPr>
            <w:t xml:space="preserve">Nämndens diarienummer, BUN ÅÅÅÅ/nnnnn</w:t>
          </w:r>
        </w:sdtContent>
      </w:sdt>
    </w:p>
    <w:p>
      <w:r>
        <w:t>Datum:</w:t>
      </w:r>
    </w:p>
    <w:p>
      <w:sdt>
        <w:sdtPr>
          <w:alias w:val="Datum"/>
          <w:tag w:val="datum"/>
          <w:id w:val="2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r>
        <w:t>Handläggare:</w:t>
      </w:r>
    </w:p>
    <w:p>
      <w:sdt>
        <w:sdtPr>
          <w:alias w:val="Handläggare"/>
          <w:tag w:val="handlaggare"/>
          <w:id w:val="3"/>
          <w:showingPlcHdr/>
          <w:text/>
        </w:sdtPr>
        <w:sdtContent>
          <w:r>
            <w:rPr>
              <w:rStyle w:val="PlaceholderText"/>
            </w:rPr>
            <w:t xml:space="preserve">Namn och befattning</w:t>
          </w:r>
        </w:sdtContent>
      </w:sdt>
    </w:p>
    <w:p>
      <w:r>
        <w:t>Till: Barn- och utbildningsnämnden</w:t>
      </w:r>
    </w:p>
    <w:p>
      <w:r>
        <w:t>Ärende:</w:t>
      </w:r>
    </w:p>
    <w:p>
      <w:sdt>
        <w:sdtPr>
          <w:alias w:val="Ärende"/>
          <w:tag w:val="arende"/>
          <w:id w:val="4"/>
          <w:showingPlcHdr/>
          <w:text/>
        </w:sdtPr>
        <w:sdtContent>
          <w:r>
            <w:rPr>
              <w:rStyle w:val="PlaceholderText"/>
            </w:rPr>
            <w:t xml:space="preserve">Ärendets rubrik, till exempel Yttrande över motion om ...</w:t>
          </w:r>
        </w:sdtContent>
      </w:sdt>
    </w:p>
    <w:p>
      <w:pPr>
        <w:pStyle w:val="MunicipalHeading"/>
      </w:pPr>
      <w:r>
        <w:t>Sammanfattning</w:t>
      </w:r>
    </w:p>
    <w:sdt>
      <w:sdtPr>
        <w:alias w:val="Sammanfattning"/>
        <w:tag w:val="sammanfattning"/>
        <w:id w:val="5"/>
        <w:showingPlcHdr/>
      </w:sdtPr>
      <w:sdtContent>
        <w:p>
          <w:r>
            <w:rPr>
              <w:rStyle w:val="PlaceholderText"/>
            </w:rPr>
            <w:t xml:space="preserve">Kort sammanfattning av ärendet och förvaltningens förslag, högst en halv sida.</w:t>
          </w:r>
        </w:p>
      </w:sdtContent>
    </w:sdt>
    <w:p>
      <w:pPr>
        <w:pStyle w:val="MunicipalHeading"/>
      </w:pPr>
      <w:r>
        <w:t>Förslag till beslut</w:t>
      </w:r>
    </w:p>
    <w:sdt>
      <w:sdtPr>
        <w:alias w:val="Förslag till beslut"/>
        <w:tag w:val="forslag_till_beslut"/>
        <w:id w:val="6"/>
        <w:showingPlcHdr/>
      </w:sdtPr>
      <w:sdtContent>
        <w:p>
          <w:r>
            <w:rPr>
              <w:rStyle w:val="PlaceholderText"/>
            </w:rPr>
            <w:t xml:space="preserve">Barn- och utbildningsnämnden föreslås besluta att ... Numrera att-satserna.</w:t>
          </w:r>
        </w:p>
      </w:sdtContent>
    </w:sdt>
    <w:p>
      <w:pPr>
        <w:pStyle w:val="MunicipalHeading"/>
      </w:pPr>
      <w:r>
        <w:t>Ärendet</w:t>
      </w:r>
    </w:p>
    <w:sdt>
      <w:sdtPr>
        <w:alias w:val="Ärendet"/>
        <w:tag w:val="arendet"/>
        <w:id w:val="7"/>
        <w:showingPlcHdr/>
      </w:sdtPr>
      <w:sdtContent>
        <w:p>
          <w:r>
            <w:rPr>
              <w:rStyle w:val="PlaceholderText"/>
            </w:rPr>
            <w:t xml:space="preserve">Bakgrund: vem som väckt motionen eller förslaget och när, vad som yrkas, hur ärendet remitterats och när yttrandet senast ska lämnas.</w:t>
          </w:r>
        </w:p>
      </w:sdtContent>
    </w:sdt>
    <w:p>
      <w:pPr>
        <w:pStyle w:val="MunicipalHeading"/>
      </w:pPr>
      <w:r>
        <w:t>Beslutsunderlag</w:t>
      </w:r>
    </w:p>
    <w:sdt>
      <w:sdtPr>
        <w:alias w:val="Beslutsunderlag"/>
        <w:tag w:val="beslutsunderlag"/>
        <w:id w:val="8"/>
        <w:showingPlcHdr/>
      </w:sdtPr>
      <w:sdtContent>
        <w:p>
          <w:r>
            <w:rPr>
              <w:rStyle w:val="PlaceholderText"/>
            </w:rPr>
            <w:t xml:space="preserve">Förteckning över de handlingar som ligger till grund för beslutet, med datum och diarienummer.</w:t>
          </w:r>
        </w:p>
      </w:sdtContent>
    </w:sdt>
    <w:p>
      <w:pPr>
        <w:pStyle w:val="MunicipalHeading"/>
      </w:pPr>
      <w:r>
        <w:t>Överväganden</w:t>
      </w:r>
    </w:p>
    <w:sdt>
      <w:sdtPr>
        <w:alias w:val="Överväganden"/>
        <w:tag w:val="overvaganden"/>
        <w:id w:val="9"/>
        <w:showingPlcHdr/>
      </w:sdtPr>
      <w:sdtContent>
        <w:p>
          <w:r>
            <w:rPr>
              <w:rStyle w:val="PlaceholderText"/>
            </w:rPr>
            <w:t xml:space="preserve">Förvaltningens bedömning mot gällande styrdokument, lagstiftning och verksamhetens förutsättningar.</w:t>
          </w:r>
        </w:p>
      </w:sdtContent>
    </w:sdt>
    <w:p>
      <w:pPr>
        <w:pStyle w:val="MunicipalHeading"/>
      </w:pPr>
      <w:r>
        <w:t>Konsekvenser</w:t>
      </w:r>
    </w:p>
    <w:p>
      <w:pPr>
        <w:pStyle w:val="MunicipalHeading"/>
      </w:pPr>
      <w:r>
        <w:t>Ekonomiska konsekvenser</w:t>
      </w:r>
    </w:p>
    <w:sdt>
      <w:sdtPr>
        <w:alias w:val="Ekonomiska konsekvenser"/>
        <w:tag w:val="ekonomiska_konsekvenser"/>
        <w:id w:val="10"/>
        <w:showingPlcHdr/>
      </w:sdtPr>
      <w:sdtContent>
        <w:p>
          <w:r>
            <w:rPr>
              <w:rStyle w:val="PlaceholderText"/>
            </w:rPr>
            <w:t xml:space="preserve">Kostnader, engångs- och årliga, och hur de ska finansieras.</w:t>
          </w:r>
        </w:p>
      </w:sdtContent>
    </w:sdt>
    <w:p>
      <w:pPr>
        <w:pStyle w:val="MunicipalHeading"/>
      </w:pPr>
      <w:r>
        <w:t>Barnkonsekvensanalys</w:t>
      </w:r>
    </w:p>
    <w:sdt>
      <w:sdtPr>
        <w:alias w:val="Barnkonsekvensanalys"/>
        <w:tag w:val="barnkonsekvensanalys"/>
        <w:id w:val="11"/>
        <w:showingPlcHdr/>
      </w:sdtPr>
      <w:sdtContent>
        <w:p>
          <w:r>
            <w:rPr>
              <w:rStyle w:val="PlaceholderText"/>
            </w:rPr>
            <w:t xml:space="preserve">Hur förslaget påverkar barn och elever, med utgångspunkt i barnkonventionen, lag (2018:1197).</w:t>
          </w:r>
        </w:p>
      </w:sdtContent>
    </w:sdt>
    <w:p>
      <w:pPr>
        <w:pStyle w:val="MunicipalHeading"/>
      </w:pPr>
      <w:r>
        <w:t>Jämställdhet</w:t>
      </w:r>
    </w:p>
    <w:sdt>
      <w:sdtPr>
        <w:alias w:val="Jämställdhet"/>
        <w:tag w:val="jamstalldhet"/>
        <w:id w:val="12"/>
        <w:showingPlcHdr/>
      </w:sdtPr>
      <w:sdtContent>
        <w:p>
          <w:r>
            <w:rPr>
              <w:rStyle w:val="PlaceholderText"/>
            </w:rPr>
            <w:t xml:space="preserve">Hur förslaget påverkar flickor och pojkar, kvinnor och män.</w:t>
          </w:r>
        </w:p>
      </w:sdtContent>
    </w:sdt>
    <w:p>
      <w:pPr>
        <w:pStyle w:val="MunicipalHeading"/>
      </w:pPr>
      <w:r>
        <w:t>Beslutet skickas till</w:t>
      </w:r>
    </w:p>
    <w:sdt>
      <w:sdtPr>
        <w:alias w:val="Beslutet skickas till"/>
        <w:tag w:val="beslutet_skickas_till"/>
        <w:id w:val="13"/>
        <w:showingPlcHdr/>
      </w:sdtPr>
      <w:sdtContent>
        <w:p>
          <w:r>
            <w:rPr>
              <w:rStyle w:val="PlaceholderText"/>
            </w:rPr>
            <w:t xml:space="preserve">Mottagare av protokollsutdrag.</w:t>
          </w:r>
        </w:p>
      </w:sdtContent>
    </w:sdt>
    <w:p>
      <w:r>
        <w:t>Tjänsteskrivelsen signeras digitalt av förvaltningschef och handläggare i ärendehanteringssystemet.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BARN- OCH UTBILDNINGSFÖRVALTNINGEN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Tjänsteskrivelse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