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unicipalTitle"/>
        <w:spacing w:before="240"/>
      </w:pPr>
      <w:r>
        <w:t>Beslut om tillfällig upplåtelse av kommunal mark</w:t>
      </w:r>
    </w:p>
    <w:p>
      <w:r>
        <w:t>Ärendenummer:</w:t>
      </w:r>
    </w:p>
    <w:p>
      <w:sdt>
        <w:sdtPr>
          <w:alias w:val="Ärendenummer"/>
          <w:tag w:val="arendenr"/>
          <w:id w:val="1"/>
          <w:showingPlcHdr/>
          <w:text/>
        </w:sdtPr>
        <w:sdtContent>
          <w:r>
            <w:rPr>
              <w:rStyle w:val="PlaceholderText"/>
            </w:rPr>
            <w:t xml:space="preserve">Ärendenummer från e-tjänsten</w:t>
          </w:r>
        </w:sdtContent>
      </w:sdt>
    </w:p>
    <w:p>
      <w:r>
        <w:t>Beslutsdatum:</w:t>
      </w:r>
    </w:p>
    <w:p>
      <w:sdt>
        <w:sdtPr>
          <w:alias w:val="Beslutsdatum"/>
          <w:tag w:val="beslutsdatum"/>
          <w:id w:val="2"/>
          <w:showingPlcHdr/>
          <w:text/>
        </w:sdtPr>
        <w:sdtContent>
          <w:r>
            <w:rPr>
              <w:rStyle w:val="PlaceholderText"/>
            </w:rPr>
            <w:t xml:space="preserve">ÅÅÅÅ-MM-DD</w:t>
          </w:r>
        </w:sdtContent>
      </w:sdt>
    </w:p>
    <w:p>
      <w:pPr>
        <w:pStyle w:val="MunicipalHeading"/>
      </w:pPr>
      <w:r>
        <w:t>Nyttjanderättshavare</w:t>
      </w:r>
    </w:p>
    <w:p>
      <w:sdt>
        <w:sdtPr>
          <w:alias w:val="Nyttjanderättshavare"/>
          <w:tag w:val="nyttjare"/>
          <w:id w:val="3"/>
          <w:showingPlcHdr/>
          <w:text/>
        </w:sdtPr>
        <w:sdtContent>
          <w:r>
            <w:rPr>
              <w:rStyle w:val="PlaceholderText"/>
            </w:rPr>
            <w:t xml:space="preserve">Sökandens namn</w:t>
          </w:r>
        </w:sdtContent>
      </w:sdt>
    </w:p>
    <w:p>
      <w:r>
        <w:t>Organisationsnummer:</w:t>
      </w:r>
    </w:p>
    <w:p>
      <w:sdt>
        <w:sdtPr>
          <w:alias w:val="Organisationsnummer"/>
          <w:tag w:val="orgnr"/>
          <w:id w:val="4"/>
          <w:showingPlcHdr/>
          <w:text/>
        </w:sdtPr>
        <w:sdtContent>
          <w:r>
            <w:rPr>
              <w:rStyle w:val="PlaceholderText"/>
            </w:rPr>
            <w:t xml:space="preserve">Organisations- eller personnummer</w:t>
          </w:r>
        </w:sdtContent>
      </w:sdt>
    </w:p>
    <w:p>
      <w:pPr>
        <w:pStyle w:val="MunicipalHeading"/>
      </w:pPr>
      <w:r>
        <w:t>Upplåtelsen</w:t>
      </w:r>
    </w:p>
    <w:p>
      <w:r>
        <w:t>Område:</w:t>
      </w:r>
    </w:p>
    <w:p>
      <w:sdt>
        <w:sdtPr>
          <w:alias w:val="Område"/>
          <w:tag w:val="omrade"/>
          <w:id w:val="5"/>
          <w:showingPlcHdr/>
          <w:text/>
        </w:sdtPr>
        <w:sdtContent>
          <w:r>
            <w:rPr>
              <w:rStyle w:val="PlaceholderText"/>
            </w:rPr>
            <w:t xml:space="preserve">Platsens beskrivning</w:t>
          </w:r>
        </w:sdtContent>
      </w:sdt>
    </w:p>
    <w:p>
      <w:r>
        <w:t>Fastighet:</w:t>
      </w:r>
    </w:p>
    <w:p>
      <w:sdt>
        <w:sdtPr>
          <w:alias w:val="Fastighet"/>
          <w:tag w:val="fastighetsbeteckning"/>
          <w:id w:val="6"/>
          <w:showingPlcHdr/>
          <w:text/>
        </w:sdtPr>
        <w:sdtContent>
          <w:r>
            <w:rPr>
              <w:rStyle w:val="PlaceholderText"/>
            </w:rPr>
            <w:t xml:space="preserve">Fastighetsbeteckning</w:t>
          </w:r>
        </w:sdtContent>
      </w:sdt>
    </w:p>
    <w:p>
      <w:r>
        <w:t>Ändamål:</w:t>
      </w:r>
    </w:p>
    <w:p>
      <w:sdt>
        <w:sdtPr>
          <w:alias w:val="Ändamål"/>
          <w:tag w:val="andamal"/>
          <w:id w:val="7"/>
          <w:showingPlcHdr/>
          <w:text/>
        </w:sdtPr>
        <w:sdtContent>
          <w:r>
            <w:rPr>
              <w:rStyle w:val="PlaceholderText"/>
            </w:rPr>
            <w:t xml:space="preserve">Vad marken får användas till</w:t>
          </w:r>
        </w:sdtContent>
      </w:sdt>
    </w:p>
    <w:p>
      <w:r>
        <w:t>Upplåtelsetid från och med:</w:t>
      </w:r>
    </w:p>
    <w:p>
      <w:sdt>
        <w:sdtPr>
          <w:alias w:val="Från och med"/>
          <w:tag w:val="fran_och_med"/>
          <w:id w:val="8"/>
          <w:showingPlcHdr/>
          <w:text/>
        </w:sdtPr>
        <w:sdtContent>
          <w:r>
            <w:rPr>
              <w:rStyle w:val="PlaceholderText"/>
            </w:rPr>
            <w:t xml:space="preserve">Första dagen, inklusive uppbyggnad</w:t>
          </w:r>
        </w:sdtContent>
      </w:sdt>
    </w:p>
    <w:p>
      <w:r>
        <w:t>Upplåtelsetid till och med:</w:t>
      </w:r>
    </w:p>
    <w:p>
      <w:sdt>
        <w:sdtPr>
          <w:alias w:val="Till och med"/>
          <w:tag w:val="till_och_med"/>
          <w:id w:val="9"/>
          <w:showingPlcHdr/>
          <w:text/>
        </w:sdtPr>
        <w:sdtContent>
          <w:r>
            <w:rPr>
              <w:rStyle w:val="PlaceholderText"/>
            </w:rPr>
            <w:t xml:space="preserve">Sista dagen, inklusive nedmontering</w:t>
          </w:r>
        </w:sdtContent>
      </w:sdt>
    </w:p>
    <w:p>
      <w:r>
        <w:t>Upplåten yta (kvadratmeter):</w:t>
      </w:r>
    </w:p>
    <w:p>
      <w:sdt>
        <w:sdtPr>
          <w:alias w:val="Upplåten yta"/>
          <w:tag w:val="upplaten_yta"/>
          <w:id w:val="10"/>
          <w:showingPlcHdr/>
          <w:text/>
        </w:sdtPr>
        <w:sdtContent>
          <w:r>
            <w:rPr>
              <w:rStyle w:val="PlaceholderText"/>
            </w:rPr>
            <w:t xml:space="preserve">Den yta kommunen upplåter enligt beslutet, inte den sökta ytan</w:t>
          </w:r>
        </w:sdtContent>
      </w:sdt>
    </w:p>
    <w:p>
      <w:pPr>
        <w:pStyle w:val="MunicipalHeading"/>
      </w:pPr>
      <w:r>
        <w:t>Beslut</w:t>
      </w:r>
    </w:p>
    <w:p>
      <w:sdt>
        <w:sdtPr>
          <w:alias w:val="Beslut"/>
          <w:tag w:val="beslut"/>
          <w:id w:val="11"/>
          <w:showingPlcHdr/>
          <w:text/>
        </w:sdtPr>
        <w:sdtContent>
          <w:r>
            <w:rPr>
              <w:rStyle w:val="PlaceholderText"/>
            </w:rPr>
            <w:t xml:space="preserve">Bifall, delvis bifall eller avslag</w:t>
          </w:r>
        </w:sdtContent>
      </w:sdt>
    </w:p>
    <w:p>
      <w:pPr>
        <w:pStyle w:val="MunicipalHeading"/>
      </w:pPr>
      <w:r>
        <w:t>Villkor</w:t>
      </w:r>
    </w:p>
    <w:sdt>
      <w:sdtPr>
        <w:alias w:val="Villkor"/>
        <w:tag w:val="villkor"/>
        <w:id w:val="12"/>
        <w:showingPlcHdr/>
      </w:sdtPr>
      <w:sdtContent>
        <w:p>
          <w:r>
            <w:rPr>
              <w:rStyle w:val="PlaceholderText"/>
            </w:rPr>
            <w:t xml:space="preserve">Numrerade villkor för upplåtelsen</w:t>
          </w:r>
        </w:p>
      </w:sdtContent>
    </w:sdt>
    <w:p>
      <w:pPr>
        <w:pStyle w:val="MunicipalHeading"/>
      </w:pPr>
      <w:r>
        <w:t>Avgift</w:t>
      </w:r>
    </w:p>
    <w:p>
      <w:r>
        <w:t>Avgift i kronor:</w:t>
      </w:r>
    </w:p>
    <w:p>
      <w:sdt>
        <w:sdtPr>
          <w:alias w:val="Avgift"/>
          <w:tag w:val="avgift"/>
          <w:id w:val="13"/>
          <w:showingPlcHdr/>
          <w:text/>
        </w:sdtPr>
        <w:sdtContent>
          <w:r>
            <w:rPr>
              <w:rStyle w:val="PlaceholderText"/>
            </w:rPr>
            <w:t xml:space="preserve">Avgift enligt taxan</w:t>
          </w:r>
        </w:sdtContent>
      </w:sdt>
    </w:p>
    <w:sdt>
      <w:sdtPr>
        <w:alias w:val="Avgiftsunderlag"/>
        <w:tag w:val="avgiftsunderlag"/>
        <w:id w:val="14"/>
        <w:showingPlcHdr/>
      </w:sdtPr>
      <w:sdtContent>
        <w:p>
          <w:r>
            <w:rPr>
              <w:rStyle w:val="PlaceholderText"/>
            </w:rPr>
            <w:t xml:space="preserve">Hur avgiften har beräknats</w:t>
          </w:r>
        </w:p>
      </w:sdtContent>
    </w:sdt>
    <w:p>
      <w:r>
        <w:t>Faktura skickas till nyttjanderättshavaren efter upplåtelsen. Betalningsvillkor 30 dagar.</w:t>
      </w:r>
    </w:p>
    <w:p>
      <w:pPr>
        <w:pStyle w:val="MunicipalHeading"/>
      </w:pPr>
      <w:r>
        <w:t>Motivering</w:t>
      </w:r>
    </w:p>
    <w:sdt>
      <w:sdtPr>
        <w:alias w:val="Motivering"/>
        <w:tag w:val="motivering"/>
        <w:id w:val="15"/>
        <w:showingPlcHdr/>
      </w:sdtPr>
      <w:sdtContent>
        <w:p>
          <w:r>
            <w:rPr>
              <w:rStyle w:val="PlaceholderText"/>
            </w:rPr>
            <w:t xml:space="preserve">Skälen för beslutet med hänvisning till riktlinjerna</w:t>
          </w:r>
        </w:p>
      </w:sdtContent>
    </w:sdt>
    <w:p>
      <w:pPr>
        <w:pStyle w:val="MunicipalHeading"/>
      </w:pPr>
      <w:r>
        <w:t>Upplysningar</w:t>
      </w:r>
    </w:p>
    <w:p>
      <w:r>
        <w:t>Upplåtelsen är ett civilrättsligt avtal om nyttjanderätt enligt 7 kap. jordabalken. Den ger inte rätt att använda marken för annat än det angivna ändamålet och kan inte överlåtas. Upplåtelsen ersätter inte polistillstånd, bygglov eller andra tillstånd som kan behövas. Beslutet kan inte överklagas.</w:t>
      </w:r>
    </w:p>
    <w:p>
      <w:r>
        <w:t>Handläggare:</w:t>
      </w:r>
    </w:p>
    <w:p>
      <w:sdt>
        <w:sdtPr>
          <w:alias w:val="Handläggare"/>
          <w:tag w:val="handlaggare"/>
          <w:id w:val="16"/>
          <w:showingPlcHdr/>
          <w:text/>
        </w:sdtPr>
        <w:sdtContent>
          <w:r>
            <w:rPr>
              <w:rStyle w:val="PlaceholderText"/>
            </w:rPr>
            <w:t xml:space="preserve">Handläggarens namn</w:t>
          </w:r>
        </w:sdtContent>
      </w:sdt>
    </w:p>
    <w:p>
      <w:r>
        <w:t>Mark- och exploateringsavdelningen nås via Kontaktcenter, telefon 060-19 10 00.</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Sundsvalls kommun  |  851 85 Sundsvall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SUNDSVALLS KOMMUN  |  SAMHÄLLSBYGGNADSFÖRVALTNINGEN, MARK- OCH EXPLOATERINGSAVDELNINGEN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 w:type="character" w:customStyle="1" w:styleId="PlaceholderText">
    <w:name w:val="Placeholder Text"/>
    <w:rPr>
      <w:i/>
      <w:color w:val="59595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Beslut om tillfällig upplåtelse av kommunal mark</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