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Anpassad meny – specialkost</w:t>
      </w:r>
    </w:p>
    <w:p>
      <w:r>
        <w:t>Menyn går till skolköket och innehåller bara det köket behöver veta. Diagnoser och andra hälsouppgifter står inte här; intyget förvaras hos kostenheten.</w:t>
      </w:r>
    </w:p>
    <w:p>
      <w:r>
        <w:t>Skola:</w:t>
      </w:r>
    </w:p>
    <w:p>
      <w:sdt>
        <w:sdtPr>
          <w:alias w:val="Skola"/>
          <w:tag w:val="skola"/>
          <w:id w:val="1"/>
          <w:showingPlcHdr/>
          <w:text/>
        </w:sdtPr>
        <w:sdtContent>
          <w:r>
            <w:rPr>
              <w:rStyle w:val="PlaceholderText"/>
            </w:rPr>
            <w:t xml:space="preserve">Skolans namn</w:t>
          </w:r>
        </w:sdtContent>
      </w:sdt>
    </w:p>
    <w:p>
      <w:r>
        <w:t>Klass:</w:t>
      </w:r>
    </w:p>
    <w:p>
      <w:sdt>
        <w:sdtPr>
          <w:alias w:val="Klass"/>
          <w:tag w:val="klass"/>
          <w:id w:val="2"/>
          <w:showingPlcHdr/>
          <w:text/>
        </w:sdtPr>
        <w:sdtContent>
          <w:r>
            <w:rPr>
              <w:rStyle w:val="PlaceholderText"/>
            </w:rPr>
            <w:t xml:space="preserve">Klass eller avdelning</w:t>
          </w:r>
        </w:sdtContent>
      </w:sdt>
    </w:p>
    <w:p>
      <w:r>
        <w:t>Elev:</w:t>
      </w:r>
    </w:p>
    <w:p>
      <w:sdt>
        <w:sdtPr>
          <w:alias w:val="Elevens namn"/>
          <w:tag w:val="barnets_namn"/>
          <w:id w:val="3"/>
          <w:showingPlcHdr/>
          <w:text/>
        </w:sdtPr>
        <w:sdtContent>
          <w:r>
            <w:rPr>
              <w:rStyle w:val="PlaceholderText"/>
            </w:rPr>
            <w:t xml:space="preserve">För- och efternamn</w:t>
          </w:r>
        </w:sdtContent>
      </w:sdt>
    </w:p>
    <w:p>
      <w:r>
        <w:t>Menyvecka:</w:t>
      </w:r>
    </w:p>
    <w:p>
      <w:sdt>
        <w:sdtPr>
          <w:alias w:val="Vecka"/>
          <w:tag w:val="vecka"/>
          <w:id w:val="4"/>
          <w:showingPlcHdr/>
          <w:text/>
        </w:sdtPr>
        <w:sdtContent>
          <w:r>
            <w:rPr>
              <w:rStyle w:val="PlaceholderText"/>
            </w:rPr>
            <w:t xml:space="preserve">Veckonummer</w:t>
          </w:r>
        </w:sdtContent>
      </w:sdt>
    </w:p>
    <w:p>
      <w:pPr>
        <w:pStyle w:val="MunicipalHeading"/>
      </w:pPr>
      <w:r>
        <w:t>Specialkost</w:t>
      </w:r>
    </w:p>
    <w:p>
      <w:sdt>
        <w:sdtPr>
          <w:alias w:val="Specialkost"/>
          <w:tag w:val="specialkost"/>
          <w:id w:val="5"/>
          <w:showingPlcHdr/>
          <w:text/>
        </w:sdtPr>
        <w:sdtContent>
          <w:r>
            <w:rPr>
              <w:rStyle w:val="PlaceholderText"/>
            </w:rPr>
            <w:t xml:space="preserve">Till exempel nötfri kost utan spår, laktosfri</w:t>
          </w:r>
        </w:sdtContent>
      </w:sdt>
    </w:p>
    <w:p>
      <w:pPr>
        <w:pStyle w:val="MunicipalHeading"/>
      </w:pPr>
      <w:r>
        <w:t>Veckans meny</w:t>
      </w:r>
    </w:p>
    <w:p>
      <w:r>
        <w:t>Måndag:</w:t>
      </w:r>
    </w:p>
    <w:p>
      <w:sdt>
        <w:sdtPr>
          <w:alias w:val="Måndag"/>
          <w:tag w:val="mandag"/>
          <w:id w:val="6"/>
          <w:showingPlcHdr/>
          <w:text/>
        </w:sdtPr>
        <w:sdtContent>
          <w:r>
            <w:rPr>
              <w:rStyle w:val="PlaceholderText"/>
            </w:rPr>
            <w:t xml:space="preserve">Huvudrätt, tillbehör och efterrätt</w:t>
          </w:r>
        </w:sdtContent>
      </w:sdt>
    </w:p>
    <w:p>
      <w:r>
        <w:t>Tisdag:</w:t>
      </w:r>
    </w:p>
    <w:p>
      <w:sdt>
        <w:sdtPr>
          <w:alias w:val="Tisdag"/>
          <w:tag w:val="tisdag"/>
          <w:id w:val="7"/>
          <w:showingPlcHdr/>
          <w:text/>
        </w:sdtPr>
        <w:sdtContent>
          <w:r>
            <w:rPr>
              <w:rStyle w:val="PlaceholderText"/>
            </w:rPr>
            <w:t xml:space="preserve">Huvudrätt, tillbehör och efterrätt</w:t>
          </w:r>
        </w:sdtContent>
      </w:sdt>
    </w:p>
    <w:p>
      <w:r>
        <w:t>Onsdag:</w:t>
      </w:r>
    </w:p>
    <w:p>
      <w:sdt>
        <w:sdtPr>
          <w:alias w:val="Onsdag"/>
          <w:tag w:val="onsdag"/>
          <w:id w:val="8"/>
          <w:showingPlcHdr/>
          <w:text/>
        </w:sdtPr>
        <w:sdtContent>
          <w:r>
            <w:rPr>
              <w:rStyle w:val="PlaceholderText"/>
            </w:rPr>
            <w:t xml:space="preserve">Huvudrätt, tillbehör och efterrätt</w:t>
          </w:r>
        </w:sdtContent>
      </w:sdt>
    </w:p>
    <w:p>
      <w:r>
        <w:t>Torsdag:</w:t>
      </w:r>
    </w:p>
    <w:p>
      <w:sdt>
        <w:sdtPr>
          <w:alias w:val="Torsdag"/>
          <w:tag w:val="torsdag"/>
          <w:id w:val="9"/>
          <w:showingPlcHdr/>
          <w:text/>
        </w:sdtPr>
        <w:sdtContent>
          <w:r>
            <w:rPr>
              <w:rStyle w:val="PlaceholderText"/>
            </w:rPr>
            <w:t xml:space="preserve">Huvudrätt, tillbehör och efterrätt</w:t>
          </w:r>
        </w:sdtContent>
      </w:sdt>
    </w:p>
    <w:p>
      <w:r>
        <w:t>Fredag:</w:t>
      </w:r>
    </w:p>
    <w:p>
      <w:sdt>
        <w:sdtPr>
          <w:alias w:val="Fredag"/>
          <w:tag w:val="fredag"/>
          <w:id w:val="10"/>
          <w:showingPlcHdr/>
          <w:text/>
        </w:sdtPr>
        <w:sdtContent>
          <w:r>
            <w:rPr>
              <w:rStyle w:val="PlaceholderText"/>
            </w:rPr>
            <w:t xml:space="preserve">Huvudrätt, tillbehör och efterrätt</w:t>
          </w:r>
        </w:sdtContent>
      </w:sdt>
    </w:p>
    <w:p>
      <w:pPr>
        <w:pStyle w:val="MunicipalHeading"/>
      </w:pPr>
      <w:r>
        <w:t>Att tänka på i köket</w:t>
      </w:r>
    </w:p>
    <w:sdt>
      <w:sdtPr>
        <w:alias w:val="Att tänka på"/>
        <w:tag w:val="att_tanka_pa"/>
        <w:id w:val="11"/>
        <w:showingPlcHdr/>
      </w:sdtPr>
      <w:sdtContent>
        <w:p>
          <w:r>
            <w:rPr>
              <w:rStyle w:val="PlaceholderText"/>
            </w:rPr>
            <w:t xml:space="preserve">Hantering, rengöring och risk för kontaminering</w:t>
          </w:r>
        </w:p>
      </w:sdtContent>
    </w:sdt>
    <w:p>
      <w:r>
        <w:t>Frågor om menyn besvaras av kostenheten, telefon 060-19 13 40.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KOSTENHETEN,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Anpassad meny – specialkost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