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</w:pPr>
      <w:r>
        <w:t>Sammanställt remissvar — Förskolestruktur Njurunda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BUN-2026-00037-1</w:t>
            </w:r>
          </w:p>
        </w:tc>
      </w:tr>
      <w:tr>
        <w:tc>
          <w:tcPr>
            <w:tcW w:type="dxa" w:w="4872"/>
          </w:tcPr>
          <w:p>
            <w:r>
              <w:t>Dokumentdatum</w:t>
            </w:r>
          </w:p>
        </w:tc>
        <w:tc>
          <w:tcPr>
            <w:tcW w:type="dxa" w:w="4872"/>
          </w:tcPr>
          <w:p>
            <w:r>
              <w:t>2026-02-18</w:t>
            </w:r>
          </w:p>
        </w:tc>
      </w:tr>
      <w:tr>
        <w:tc>
          <w:tcPr>
            <w:tcW w:type="dxa" w:w="4872"/>
          </w:tcPr>
          <w:p>
            <w:r>
              <w:t>Dokumenttyp</w:t>
            </w:r>
          </w:p>
        </w:tc>
        <w:tc>
          <w:tcPr>
            <w:tcW w:type="dxa" w:w="4872"/>
          </w:tcPr>
          <w:p>
            <w:r>
              <w:t>Remissvar</w:t>
            </w:r>
          </w:p>
        </w:tc>
      </w:tr>
    </w:tbl>
    <w:p>
      <w:pPr>
        <w:pStyle w:val="MunicipalHeading"/>
      </w:pPr>
      <w:r>
        <w:t>Synpunkter</w:t>
      </w:r>
    </w:p>
    <w:p>
      <w:r>
        <w:t>Synpunkterna betonar trygg övergång, information till vårdnadshavare och fortsatt variation mellan mindre och större förskolor.</w:t>
      </w:r>
    </w:p>
    <w:p>
      <w:pPr>
        <w:pStyle w:val="MunicipalHeading"/>
      </w:pPr>
      <w:r>
        <w:t>Datumuppgift att kontrollera</w:t>
      </w:r>
    </w:p>
    <w:p>
      <w:r>
        <w:t>Remissammanställningen anger nämndens beslutsdatum som 2026-02-24.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Kommunalt ärendeunderlag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