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</w:pPr>
      <w:r>
        <w:t>EXEMPELRAPPORT — KÄLLGENOMGÅNG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Rapportdatum</w:t>
            </w:r>
          </w:p>
        </w:tc>
        <w:tc>
          <w:tcPr>
            <w:tcW w:type="dxa" w:w="4872"/>
          </w:tcPr>
          <w:p>
            <w:r>
              <w:t>2026-01-15</w:t>
            </w:r>
          </w:p>
        </w:tc>
      </w:tr>
      <w:tr>
        <w:tc>
          <w:tcPr>
            <w:tcW w:type="dxa" w:w="4872"/>
          </w:tcPr>
          <w:p>
            <w:r>
              <w:t>Status</w:t>
            </w:r>
          </w:p>
        </w:tc>
        <w:tc>
          <w:tcPr>
            <w:tcW w:type="dxa" w:w="4872"/>
          </w:tcPr>
          <w:p>
            <w:r>
              <w:t>Exempel, anonymiserat</w:t>
            </w:r>
          </w:p>
        </w:tc>
      </w:tr>
    </w:tbl>
    <w:p>
      <w:pPr>
        <w:pStyle w:val="MunicipalHeading"/>
      </w:pPr>
      <w:r>
        <w:t>Källa 1 — Ärendeunderlag</w:t>
      </w:r>
    </w:p>
    <w:p>
      <w:r>
        <w:t>Redovisa dokumenttyp, datum, avsändare, relevanta fakta och osäkerheter.</w:t>
      </w:r>
    </w:p>
    <w:p>
      <w:pPr>
        <w:pStyle w:val="MunicipalHeading"/>
      </w:pPr>
      <w:r>
        <w:t>Källa 2 — Tidigare beslut</w:t>
      </w:r>
    </w:p>
    <w:p>
      <w:r>
        <w:t>Återge beslutet separat och behåll den synliga källhänvisningen.</w:t>
      </w:r>
    </w:p>
    <w:p>
      <w:pPr>
        <w:pStyle w:val="MunicipalHeading"/>
      </w:pPr>
      <w:r>
        <w:t>Samlad bedömning</w:t>
      </w:r>
    </w:p>
    <w:p>
      <w:r>
        <w:t>Syntetisera endast belagda uppgifter och visa motsägelser och luckor.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BARN- OCH UTBILDNINGSFÖRVALTNINGEN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Kommunalt ärendeunderlag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