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unicipalTitle"/>
      </w:pPr>
      <w:r>
        <w:t>Underlag till tjänsteskrivelse — Ny förskolestruktur i Njurunda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4872"/>
          </w:tcPr>
          <w:p>
            <w:r>
              <w:t>Diarienummer</w:t>
            </w:r>
          </w:p>
        </w:tc>
        <w:tc>
          <w:tcPr>
            <w:tcW w:type="dxa" w:w="4872"/>
          </w:tcPr>
          <w:p>
            <w:r>
              <w:t>BUN-2026-00037-1</w:t>
            </w:r>
          </w:p>
        </w:tc>
      </w:tr>
      <w:tr>
        <w:tc>
          <w:tcPr>
            <w:tcW w:type="dxa" w:w="4872"/>
          </w:tcPr>
          <w:p>
            <w:r>
              <w:t>Dokumentdatum</w:t>
            </w:r>
          </w:p>
        </w:tc>
        <w:tc>
          <w:tcPr>
            <w:tcW w:type="dxa" w:w="4872"/>
          </w:tcPr>
          <w:p>
            <w:r>
              <w:t>2026-02-04</w:t>
            </w:r>
          </w:p>
        </w:tc>
      </w:tr>
      <w:tr>
        <w:tc>
          <w:tcPr>
            <w:tcW w:type="dxa" w:w="4872"/>
          </w:tcPr>
          <w:p>
            <w:r>
              <w:t>Dokumenttyp</w:t>
            </w:r>
          </w:p>
        </w:tc>
        <w:tc>
          <w:tcPr>
            <w:tcW w:type="dxa" w:w="4872"/>
          </w:tcPr>
          <w:p>
            <w:r>
              <w:t>Tjänsteskrivelseunderlag</w:t>
            </w:r>
          </w:p>
        </w:tc>
      </w:tr>
    </w:tbl>
    <w:p>
      <w:pPr>
        <w:pStyle w:val="MunicipalHeading"/>
      </w:pPr>
      <w:r>
        <w:t>Ärende</w:t>
      </w:r>
    </w:p>
    <w:p>
      <w:r>
        <w:t>Barnantalet i Njurunda har minskat. Förvaltningen föreslår att verksamheten vid Klockarbergets förskola i Kvissleby avvecklas.</w:t>
      </w:r>
    </w:p>
    <w:p>
      <w:pPr>
        <w:pStyle w:val="MunicipalHeading"/>
      </w:pPr>
      <w:r>
        <w:t>Bedömningspunkter</w:t>
      </w:r>
    </w:p>
    <w:p>
      <w:r>
        <w:t>Barn och pedagoger ska erbjudas en planerad övergång. Personaltätheten ska efter förflyttningen i genomsnitt vara högst 5,0 barn per anställd. Lämpliga barngruppsstorlekar och en mångfald av förskolor ska bevaras.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unicipalMetadata"/>
      <w:jc w:val="center"/>
    </w:pPr>
    <w:r>
      <w:t>Sundsvalls kommun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unicipalMetadata"/>
    </w:pPr>
    <w:r>
      <w:t>SUNDSVALLS KOMMUN  |  BARN- OCH UTBILDNINGSFÖRVALTNINGEN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unicipalTitle">
    <w:name w:val="Municipal Title"/>
    <w:rPr>
      <w:rFonts w:ascii="Arial" w:hAnsi="Arial"/>
      <w:b/>
      <w:sz w:val="40"/>
    </w:rPr>
  </w:style>
  <w:style w:type="paragraph" w:customStyle="1" w:styleId="MunicipalHeading">
    <w:name w:val="Municipal Heading"/>
    <w:rPr>
      <w:rFonts w:ascii="Arial" w:hAnsi="Arial"/>
      <w:b/>
      <w:sz w:val="26"/>
    </w:rPr>
  </w:style>
  <w:style w:type="paragraph" w:customStyle="1" w:styleId="MunicipalMetadata">
    <w:name w:val="Municipal Metadata"/>
    <w:rPr>
      <w:rFonts w:ascii="Arial" w:hAnsi="Arial"/>
      <w:b w:val="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Kommunalt ärendeunderlag</dc:title>
  <dc:subject/>
  <dc:creator>Eneo battle corpus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  <cp:lastPrinted>2026-01-01T00:00:00Z</cp:lastPrinted>
</cp:coreProperties>
</file>