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pPr>
      <w:r>
        <w:t>Barnkonsekvensanalys — Klockarbergets förskola</w:t>
      </w:r>
    </w:p>
    <w:tbl>
      <w:tblPr>
        <w:tblStyle w:val="TableGrid"/>
        <w:tblW w:type="auto" w:w="0"/>
        <w:tblLook w:firstColumn="1" w:firstRow="1" w:lastColumn="0" w:lastRow="0" w:noHBand="0" w:noVBand="1" w:val="04A0"/>
      </w:tblPr>
      <w:tblGrid>
        <w:gridCol w:w="4872"/>
        <w:gridCol w:w="4872"/>
      </w:tblGrid>
      <w:tr>
        <w:tc>
          <w:tcPr>
            <w:tcW w:type="dxa" w:w="4872"/>
          </w:tcPr>
          <w:p>
            <w:r>
              <w:t>Diarienummer</w:t>
            </w:r>
          </w:p>
        </w:tc>
        <w:tc>
          <w:tcPr>
            <w:tcW w:type="dxa" w:w="4872"/>
          </w:tcPr>
          <w:p>
            <w:r>
              <w:t>BUN-2026-00037-1</w:t>
            </w:r>
          </w:p>
        </w:tc>
      </w:tr>
      <w:tr>
        <w:tc>
          <w:tcPr>
            <w:tcW w:type="dxa" w:w="4872"/>
          </w:tcPr>
          <w:p>
            <w:r>
              <w:t>Dokumentdatum</w:t>
            </w:r>
          </w:p>
        </w:tc>
        <w:tc>
          <w:tcPr>
            <w:tcW w:type="dxa" w:w="4872"/>
          </w:tcPr>
          <w:p>
            <w:r>
              <w:t>2026-01-28</w:t>
            </w:r>
          </w:p>
        </w:tc>
      </w:tr>
      <w:tr>
        <w:tc>
          <w:tcPr>
            <w:tcW w:type="dxa" w:w="4872"/>
          </w:tcPr>
          <w:p>
            <w:r>
              <w:t>Dokumenttyp</w:t>
            </w:r>
          </w:p>
        </w:tc>
        <w:tc>
          <w:tcPr>
            <w:tcW w:type="dxa" w:w="4872"/>
          </w:tcPr>
          <w:p>
            <w:r>
              <w:t>Barnkonsekvensanalys</w:t>
            </w:r>
          </w:p>
        </w:tc>
      </w:tr>
    </w:tbl>
    <w:p>
      <w:pPr>
        <w:pStyle w:val="MunicipalHeading"/>
      </w:pPr>
      <w:r>
        <w:t>Belagda konsekvenser</w:t>
      </w:r>
    </w:p>
    <w:p>
      <w:r>
        <w:t>Avvecklingen innebär byte av förskola för berörda barn. Kontinuitet stärks om personal kan följa med barnen när lag, avtal och kommunens rutiner för personalförflyttning medger det. Närhet, trygghet och lämpliga barngrupper behöver följas upp under övergången.</w:t>
      </w:r>
    </w:p>
    <w:p>
      <w:pPr>
        <w:pStyle w:val="MunicipalHeading"/>
      </w:pPr>
      <w:r>
        <w:t>Uppföljning</w:t>
      </w:r>
    </w:p>
    <w:p>
      <w:r>
        <w:t>Förvaltningen följer personaltäthet, barngruppsstorlek och trygghet före, under och efter övergången samt återrapporterar avvikelser till nämnden.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BARN- OCH UTBILDNINGSFÖRVALTNINGEN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Kommunalt ärendeunderlag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