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SIMULATION Chengdu food-and-tea launch options - decision brief</w:t>
      </w:r>
    </w:p>
    <w:p>
      <w:pPr>
        <w:pStyle w:val="Heading1"/>
      </w:pPr>
      <w:r>
        <w:t>Objective</w:t>
      </w:r>
    </w:p>
    <w:p>
      <w:r>
        <w:t>Select a local-only simulated launch for 30 guests; preparation starts 2026-10-01. Fictional one-day premium food workshop and tea tasting, CNY 2,000 per guest, CNY 60,000 revenue. Costs are total first-departure envelopes, not additional to operating costs. No supplier claims, bookings, payments or contacts. Excludes flights, lodging, tax and financing; not a real launch approval.</w:t>
      </w:r>
    </w:p>
    <w:p>
      <w:pPr>
        <w:pStyle w:val="Heading1"/>
      </w:pPr>
      <w:r>
        <w:t>Options and scores</w:t>
      </w:r>
    </w:p>
    <w:p>
      <w:r>
        <w:t>SIMULATION Pilot — 30 guests: 73.5/100; cost 50,000 CNY; benefit Validate service and demand at CNY 10,000 planned pre-tax operating profit; total budget includes CNY 24,000 guest costs and CNY 26,000 fixed/reserve costs.; risk Limited reach; ratings are invented assumptions, not market evidence. CNY 5,000 contingency included in envelope.</w:t>
      </w:r>
    </w:p>
    <w:p>
      <w:r>
        <w:t>SIMULATION Full launch — 30 initial guests: 52.0/100; cost 120,000 CNY; benefit Broader simulated brand reach and reusable launch assets; CNY 24,000 guest costs plus CNY 96,000 fixed/reserve investment.; risk Same initial CNY 60,000 revenue implies CNY 60,000 first-departure operating loss; extra demand unproven. No assumed extra guests to justify spend.</w:t>
      </w:r>
    </w:p>
    <w:p>
      <w:pPr>
        <w:pStyle w:val="Heading1"/>
      </w:pPr>
      <w:r>
        <w:t>Recommendation</w:t>
      </w:r>
    </w:p>
    <w:p>
      <w:r>
        <w:t>SIMULATION Pilot — 30 guests ranks first under the supplied weights. Approval is still required.</w:t>
      </w:r>
    </w:p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SIMULATION Chengdu food-and-tea launch options - decision brief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