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Chengdu tour product launch - decision brief</w:t>
      </w:r>
    </w:p>
    <w:p>
      <w:pPr>
        <w:pStyle w:val="Heading1"/>
      </w:pPr>
      <w:r>
        <w:t>Objective</w:t>
      </w:r>
    </w:p>
    <w:p>
      <w:r>
        <w:t>Choose a launch approach for a Chengdu food and tea group-tour product.</w:t>
      </w:r>
    </w:p>
    <w:p>
      <w:pPr>
        <w:pStyle w:val="Heading1"/>
      </w:pPr>
      <w:r>
        <w:t>Options and scores</w:t>
      </w:r>
    </w:p>
    <w:p>
      <w:r>
        <w:t>Pilot first: 75.7/100; cost 50,000 CNY; benefit Validate with one group.; risk Slower reach.</w:t>
      </w:r>
    </w:p>
    <w:p>
      <w:r>
        <w:t>Full launch: 62.0/100; cost 120,000 CNY; benefit Reach more customers sooner.; risk Higher delivery risk.</w:t>
      </w:r>
    </w:p>
    <w:p>
      <w:pPr>
        <w:pStyle w:val="Heading1"/>
      </w:pPr>
      <w:r>
        <w:t>Recommendation</w:t>
      </w:r>
    </w:p>
    <w:p>
      <w:r>
        <w:t>Pilot first ranks first under the supplied weights. Approval is still required.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Chengdu tour product launch - decision 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