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UI shows warning banner if non-empty.</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 xml:space="preserve">Formula (Number 1,0): </w:t>
            </w:r>
            <w:r>
              <w:rPr>
                <w:rFonts w:ascii="Courier New" w:hAnsi="Courier New"/>
                <w:color w:val="8B0000"/>
                <w:sz w:val="18"/>
              </w:rPr>
              <w:t>CASE(Severity__c,'Critical',1,'High',2,'Medium',3,'Low',4,'Informational',5,6)</w:t>
            </w:r>
          </w:p>
        </w:tc>
        <w:tc>
          <w:tcPr>
            <w:tcW w:type="dxa" w:w="2351"/>
            <w:vAlign w:val="center"/>
          </w:tcPr>
          <w:p>
            <w:pPr>
              <w:jc w:val="left"/>
            </w:pPr>
            <w:r>
              <w:rPr>
                <w:sz w:val="18"/>
              </w:rPr>
              <w:t>Numeric severity proxy for deterministic severity-first KEYSET sort. Picklist alphabetical order (C/H/I/L/M) does not match severity order (C/H/M/L/I) - formula field is required.</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bl>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(FindingsPageDTO, ScanStatusDTO, OrgSecuritySettingsDTO)</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1. Regex-scrub: mask passwords/tokens/keys with asterisks</w:t>
      </w:r>
    </w:p>
    <w:p>
      <w:pPr>
        <w:pStyle w:val="NoSpacing"/>
        <w:ind w:left="567"/>
        <w:shd w:val="clear" w:color="auto" w:fill="F0F0F0"/>
      </w:pPr>
      <w:r>
        <w:rPr>
          <w:rFonts w:ascii="Courier New" w:hAnsi="Courier New"/>
          <w:color w:val="000080"/>
          <w:sz w:val="17"/>
        </w:rPr>
        <w:t xml:space="preserve">                                    2. Match-centered extraction: capture up to 5,000 chars before</w:t>
      </w:r>
    </w:p>
    <w:p>
      <w:pPr>
        <w:pStyle w:val="NoSpacing"/>
        <w:ind w:left="567"/>
        <w:shd w:val="clear" w:color="auto" w:fill="F0F0F0"/>
      </w:pPr>
      <w:r>
        <w:rPr>
          <w:rFonts w:ascii="Courier New" w:hAnsi="Courier New"/>
          <w:color w:val="000080"/>
          <w:sz w:val="17"/>
        </w:rPr>
        <w:t xml:space="preserve">                                       the match and up to 5,000 chars after the match (10,000 total),</w:t>
      </w:r>
    </w:p>
    <w:p>
      <w:pPr>
        <w:pStyle w:val="NoSpacing"/>
        <w:ind w:left="567"/>
        <w:shd w:val="clear" w:color="auto" w:fill="F0F0F0"/>
      </w:pPr>
      <w:r>
        <w:rPr>
          <w:rFonts w:ascii="Courier New" w:hAnsi="Courier New"/>
          <w:color w:val="000080"/>
          <w:sz w:val="17"/>
        </w:rPr>
        <w:t xml:space="preserve">                                       ensuring the actual violation is centered in the output.</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SecScanOrchestrator.cls           - Entry point Queueable</w:t>
      </w:r>
    </w:p>
    <w:p>
      <w:pPr>
        <w:pStyle w:val="NoSpacing"/>
        <w:ind w:left="567"/>
        <w:shd w:val="clear" w:color="auto" w:fill="F0F0F0"/>
      </w:pPr>
      <w:r>
        <w:rPr>
          <w:rFonts w:ascii="Courier New" w:hAnsi="Courier New"/>
          <w:color w:val="000080"/>
          <w:sz w:val="17"/>
        </w:rPr>
        <w:t xml:space="preserve">                                    Creates SecurityScanRun__c</w:t>
      </w:r>
    </w:p>
    <w:p>
      <w:pPr>
        <w:pStyle w:val="NoSpacing"/>
        <w:ind w:left="567"/>
        <w:shd w:val="clear" w:color="auto" w:fill="F0F0F0"/>
      </w:pPr>
      <w:r>
        <w:rPr>
          <w:rFonts w:ascii="Courier New" w:hAnsi="Courier New"/>
          <w:color w:val="000080"/>
          <w:sz w:val="17"/>
        </w:rPr>
        <w:t xml:space="preserve">                                    Receives sessionId from SecScanController (sync context)</w:t>
      </w:r>
    </w:p>
    <w:p>
      <w:pPr>
        <w:pStyle w:val="NoSpacing"/>
        <w:ind w:left="567"/>
        <w:shd w:val="clear" w:color="auto" w:fill="F0F0F0"/>
      </w:pPr>
      <w:r>
        <w:rPr>
          <w:rFonts w:ascii="Courier New" w:hAnsi="Courier New"/>
          <w:color w:val="000080"/>
          <w:sz w:val="17"/>
        </w:rPr>
        <w:t xml:space="preserve">                                    Starts chain</w:t>
      </w:r>
    </w:p>
    <w:p>
      <w:pPr>
        <w:pStyle w:val="NoSpacing"/>
        <w:ind w:left="567"/>
        <w:shd w:val="clear" w:color="auto" w:fill="F0F0F0"/>
      </w:pPr>
      <w:r>
        <w:rPr>
          <w:rFonts w:ascii="Courier New" w:hAnsi="Courier New"/>
          <w:color w:val="000080"/>
          <w:sz w:val="17"/>
        </w:rPr>
        <w:t>SecScanRetentionBatch.cls         - Database.Batchable, scope 200</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 at installation: daily at 02:00.</w:t>
      </w:r>
    </w:p>
    <w:p>
      <w:pPr>
        <w:pStyle w:val="NoSpacing"/>
        <w:ind w:left="567"/>
        <w:shd w:val="clear" w:color="auto" w:fill="F0F0F0"/>
      </w:pPr>
      <w:r>
        <w:rPr>
          <w:rFonts w:ascii="Courier New" w:hAnsi="Courier New"/>
          <w:color w:val="000080"/>
          <w:sz w:val="17"/>
        </w:rPr>
        <w:t xml:space="preserve">                                    System.schedule('SecScan Nightly Cleanup', '0 0 2 * * ?',</w:t>
      </w:r>
    </w:p>
    <w:p>
      <w:pPr>
        <w:pStyle w:val="NoSpacing"/>
        <w:ind w:left="567"/>
        <w:shd w:val="clear" w:color="auto" w:fill="F0F0F0"/>
      </w:pPr>
      <w:r>
        <w:rPr>
          <w:rFonts w:ascii="Courier New" w:hAnsi="Courier New"/>
          <w:color w:val="000080"/>
          <w:sz w:val="17"/>
        </w:rPr>
        <w:t xml:space="preserve">                                        new SecScanOrphanCleanupSchedulable());</w:t>
      </w:r>
    </w:p>
    <w:p>
      <w:pPr>
        <w:pStyle w:val="NoSpacing"/>
        <w:ind w:left="567"/>
        <w:shd w:val="clear" w:color="auto" w:fill="F0F0F0"/>
      </w:pPr>
      <w:r>
        <w:rPr>
          <w:rFonts w:ascii="Courier New" w:hAnsi="Courier New"/>
          <w:color w:val="000080"/>
          <w:sz w:val="17"/>
        </w:rPr>
        <w:t>SecScanRunnerContinuation.cls     - Heap-safe continuation Queueable for AA and LA runners</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- 15 checks (most API-intensive)</w:t>
      </w:r>
    </w:p>
    <w:p>
      <w:pPr>
        <w:pStyle w:val="NoSpacing"/>
        <w:ind w:left="567"/>
        <w:shd w:val="clear" w:color="auto" w:fill="F0F0F0"/>
      </w:pPr>
      <w:r>
        <w:rPr>
          <w:rFonts w:ascii="Courier New" w:hAnsi="Courier New"/>
          <w:color w:val="000080"/>
          <w:sz w:val="17"/>
        </w:rPr>
        <w:t xml:space="preserve">                                        CRITICAL: all 15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15 checks against the in-memory collection.</w:t>
      </w:r>
    </w:p>
    <w:p>
      <w:pPr>
        <w:pStyle w:val="NoSpacing"/>
        <w:ind w:left="567"/>
        <w:shd w:val="clear" w:color="auto" w:fill="F0F0F0"/>
      </w:pPr>
      <w:r>
        <w:rPr>
          <w:rFonts w:ascii="Courier New" w:hAnsi="Courier New"/>
          <w:color w:val="000080"/>
          <w:sz w:val="17"/>
        </w:rPr>
        <w:t xml:space="preserve">                                        Maximum callouts for GU: ~3 (profiles, settings, experience).</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- 12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getScanRuns,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w:t>
      </w:r>
      <w:r>
        <w:rPr>
          <w:sz w:val="20"/>
        </w:rPr>
        <w:t xml:space="preserve"> In some org configurations (stricter Connected App policies, Enhanced Domains with API restrictions), the session token obtained from an </w:t>
      </w:r>
      <w:r>
        <w:rPr>
          <w:rFonts w:ascii="Courier New" w:hAnsi="Courier New"/>
          <w:color w:val="8B0000"/>
          <w:sz w:val="20"/>
        </w:rPr>
        <w:t>@AuraEnabled</w:t>
      </w:r>
      <w:r>
        <w:rPr>
          <w:sz w:val="20"/>
        </w:rPr>
        <w:t xml:space="preserve"> method may return </w:t>
      </w:r>
      <w:r>
        <w:rPr>
          <w:rFonts w:ascii="Courier New" w:hAnsi="Courier New"/>
          <w:color w:val="8B0000"/>
          <w:sz w:val="20"/>
        </w:rPr>
        <w:t>INVALID_SESSION_ID</w:t>
      </w:r>
      <w:r>
        <w:rPr>
          <w:sz w:val="20"/>
        </w:rPr>
        <w:t xml:space="preserve"> when used against the Tooling API. The LWC -&gt; @AuraEnabled -&gt; same-org Tooling API loopback pattern is used by Salesforce-labs tools (e.g. OrgCheck) and works in most sandbox configurations, but is not guaranteed.</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Works regardless of org security policies.</w:t>
      </w:r>
    </w:p>
    <w:p>
      <w:pPr>
        <w:pStyle w:val="ListBullet"/>
      </w:pPr>
      <w:r>
        <w:rPr>
          <w:sz w:val="20"/>
        </w:rPr>
        <w:t>Requires one additional setup step on first install (Connected App + Named Credential + certificate).</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SecScanOrchestrator.finalizeScan(scanRunId); // mark Completed with whatever ran</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Test.stopTest() only flushes one level of async - chaining Queueables inside a test</w:t>
      </w:r>
    </w:p>
    <w:p>
      <w:pPr>
        <w:pStyle w:val="NoSpacing"/>
        <w:ind w:left="567"/>
        <w:shd w:val="clear" w:color="auto" w:fill="F0F0F0"/>
      </w:pPr>
      <w:r>
        <w:rPr>
          <w:rFonts w:ascii="Courier New" w:hAnsi="Courier New"/>
          <w:color w:val="000080"/>
          <w:sz w:val="17"/>
        </w:rPr>
        <w:t xml:space="preserve">    // context throws a runtime exception. Guard required.</w:t>
      </w:r>
    </w:p>
    <w:p>
      <w:pPr>
        <w:pStyle w:val="NoSpacing"/>
        <w:ind w:left="567"/>
        <w:shd w:val="clear" w:color="auto" w:fill="F0F0F0"/>
      </w:pPr>
      <w:r>
        <w:rPr>
          <w:rFonts w:ascii="Courier New" w:hAnsi="Courier New"/>
          <w:color w:val="000080"/>
          <w:sz w:val="17"/>
        </w:rPr>
        <w:t xml:space="preserve">    if (!Test.isRunningTest() &amp;&amp; currentIndex + 1 &lt; runners.size())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if (!Test.isRunningTest())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In test context: call finalizeScan directly so test assertions see Completed state</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Category</w:t>
            </w:r>
          </w:p>
        </w:tc>
        <w:tc>
          <w:tcPr>
            <w:tcW w:type="dxa" w:w="3135"/>
            <w:vAlign w:val="center"/>
            <w:shd w:val="clear" w:color="auto" w:fill="1F3864"/>
          </w:tcPr>
          <w:p>
            <w:pPr>
              <w:jc w:val="left"/>
            </w:pPr>
            <w:r>
              <w:rPr>
                <w:b/>
                <w:color w:val="FFFFFF"/>
                <w:sz w:val="18"/>
              </w:rPr>
              <w:t>API Used</w:t>
            </w:r>
          </w:p>
        </w:tc>
        <w:tc>
          <w:tcPr>
            <w:tcW w:type="dxa" w:w="3135"/>
            <w:vAlign w:val="center"/>
            <w:shd w:val="clear" w:color="auto" w:fill="1F3864"/>
          </w:tcPr>
          <w:p>
            <w:pPr>
              <w:jc w:val="left"/>
            </w:pPr>
            <w:r>
              <w:rPr>
                <w:b/>
                <w:color w:val="FFFFFF"/>
                <w:sz w:val="18"/>
              </w:rPr>
              <w:t>Detection Approach</w:t>
            </w:r>
          </w:p>
        </w:tc>
      </w:tr>
      <w:tr>
        <w:tc>
          <w:tcPr>
            <w:tcW w:type="dxa" w:w="3135"/>
            <w:vAlign w:val="center"/>
          </w:tcPr>
          <w:p>
            <w:pPr>
              <w:jc w:val="left"/>
            </w:pPr>
            <w:r>
              <w:rPr>
                <w:sz w:val="18"/>
              </w:rPr>
              <w:t>UA</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Id FROM PermissionSet WHERE PermissionsModifyAllData=true</w:t>
            </w:r>
          </w:p>
        </w:tc>
      </w:tr>
      <w:tr>
        <w:tc>
          <w:tcPr>
            <w:tcW w:type="dxa" w:w="3135"/>
            <w:vAlign w:val="center"/>
          </w:tcPr>
          <w:p>
            <w:pPr>
              <w:jc w:val="left"/>
            </w:pPr>
            <w:r>
              <w:rPr>
                <w:sz w:val="18"/>
              </w:rPr>
              <w:t>GU</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Id,PermissionsApiEnabled FROM Profile WHERE UserType='Guest'</w:t>
            </w:r>
          </w:p>
        </w:tc>
      </w:tr>
      <w:tr>
        <w:tc>
          <w:tcPr>
            <w:tcW w:type="dxa" w:w="3135"/>
            <w:vAlign w:val="center"/>
          </w:tcPr>
          <w:p>
            <w:pPr>
              <w:jc w:val="left"/>
            </w:pPr>
            <w:r>
              <w:rPr>
                <w:sz w:val="18"/>
              </w:rPr>
              <w:t>SRA</w:t>
            </w:r>
          </w:p>
        </w:tc>
        <w:tc>
          <w:tcPr>
            <w:tcW w:type="dxa" w:w="3135"/>
            <w:vAlign w:val="center"/>
          </w:tcPr>
          <w:p>
            <w:pPr>
              <w:jc w:val="left"/>
            </w:pPr>
            <w:r>
              <w:rPr>
                <w:sz w:val="18"/>
              </w:rPr>
              <w:t>Standard SOQL + Tooling</w:t>
            </w:r>
          </w:p>
        </w:tc>
        <w:tc>
          <w:tcPr>
            <w:tcW w:type="dxa" w:w="3135"/>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r>
      <w:tr>
        <w:tc>
          <w:tcPr>
            <w:tcW w:type="dxa" w:w="3135"/>
            <w:vAlign w:val="center"/>
          </w:tcPr>
          <w:p>
            <w:pPr>
              <w:jc w:val="left"/>
            </w:pPr>
            <w:r>
              <w:rPr>
                <w:sz w:val="18"/>
              </w:rPr>
              <w:t>SA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SessionTimeout,RequireHttpOnly,EnableClickjackNonsetupUser,EnableCsrfOnGet,LockSessionsToDomain FROM SecuritySettings</w:t>
            </w:r>
          </w:p>
        </w:tc>
      </w:tr>
      <w:tr>
        <w:tc>
          <w:tcPr>
            <w:tcW w:type="dxa" w:w="3135"/>
            <w:vAlign w:val="center"/>
          </w:tcPr>
          <w:p>
            <w:pPr>
              <w:jc w:val="left"/>
            </w:pPr>
            <w:r>
              <w:rPr>
                <w:sz w:val="18"/>
              </w:rPr>
              <w:t>CAI</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IncludesSessionId FROM WorkflowOutboundMessage WHERE IncludesSessionId=true</w:t>
            </w:r>
          </w:p>
        </w:tc>
      </w:tr>
      <w:tr>
        <w:tc>
          <w:tcPr>
            <w:tcW w:type="dxa" w:w="3135"/>
            <w:vAlign w:val="center"/>
          </w:tcPr>
          <w:p>
            <w:pPr>
              <w:jc w:val="left"/>
            </w:pPr>
            <w:r>
              <w:rPr>
                <w:sz w:val="18"/>
              </w:rPr>
              <w:t>AA</w:t>
            </w:r>
          </w:p>
        </w:tc>
        <w:tc>
          <w:tcPr>
            <w:tcW w:type="dxa" w:w="3135"/>
            <w:vAlign w:val="center"/>
          </w:tcPr>
          <w:p>
            <w:pPr>
              <w:jc w:val="left"/>
            </w:pPr>
            <w:r>
              <w:rPr>
                <w:sz w:val="18"/>
              </w:rPr>
              <w:t>Tooling API body scan</w:t>
            </w:r>
          </w:p>
        </w:tc>
        <w:tc>
          <w:tcPr>
            <w:tcW w:type="dxa" w:w="3135"/>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r>
      <w:tr>
        <w:tc>
          <w:tcPr>
            <w:tcW w:type="dxa" w:w="3135"/>
            <w:vAlign w:val="center"/>
          </w:tcPr>
          <w:p>
            <w:pPr>
              <w:jc w:val="left"/>
            </w:pPr>
            <w:r>
              <w:rPr>
                <w:sz w:val="18"/>
              </w:rPr>
              <w:t>LA</w:t>
            </w:r>
          </w:p>
        </w:tc>
        <w:tc>
          <w:tcPr>
            <w:tcW w:type="dxa" w:w="3135"/>
            <w:vAlign w:val="center"/>
          </w:tcPr>
          <w:p>
            <w:pPr>
              <w:jc w:val="left"/>
            </w:pPr>
            <w:r>
              <w:rPr>
                <w:sz w:val="18"/>
              </w:rPr>
              <w:t>Tooling API</w:t>
            </w:r>
          </w:p>
        </w:tc>
        <w:tc>
          <w:tcPr>
            <w:tcW w:type="dxa" w:w="3135"/>
            <w:vAlign w:val="center"/>
          </w:tcPr>
          <w:p>
            <w:pPr>
              <w:jc w:val="left"/>
            </w:pPr>
            <w:r>
              <w:rPr>
                <w:sz w:val="18"/>
              </w:rPr>
              <w:t xml:space="preserve">Scan LightningComponentBundle source for </w:t>
            </w:r>
            <w:r>
              <w:rPr>
                <w:rFonts w:ascii="Courier New" w:hAnsi="Courier New"/>
                <w:color w:val="8B0000"/>
                <w:sz w:val="18"/>
              </w:rPr>
              <w:t>lwc:dom="manual"</w:t>
            </w:r>
          </w:p>
        </w:tc>
      </w:tr>
      <w:tr>
        <w:tc>
          <w:tcPr>
            <w:tcW w:type="dxa" w:w="3135"/>
            <w:vAlign w:val="center"/>
          </w:tcPr>
          <w:p>
            <w:pPr>
              <w:jc w:val="left"/>
            </w:pPr>
            <w:r>
              <w:rPr>
                <w:sz w:val="18"/>
              </w:rPr>
              <w:t>AGA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IsConfirmationRequired FROM GenAiFunctionDefinition WHERE IsConfirmationRequired=false</w:t>
            </w:r>
          </w:p>
        </w:tc>
      </w:tr>
      <w:tr>
        <w:tc>
          <w:tcPr>
            <w:tcW w:type="dxa" w:w="3135"/>
            <w:vAlign w:val="center"/>
          </w:tcPr>
          <w:p>
            <w:pPr>
              <w:jc w:val="left"/>
            </w:pPr>
            <w:r>
              <w:rPr>
                <w:sz w:val="18"/>
              </w:rPr>
              <w:t>MS</w:t>
            </w:r>
          </w:p>
        </w:tc>
        <w:tc>
          <w:tcPr>
            <w:tcW w:type="dxa" w:w="3135"/>
            <w:vAlign w:val="center"/>
          </w:tcPr>
          <w:p>
            <w:pPr>
              <w:jc w:val="left"/>
            </w:pPr>
            <w:r>
              <w:rPr>
                <w:sz w:val="18"/>
              </w:rPr>
              <w:t xml:space="preserve">Standard SOQL on </w:t>
            </w:r>
            <w:r>
              <w:rPr>
                <w:rFonts w:ascii="Courier New" w:hAnsi="Courier New"/>
                <w:color w:val="8B0000"/>
                <w:sz w:val="18"/>
              </w:rPr>
              <w:t>__mdt</w:t>
            </w:r>
          </w:p>
        </w:tc>
        <w:tc>
          <w:tcPr>
            <w:tcW w:type="dxa" w:w="3135"/>
            <w:vAlign w:val="center"/>
          </w:tcPr>
          <w:p>
            <w:pPr>
              <w:jc w:val="left"/>
            </w:pPr>
            <w:r>
              <w:rPr>
                <w:sz w:val="18"/>
              </w:rPr>
              <w:t>SOQL on custom metadata records directly - NOT Metadata API. Inspect field names for Token/Key/Password/Secret patterns.</w:t>
            </w:r>
          </w:p>
        </w:tc>
      </w:tr>
      <w:tr>
        <w:tc>
          <w:tcPr>
            <w:tcW w:type="dxa" w:w="3135"/>
            <w:vAlign w:val="center"/>
          </w:tcPr>
          <w:p>
            <w:pPr>
              <w:jc w:val="left"/>
            </w:pPr>
            <w:r>
              <w:rPr>
                <w:sz w:val="18"/>
              </w:rPr>
              <w:t>FUE</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w:t>
            </w:r>
          </w:p>
        </w:tc>
      </w:tr>
      <w:tr>
        <w:tc>
          <w:tcPr>
            <w:tcW w:type="dxa" w:w="3135"/>
            <w:vAlign w:val="center"/>
          </w:tcPr>
          <w:p>
            <w:pPr>
              <w:jc w:val="left"/>
            </w:pPr>
            <w:r>
              <w:rPr>
                <w:sz w:val="18"/>
              </w:rPr>
              <w:t>CE</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ExpirationDate FROM Certificate WHERE ExpirationDate &lt;=:Date.today().addDays(30)</w:t>
            </w:r>
          </w:p>
        </w:tc>
      </w:tr>
      <w:tr>
        <w:tc>
          <w:tcPr>
            <w:tcW w:type="dxa" w:w="3135"/>
            <w:vAlign w:val="center"/>
          </w:tcPr>
          <w:p>
            <w:pPr>
              <w:jc w:val="left"/>
            </w:pPr>
            <w:r>
              <w:rPr>
                <w:sz w:val="18"/>
              </w:rPr>
              <w:t>MON</w:t>
            </w:r>
          </w:p>
        </w:tc>
        <w:tc>
          <w:tcPr>
            <w:tcW w:type="dxa" w:w="3135"/>
            <w:vAlign w:val="center"/>
          </w:tcPr>
          <w:p>
            <w:pPr>
              <w:jc w:val="left"/>
            </w:pPr>
            <w:r>
              <w:rPr>
                <w:sz w:val="18"/>
              </w:rPr>
              <w:t>Tooling API</w:t>
            </w:r>
          </w:p>
        </w:tc>
        <w:tc>
          <w:tcPr>
            <w:tcW w:type="dxa" w:w="3135"/>
            <w:vAlign w:val="center"/>
          </w:tcPr>
          <w:p>
            <w:pPr>
              <w:jc w:val="left"/>
            </w:pPr>
            <w:r>
              <w:rPr>
                <w:sz w:val="18"/>
              </w:rPr>
              <w:t>EventMonitoringSettings and EventLogFile presence</w:t>
            </w:r>
          </w:p>
        </w:tc>
      </w:tr>
      <w:tr>
        <w:tc>
          <w:tcPr>
            <w:tcW w:type="dxa" w:w="3135"/>
            <w:vAlign w:val="center"/>
          </w:tcPr>
          <w:p>
            <w:pPr>
              <w:jc w:val="left"/>
            </w:pPr>
            <w:r>
              <w:rPr>
                <w:sz w:val="18"/>
              </w:rPr>
              <w:t>HCB</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sz w:val="18"/>
              </w:rPr>
              <w:t>SecurityHealthCheck score and high-risk settings</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non-blank</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Inline cascade-delete of parent </w:t>
      </w:r>
      <w:r>
        <w:rPr>
          <w:rFonts w:ascii="Courier New" w:hAnsi="Courier New"/>
          <w:color w:val="8B0000"/>
          <w:sz w:val="20"/>
        </w:rPr>
        <w:t>SecurityScanRun__c</w:t>
      </w:r>
      <w:r>
        <w:rPr>
          <w:sz w:val="20"/>
        </w:rPr>
        <w:t xml:space="preserve"> records counts all child </w:t>
      </w:r>
      <w:r>
        <w:rPr>
          <w:rFonts w:ascii="Courier New" w:hAnsi="Courier New"/>
          <w:color w:val="8B0000"/>
          <w:sz w:val="20"/>
        </w:rPr>
        <w:t>SecurityFinding__c</w:t>
      </w:r>
      <w:r>
        <w:rPr>
          <w:sz w:val="20"/>
        </w:rPr>
        <w:t xml:space="preserve"> deletions against the Apex DML row limit (10,000 max). 5 runs x 2,500+ findings = 12,500 implicit row deletes - instant </w:t>
      </w:r>
      <w:r>
        <w:rPr>
          <w:rFonts w:ascii="Courier New" w:hAnsi="Courier New"/>
          <w:color w:val="8B0000"/>
          <w:sz w:val="20"/>
        </w:rPr>
        <w:t>LimitException</w:t>
      </w:r>
      <w:r>
        <w:rPr>
          <w:sz w:val="20"/>
        </w:rPr>
        <w:t>. The Batchable processes each old run in its own batch transaction, with explicit child deletion first.</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rFonts w:ascii="Courier New" w:hAnsi="Courier New"/>
          <w:color w:val="8B0000"/>
          <w:sz w:val="20"/>
        </w:rPr>
        <w:t>startScan()</w:t>
      </w:r>
      <w:r>
        <w:rPr>
          <w:sz w:val="20"/>
        </w:rPr>
        <w:t xml:space="preserve"> concurrency guard: </w:t>
      </w:r>
      <w:r>
        <w:rPr>
          <w:rFonts w:ascii="Courier New" w:hAnsi="Courier New"/>
          <w:color w:val="8B0000"/>
          <w:sz w:val="20"/>
        </w:rPr>
        <w:t>SELECT Id FROM SecurityScanRun__c WHERE Status__c IN ('Pending','Running') LIMIT 1 FOR UPDATE</w:t>
      </w:r>
      <w:r>
        <w:rPr>
          <w:sz w:val="20"/>
        </w:rPr>
        <w:t xml:space="preserve">. If a record is found, throw </w:t>
      </w:r>
      <w:r>
        <w:rPr>
          <w:rFonts w:ascii="Courier New" w:hAnsi="Courier New"/>
          <w:color w:val="8B0000"/>
          <w:sz w:val="20"/>
        </w:rPr>
        <w:t>SecScanException('A scan is already in progress')</w:t>
      </w:r>
      <w:r>
        <w:rPr>
          <w:sz w:val="20"/>
        </w:rPr>
        <w:t xml:space="preserve">. The </w:t>
      </w:r>
      <w:r>
        <w:rPr>
          <w:rFonts w:ascii="Courier New" w:hAnsi="Courier New"/>
          <w:color w:val="8B0000"/>
          <w:sz w:val="20"/>
        </w:rPr>
        <w:t>FOR UPDATE</w:t>
      </w:r>
      <w:r>
        <w:rPr>
          <w:sz w:val="20"/>
        </w:rPr>
        <w:t xml:space="preserve"> lock prevents two simultaneous calls from both passing the check. The 5-minute UI cooldown is client-side only and does not protect against API calls or two browser tabs.</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sets </w:t>
      </w:r>
      <w:r>
        <w:rPr>
          <w:rFonts w:ascii="Courier New" w:hAnsi="Courier New"/>
          <w:color w:val="8B0000"/>
          <w:sz w:val="20"/>
        </w:rPr>
        <w:t>IsProductionScan__c = true</w:t>
      </w:r>
      <w:r>
        <w:rPr>
          <w:sz w:val="20"/>
        </w:rPr>
        <w:t xml:space="preserve"> on the new run record. Does not block. The LWC is responsible for showing the production confirmation modal before calling </w:t>
      </w:r>
      <w:r>
        <w:rPr>
          <w:rFonts w:ascii="Courier New" w:hAnsi="Courier New"/>
          <w:color w:val="8B0000"/>
          <w:sz w:val="20"/>
        </w:rPr>
        <w:t>startScan()</w:t>
      </w:r>
      <w:r>
        <w:rPr>
          <w:sz w:val="20"/>
        </w:rPr>
        <w:t xml:space="preserve"> (see App States).</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- 320px fixed sticky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No scan yet</w:t>
            </w:r>
          </w:p>
        </w:tc>
        <w:tc>
          <w:tcPr>
            <w:tcW w:type="dxa" w:w="4703"/>
            <w:vAlign w:val="center"/>
          </w:tcPr>
          <w:p>
            <w:pPr>
              <w:jc w:val="left"/>
            </w:pPr>
            <w:r>
              <w:rPr>
                <w:sz w:val="18"/>
              </w:rPr>
              <w:t>Empty state illustration + CTA. Tab strip disabled.</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Progress view shown. Tab strip disabled. Adaptive polling: starts 2s, backs off to 5s after 20s, to 10s after 60s. </w:t>
            </w:r>
            <w:r>
              <w:rPr>
                <w:rFonts w:ascii="Courier New" w:hAnsi="Courier New"/>
                <w:color w:val="8B0000"/>
                <w:sz w:val="18"/>
              </w:rPr>
              <w:t>clearInterval</w:t>
            </w:r>
            <w:r>
              <w:rPr>
                <w:sz w:val="18"/>
              </w:rPr>
              <w:t xml:space="preserve"> on Completed/Failed.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after scan runs</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 The LWC recalculates score live from the in-memory findings array for instant feedback when an admin changes a finding status to Remediated or False Positive within the current session - but the stored values persist.</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utility:steps</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utility:question_mark</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pPr>
        <w:pStyle w:val="Heading3"/>
      </w:pPr>
      <w:r>
        <w:t>Left Panel (Persistent, 320px)</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w:t>
      </w:r>
    </w:p>
    <w:p>
      <w:pPr>
        <w:pStyle w:val="ListBullet"/>
      </w:pPr>
      <w:r>
        <w:rPr>
          <w:b/>
          <w:sz w:val="20"/>
        </w:rPr>
        <w:t>Quick Stats</w:t>
      </w:r>
      <w:r>
        <w:rPr>
          <w:sz w:val="20"/>
        </w:rPr>
        <w:t>: 3-tile grid - Open / Critical / Pending Recommendations. Each clickable.</w:t>
      </w:r>
    </w:p>
    <w:p>
      <w:pPr>
        <w:pStyle w:val="ListBullet"/>
      </w:pPr>
      <w:r>
        <w:rPr>
          <w:b/>
          <w:sz w:val="20"/>
        </w:rPr>
        <w:t>Trend vs Previous</w:t>
      </w:r>
      <w:r>
        <w:rPr>
          <w:sz w:val="20"/>
        </w:rPr>
        <w:t>: Table comparing this scan vs last, delta arrows color-coded.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Each cell: SLDS icon + name + count badge</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across name, description, component</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Paginated: 100 findings per page, "Load More" button at bottom</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Row actions: View Details, Acknowledge, Mark Remediated, Mark False Positive, Accept Risk</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if:true/false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r>
        <w:rPr>
          <w:b/>
          <w:sz w:val="20"/>
        </w:rPr>
        <w:t>Header:</w:t>
      </w:r>
      <w:r>
        <w:rPr>
          <w:sz w:val="20"/>
        </w:rPr>
        <w:t xml:space="preserve"> Close X | Prev/Next navigation "Finding 3 of 47" | Check Name | Severity badge | Type pill</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Truncated at 300 chars with "Read more" expander.</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with allowed next-states (state machine enforced)</w:t>
      </w:r>
    </w:p>
    <w:p>
      <w:pPr>
        <w:pStyle w:val="ListBullet"/>
      </w:pPr>
      <w:r>
        <w:rPr>
          <w:sz w:val="20"/>
        </w:rPr>
        <w:t>Note field (required for Risk Accepted and False Positive)</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if:true/false</w:t>
      </w:r>
      <w:r>
        <w:rPr>
          <w:sz w:val="20"/>
        </w:rPr>
        <w:t xml:space="preserve"> conditional rendering. </w:t>
      </w:r>
      <w:r>
        <w:rPr>
          <w:rFonts w:ascii="Courier New" w:hAnsi="Courier New"/>
          <w:color w:val="8B0000"/>
          <w:sz w:val="20"/>
        </w:rPr>
        <w:t>if:true/false</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2"/>
      </w:pPr>
      <w:r>
        <w:t>LWC Shared Constants Module</w:t>
      </w:r>
    </w:p>
    <w:p>
      <w:r>
        <w:rPr>
          <w:b/>
          <w:sz w:val="20"/>
        </w:rPr>
        <w:t>`secScanConstants` (LWC utility module, no template)</w:t>
      </w:r>
      <w:r>
        <w:rPr>
          <w:sz w:val="20"/>
        </w:rPr>
        <w:t xml:space="preserve"> - single source of truth for all string constants used across LWC components. Prevents magic strings scattered across 15 components.</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
      <w:r>
        <w:rPr>
          <w:sz w:val="20"/>
        </w:rPr>
        <w:t>All LWC components import from this module. No picklist value string is ever repeated inline.</w:t>
      </w:r>
    </w:p>
    <w:p>
      <w:pPr>
        <w:pBdr>
          <w:bottom w:val="single" w:sz="6" w:space="1" w:color="2E74B5"/>
        </w:pBdr>
      </w:pPr>
    </w:p>
    <w:p>
      <w:pPr>
        <w:pStyle w:val="Heading2"/>
      </w:pPr>
      <w:r>
        <w:t>LWC Component Architecture (v1 - 16 Components)</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Event</w:t>
            </w:r>
          </w:p>
        </w:tc>
        <w:tc>
          <w:tcPr>
            <w:tcW w:type="dxa" w:w="3135"/>
            <w:vAlign w:val="center"/>
            <w:shd w:val="clear" w:color="auto" w:fill="1F3864"/>
          </w:tcPr>
          <w:p>
            <w:pPr>
              <w:jc w:val="left"/>
            </w:pPr>
            <w:r>
              <w:rPr>
                <w:b/>
                <w:color w:val="FFFFFF"/>
                <w:sz w:val="18"/>
              </w:rPr>
              <w:t>Fired By</w:t>
            </w:r>
          </w:p>
        </w:tc>
        <w:tc>
          <w:tcPr>
            <w:tcW w:type="dxa" w:w="3135"/>
            <w:vAlign w:val="center"/>
            <w:shd w:val="clear" w:color="auto" w:fill="1F3864"/>
          </w:tcPr>
          <w:p>
            <w:pPr>
              <w:jc w:val="left"/>
            </w:pPr>
            <w:r>
              <w:rPr>
                <w:b/>
                <w:color w:val="FFFFFF"/>
                <w:sz w:val="18"/>
              </w:rPr>
              <w:t>Payload</w:t>
            </w:r>
          </w:p>
        </w:tc>
      </w:tr>
      <w:tr>
        <w:tc>
          <w:tcPr>
            <w:tcW w:type="dxa" w:w="3135"/>
            <w:vAlign w:val="center"/>
          </w:tcPr>
          <w:p>
            <w:pPr>
              <w:jc w:val="left"/>
            </w:pPr>
            <w:r>
              <w:rPr>
                <w:rFonts w:ascii="Courier New" w:hAnsi="Courier New"/>
                <w:color w:val="8B0000"/>
                <w:sz w:val="18"/>
              </w:rPr>
              <w:t>runscan</w:t>
            </w:r>
          </w:p>
        </w:tc>
        <w:tc>
          <w:tcPr>
            <w:tcW w:type="dxa" w:w="3135"/>
            <w:vAlign w:val="center"/>
          </w:tcPr>
          <w:p>
            <w:pPr>
              <w:jc w:val="left"/>
            </w:pPr>
            <w:r>
              <w:rPr>
                <w:sz w:val="18"/>
              </w:rPr>
              <w:t>securityScannerHeader</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filterchange</w:t>
            </w:r>
          </w:p>
        </w:tc>
        <w:tc>
          <w:tcPr>
            <w:tcW w:type="dxa" w:w="3135"/>
            <w:vAlign w:val="center"/>
          </w:tcPr>
          <w:p>
            <w:pPr>
              <w:jc w:val="left"/>
            </w:pPr>
            <w:r>
              <w:rPr>
                <w:sz w:val="18"/>
              </w:rPr>
              <w:t>securityFilterBar</w:t>
            </w:r>
          </w:p>
        </w:tc>
        <w:tc>
          <w:tcPr>
            <w:tcW w:type="dxa" w:w="3135"/>
            <w:vAlign w:val="center"/>
          </w:tcPr>
          <w:p>
            <w:pPr>
              <w:jc w:val="left"/>
            </w:pPr>
            <w:r>
              <w:rPr>
                <w:rFonts w:ascii="Courier New" w:hAnsi="Courier New"/>
                <w:color w:val="8B0000"/>
                <w:sz w:val="18"/>
              </w:rPr>
              <w:t>{ filters }</w:t>
            </w:r>
          </w:p>
        </w:tc>
      </w:tr>
      <w:tr>
        <w:tc>
          <w:tcPr>
            <w:tcW w:type="dxa" w:w="3135"/>
            <w:vAlign w:val="center"/>
          </w:tcPr>
          <w:p>
            <w:pPr>
              <w:jc w:val="left"/>
            </w:pPr>
            <w:r>
              <w:rPr>
                <w:rFonts w:ascii="Courier New" w:hAnsi="Courier New"/>
                <w:color w:val="8B0000"/>
                <w:sz w:val="18"/>
              </w:rPr>
              <w:t>findingselect</w:t>
            </w:r>
          </w:p>
        </w:tc>
        <w:tc>
          <w:tcPr>
            <w:tcW w:type="dxa" w:w="3135"/>
            <w:vAlign w:val="center"/>
          </w:tcPr>
          <w:p>
            <w:pPr>
              <w:jc w:val="left"/>
            </w:pPr>
            <w:r>
              <w:rPr>
                <w:sz w:val="18"/>
              </w:rPr>
              <w:t>securityFindingsList</w:t>
            </w:r>
          </w:p>
        </w:tc>
        <w:tc>
          <w:tcPr>
            <w:tcW w:type="dxa" w:w="3135"/>
            <w:vAlign w:val="center"/>
          </w:tcPr>
          <w:p>
            <w:pPr>
              <w:jc w:val="left"/>
            </w:pPr>
            <w:r>
              <w:rPr>
                <w:rFonts w:ascii="Courier New" w:hAnsi="Courier New"/>
                <w:color w:val="8B0000"/>
                <w:sz w:val="18"/>
              </w:rPr>
              <w:t>{ findingId }</w:t>
            </w:r>
          </w:p>
        </w:tc>
      </w:tr>
      <w:tr>
        <w:tc>
          <w:tcPr>
            <w:tcW w:type="dxa" w:w="3135"/>
            <w:vAlign w:val="center"/>
          </w:tcPr>
          <w:p>
            <w:pPr>
              <w:jc w:val="left"/>
            </w:pPr>
            <w:r>
              <w:rPr>
                <w:rFonts w:ascii="Courier New" w:hAnsi="Courier New"/>
                <w:color w:val="8B0000"/>
                <w:sz w:val="18"/>
              </w:rPr>
              <w:t>categoryselect</w:t>
            </w:r>
          </w:p>
        </w:tc>
        <w:tc>
          <w:tcPr>
            <w:tcW w:type="dxa" w:w="3135"/>
            <w:vAlign w:val="center"/>
          </w:tcPr>
          <w:p>
            <w:pPr>
              <w:jc w:val="left"/>
            </w:pPr>
            <w:r>
              <w:rPr>
                <w:sz w:val="18"/>
              </w:rPr>
              <w:t>securityCategoryHeatmap</w:t>
            </w:r>
          </w:p>
        </w:tc>
        <w:tc>
          <w:tcPr>
            <w:tcW w:type="dxa" w:w="3135"/>
            <w:vAlign w:val="center"/>
          </w:tcPr>
          <w:p>
            <w:pPr>
              <w:jc w:val="left"/>
            </w:pPr>
            <w:r>
              <w:rPr>
                <w:rFonts w:ascii="Courier New" w:hAnsi="Courier New"/>
                <w:color w:val="8B0000"/>
                <w:sz w:val="18"/>
              </w:rPr>
              <w:t>{ categoryName }</w:t>
            </w:r>
          </w:p>
        </w:tc>
      </w:tr>
      <w:tr>
        <w:tc>
          <w:tcPr>
            <w:tcW w:type="dxa" w:w="3135"/>
            <w:vAlign w:val="center"/>
          </w:tcPr>
          <w:p>
            <w:pPr>
              <w:jc w:val="left"/>
            </w:pPr>
            <w:r>
              <w:rPr>
                <w:rFonts w:ascii="Courier New" w:hAnsi="Courier New"/>
                <w:color w:val="8B0000"/>
                <w:sz w:val="18"/>
              </w:rPr>
              <w:t>severityfilterselect</w:t>
            </w:r>
          </w:p>
        </w:tc>
        <w:tc>
          <w:tcPr>
            <w:tcW w:type="dxa" w:w="3135"/>
            <w:vAlign w:val="center"/>
          </w:tcPr>
          <w:p>
            <w:pPr>
              <w:jc w:val="left"/>
            </w:pPr>
            <w:r>
              <w:rPr>
                <w:sz w:val="18"/>
              </w:rPr>
              <w:t>securitySeverityBreakdown</w:t>
            </w:r>
          </w:p>
        </w:tc>
        <w:tc>
          <w:tcPr>
            <w:tcW w:type="dxa" w:w="3135"/>
            <w:vAlign w:val="center"/>
          </w:tcPr>
          <w:p>
            <w:pPr>
              <w:jc w:val="left"/>
            </w:pPr>
            <w:r>
              <w:rPr>
                <w:rFonts w:ascii="Courier New" w:hAnsi="Courier New"/>
                <w:color w:val="8B0000"/>
                <w:sz w:val="18"/>
              </w:rPr>
              <w:t>{ severity }</w:t>
            </w:r>
          </w:p>
        </w:tc>
      </w:tr>
      <w:tr>
        <w:tc>
          <w:tcPr>
            <w:tcW w:type="dxa" w:w="3135"/>
            <w:vAlign w:val="center"/>
          </w:tcPr>
          <w:p>
            <w:pPr>
              <w:jc w:val="left"/>
            </w:pPr>
            <w:r>
              <w:rPr>
                <w:rFonts w:ascii="Courier New" w:hAnsi="Courier New"/>
                <w:color w:val="8B0000"/>
                <w:sz w:val="18"/>
              </w:rPr>
              <w:t>statuschange</w:t>
            </w:r>
          </w:p>
        </w:tc>
        <w:tc>
          <w:tcPr>
            <w:tcW w:type="dxa" w:w="3135"/>
            <w:vAlign w:val="center"/>
          </w:tcPr>
          <w:p>
            <w:pPr>
              <w:jc w:val="left"/>
            </w:pPr>
            <w:r>
              <w:rPr>
                <w:sz w:val="18"/>
              </w:rPr>
              <w:t>securityFindingDetail</w:t>
            </w:r>
          </w:p>
        </w:tc>
        <w:tc>
          <w:tcPr>
            <w:tcW w:type="dxa" w:w="3135"/>
            <w:vAlign w:val="center"/>
          </w:tcPr>
          <w:p>
            <w:pPr>
              <w:jc w:val="left"/>
            </w:pPr>
            <w:r>
              <w:rPr>
                <w:rFonts w:ascii="Courier New" w:hAnsi="Courier New"/>
                <w:color w:val="8B0000"/>
                <w:sz w:val="18"/>
              </w:rPr>
              <w:t>{ findingId, newStatus, note }</w:t>
            </w:r>
          </w:p>
        </w:tc>
      </w:tr>
      <w:tr>
        <w:tc>
          <w:tcPr>
            <w:tcW w:type="dxa" w:w="3135"/>
            <w:vAlign w:val="center"/>
          </w:tcPr>
          <w:p>
            <w:pPr>
              <w:jc w:val="left"/>
            </w:pPr>
            <w:r>
              <w:rPr>
                <w:rFonts w:ascii="Courier New" w:hAnsi="Courier New"/>
                <w:color w:val="8B0000"/>
                <w:sz w:val="18"/>
              </w:rPr>
              <w:t>closedetail</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viewhistoricalscan</w:t>
            </w:r>
          </w:p>
        </w:tc>
        <w:tc>
          <w:tcPr>
            <w:tcW w:type="dxa" w:w="3135"/>
            <w:vAlign w:val="center"/>
          </w:tcPr>
          <w:p>
            <w:pPr>
              <w:jc w:val="left"/>
            </w:pPr>
            <w:r>
              <w:rPr>
                <w:sz w:val="18"/>
              </w:rPr>
              <w:t>securityScanHistory</w:t>
            </w:r>
          </w:p>
        </w:tc>
        <w:tc>
          <w:tcPr>
            <w:tcW w:type="dxa" w:w="3135"/>
            <w:vAlign w:val="center"/>
          </w:tcPr>
          <w:p>
            <w:pPr>
              <w:jc w:val="left"/>
            </w:pPr>
            <w:r>
              <w:rPr>
                <w:rFonts w:ascii="Courier New" w:hAnsi="Courier New"/>
                <w:color w:val="8B0000"/>
                <w:sz w:val="18"/>
              </w:rPr>
              <w:t>{ scanRunId }</w:t>
            </w:r>
          </w:p>
        </w:tc>
      </w:tr>
      <w:tr>
        <w:tc>
          <w:tcPr>
            <w:tcW w:type="dxa" w:w="3135"/>
            <w:vAlign w:val="center"/>
          </w:tcPr>
          <w:p>
            <w:pPr>
              <w:jc w:val="left"/>
            </w:pPr>
            <w:r>
              <w:rPr>
                <w:rFonts w:ascii="Courier New" w:hAnsi="Courier New"/>
                <w:color w:val="8B0000"/>
                <w:sz w:val="18"/>
              </w:rPr>
              <w:t>returntocurrentscan</w:t>
            </w:r>
          </w:p>
        </w:tc>
        <w:tc>
          <w:tcPr>
            <w:tcW w:type="dxa" w:w="3135"/>
            <w:vAlign w:val="center"/>
          </w:tcPr>
          <w:p>
            <w:pPr>
              <w:jc w:val="left"/>
            </w:pPr>
            <w:r>
              <w:rPr>
                <w:sz w:val="18"/>
              </w:rPr>
              <w:t>securityLeftPanel</w:t>
            </w:r>
          </w:p>
        </w:tc>
        <w:tc>
          <w:tcPr>
            <w:tcW w:type="dxa" w:w="3135"/>
            <w:vAlign w:val="center"/>
          </w:tcPr>
          <w:p>
            <w:pPr>
              <w:jc w:val="left"/>
            </w:pPr>
            <w:r>
              <w:rPr>
                <w:sz w:val="18"/>
              </w:rPr>
              <w:t>none</w:t>
            </w:r>
          </w:p>
        </w:tc>
      </w:tr>
    </w:tbl>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runSecurityScan),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runSecurityScan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runSecurityScan()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w:t>
      </w:r>
      <w:r>
        <w:rPr>
          <w:rFonts w:ascii="Courier New" w:hAnsi="Courier New"/>
          <w:color w:val="8B0000"/>
          <w:sz w:val="20"/>
        </w:rPr>
        <w:t>{ isSandbox: Boolean, orgId: String, orgName: String }</w:t>
      </w:r>
      <w:r>
        <w:rPr>
          <w:sz w:val="20"/>
        </w:rPr>
        <w:t>. Org type does not change mid-session. Called on LWC init to drive production warning modal and persistent banner.</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isPartialScan }</w:t>
      </w:r>
      <w:r>
        <w:rPr>
          <w:sz w:val="20"/>
        </w:rPr>
        <w:t xml:space="preserve">. </w:t>
      </w:r>
      <w:r>
        <w:rPr>
          <w:rFonts w:ascii="Courier New" w:hAnsi="Courier New"/>
          <w:color w:val="8B0000"/>
          <w:sz w:val="20"/>
        </w:rPr>
        <w:t>SecScanApiResponse</w:t>
      </w:r>
      <w:r>
        <w:rPr>
          <w:sz w:val="20"/>
        </w:rPr>
        <w:t>.</w:t>
      </w:r>
    </w:p>
    <w:p>
      <w:pPr>
        <w:pStyle w:val="ListBullet"/>
      </w:pPr>
      <w:r>
        <w:rPr>
          <w:rFonts w:ascii="Courier New" w:hAnsi="Courier New"/>
          <w:color w:val="8B0000"/>
          <w:sz w:val="20"/>
        </w:rPr>
        <w:t>cancelScan(String scanRunId)</w:t>
      </w:r>
      <w:r>
        <w:rPr>
          <w:sz w:val="20"/>
        </w:rPr>
        <w:t xml:space="preserve"> - NOT cacheable (mutation).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Returns updated record.</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Returns count. (200 was wrong - that is the trigger chunk size, not the DML row limit. Salesforce synchronous DML supports up to 10,000 rows. 5,000 is a practical LWC payload ceiling to avoid HTTP timeout on very large selections.)</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sz w:val="18"/>
              </w:rPr>
              <w:t>Production confirmation is LWC-side only</w:t>
            </w:r>
          </w:p>
        </w:tc>
        <w:tc>
          <w:tcPr>
            <w:tcW w:type="dxa" w:w="3135"/>
            <w:vAlign w:val="center"/>
          </w:tcPr>
          <w:p>
            <w:pPr>
              <w:jc w:val="left"/>
            </w:pPr>
            <w:r>
              <w:rPr>
                <w:rFonts w:ascii="Courier New" w:hAnsi="Courier New"/>
                <w:color w:val="8B0000"/>
                <w:sz w:val="18"/>
              </w:rPr>
              <w:t>startScan()</w:t>
            </w:r>
            <w:r>
              <w:rPr>
                <w:sz w:val="18"/>
              </w:rPr>
              <w:t xml:space="preserve"> via API (Execute Anonymous, external tools) skips the modal - no server-side block on scanning production</w:t>
            </w:r>
          </w:p>
        </w:tc>
        <w:tc>
          <w:tcPr>
            <w:tcW w:type="dxa" w:w="3135"/>
            <w:vAlign w:val="center"/>
          </w:tcPr>
          <w:p>
            <w:pPr>
              <w:jc w:val="left"/>
            </w:pPr>
            <w:r>
              <w:rPr>
                <w:sz w:val="18"/>
              </w:rPr>
              <w:t xml:space="preserve">Acceptable for v1: app is admin-only, scan is read-only. v2: add an opt-in </w:t>
            </w:r>
            <w:r>
              <w:rPr>
                <w:rFonts w:ascii="Courier New" w:hAnsi="Courier New"/>
                <w:color w:val="8B0000"/>
                <w:sz w:val="18"/>
              </w:rPr>
              <w:t>AllowProductionScan__c</w:t>
            </w:r>
            <w:r>
              <w:rPr>
                <w:sz w:val="18"/>
              </w:rPr>
              <w:t xml:space="preserve"> checkbox to </w:t>
            </w:r>
            <w:r>
              <w:rPr>
                <w:rFonts w:ascii="Courier New" w:hAnsi="Courier New"/>
                <w:color w:val="8B0000"/>
                <w:sz w:val="18"/>
              </w:rPr>
              <w:t>OrgSecurityScanner_Setting__mdt</w:t>
            </w:r>
            <w:r>
              <w:rPr>
                <w:sz w:val="18"/>
              </w:rPr>
              <w:t xml:space="preserve"> that </w:t>
            </w:r>
            <w:r>
              <w:rPr>
                <w:rFonts w:ascii="Courier New" w:hAnsi="Courier New"/>
                <w:color w:val="8B0000"/>
                <w:sz w:val="18"/>
              </w:rPr>
              <w:t>startScan()</w:t>
            </w:r>
            <w:r>
              <w:rPr>
                <w:sz w:val="18"/>
              </w:rPr>
              <w:t xml:space="preserve"> checks server-side.</w:t>
            </w:r>
          </w:p>
        </w:tc>
      </w:tr>
      <w:tr>
        <w:tc>
          <w:tcPr>
            <w:tcW w:type="dxa" w:w="3135"/>
            <w:vAlign w:val="center"/>
          </w:tcPr>
          <w:p>
            <w:pPr>
              <w:jc w:val="left"/>
            </w:pPr>
            <w:r>
              <w:rPr>
                <w:rFonts w:ascii="Courier New" w:hAnsi="Courier New"/>
                <w:color w:val="8B0000"/>
                <w:sz w:val="18"/>
              </w:rPr>
              <w:t>SeverityRank__c</w:t>
            </w:r>
            <w:r>
              <w:rPr>
                <w:sz w:val="18"/>
              </w:rPr>
              <w:t xml:space="preserve"> is a Formula field (not indexed)</w:t>
            </w:r>
          </w:p>
        </w:tc>
        <w:tc>
          <w:tcPr>
            <w:tcW w:type="dxa" w:w="3135"/>
            <w:vAlign w:val="center"/>
          </w:tcPr>
          <w:p>
            <w:pPr>
              <w:jc w:val="left"/>
            </w:pPr>
            <w:r>
              <w:rPr>
                <w:sz w:val="18"/>
              </w:rPr>
              <w:t xml:space="preserve">KEYSET pagination sorts on </w:t>
            </w:r>
            <w:r>
              <w:rPr>
                <w:rFonts w:ascii="Courier New" w:hAnsi="Courier New"/>
                <w:color w:val="8B0000"/>
                <w:sz w:val="18"/>
              </w:rPr>
              <w:t>SeverityRank__c ASC, Id ASC</w:t>
            </w:r>
            <w:r>
              <w:rPr>
                <w:sz w:val="18"/>
              </w:rPr>
              <w:t xml:space="preserve"> - formula fields cannot have a custom Salesforce index; Salesforce cannot index computed columns. At sandbox volumes (hundreds of findings per run) this is imperceptible. At 10,000+ findings per run the sort may slow.</w:t>
            </w:r>
          </w:p>
        </w:tc>
        <w:tc>
          <w:tcPr>
            <w:tcW w:type="dxa" w:w="3135"/>
            <w:vAlign w:val="center"/>
          </w:tcPr>
          <w:p>
            <w:pPr>
              <w:jc w:val="left"/>
            </w:pPr>
            <w:r>
              <w:rPr>
                <w:sz w:val="18"/>
              </w:rPr>
              <w:t xml:space="preserve">v2: replace with a physical </w:t>
            </w:r>
            <w:r>
              <w:rPr>
                <w:rFonts w:ascii="Courier New" w:hAnsi="Courier New"/>
                <w:color w:val="8B0000"/>
                <w:sz w:val="18"/>
              </w:rPr>
              <w:t>Number(1,0)</w:t>
            </w:r>
            <w:r>
              <w:rPr>
                <w:sz w:val="18"/>
              </w:rPr>
              <w:t xml:space="preserve"> field populated by </w:t>
            </w:r>
            <w:r>
              <w:rPr>
                <w:rFonts w:ascii="Courier New" w:hAnsi="Courier New"/>
                <w:color w:val="8B0000"/>
                <w:sz w:val="18"/>
              </w:rPr>
              <w:t>buildFinding()</w:t>
            </w:r>
            <w:r>
              <w:rPr>
                <w:sz w:val="18"/>
              </w:rPr>
              <w:t xml:space="preserve"> - this can receive a custom index. Keep the formula field as a read-only UI convenience.</w:t>
            </w: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10+ min</w:t>
            </w:r>
          </w:p>
        </w:tc>
        <w:tc>
          <w:tcPr>
            <w:tcW w:type="dxa" w:w="2351"/>
            <w:vAlign w:val="center"/>
          </w:tcPr>
          <w:p>
            <w:pPr>
              <w:jc w:val="left"/>
            </w:pPr>
            <w:r>
              <w:rPr>
                <w:sz w:val="18"/>
              </w:rPr>
              <w:t xml:space="preserve">Banner: "Scan failed - session expired. Re-run the scan."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Named Credential (v2) eliminates this.</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bl>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