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media/image4.wmf" ContentType="image/x-wmf"/>
  <Override PartName="/word/media/image3.wmf" ContentType="image/x-wmf"/>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rFonts w:cs="Times New Roman" w:ascii="Times New Roman" w:hAnsi="Times New Roman"/>
          <w:b/>
          <w:sz w:val="28"/>
          <w:szCs w:val="28"/>
        </w:rPr>
        <w:t>Propositions de tests de sensibilités sur l'AMS ajusté</w:t>
      </w:r>
      <w:r/>
    </w:p>
    <w:p>
      <w:pPr>
        <w:pStyle w:val="Normal"/>
        <w:jc w:val="center"/>
      </w:pPr>
      <w:r>
        <w:rPr>
          <w:rFonts w:cs="Times New Roman" w:ascii="Times New Roman" w:hAnsi="Times New Roman"/>
          <w:b/>
          <w:sz w:val="28"/>
          <w:szCs w:val="28"/>
        </w:rPr>
        <w:t>+Modélisation dans le modèle tertiaire</w:t>
      </w:r>
      <w:r/>
    </w:p>
    <w:p>
      <w:pPr>
        <w:pStyle w:val="Normal"/>
        <w:jc w:val="both"/>
        <w:rPr>
          <w:rFonts w:ascii="Times New Roman" w:hAnsi="Times New Roman" w:cs="Times New Roman"/>
        </w:rPr>
      </w:pPr>
      <w:r>
        <w:rPr>
          <w:rFonts w:cs="Times New Roman" w:ascii="Times New Roman" w:hAnsi="Times New Roman"/>
        </w:rPr>
      </w:r>
      <w:r/>
    </w:p>
    <w:p>
      <w:pPr>
        <w:pStyle w:val="Normal"/>
        <w:jc w:val="both"/>
        <w:rPr>
          <w:rFonts w:ascii="Times New Roman" w:hAnsi="Times New Roman" w:cs="Times New Roman"/>
        </w:rPr>
      </w:pPr>
      <w:r>
        <w:rPr>
          <w:rFonts w:cs="Times New Roman" w:ascii="Times New Roman" w:hAnsi="Times New Roman"/>
        </w:rPr>
      </w:r>
      <w:r/>
    </w:p>
    <w:p>
      <w:pPr>
        <w:pStyle w:val="Normal"/>
        <w:jc w:val="both"/>
        <w:rPr>
          <w:rFonts w:ascii="Times New Roman" w:hAnsi="Times New Roman" w:cs="Times New Roman"/>
        </w:rPr>
      </w:pPr>
      <w:r>
        <w:rPr>
          <w:rFonts w:cs="Times New Roman" w:ascii="Times New Roman" w:hAnsi="Times New Roman"/>
        </w:rPr>
        <w:t>Il est proposé de réaliser les tests de sensibilité seulement sur le scénario AMS ajusté, celui-ci sous-tendant la SNBC. La majorité des tests proposés visent à faire varier des paramètres de manière à impacter à la hausse la demande et/ou les émissions, afin d’évaluer l’écart par rapport à l’objectif de neutralité carbone. Quelques tests permettent de rester compatible avec la neutralité carbone grâce à des actions sur d’autres paramètres permettant l’atteinte d'un nouvel équilibre (besoins de ressources biomasse et d’électricité supplémentaires, effort supplémentaire dans d’autres secteurs, puits CCS augmenté, etc.). Seul un test permet de faire varier les paramètres de manière à impacter à la baisse la demande (test sur les leviers comportementaux : changement de comportements plus poussés).</w:t>
      </w:r>
      <w:r/>
    </w:p>
    <w:p>
      <w:pPr>
        <w:pStyle w:val="Normal"/>
        <w:jc w:val="both"/>
        <w:rPr>
          <w:b/>
          <w:b/>
          <w:rFonts w:ascii="Times New Roman" w:hAnsi="Times New Roman" w:cs="Times New Roman"/>
        </w:rPr>
      </w:pPr>
      <w:r>
        <w:rPr>
          <w:rFonts w:cs="Times New Roman" w:ascii="Times New Roman" w:hAnsi="Times New Roman"/>
          <w:b/>
        </w:rPr>
      </w:r>
      <w:r/>
    </w:p>
    <w:p>
      <w:pPr>
        <w:pStyle w:val="Normal"/>
        <w:jc w:val="both"/>
        <w:rPr>
          <w:sz w:val="28"/>
          <w:b/>
          <w:sz w:val="28"/>
          <w:b/>
          <w:szCs w:val="28"/>
          <w:rFonts w:ascii="Times New Roman" w:hAnsi="Times New Roman" w:cs="Times New Roman"/>
        </w:rPr>
      </w:pPr>
      <w:r>
        <w:rPr>
          <w:rFonts w:cs="Times New Roman" w:ascii="Times New Roman" w:hAnsi="Times New Roman"/>
          <w:b/>
          <w:sz w:val="28"/>
          <w:szCs w:val="28"/>
        </w:rPr>
        <w:t>Tests sur les paramètres macro-économiques</w:t>
      </w:r>
      <w:r/>
    </w:p>
    <w:p>
      <w:pPr>
        <w:pStyle w:val="NoSpacing"/>
        <w:jc w:val="both"/>
        <w:rPr/>
      </w:pPr>
      <w:r>
        <w:rPr/>
      </w:r>
      <w:r/>
    </w:p>
    <w:p>
      <w:pPr>
        <w:pStyle w:val="Normal"/>
        <w:jc w:val="both"/>
        <w:rPr>
          <w:b/>
          <w:b/>
          <w:rFonts w:ascii="Times New Roman" w:hAnsi="Times New Roman" w:cs="Times New Roman"/>
        </w:rPr>
      </w:pPr>
      <w:r>
        <w:rPr>
          <w:rFonts w:cs="Times New Roman" w:ascii="Times New Roman" w:hAnsi="Times New Roman"/>
          <w:b/>
          <w:shd w:fill="FFFF00" w:val="clear"/>
        </w:rPr>
        <w:t>1. Prix des énergies fossiles importées</w:t>
      </w:r>
      <w:r/>
    </w:p>
    <w:p>
      <w:pPr>
        <w:pStyle w:val="Normal"/>
        <w:jc w:val="both"/>
        <w:rPr>
          <w:rFonts w:ascii="Times New Roman" w:hAnsi="Times New Roman" w:cs="Times New Roman"/>
        </w:rPr>
      </w:pPr>
      <w:r>
        <w:rPr>
          <w:rFonts w:cs="Times New Roman" w:ascii="Times New Roman" w:hAnsi="Times New Roman"/>
          <w:b/>
        </w:rPr>
        <w:t xml:space="preserve">Test de sensibilité : </w:t>
      </w:r>
      <w:r>
        <w:rPr>
          <w:rFonts w:cs="Times New Roman" w:ascii="Times New Roman" w:hAnsi="Times New Roman"/>
        </w:rPr>
        <w:t>on applique une baisse de 25 % à la chronique de prix des énergies fossiles importées du scénario AMS ajusté.</w:t>
      </w:r>
      <w:r/>
    </w:p>
    <w:p>
      <w:pPr>
        <w:pStyle w:val="Normal"/>
        <w:jc w:val="both"/>
        <w:rPr>
          <w:b/>
          <w:b/>
          <w:rFonts w:ascii="Times New Roman" w:hAnsi="Times New Roman" w:cs="Times New Roman"/>
        </w:rPr>
      </w:pPr>
      <w:r>
        <w:rPr/>
        <w:drawing>
          <wp:inline distT="0" distB="0" distL="0" distR="0">
            <wp:extent cx="5760720" cy="111506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760720" cy="1115060"/>
                    </a:xfrm>
                    <a:prstGeom prst="rect">
                      <a:avLst/>
                    </a:prstGeom>
                    <a:noFill/>
                    <a:ln w="9525">
                      <a:noFill/>
                      <a:miter lim="800000"/>
                      <a:headEnd/>
                      <a:tailEnd/>
                    </a:ln>
                  </pic:spPr>
                </pic:pic>
              </a:graphicData>
            </a:graphic>
          </wp:inline>
        </w:drawing>
      </w:r>
      <w:r/>
    </w:p>
    <w:p>
      <w:pPr>
        <w:pStyle w:val="Normal"/>
        <w:jc w:val="both"/>
        <w:rPr>
          <w:b/>
          <w:b/>
          <w:rFonts w:ascii="Times New Roman" w:hAnsi="Times New Roman" w:cs="Times New Roman"/>
        </w:rPr>
      </w:pPr>
      <w:r>
        <w:rPr>
          <w:rFonts w:cs="Times New Roman" w:ascii="Times New Roman" w:hAnsi="Times New Roman"/>
          <w:b/>
        </w:rPr>
        <w:t>Modélisation dans le modèle tertiaire:</w:t>
      </w:r>
      <w:r/>
    </w:p>
    <w:p>
      <w:pPr>
        <w:pStyle w:val="Normal"/>
        <w:jc w:val="both"/>
        <w:rPr>
          <w:b/>
          <w:b/>
          <w:rFonts w:ascii="Times New Roman" w:hAnsi="Times New Roman" w:cs="Times New Roman"/>
        </w:rPr>
      </w:pPr>
      <w:r>
        <w:rPr>
          <w:rFonts w:cs="Times New Roman" w:ascii="Times New Roman" w:hAnsi="Times New Roman"/>
          <w:b/>
        </w:rPr>
        <w:t>On recalcule les prix HTVA en appliquant les tcam du test aux pour le pétrôle et le gaz aux coûts d’approvisionnement. On converse les autres coûts (distribution, commercialisation, fiscalité) de l’AMS</w:t>
      </w:r>
      <w:r/>
    </w:p>
    <w:p>
      <w:pPr>
        <w:pStyle w:val="Normal"/>
        <w:jc w:val="both"/>
        <w:rPr>
          <w:b/>
          <w:b/>
          <w:rFonts w:ascii="Times New Roman" w:hAnsi="Times New Roman" w:cs="Times New Roman"/>
        </w:rPr>
      </w:pPr>
      <w:r>
        <w:rPr>
          <w:rFonts w:cs="Times New Roman" w:ascii="Times New Roman" w:hAnsi="Times New Roman"/>
          <w:b/>
        </w:rPr>
      </w:r>
      <w:r/>
    </w:p>
    <w:p>
      <w:pPr>
        <w:pStyle w:val="Normal"/>
        <w:jc w:val="both"/>
        <w:rPr>
          <w:b/>
          <w:b/>
          <w:rFonts w:ascii="Times New Roman" w:hAnsi="Times New Roman" w:cs="Times New Roman"/>
        </w:rPr>
      </w:pPr>
      <w:r>
        <w:rPr>
          <w:rFonts w:cs="Times New Roman" w:ascii="Times New Roman" w:hAnsi="Times New Roman"/>
          <w:b/>
        </w:rPr>
        <w:t>2. PIB</w:t>
      </w:r>
      <w:r/>
    </w:p>
    <w:p>
      <w:pPr>
        <w:pStyle w:val="Normal"/>
        <w:jc w:val="both"/>
        <w:rPr>
          <w:rFonts w:ascii="Times New Roman" w:hAnsi="Times New Roman" w:cs="Times New Roman"/>
        </w:rPr>
      </w:pPr>
      <w:r>
        <w:rPr>
          <w:rFonts w:cs="Times New Roman" w:ascii="Times New Roman" w:hAnsi="Times New Roman"/>
          <w:b/>
        </w:rPr>
        <w:t xml:space="preserve">Test de sensibilité : </w:t>
      </w:r>
      <w:r>
        <w:rPr>
          <w:rFonts w:cs="Times New Roman" w:ascii="Times New Roman" w:hAnsi="Times New Roman"/>
        </w:rPr>
        <w:t>croissance du PIB constante à 1,7% par an jusqu’en 2030, puis 2% par an jusqu’en 2050</w:t>
      </w:r>
      <w:r/>
    </w:p>
    <w:p>
      <w:pPr>
        <w:pStyle w:val="Normal"/>
        <w:jc w:val="both"/>
        <w:rPr>
          <w:rFonts w:ascii="Times New Roman" w:hAnsi="Times New Roman" w:cs="Times New Roman"/>
        </w:rPr>
      </w:pPr>
      <w:r>
        <w:rPr/>
        <w:drawing>
          <wp:inline distT="0" distB="0" distL="0" distR="0">
            <wp:extent cx="5760720" cy="37274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760720" cy="372745"/>
                    </a:xfrm>
                    <a:prstGeom prst="rect">
                      <a:avLst/>
                    </a:prstGeom>
                    <a:noFill/>
                    <a:ln w="9525">
                      <a:noFill/>
                      <a:miter lim="800000"/>
                      <a:headEnd/>
                      <a:tailEnd/>
                    </a:ln>
                  </pic:spPr>
                </pic:pic>
              </a:graphicData>
            </a:graphic>
          </wp:inline>
        </w:drawing>
      </w:r>
      <w:r/>
    </w:p>
    <w:p>
      <w:pPr>
        <w:pStyle w:val="Normal"/>
        <w:jc w:val="both"/>
        <w:rPr>
          <w:rFonts w:ascii="Times New Roman" w:hAnsi="Times New Roman" w:cs="Times New Roman"/>
        </w:rPr>
      </w:pPr>
      <w:r>
        <w:rPr>
          <w:rFonts w:cs="Times New Roman" w:ascii="Times New Roman" w:hAnsi="Times New Roman"/>
        </w:rPr>
      </w:r>
      <w:r/>
    </w:p>
    <w:p>
      <w:pPr>
        <w:pStyle w:val="Normal"/>
        <w:jc w:val="both"/>
        <w:rPr>
          <w:b/>
          <w:b/>
          <w:rFonts w:ascii="Times New Roman" w:hAnsi="Times New Roman" w:cs="Times New Roman"/>
        </w:rPr>
      </w:pPr>
      <w:r>
        <w:rPr>
          <w:rFonts w:cs="Times New Roman" w:ascii="Times New Roman" w:hAnsi="Times New Roman"/>
          <w:b/>
          <w:shd w:fill="FFFF00" w:val="clear"/>
        </w:rPr>
        <w:t>3. Démographie</w:t>
      </w:r>
      <w:r/>
    </w:p>
    <w:p>
      <w:pPr>
        <w:pStyle w:val="Normal"/>
        <w:jc w:val="both"/>
        <w:rPr>
          <w:rFonts w:ascii="Times New Roman" w:hAnsi="Times New Roman" w:cs="Times New Roman"/>
        </w:rPr>
      </w:pPr>
      <w:r>
        <w:rPr>
          <w:rFonts w:cs="Times New Roman" w:ascii="Times New Roman" w:hAnsi="Times New Roman"/>
          <w:b/>
        </w:rPr>
        <w:t xml:space="preserve">Test de sensibilité : </w:t>
      </w:r>
      <w:r>
        <w:rPr>
          <w:rFonts w:cs="Times New Roman" w:ascii="Times New Roman" w:hAnsi="Times New Roman"/>
        </w:rPr>
        <w:t>hypothèses démographiques du scénario de population haute de l’INSEE (variante haute pour la fécondité, l’espérance de vie et les migrations)</w:t>
      </w:r>
      <w:r/>
    </w:p>
    <w:p>
      <w:pPr>
        <w:pStyle w:val="Normal"/>
        <w:jc w:val="both"/>
        <w:rPr>
          <w:b/>
          <w:b/>
          <w:rFonts w:ascii="Times New Roman" w:hAnsi="Times New Roman" w:cs="Times New Roman"/>
        </w:rPr>
      </w:pPr>
      <w:r>
        <w:rPr/>
        <w:drawing>
          <wp:inline distT="0" distB="0" distL="0" distR="0">
            <wp:extent cx="5760720" cy="3403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760720" cy="340360"/>
                    </a:xfrm>
                    <a:prstGeom prst="rect">
                      <a:avLst/>
                    </a:prstGeom>
                    <a:noFill/>
                    <a:ln w="9525">
                      <a:noFill/>
                      <a:miter lim="800000"/>
                      <a:headEnd/>
                      <a:tailEnd/>
                    </a:ln>
                  </pic:spPr>
                </pic:pic>
              </a:graphicData>
            </a:graphic>
          </wp:inline>
        </w:drawing>
      </w:r>
      <w:r/>
    </w:p>
    <w:p>
      <w:pPr>
        <w:pStyle w:val="Normal"/>
        <w:jc w:val="both"/>
        <w:rPr>
          <w:b/>
          <w:b/>
          <w:rFonts w:ascii="Times New Roman" w:hAnsi="Times New Roman" w:cs="Times New Roman"/>
        </w:rPr>
      </w:pPr>
      <w:r>
        <w:rPr>
          <w:rFonts w:cs="Times New Roman" w:ascii="Times New Roman" w:hAnsi="Times New Roman"/>
          <w:b/>
        </w:rPr>
      </w:r>
      <w:r/>
    </w:p>
    <w:p>
      <w:pPr>
        <w:pStyle w:val="Normal"/>
        <w:jc w:val="both"/>
        <w:rPr>
          <w:b/>
          <w:b/>
          <w:rFonts w:ascii="Times New Roman" w:hAnsi="Times New Roman" w:cs="Times New Roman"/>
        </w:rPr>
      </w:pPr>
      <w:r>
        <w:rPr>
          <w:rFonts w:cs="Times New Roman" w:ascii="Times New Roman" w:hAnsi="Times New Roman"/>
          <w:b/>
        </w:rPr>
        <w:t>Modélisation dans le modèle tertiaire:</w:t>
      </w:r>
      <w:r/>
    </w:p>
    <w:p>
      <w:pPr>
        <w:pStyle w:val="Normal"/>
        <w:jc w:val="both"/>
      </w:pPr>
      <w:r>
        <w:rPr>
          <w:rFonts w:cs="Times New Roman" w:ascii="Times New Roman" w:hAnsi="Times New Roman"/>
          <w:b/>
        </w:rPr>
        <w:t>On recalcule les surfaces neuves construites en fonction des nouveaux tcam pour la population avec la même méthode que pour l’AMS ajusté. Le taux de destruction annuel est conservé entre l’AMS et le test.  On aboutit à 17 % de surfaces neuves en plus en 2050 par rapport à l’AMS (56 millions de m²)</w:t>
      </w:r>
      <w:r/>
    </w:p>
    <w:p>
      <w:pPr>
        <w:pStyle w:val="Normal"/>
        <w:jc w:val="both"/>
        <w:rPr>
          <w:b/>
          <w:b/>
          <w:rFonts w:ascii="Times New Roman" w:hAnsi="Times New Roman" w:cs="Times New Roman"/>
        </w:rPr>
      </w:pPr>
      <w:r>
        <w:rPr>
          <w:rFonts w:cs="Times New Roman" w:ascii="Times New Roman" w:hAnsi="Times New Roman"/>
          <w:b/>
        </w:rPr>
        <w:t>4. Réindustrialisation de la France</w:t>
      </w:r>
      <w:r/>
    </w:p>
    <w:p>
      <w:pPr>
        <w:pStyle w:val="Normal"/>
        <w:jc w:val="both"/>
      </w:pPr>
      <w:r>
        <w:rPr>
          <w:rFonts w:cs="Times New Roman" w:ascii="Times New Roman" w:hAnsi="Times New Roman"/>
          <w:b/>
        </w:rPr>
        <w:t xml:space="preserve">Test de sensibilité : </w:t>
      </w:r>
      <w:commentRangeStart w:id="0"/>
      <w:r>
        <w:rPr>
          <w:rFonts w:cs="Times New Roman" w:ascii="Times New Roman" w:hAnsi="Times New Roman"/>
        </w:rPr>
        <w:t xml:space="preserve">hypothèse d'un TCAM industrie de 2,6% sur toute la période et d’une augmentation des productions des IGCE de 10 % (hypothèses de la variante réindustrialisation sur laquelle le CIRED fait une évaluation macro-éco et empreinte carbone). </w:t>
      </w:r>
      <w:r>
        <w:rPr>
          <w:rFonts w:cs="Times New Roman" w:ascii="Times New Roman" w:hAnsi="Times New Roman"/>
        </w:rPr>
      </w:r>
      <w:commentRangeEnd w:id="0"/>
      <w:r>
        <w:commentReference w:id="0"/>
      </w:r>
      <w:r>
        <w:rPr>
          <w:rFonts w:cs="Times New Roman" w:ascii="Times New Roman" w:hAnsi="Times New Roman"/>
        </w:rPr>
        <w:t>Ce test permettrait d'évaluer l'impact au niveau national de cette variante sur la consommation d'énergie, les ressources biomasse et les émissions. On cherchera à retrouver un nouvel équilibre pour la neutralité carbone (besoins de ressources biomasse et d’électricité supplémentaires, effort supplémentaire d’autres secteurs, puits CCS augmenté…). Il pourra être mis en avant que cette réindustrialisation s’accompagne d’une réduction de l’empreinte carbone.</w:t>
      </w:r>
      <w:r/>
    </w:p>
    <w:p>
      <w:pPr>
        <w:pStyle w:val="Normal"/>
        <w:jc w:val="both"/>
        <w:rPr>
          <w:rFonts w:ascii="Times New Roman" w:hAnsi="Times New Roman" w:cs="Times New Roman"/>
        </w:rPr>
      </w:pPr>
      <w:r>
        <w:rPr>
          <w:rFonts w:cs="Times New Roman" w:ascii="Times New Roman" w:hAnsi="Times New Roman"/>
        </w:rPr>
      </w:r>
      <w:r/>
    </w:p>
    <w:p>
      <w:pPr>
        <w:pStyle w:val="Normal"/>
        <w:jc w:val="both"/>
        <w:rPr>
          <w:b/>
          <w:b/>
          <w:rFonts w:ascii="Times New Roman" w:hAnsi="Times New Roman" w:cs="Times New Roman"/>
        </w:rPr>
      </w:pPr>
      <w:r>
        <w:rPr>
          <w:rFonts w:cs="Times New Roman" w:ascii="Times New Roman" w:hAnsi="Times New Roman"/>
          <w:b/>
          <w:shd w:fill="FFFF00" w:val="clear"/>
        </w:rPr>
        <w:t>5. Composante carbone</w:t>
      </w:r>
      <w:r/>
    </w:p>
    <w:p>
      <w:pPr>
        <w:pStyle w:val="Normal"/>
        <w:jc w:val="both"/>
        <w:rPr>
          <w:rFonts w:ascii="Times New Roman" w:hAnsi="Times New Roman" w:cs="Times New Roman"/>
        </w:rPr>
      </w:pPr>
      <w:r>
        <w:rPr>
          <w:rFonts w:cs="Times New Roman" w:ascii="Times New Roman" w:hAnsi="Times New Roman"/>
          <w:b/>
        </w:rPr>
        <w:t>Test de sensibilité :</w:t>
      </w:r>
      <w:r>
        <w:rPr>
          <w:rFonts w:cs="Times New Roman" w:ascii="Times New Roman" w:hAnsi="Times New Roman"/>
        </w:rPr>
        <w:t xml:space="preserve"> trajectoire de la composante carbone moins élevée : 86,2€/tCO2 en 2022 et 100€/tCO2 en 2030, stable ensuite</w:t>
      </w:r>
      <w:r/>
    </w:p>
    <w:p>
      <w:pPr>
        <w:pStyle w:val="Normal"/>
        <w:jc w:val="both"/>
        <w:rPr>
          <w:b/>
          <w:b/>
          <w:rFonts w:ascii="Times New Roman" w:hAnsi="Times New Roman" w:cs="Times New Roman"/>
        </w:rPr>
      </w:pPr>
      <w:r>
        <w:rPr/>
        <w:drawing>
          <wp:inline distT="0" distB="0" distL="0" distR="0">
            <wp:extent cx="5760720" cy="34036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5760720" cy="340360"/>
                    </a:xfrm>
                    <a:prstGeom prst="rect">
                      <a:avLst/>
                    </a:prstGeom>
                    <a:noFill/>
                    <a:ln w="9525">
                      <a:noFill/>
                      <a:miter lim="800000"/>
                      <a:headEnd/>
                      <a:tailEnd/>
                    </a:ln>
                  </pic:spPr>
                </pic:pic>
              </a:graphicData>
            </a:graphic>
          </wp:inline>
        </w:drawing>
      </w:r>
      <w:r/>
    </w:p>
    <w:p>
      <w:pPr>
        <w:pStyle w:val="Normal"/>
        <w:jc w:val="both"/>
        <w:rPr>
          <w:b/>
          <w:b/>
          <w:rFonts w:ascii="Times New Roman" w:hAnsi="Times New Roman" w:cs="Times New Roman"/>
        </w:rPr>
      </w:pPr>
      <w:r>
        <w:rPr>
          <w:rFonts w:cs="Times New Roman" w:ascii="Times New Roman" w:hAnsi="Times New Roman"/>
          <w:b/>
        </w:rPr>
        <w:t>Modélisation dans le modèle tertiaire:</w:t>
      </w:r>
      <w:r/>
    </w:p>
    <w:p>
      <w:pPr>
        <w:pStyle w:val="Normal"/>
        <w:jc w:val="both"/>
      </w:pPr>
      <w:r>
        <w:rPr>
          <w:rFonts w:cs="Times New Roman" w:ascii="Times New Roman" w:hAnsi="Times New Roman"/>
          <w:b/>
        </w:rPr>
        <w:t>On recalcule les prix HTVA en appliquant la composante carbone du test au gaz et au pétrôle.  On converse les autres coûts (distribution, commercialisation, fiscalité) de l’AMS</w:t>
      </w:r>
      <w:r/>
    </w:p>
    <w:p>
      <w:pPr>
        <w:pStyle w:val="Normal"/>
        <w:jc w:val="both"/>
        <w:rPr>
          <w:sz w:val="28"/>
          <w:b/>
          <w:sz w:val="28"/>
          <w:b/>
          <w:szCs w:val="28"/>
          <w:rFonts w:ascii="Times New Roman" w:hAnsi="Times New Roman" w:cs="Times New Roman"/>
        </w:rPr>
      </w:pPr>
      <w:r>
        <w:rPr>
          <w:rFonts w:cs="Times New Roman" w:ascii="Times New Roman" w:hAnsi="Times New Roman"/>
          <w:b/>
          <w:sz w:val="28"/>
          <w:szCs w:val="28"/>
        </w:rPr>
        <w:t>Tests sur les autres hypothèses</w:t>
      </w:r>
      <w:r/>
    </w:p>
    <w:p>
      <w:pPr>
        <w:pStyle w:val="NoSpacing"/>
        <w:jc w:val="both"/>
        <w:rPr/>
      </w:pPr>
      <w:r>
        <w:rPr/>
      </w:r>
      <w:r/>
    </w:p>
    <w:p>
      <w:pPr>
        <w:pStyle w:val="Normal"/>
        <w:jc w:val="both"/>
        <w:rPr>
          <w:b/>
          <w:b/>
          <w:rFonts w:ascii="Times New Roman" w:hAnsi="Times New Roman" w:cs="Times New Roman"/>
        </w:rPr>
      </w:pPr>
      <w:r>
        <w:rPr>
          <w:rFonts w:cs="Times New Roman" w:ascii="Times New Roman" w:hAnsi="Times New Roman"/>
          <w:b/>
          <w:shd w:fill="FFFF00" w:val="clear"/>
        </w:rPr>
        <w:t>6. Technologies - moins d’efficacité énergétique dans les transports, les bâtiments et l’industrie</w:t>
      </w:r>
      <w:r/>
    </w:p>
    <w:p>
      <w:pPr>
        <w:pStyle w:val="Normal"/>
        <w:jc w:val="both"/>
        <w:rPr>
          <w:rFonts w:ascii="Times New Roman" w:hAnsi="Times New Roman" w:cs="Times New Roman"/>
        </w:rPr>
      </w:pPr>
      <w:r>
        <w:rPr>
          <w:rFonts w:cs="Times New Roman" w:ascii="Times New Roman" w:hAnsi="Times New Roman"/>
          <w:b/>
        </w:rPr>
        <w:t xml:space="preserve">Test de sensibilité : </w:t>
      </w:r>
      <w:r>
        <w:rPr>
          <w:rFonts w:cs="Times New Roman" w:ascii="Times New Roman" w:hAnsi="Times New Roman"/>
        </w:rPr>
        <w:t>dégradation de 30% de l’efficacité énergétique dans les transports (tous les types de véhicules neufs), le bâtiment (impact des rénovations 30% inférieur à AMS ajusté, efficacité énergétique des bâtiments neufs dégradée de 30%) et l’industrie (IGCE et industrie diffuse) par rapport aux hypothèses d’efficacité énergétique du scénario AMS ajusté</w:t>
      </w:r>
      <w:r/>
    </w:p>
    <w:p>
      <w:pPr>
        <w:pStyle w:val="Normal"/>
        <w:jc w:val="both"/>
        <w:rPr>
          <w:i/>
          <w:i/>
          <w:rFonts w:ascii="Times New Roman" w:hAnsi="Times New Roman" w:cs="Times New Roman"/>
        </w:rPr>
      </w:pPr>
      <w:r>
        <w:rPr>
          <w:rFonts w:cs="Times New Roman" w:ascii="Times New Roman" w:hAnsi="Times New Roman"/>
          <w:i/>
        </w:rPr>
        <w:t>-&gt; Rénovation moins efficace de 30% (jouer par exemple sur l’effet rebond)</w:t>
      </w:r>
      <w:r/>
    </w:p>
    <w:p>
      <w:pPr>
        <w:pStyle w:val="Normal"/>
        <w:jc w:val="both"/>
        <w:rPr>
          <w:i/>
          <w:i/>
          <w:rFonts w:ascii="Times New Roman" w:hAnsi="Times New Roman" w:cs="Times New Roman"/>
        </w:rPr>
      </w:pPr>
      <w:r>
        <w:rPr>
          <w:rFonts w:cs="Times New Roman" w:ascii="Times New Roman" w:hAnsi="Times New Roman"/>
          <w:i/>
        </w:rPr>
        <w:t>-&gt; Construction neuve consommant 30% de plus (pas de modifications du mix)</w:t>
      </w:r>
      <w:r/>
    </w:p>
    <w:p>
      <w:pPr>
        <w:pStyle w:val="Normal"/>
        <w:jc w:val="both"/>
        <w:rPr>
          <w:b/>
          <w:b/>
          <w:rFonts w:ascii="Times New Roman" w:hAnsi="Times New Roman" w:cs="Times New Roman"/>
        </w:rPr>
      </w:pPr>
      <w:r>
        <w:rPr>
          <w:rFonts w:cs="Times New Roman" w:ascii="Times New Roman" w:hAnsi="Times New Roman"/>
          <w:b/>
        </w:rPr>
        <w:t>Modélisation dans le modèle tertiaire:</w:t>
      </w:r>
      <w:r/>
    </w:p>
    <w:p>
      <w:pPr>
        <w:pStyle w:val="Normal"/>
        <w:jc w:val="both"/>
      </w:pPr>
      <w:r>
        <w:rPr>
          <w:rFonts w:cs="Times New Roman" w:ascii="Times New Roman" w:hAnsi="Times New Roman"/>
          <w:b/>
        </w:rPr>
        <w:t>On fait passer l’effet rebond lors des gestes de rénovation du bâti de 10 % à 37 % ce qui correspond à une baisse du gain énergétique des gestes de 30 %</w:t>
      </w:r>
      <w:r/>
    </w:p>
    <w:p>
      <w:pPr>
        <w:pStyle w:val="Normal"/>
        <w:jc w:val="both"/>
      </w:pPr>
      <w:r>
        <w:rPr>
          <w:rFonts w:cs="Times New Roman" w:ascii="Times New Roman" w:hAnsi="Times New Roman"/>
          <w:b/>
        </w:rPr>
        <w:t>O</w:t>
      </w:r>
      <w:r>
        <w:rPr>
          <w:rFonts w:cs="Times New Roman" w:ascii="Times New Roman" w:hAnsi="Times New Roman"/>
          <w:b/>
        </w:rPr>
        <w:t xml:space="preserve">n augmente les consommations de chauffage des bâtiments neufs de 30 % sur toute la chronique temporelle à partir de </w:t>
      </w:r>
      <w:r>
        <w:rPr>
          <w:rFonts w:cs="Times New Roman" w:ascii="Times New Roman" w:hAnsi="Times New Roman"/>
          <w:b/>
        </w:rPr>
        <w:t>2015 =&gt;</w:t>
      </w:r>
      <w:r>
        <w:rPr>
          <w:rFonts w:cs="Times New Roman" w:ascii="Times New Roman" w:hAnsi="Times New Roman"/>
          <w:b/>
        </w:rPr>
        <w:t xml:space="preserve"> </w:t>
      </w:r>
      <w:r>
        <w:rPr>
          <w:rFonts w:cs="Times New Roman" w:ascii="Times New Roman" w:hAnsi="Times New Roman"/>
          <w:b/>
        </w:rPr>
        <w:t>On conserve la chronique de baisse des besoins dans le temps de l’AMS mais sur un niveau de consommation unitaire plus élevé en 2015</w:t>
      </w:r>
      <w:r/>
    </w:p>
    <w:p>
      <w:pPr>
        <w:pStyle w:val="Normal"/>
        <w:jc w:val="both"/>
        <w:rPr>
          <w:b/>
          <w:b/>
          <w:rFonts w:ascii="Times New Roman" w:hAnsi="Times New Roman" w:cs="Times New Roman"/>
        </w:rPr>
      </w:pPr>
      <w:r>
        <w:rPr/>
      </w:r>
      <w:r/>
    </w:p>
    <w:p>
      <w:pPr>
        <w:pStyle w:val="Normal"/>
        <w:jc w:val="both"/>
        <w:rPr>
          <w:b/>
          <w:b/>
          <w:rFonts w:ascii="Times New Roman" w:hAnsi="Times New Roman" w:cs="Times New Roman"/>
        </w:rPr>
      </w:pPr>
      <w:r>
        <w:rPr>
          <w:rFonts w:cs="Times New Roman" w:ascii="Times New Roman" w:hAnsi="Times New Roman"/>
          <w:b/>
        </w:rPr>
        <w:t>7. Puits de carbone (technologiques, agricole et forestier)</w:t>
      </w:r>
      <w:r/>
    </w:p>
    <w:p>
      <w:pPr>
        <w:pStyle w:val="Normal"/>
        <w:jc w:val="both"/>
        <w:rPr>
          <w:rFonts w:ascii="Times New Roman" w:hAnsi="Times New Roman" w:cs="Times New Roman"/>
        </w:rPr>
      </w:pPr>
      <w:r>
        <w:rPr>
          <w:rFonts w:cs="Times New Roman" w:ascii="Times New Roman" w:hAnsi="Times New Roman"/>
          <w:b/>
        </w:rPr>
        <w:t xml:space="preserve">Test de sensibilité : </w:t>
      </w:r>
      <w:r>
        <w:rPr>
          <w:rFonts w:cs="Times New Roman" w:ascii="Times New Roman" w:hAnsi="Times New Roman"/>
        </w:rPr>
        <w:t>pas de recours à la technologie CCS/CCU, stockage de carbone dans les sols agricoles et forestiers réduits par rapport à l’AMS (hypothèses à préciser) et accroissement du puits forestier réduit (hypothèses d’accroissement et/ou de mortalité plus pessimistes)</w:t>
      </w:r>
      <w:r/>
    </w:p>
    <w:p>
      <w:pPr>
        <w:pStyle w:val="Normal"/>
        <w:jc w:val="both"/>
        <w:rPr>
          <w:rFonts w:ascii="Times New Roman" w:hAnsi="Times New Roman" w:cs="Times New Roman"/>
        </w:rPr>
      </w:pPr>
      <w:r>
        <w:rPr>
          <w:rFonts w:cs="Times New Roman" w:ascii="Times New Roman" w:hAnsi="Times New Roman"/>
        </w:rPr>
      </w:r>
      <w:r/>
    </w:p>
    <w:p>
      <w:pPr>
        <w:pStyle w:val="Normal"/>
        <w:jc w:val="both"/>
        <w:rPr>
          <w:b/>
          <w:b/>
          <w:rFonts w:ascii="Times New Roman" w:hAnsi="Times New Roman" w:cs="Times New Roman"/>
        </w:rPr>
      </w:pPr>
      <w:r>
        <w:rPr>
          <w:rFonts w:cs="Times New Roman" w:ascii="Times New Roman" w:hAnsi="Times New Roman"/>
          <w:b/>
        </w:rPr>
        <w:t>8. Energies renouvelables - moins de biomasse mobilisable</w:t>
      </w:r>
      <w:r/>
    </w:p>
    <w:p>
      <w:pPr>
        <w:pStyle w:val="Normal"/>
        <w:jc w:val="both"/>
        <w:rPr>
          <w:rFonts w:ascii="Times New Roman" w:hAnsi="Times New Roman" w:cs="Times New Roman"/>
        </w:rPr>
      </w:pPr>
      <w:r>
        <w:rPr>
          <w:rFonts w:cs="Times New Roman" w:ascii="Times New Roman" w:hAnsi="Times New Roman"/>
          <w:b/>
        </w:rPr>
        <w:t xml:space="preserve">Test de sensibilité : </w:t>
      </w:r>
      <w:r>
        <w:rPr>
          <w:rFonts w:cs="Times New Roman" w:ascii="Times New Roman" w:hAnsi="Times New Roman"/>
        </w:rPr>
        <w:t xml:space="preserve">à l'horizon 2050, -20% de biomasse mobilisable par rapport à l'AMS ajusté et recherche d’un nouvel équilibre pour la neutralité carbone (électrification plus poussée de certains usages, réduction des consommations de certains secteurs…). On pourra examiner la possibilité d’importer des énergies décarbonées et ce que cela peut impliquer (par exemple en termes de surface de panneaux solaires en Afrique, d'éoliens offshore, etc.). </w:t>
      </w:r>
      <w:r/>
    </w:p>
    <w:p>
      <w:pPr>
        <w:pStyle w:val="Normal"/>
        <w:jc w:val="both"/>
        <w:rPr>
          <w:rFonts w:ascii="Times New Roman" w:hAnsi="Times New Roman" w:cs="Times New Roman"/>
        </w:rPr>
      </w:pPr>
      <w:r>
        <w:rPr>
          <w:rFonts w:cs="Times New Roman" w:ascii="Times New Roman" w:hAnsi="Times New Roman"/>
        </w:rPr>
      </w:r>
      <w:r/>
    </w:p>
    <w:p>
      <w:pPr>
        <w:pStyle w:val="Normal"/>
        <w:jc w:val="both"/>
        <w:rPr>
          <w:b/>
          <w:b/>
          <w:rFonts w:ascii="Times New Roman" w:hAnsi="Times New Roman" w:cs="Times New Roman"/>
        </w:rPr>
      </w:pPr>
      <w:r>
        <w:rPr>
          <w:rFonts w:cs="Times New Roman" w:ascii="Times New Roman" w:hAnsi="Times New Roman"/>
          <w:b/>
          <w:shd w:fill="FFFF00" w:val="clear"/>
        </w:rPr>
        <w:t>9. Leviers comportementaux - absence de prise en compte</w:t>
      </w:r>
      <w:r/>
    </w:p>
    <w:p>
      <w:pPr>
        <w:pStyle w:val="Normal"/>
        <w:jc w:val="both"/>
        <w:rPr>
          <w:rFonts w:ascii="Times New Roman" w:hAnsi="Times New Roman" w:cs="Times New Roman"/>
        </w:rPr>
      </w:pPr>
      <w:r>
        <w:rPr>
          <w:rFonts w:cs="Times New Roman" w:ascii="Times New Roman" w:hAnsi="Times New Roman"/>
          <w:b/>
        </w:rPr>
        <w:t xml:space="preserve">Test de sensibilité : </w:t>
      </w:r>
      <w:r>
        <w:rPr>
          <w:rFonts w:cs="Times New Roman" w:ascii="Times New Roman" w:hAnsi="Times New Roman"/>
        </w:rPr>
        <w:t>non prise en compte de certains changements de comportement permettant de maîtriser la demande. Dans les transports voyageurs : télétravail, étalement urbain, transports collectifs, vélo, covoiturage ; fret : circuits courts. Dans les bâtiments : pas d'optimisation de la gestion des consommations de chauffage, d'éclairage, pas de baisse de la température de consigne.</w:t>
      </w:r>
      <w:r/>
    </w:p>
    <w:p>
      <w:pPr>
        <w:pStyle w:val="Normal"/>
        <w:jc w:val="both"/>
      </w:pPr>
      <w:r>
        <w:rPr>
          <w:rFonts w:cs="Times New Roman" w:ascii="Times New Roman" w:hAnsi="Times New Roman"/>
          <w:i/>
        </w:rPr>
        <w:t>-&gt; Supprimer toutes les hypothèses de sobriété qu’elles soient technologies (GBC…) ou comportementales (individualisation des frais de chauffages, température abaissée…)</w:t>
      </w:r>
      <w:r/>
    </w:p>
    <w:p>
      <w:pPr>
        <w:pStyle w:val="Normal"/>
        <w:jc w:val="both"/>
        <w:rPr>
          <w:b/>
          <w:b/>
          <w:rFonts w:ascii="Times New Roman" w:hAnsi="Times New Roman" w:cs="Times New Roman"/>
        </w:rPr>
      </w:pPr>
      <w:r>
        <w:rPr>
          <w:rFonts w:cs="Times New Roman" w:ascii="Times New Roman" w:hAnsi="Times New Roman"/>
          <w:b/>
        </w:rPr>
        <w:t>Modélisation dans le modèle tertiaire:</w:t>
      </w:r>
      <w:r/>
    </w:p>
    <w:p>
      <w:pPr>
        <w:pStyle w:val="Normal"/>
        <w:jc w:val="both"/>
      </w:pPr>
      <w:r>
        <w:rPr>
          <w:rFonts w:cs="Times New Roman" w:ascii="Times New Roman" w:hAnsi="Times New Roman"/>
          <w:b/>
        </w:rPr>
        <w:t>O</w:t>
      </w:r>
      <w:r>
        <w:rPr>
          <w:rFonts w:cs="Times New Roman" w:ascii="Times New Roman" w:hAnsi="Times New Roman"/>
          <w:b/>
        </w:rPr>
        <w:t>n supprime l’individualisation des frais de chauffage (on supprime la baisse du besoin unitaire de chauffage qui était appliquée après 2017)</w:t>
      </w:r>
      <w:r/>
    </w:p>
    <w:p>
      <w:pPr>
        <w:pStyle w:val="Normal"/>
        <w:jc w:val="both"/>
      </w:pPr>
      <w:r>
        <w:rPr>
          <w:rFonts w:cs="Times New Roman" w:ascii="Times New Roman" w:hAnsi="Times New Roman"/>
          <w:b/>
        </w:rPr>
        <w:t xml:space="preserve">On supprime la baisse progressive de 20 % des besoins unitaires en ECS </w:t>
      </w:r>
      <w:r/>
    </w:p>
    <w:p>
      <w:pPr>
        <w:pStyle w:val="Normal"/>
        <w:jc w:val="both"/>
      </w:pPr>
      <w:r>
        <w:rPr>
          <w:rFonts w:cs="Times New Roman" w:ascii="Times New Roman" w:hAnsi="Times New Roman"/>
          <w:b/>
        </w:rPr>
        <w:t>On augmente fortement le coût du geste GTB (j’ai un doute sur le fait que ça marche)</w:t>
      </w:r>
      <w:r/>
    </w:p>
    <w:p>
      <w:pPr>
        <w:pStyle w:val="Normal"/>
        <w:jc w:val="both"/>
        <w:rPr>
          <w:b/>
          <w:b/>
          <w:rFonts w:ascii="Times New Roman" w:hAnsi="Times New Roman" w:cs="Times New Roman"/>
        </w:rPr>
      </w:pPr>
      <w:r>
        <w:rPr>
          <w:rFonts w:cs="Times New Roman" w:ascii="Times New Roman" w:hAnsi="Times New Roman"/>
          <w:b/>
          <w:shd w:fill="FFFF00" w:val="clear"/>
        </w:rPr>
        <w:t>10. Leviers comportementaux : changements de comportements plus poussés</w:t>
      </w:r>
      <w:r/>
    </w:p>
    <w:p>
      <w:pPr>
        <w:pStyle w:val="Normal"/>
        <w:jc w:val="both"/>
        <w:rPr>
          <w:rFonts w:ascii="Times New Roman" w:hAnsi="Times New Roman" w:cs="Times New Roman"/>
        </w:rPr>
      </w:pPr>
      <w:r>
        <w:rPr>
          <w:rFonts w:cs="Times New Roman" w:ascii="Times New Roman" w:hAnsi="Times New Roman"/>
          <w:b/>
        </w:rPr>
        <w:t xml:space="preserve">Test de sensibilité : </w:t>
      </w:r>
      <w:r>
        <w:rPr>
          <w:rFonts w:cs="Times New Roman" w:ascii="Times New Roman" w:hAnsi="Times New Roman"/>
        </w:rPr>
        <w:t>sobriété accrue avec réduction des transports longue distance, de la surface des logements par ménage, modification plus poussée des comportements alimentaires (réduction de la part des protéines animales).</w:t>
      </w:r>
      <w:r/>
    </w:p>
    <w:p>
      <w:pPr>
        <w:pStyle w:val="ListParagraph"/>
        <w:numPr>
          <w:ilvl w:val="0"/>
          <w:numId w:val="1"/>
        </w:numPr>
        <w:jc w:val="both"/>
        <w:rPr>
          <w:i/>
          <w:i/>
          <w:rFonts w:ascii="Times New Roman" w:hAnsi="Times New Roman" w:cs="Times New Roman"/>
        </w:rPr>
      </w:pPr>
      <w:r>
        <w:rPr>
          <w:rFonts w:cs="Times New Roman" w:ascii="Times New Roman" w:hAnsi="Times New Roman"/>
          <w:i/>
        </w:rPr>
        <w:t>Mettre uniquement des logements collectifs dans la construction neuve</w:t>
      </w:r>
      <w:r/>
    </w:p>
    <w:p>
      <w:pPr>
        <w:pStyle w:val="ListParagraph"/>
        <w:numPr>
          <w:ilvl w:val="0"/>
          <w:numId w:val="1"/>
        </w:numPr>
        <w:jc w:val="both"/>
      </w:pPr>
      <w:r>
        <w:rPr>
          <w:rFonts w:cs="Times New Roman" w:ascii="Times New Roman" w:hAnsi="Times New Roman"/>
          <w:i/>
        </w:rPr>
        <w:t>Réduire les nouvelles surfaces tertiaires de 10%</w:t>
      </w:r>
      <w:r/>
    </w:p>
    <w:p>
      <w:pPr>
        <w:pStyle w:val="ListParagraph"/>
        <w:jc w:val="both"/>
        <w:rPr>
          <w:i/>
          <w:i/>
          <w:rFonts w:ascii="Times New Roman" w:hAnsi="Times New Roman" w:cs="Times New Roman"/>
        </w:rPr>
      </w:pPr>
      <w:r>
        <w:rPr/>
      </w:r>
      <w:r/>
    </w:p>
    <w:p>
      <w:pPr>
        <w:pStyle w:val="Normal"/>
        <w:jc w:val="both"/>
        <w:rPr>
          <w:b/>
          <w:b/>
          <w:rFonts w:ascii="Times New Roman" w:hAnsi="Times New Roman" w:cs="Times New Roman"/>
        </w:rPr>
      </w:pPr>
      <w:bookmarkStart w:id="0" w:name="__DdeLink__3955_1012025237"/>
      <w:bookmarkEnd w:id="0"/>
      <w:r>
        <w:rPr>
          <w:rFonts w:cs="Times New Roman" w:ascii="Times New Roman" w:hAnsi="Times New Roman"/>
          <w:b/>
        </w:rPr>
        <w:t>Modélisation dans le modèle tertiaire:</w:t>
      </w:r>
      <w:r/>
    </w:p>
    <w:p>
      <w:pPr>
        <w:pStyle w:val="Normal"/>
        <w:jc w:val="both"/>
      </w:pPr>
      <w:r>
        <w:rPr>
          <w:rFonts w:cs="Times New Roman" w:ascii="Times New Roman" w:hAnsi="Times New Roman"/>
          <w:b/>
        </w:rPr>
        <w:t>O</w:t>
      </w:r>
      <w:r>
        <w:rPr>
          <w:rFonts w:cs="Times New Roman" w:ascii="Times New Roman" w:hAnsi="Times New Roman"/>
          <w:b/>
        </w:rPr>
        <w:t>n réduit les surfaces neuves de 20 % par rapport à l’AME (10 % dans l’AMS pour rappel)</w:t>
      </w:r>
      <w:r/>
    </w:p>
    <w:p>
      <w:pPr>
        <w:pStyle w:val="Normal"/>
        <w:jc w:val="both"/>
        <w:rPr>
          <w:i/>
          <w:b/>
          <w:i/>
          <w:b/>
          <w:rFonts w:ascii="Times New Roman" w:hAnsi="Times New Roman" w:cs="Times New Roman"/>
        </w:rPr>
      </w:pPr>
      <w:bookmarkStart w:id="1" w:name="__DdeLink__3955_1012025237"/>
      <w:bookmarkStart w:id="2" w:name="__DdeLink__3955_1012025237"/>
      <w:bookmarkEnd w:id="2"/>
      <w:r>
        <w:rPr/>
      </w:r>
      <w:r/>
    </w:p>
    <w:p>
      <w:pPr>
        <w:pStyle w:val="Normal"/>
        <w:jc w:val="both"/>
        <w:rPr>
          <w:i/>
          <w:b/>
          <w:i/>
          <w:b/>
          <w:rFonts w:ascii="Times New Roman" w:hAnsi="Times New Roman" w:cs="Times New Roman"/>
        </w:rPr>
      </w:pPr>
      <w:r>
        <w:rPr/>
      </w:r>
      <w:r/>
    </w:p>
    <w:p>
      <w:pPr>
        <w:pStyle w:val="Normal"/>
        <w:jc w:val="both"/>
        <w:rPr>
          <w:b/>
          <w:b/>
          <w:rFonts w:ascii="Times New Roman" w:hAnsi="Times New Roman" w:cs="Times New Roman"/>
        </w:rPr>
      </w:pPr>
      <w:r>
        <w:rPr>
          <w:rFonts w:cs="Times New Roman" w:ascii="Times New Roman" w:hAnsi="Times New Roman"/>
          <w:b/>
          <w:shd w:fill="FFFF00" w:val="clear"/>
        </w:rPr>
        <w:t>11. Investissements</w:t>
      </w:r>
      <w:r/>
    </w:p>
    <w:p>
      <w:pPr>
        <w:pStyle w:val="Normal"/>
        <w:jc w:val="both"/>
        <w:rPr>
          <w:rFonts w:ascii="Times New Roman" w:hAnsi="Times New Roman" w:cs="Times New Roman"/>
        </w:rPr>
      </w:pPr>
      <w:r>
        <w:rPr>
          <w:rFonts w:cs="Times New Roman" w:ascii="Times New Roman" w:hAnsi="Times New Roman"/>
          <w:b/>
        </w:rPr>
        <w:t xml:space="preserve">Test de sensibilité : </w:t>
      </w:r>
      <w:r>
        <w:rPr>
          <w:rFonts w:cs="Times New Roman" w:ascii="Times New Roman" w:hAnsi="Times New Roman"/>
        </w:rPr>
        <w:t>prise en compte d’un niveau d’investissements pour les investissements « verts » plus faible que celui prévu par la SNBC.</w:t>
      </w:r>
      <w:r/>
    </w:p>
    <w:p>
      <w:pPr>
        <w:pStyle w:val="Normal"/>
        <w:jc w:val="both"/>
        <w:rPr>
          <w:i/>
          <w:i/>
          <w:rFonts w:ascii="Times New Roman" w:hAnsi="Times New Roman" w:cs="Times New Roman"/>
        </w:rPr>
      </w:pPr>
      <w:r>
        <w:rPr>
          <w:rFonts w:cs="Times New Roman" w:ascii="Times New Roman" w:hAnsi="Times New Roman"/>
          <w:i/>
        </w:rPr>
        <w:t>-&gt; Obtenir une chronique d’investissement inférieure à celle obtenue dans l’AMS d’environ 20% sur l’ensemble de la période 2015-2050.</w:t>
      </w:r>
      <w:r/>
    </w:p>
    <w:p>
      <w:pPr>
        <w:pStyle w:val="Normal"/>
        <w:jc w:val="both"/>
        <w:rPr>
          <w:b/>
          <w:b/>
          <w:rFonts w:ascii="Times New Roman" w:hAnsi="Times New Roman" w:cs="Times New Roman"/>
        </w:rPr>
      </w:pPr>
      <w:r>
        <w:rPr>
          <w:rFonts w:cs="Times New Roman" w:ascii="Times New Roman" w:hAnsi="Times New Roman"/>
          <w:b/>
        </w:rPr>
        <w:t>Modélisation dans le modèle tertiaire:</w:t>
      </w:r>
      <w:r/>
    </w:p>
    <w:p>
      <w:pPr>
        <w:pStyle w:val="Normal"/>
        <w:jc w:val="both"/>
      </w:pPr>
      <w:r>
        <w:rPr>
          <w:rFonts w:cs="Times New Roman" w:ascii="Times New Roman" w:hAnsi="Times New Roman"/>
          <w:b/>
        </w:rPr>
        <w:t xml:space="preserve">On augmente la durée de vie des systèmes de 20 % (moins de renouvellement par an). </w:t>
      </w:r>
      <w:r/>
    </w:p>
    <w:p>
      <w:pPr>
        <w:pStyle w:val="Normal"/>
        <w:jc w:val="both"/>
      </w:pPr>
      <w:r>
        <w:rPr>
          <w:rFonts w:cs="Times New Roman" w:ascii="Times New Roman" w:hAnsi="Times New Roman"/>
          <w:b/>
        </w:rPr>
        <w:t>On calibre la rénovation du bâti pour obtenir moins de rénovation du bâti (on augmente la part du geste « ne rien faire » )</w:t>
      </w:r>
      <w:r/>
    </w:p>
    <w:p>
      <w:pPr>
        <w:pStyle w:val="Normal"/>
        <w:jc w:val="both"/>
      </w:pPr>
      <w:r>
        <w:rPr>
          <w:rFonts w:cs="Times New Roman" w:ascii="Times New Roman" w:hAnsi="Times New Roman"/>
          <w:b/>
        </w:rPr>
        <w:t xml:space="preserve">On aboutit à des investissements cumulés 2015-2050 (systèmes + bâti) de 17 % inférieurs </w:t>
      </w:r>
      <w:r/>
    </w:p>
    <w:p>
      <w:pPr>
        <w:pStyle w:val="Normal"/>
        <w:jc w:val="both"/>
        <w:rPr>
          <w:i/>
          <w:b/>
          <w:i/>
          <w:b/>
          <w:rFonts w:ascii="Times New Roman" w:hAnsi="Times New Roman" w:cs="Times New Roman"/>
        </w:rPr>
      </w:pPr>
      <w:r>
        <w:rPr>
          <w:rFonts w:cs="Times New Roman" w:ascii="Times New Roman" w:hAnsi="Times New Roman"/>
          <w:b/>
        </w:rPr>
      </w:r>
      <w:r/>
    </w:p>
    <w:p>
      <w:pPr>
        <w:pStyle w:val="Normal"/>
        <w:jc w:val="both"/>
        <w:rPr>
          <w:b/>
          <w:b/>
          <w:rFonts w:ascii="Times New Roman" w:hAnsi="Times New Roman" w:cs="Times New Roman"/>
        </w:rPr>
      </w:pPr>
      <w:r>
        <w:rPr>
          <w:rFonts w:cs="Times New Roman" w:ascii="Times New Roman" w:hAnsi="Times New Roman"/>
          <w:b/>
        </w:rPr>
        <w:t>12. Agriculture</w:t>
      </w:r>
      <w:r/>
    </w:p>
    <w:p>
      <w:pPr>
        <w:pStyle w:val="Normal"/>
        <w:jc w:val="both"/>
        <w:rPr>
          <w:rFonts w:ascii="Times New Roman" w:hAnsi="Times New Roman" w:cs="Times New Roman"/>
        </w:rPr>
      </w:pPr>
      <w:r>
        <w:rPr>
          <w:rFonts w:cs="Times New Roman" w:ascii="Times New Roman" w:hAnsi="Times New Roman"/>
          <w:b/>
        </w:rPr>
        <w:t xml:space="preserve">Test de sensibilité : </w:t>
      </w:r>
      <w:r>
        <w:rPr>
          <w:rFonts w:cs="Times New Roman" w:ascii="Times New Roman" w:hAnsi="Times New Roman"/>
        </w:rPr>
        <w:t>dégradation des rendements agricoles, moins d’agroforesterie et de bio.</w:t>
      </w:r>
      <w:r/>
    </w:p>
    <w:p>
      <w:pPr>
        <w:pStyle w:val="Normal"/>
        <w:jc w:val="both"/>
        <w:rPr>
          <w:rFonts w:ascii="Times New Roman" w:hAnsi="Times New Roman" w:cs="Times New Roman"/>
        </w:rPr>
      </w:pPr>
      <w:r>
        <w:rPr>
          <w:rFonts w:cs="Times New Roman" w:ascii="Times New Roman" w:hAnsi="Times New Roman"/>
        </w:rPr>
      </w:r>
      <w:r/>
    </w:p>
    <w:p>
      <w:pPr>
        <w:pStyle w:val="Normal"/>
        <w:jc w:val="both"/>
        <w:rPr>
          <w:b/>
          <w:b/>
          <w:rFonts w:ascii="Times New Roman" w:hAnsi="Times New Roman" w:cs="Times New Roman"/>
        </w:rPr>
      </w:pPr>
      <w:r>
        <w:rPr>
          <w:rFonts w:cs="Times New Roman" w:ascii="Times New Roman" w:hAnsi="Times New Roman"/>
          <w:b/>
        </w:rPr>
        <w:t>13. Forêt</w:t>
      </w:r>
      <w:r/>
    </w:p>
    <w:p>
      <w:pPr>
        <w:pStyle w:val="Normal"/>
        <w:jc w:val="both"/>
        <w:rPr>
          <w:rFonts w:ascii="Times New Roman" w:hAnsi="Times New Roman" w:cs="Times New Roman"/>
        </w:rPr>
      </w:pPr>
      <w:r>
        <w:rPr>
          <w:rFonts w:cs="Times New Roman" w:ascii="Times New Roman" w:hAnsi="Times New Roman"/>
          <w:b/>
        </w:rPr>
        <w:t xml:space="preserve">Test de sensibilité : </w:t>
      </w:r>
      <w:r>
        <w:rPr>
          <w:rFonts w:cs="Times New Roman" w:ascii="Times New Roman" w:hAnsi="Times New Roman"/>
        </w:rPr>
        <w:t>on suppose que moins de bois est utilisé pour la construction. Il y a donc moins de bois énergie disponible, et moins de prélèvements en forêt, et donc un accroissement du puits forestier (qui est néanmoins vulnérable face aux risques de catastrophes naturelles).</w:t>
      </w:r>
      <w:r/>
    </w:p>
    <w:p>
      <w:pPr>
        <w:pStyle w:val="Normal"/>
        <w:jc w:val="both"/>
        <w:rPr>
          <w:rFonts w:ascii="Times New Roman" w:hAnsi="Times New Roman" w:cs="Times New Roman"/>
        </w:rPr>
      </w:pPr>
      <w:r>
        <w:rPr>
          <w:rFonts w:cs="Times New Roman" w:ascii="Times New Roman" w:hAnsi="Times New Roman"/>
        </w:rPr>
      </w:r>
      <w:r/>
    </w:p>
    <w:p>
      <w:pPr>
        <w:pStyle w:val="Normal"/>
        <w:jc w:val="both"/>
        <w:rPr>
          <w:b/>
          <w:b/>
          <w:rFonts w:ascii="Times New Roman" w:hAnsi="Times New Roman" w:cs="Times New Roman"/>
        </w:rPr>
      </w:pPr>
      <w:bookmarkStart w:id="3" w:name="_GoBack"/>
      <w:bookmarkEnd w:id="3"/>
      <w:r>
        <w:rPr>
          <w:rFonts w:cs="Times New Roman" w:ascii="Times New Roman" w:hAnsi="Times New Roman"/>
          <w:b/>
        </w:rPr>
        <w:t>14. Artificialisation des sols</w:t>
      </w:r>
      <w:r/>
    </w:p>
    <w:p>
      <w:pPr>
        <w:pStyle w:val="Normal"/>
        <w:jc w:val="both"/>
        <w:rPr>
          <w:rFonts w:ascii="Times New Roman" w:hAnsi="Times New Roman" w:cs="Times New Roman"/>
        </w:rPr>
      </w:pPr>
      <w:r>
        <w:rPr>
          <w:rFonts w:cs="Times New Roman" w:ascii="Times New Roman" w:hAnsi="Times New Roman"/>
          <w:b/>
        </w:rPr>
        <w:t>Test de sensibilité :</w:t>
      </w:r>
      <w:r>
        <w:rPr>
          <w:rFonts w:cs="Times New Roman" w:ascii="Times New Roman" w:hAnsi="Times New Roman"/>
        </w:rPr>
        <w:t xml:space="preserve"> plus d’artificialisation des sols (diviser par deux l’hypothèse de l’AMS ajusté). Répartition entre sols agricoles et sols forestiers à déterminer.</w:t>
      </w:r>
      <w:r/>
    </w:p>
    <w:p>
      <w:pPr>
        <w:pStyle w:val="Normal"/>
        <w:jc w:val="both"/>
        <w:rPr/>
      </w:pPr>
      <w:r>
        <w:rPr/>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OUDNIKOFF Marjorie" w:date="2018-11-09T18:00:00Z" w:initials="DM">
    <w:p>
      <w:r>
        <w:rPr/>
        <w:t>A modifier par Quentin</w:t>
      </w:r>
      <w:r/>
    </w:p>
    <w:p>
      <w:r>
        <w:rPr/>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0"/>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rPr/>
  </w:style>
  <w:style w:type="character" w:styleId="Annotationreference">
    <w:name w:val="annotation reference"/>
    <w:basedOn w:val="DefaultParagraphFont"/>
    <w:uiPriority w:val="99"/>
    <w:semiHidden/>
    <w:unhideWhenUsed/>
    <w:rsid w:val="004b1984"/>
    <w:rPr>
      <w:sz w:val="16"/>
      <w:szCs w:val="16"/>
    </w:rPr>
  </w:style>
  <w:style w:type="character" w:styleId="CommentaireCar" w:customStyle="1">
    <w:name w:val="Commentaire Car"/>
    <w:basedOn w:val="DefaultParagraphFont"/>
    <w:link w:val="Commentaire"/>
    <w:uiPriority w:val="99"/>
    <w:semiHidden/>
    <w:rsid w:val="004b1984"/>
    <w:rPr>
      <w:sz w:val="20"/>
      <w:szCs w:val="20"/>
    </w:rPr>
  </w:style>
  <w:style w:type="character" w:styleId="ObjetducommentaireCar" w:customStyle="1">
    <w:name w:val="Objet du commentaire Car"/>
    <w:basedOn w:val="CommentaireCar"/>
    <w:link w:val="Objetducommentaire"/>
    <w:uiPriority w:val="99"/>
    <w:semiHidden/>
    <w:rsid w:val="004b1984"/>
    <w:rPr>
      <w:b/>
      <w:bCs/>
      <w:sz w:val="20"/>
      <w:szCs w:val="20"/>
    </w:rPr>
  </w:style>
  <w:style w:type="character" w:styleId="TextedebullesCar" w:customStyle="1">
    <w:name w:val="Texte de bulles Car"/>
    <w:basedOn w:val="DefaultParagraphFont"/>
    <w:link w:val="Textedebulles"/>
    <w:uiPriority w:val="99"/>
    <w:semiHidden/>
    <w:rsid w:val="004b1984"/>
    <w:rPr>
      <w:rFonts w:ascii="Segoe UI" w:hAnsi="Segoe UI" w:cs="Segoe UI"/>
      <w:sz w:val="18"/>
      <w:szCs w:val="18"/>
    </w:rPr>
  </w:style>
  <w:style w:type="character" w:styleId="ListLabel1">
    <w:name w:val="ListLabel 1"/>
    <w:rPr>
      <w:rFonts w:eastAsia="Calibri" w:cs="Times New Roman"/>
    </w:rPr>
  </w:style>
  <w:style w:type="character" w:styleId="ListLabel2">
    <w:name w:val="ListLabel 2"/>
    <w:rPr>
      <w:rFonts w:cs="Courier New"/>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Spacing">
    <w:name w:val="No Spacing"/>
    <w:uiPriority w:val="1"/>
    <w:qFormat/>
    <w:rsid w:val="00734e4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Annotationtext">
    <w:name w:val="annotation text"/>
    <w:basedOn w:val="Normal"/>
    <w:link w:val="CommentaireCar"/>
    <w:uiPriority w:val="99"/>
    <w:semiHidden/>
    <w:unhideWhenUsed/>
    <w:rsid w:val="004b1984"/>
    <w:pPr>
      <w:spacing w:lineRule="auto" w:line="240"/>
    </w:pPr>
    <w:rPr>
      <w:sz w:val="20"/>
      <w:szCs w:val="20"/>
    </w:rPr>
  </w:style>
  <w:style w:type="paragraph" w:styleId="Annotationsubject">
    <w:name w:val="annotation subject"/>
    <w:basedOn w:val="Annotationtext"/>
    <w:link w:val="ObjetducommentaireCar"/>
    <w:uiPriority w:val="99"/>
    <w:semiHidden/>
    <w:unhideWhenUsed/>
    <w:rsid w:val="004b1984"/>
    <w:pPr/>
    <w:rPr>
      <w:b/>
      <w:bCs/>
    </w:rPr>
  </w:style>
  <w:style w:type="paragraph" w:styleId="BalloonText">
    <w:name w:val="Balloon Text"/>
    <w:basedOn w:val="Normal"/>
    <w:link w:val="TextedebullesCar"/>
    <w:uiPriority w:val="99"/>
    <w:semiHidden/>
    <w:unhideWhenUsed/>
    <w:rsid w:val="004b198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567b1"/>
    <w:pPr>
      <w:spacing w:before="0" w:after="160"/>
      <w:ind w:left="72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LibreOffice/4.3.7.2$Windows_x86 LibreOffice_project/8a35821d8636a03b8bf4e15b48f59794652c68ba</Application>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2018-11-13T14:56:00Z</dcterms:created>
  <dc:creator>DOUDNIKOFF Marjorie</dc:creator>
  <dc:language>fr-FR</dc:language>
  <dcterms:modified xsi:type="dcterms:W3CDTF">2018-11-27T16:01:15Z</dcterms:modified>
  <cp:revision>3</cp:revision>
</cp:coreProperties>
</file>