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069" w:rsidRPr="009535D6" w:rsidRDefault="00F65CF0" w:rsidP="007143AA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35D6">
        <w:rPr>
          <w:rFonts w:ascii="Times New Roman" w:hAnsi="Times New Roman" w:cs="Times New Roman"/>
          <w:b/>
          <w:sz w:val="28"/>
          <w:szCs w:val="28"/>
        </w:rPr>
        <w:t>Hypothèse</w:t>
      </w:r>
      <w:r w:rsidR="00695F18" w:rsidRPr="009535D6">
        <w:rPr>
          <w:rFonts w:ascii="Times New Roman" w:hAnsi="Times New Roman" w:cs="Times New Roman"/>
          <w:b/>
          <w:sz w:val="28"/>
          <w:szCs w:val="28"/>
        </w:rPr>
        <w:t>s</w:t>
      </w:r>
      <w:r w:rsidRPr="009535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95F18" w:rsidRPr="009535D6">
        <w:rPr>
          <w:rFonts w:ascii="Times New Roman" w:hAnsi="Times New Roman" w:cs="Times New Roman"/>
          <w:b/>
          <w:sz w:val="28"/>
          <w:szCs w:val="28"/>
        </w:rPr>
        <w:t>de représentation des CEE dans l’AME 2017-2018</w:t>
      </w:r>
    </w:p>
    <w:p w:rsidR="00F65CF0" w:rsidRPr="007143AA" w:rsidRDefault="00F65CF0" w:rsidP="007143AA">
      <w:pPr>
        <w:spacing w:line="276" w:lineRule="auto"/>
        <w:jc w:val="both"/>
        <w:rPr>
          <w:rFonts w:ascii="Times New Roman" w:hAnsi="Times New Roman" w:cs="Times New Roman"/>
          <w:b/>
        </w:rPr>
      </w:pPr>
    </w:p>
    <w:p w:rsidR="007143AA" w:rsidRPr="007143AA" w:rsidRDefault="009535D6" w:rsidP="007143AA">
      <w:pPr>
        <w:pStyle w:val="Sansinterligne"/>
        <w:spacing w:line="276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1. </w:t>
      </w:r>
      <w:r w:rsidR="007143AA" w:rsidRPr="007143AA">
        <w:rPr>
          <w:rFonts w:ascii="Times New Roman" w:hAnsi="Times New Roman" w:cs="Times New Roman"/>
          <w:b/>
          <w:u w:val="single"/>
        </w:rPr>
        <w:t>Rappel sur les hypothèses prises dans l’AME 2016-2017</w:t>
      </w:r>
    </w:p>
    <w:p w:rsidR="007143AA" w:rsidRPr="007143AA" w:rsidRDefault="007143AA" w:rsidP="007143AA">
      <w:pPr>
        <w:jc w:val="both"/>
        <w:rPr>
          <w:rFonts w:ascii="Times New Roman" w:hAnsi="Times New Roman" w:cs="Times New Roman"/>
        </w:rPr>
      </w:pPr>
      <w:r w:rsidRPr="007143AA">
        <w:rPr>
          <w:rFonts w:ascii="Times New Roman" w:hAnsi="Times New Roman" w:cs="Times New Roman"/>
        </w:rPr>
        <w:t>Les CEE sont pris en compte entre 2016-2020 au niveau de la 3ème période</w:t>
      </w:r>
      <w:r w:rsidR="00260BDC">
        <w:rPr>
          <w:rFonts w:ascii="Times New Roman" w:hAnsi="Times New Roman" w:cs="Times New Roman"/>
        </w:rPr>
        <w:t>,</w:t>
      </w:r>
      <w:r w:rsidRPr="007143AA">
        <w:rPr>
          <w:rFonts w:ascii="Times New Roman" w:hAnsi="Times New Roman" w:cs="Times New Roman"/>
        </w:rPr>
        <w:t xml:space="preserve"> c’est-à-dire 700 TWh cumac sur 3 ans à partir du 1er janvier 2015 accompagnés d’une obligation supplémentaire de 150 TWh cumac d'économies d'énergie à réaliser au bénéfice des ménages en situation de précarité énergétique.</w:t>
      </w:r>
    </w:p>
    <w:p w:rsidR="007143AA" w:rsidRPr="007143AA" w:rsidRDefault="000C02E4" w:rsidP="007143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</w:t>
      </w:r>
      <w:r w:rsidR="007143AA" w:rsidRPr="007143AA">
        <w:rPr>
          <w:rFonts w:ascii="Times New Roman" w:hAnsi="Times New Roman" w:cs="Times New Roman"/>
        </w:rPr>
        <w:t>retir</w:t>
      </w:r>
      <w:r>
        <w:rPr>
          <w:rFonts w:ascii="Times New Roman" w:hAnsi="Times New Roman" w:cs="Times New Roman"/>
        </w:rPr>
        <w:t>ant</w:t>
      </w:r>
      <w:r w:rsidR="007143AA" w:rsidRPr="007143AA">
        <w:rPr>
          <w:rFonts w:ascii="Times New Roman" w:hAnsi="Times New Roman" w:cs="Times New Roman"/>
        </w:rPr>
        <w:t xml:space="preserve"> les bonifications (bonus alloués en CEE) et les programmes (par exemple l’octroi de CEE pour l’action « les transporteurs s’engagent ») (les CEE octroyés dans le cadre des « programmes » ne peuvent dépasser 140 TWh cumac sur les 3 ans), qui ne correspondent pas à de réelles économies d’énergie, cela revient à 165 TWh cumac / an pour les CEE classiques et 35 TWh cumac pour les CEE « précarité ». En supposant une durée de vie moyenne de 13 ans, on obtient 12,7 TWh économisés par an a</w:t>
      </w:r>
      <w:r>
        <w:rPr>
          <w:rFonts w:ascii="Times New Roman" w:hAnsi="Times New Roman" w:cs="Times New Roman"/>
        </w:rPr>
        <w:t>u titre des CEE classiques et 2,</w:t>
      </w:r>
      <w:r w:rsidR="007143AA" w:rsidRPr="007143AA">
        <w:rPr>
          <w:rFonts w:ascii="Times New Roman" w:hAnsi="Times New Roman" w:cs="Times New Roman"/>
        </w:rPr>
        <w:t>7 TWh TWh économisés par an au titre des CEE « précarité ».</w:t>
      </w:r>
    </w:p>
    <w:p w:rsidR="007143AA" w:rsidRPr="007143AA" w:rsidRDefault="007143AA" w:rsidP="007143AA">
      <w:pPr>
        <w:jc w:val="both"/>
        <w:rPr>
          <w:rFonts w:ascii="Times New Roman" w:hAnsi="Times New Roman" w:cs="Times New Roman"/>
        </w:rPr>
      </w:pPr>
      <w:r w:rsidRPr="007143AA">
        <w:rPr>
          <w:rFonts w:ascii="Times New Roman" w:hAnsi="Times New Roman" w:cs="Times New Roman"/>
        </w:rPr>
        <w:t xml:space="preserve">Concernant l’interaction avec le CITE, on représente ceci : </w:t>
      </w:r>
    </w:p>
    <w:p w:rsidR="007143AA" w:rsidRPr="007143AA" w:rsidRDefault="007143AA" w:rsidP="007143AA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143AA">
        <w:rPr>
          <w:rFonts w:ascii="Times New Roman" w:hAnsi="Times New Roman" w:cs="Times New Roman"/>
        </w:rPr>
        <w:t>tant qu'il y a du CITE (2016 et 2017), les effets des CEE et du CITE se superposent en partie, et on représente une additionnalité relativement faible de 20%. Les montants en jeu par rapport au CITE pour les travaux d'EE sont de l'ordre de 1/2 (si on retire les fenêtres).</w:t>
      </w:r>
    </w:p>
    <w:p w:rsidR="007143AA" w:rsidRPr="007143AA" w:rsidRDefault="007143AA" w:rsidP="007143AA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143AA">
        <w:rPr>
          <w:rFonts w:ascii="Times New Roman" w:hAnsi="Times New Roman" w:cs="Times New Roman"/>
        </w:rPr>
        <w:t>Par la suite (2018, 2019 et 2020), en l'absence d'autre dispositif d'aide, on représente 80% d'additionnalité des CEE</w:t>
      </w:r>
      <w:r w:rsidR="000C02E4">
        <w:rPr>
          <w:rFonts w:ascii="Times New Roman" w:hAnsi="Times New Roman" w:cs="Times New Roman"/>
        </w:rPr>
        <w:t xml:space="preserve"> dans le résidentiel</w:t>
      </w:r>
      <w:r w:rsidRPr="007143AA">
        <w:rPr>
          <w:rFonts w:ascii="Times New Roman" w:hAnsi="Times New Roman" w:cs="Times New Roman"/>
        </w:rPr>
        <w:t>. On s'assure à chaque fois qu'il y a eu un rôle actif et incitatif (qui peut au passage contribuer à inciter également le professionnel). C'est ce que l'on soutient auprès de la Commission européenne.</w:t>
      </w:r>
    </w:p>
    <w:p w:rsidR="007143AA" w:rsidRPr="007143AA" w:rsidRDefault="007143AA" w:rsidP="007143AA">
      <w:pPr>
        <w:jc w:val="both"/>
        <w:rPr>
          <w:rFonts w:ascii="Times New Roman" w:hAnsi="Times New Roman" w:cs="Times New Roman"/>
        </w:rPr>
      </w:pPr>
      <w:r w:rsidRPr="007143AA">
        <w:rPr>
          <w:rFonts w:ascii="Times New Roman" w:hAnsi="Times New Roman" w:cs="Times New Roman"/>
        </w:rPr>
        <w:t>Au-delà de 2020, on ne représente plus les CEE.</w:t>
      </w:r>
    </w:p>
    <w:p w:rsidR="007143AA" w:rsidRPr="007143AA" w:rsidRDefault="007143AA" w:rsidP="007143AA">
      <w:pPr>
        <w:jc w:val="both"/>
        <w:rPr>
          <w:rFonts w:ascii="Times New Roman" w:hAnsi="Times New Roman" w:cs="Times New Roman"/>
        </w:rPr>
      </w:pPr>
      <w:r w:rsidRPr="007143AA">
        <w:rPr>
          <w:rFonts w:ascii="Times New Roman" w:hAnsi="Times New Roman" w:cs="Times New Roman"/>
        </w:rPr>
        <w:t>Cela conduit aux économies annuelles d’énergie suivantes en 2016-2017 :</w:t>
      </w:r>
    </w:p>
    <w:p w:rsidR="007143AA" w:rsidRPr="007143AA" w:rsidRDefault="007143AA" w:rsidP="007143AA">
      <w:pPr>
        <w:jc w:val="both"/>
        <w:rPr>
          <w:rFonts w:ascii="Times New Roman" w:hAnsi="Times New Roman" w:cs="Times New Roman"/>
        </w:rPr>
      </w:pPr>
      <w:r w:rsidRPr="007143AA"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00E3213B" wp14:editId="247E8E0E">
            <wp:extent cx="5760720" cy="1003944"/>
            <wp:effectExtent l="0" t="0" r="0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03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3AA" w:rsidRPr="007143AA" w:rsidRDefault="007143AA" w:rsidP="007143AA">
      <w:pPr>
        <w:jc w:val="both"/>
        <w:rPr>
          <w:rFonts w:ascii="Times New Roman" w:hAnsi="Times New Roman" w:cs="Times New Roman"/>
        </w:rPr>
      </w:pPr>
      <w:r w:rsidRPr="007143AA">
        <w:rPr>
          <w:rFonts w:ascii="Times New Roman" w:hAnsi="Times New Roman" w:cs="Times New Roman"/>
        </w:rPr>
        <w:t>Cela conduit aux économies annuelles d’énergie suivantes en 2018-2019-2020 :</w:t>
      </w:r>
    </w:p>
    <w:p w:rsidR="007143AA" w:rsidRPr="007143AA" w:rsidRDefault="007143AA" w:rsidP="007143AA">
      <w:pPr>
        <w:jc w:val="both"/>
        <w:rPr>
          <w:rFonts w:ascii="Times New Roman" w:hAnsi="Times New Roman" w:cs="Times New Roman"/>
        </w:rPr>
      </w:pPr>
      <w:r w:rsidRPr="007143AA">
        <w:rPr>
          <w:rFonts w:ascii="Times New Roman" w:hAnsi="Times New Roman" w:cs="Times New Roman"/>
          <w:noProof/>
          <w:lang w:eastAsia="fr-FR"/>
        </w:rPr>
        <w:drawing>
          <wp:inline distT="0" distB="0" distL="0" distR="0" wp14:anchorId="261C7CB7" wp14:editId="2DE93E5A">
            <wp:extent cx="5760720" cy="100743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0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3AA" w:rsidRPr="007143AA" w:rsidRDefault="007143AA" w:rsidP="007143AA">
      <w:pPr>
        <w:pStyle w:val="Sansinterligne"/>
        <w:spacing w:line="276" w:lineRule="auto"/>
        <w:jc w:val="both"/>
        <w:rPr>
          <w:rFonts w:ascii="Times New Roman" w:hAnsi="Times New Roman" w:cs="Times New Roman"/>
        </w:rPr>
      </w:pPr>
    </w:p>
    <w:p w:rsidR="007143AA" w:rsidRPr="00644F03" w:rsidRDefault="009535D6" w:rsidP="007143AA">
      <w:pPr>
        <w:spacing w:line="276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2. </w:t>
      </w:r>
      <w:r w:rsidR="007143AA" w:rsidRPr="00644F03">
        <w:rPr>
          <w:rFonts w:ascii="Times New Roman" w:hAnsi="Times New Roman" w:cs="Times New Roman"/>
          <w:b/>
          <w:u w:val="single"/>
        </w:rPr>
        <w:t>Représentation des CEE dans l’AME 2017-2018</w:t>
      </w:r>
    </w:p>
    <w:p w:rsidR="009535D6" w:rsidRPr="009535D6" w:rsidRDefault="009535D6" w:rsidP="007143AA">
      <w:pPr>
        <w:spacing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2.1. </w:t>
      </w:r>
      <w:r w:rsidRPr="009535D6">
        <w:rPr>
          <w:rFonts w:ascii="Times New Roman" w:hAnsi="Times New Roman" w:cs="Times New Roman"/>
          <w:b/>
        </w:rPr>
        <w:t>Objectif de la 4</w:t>
      </w:r>
      <w:r w:rsidRPr="009535D6">
        <w:rPr>
          <w:rFonts w:ascii="Times New Roman" w:hAnsi="Times New Roman" w:cs="Times New Roman"/>
          <w:b/>
          <w:vertAlign w:val="superscript"/>
        </w:rPr>
        <w:t>ème</w:t>
      </w:r>
      <w:r w:rsidRPr="009535D6">
        <w:rPr>
          <w:rFonts w:ascii="Times New Roman" w:hAnsi="Times New Roman" w:cs="Times New Roman"/>
          <w:b/>
        </w:rPr>
        <w:t xml:space="preserve"> période</w:t>
      </w:r>
    </w:p>
    <w:p w:rsidR="00695F18" w:rsidRPr="007143AA" w:rsidRDefault="00695F18" w:rsidP="007143AA">
      <w:pPr>
        <w:spacing w:line="276" w:lineRule="auto"/>
        <w:jc w:val="both"/>
        <w:rPr>
          <w:rFonts w:ascii="Times New Roman" w:hAnsi="Times New Roman" w:cs="Times New Roman"/>
        </w:rPr>
      </w:pPr>
      <w:r w:rsidRPr="007143AA">
        <w:rPr>
          <w:rFonts w:ascii="Times New Roman" w:hAnsi="Times New Roman" w:cs="Times New Roman"/>
        </w:rPr>
        <w:t>L’AME 2017-2018 intègre la 4</w:t>
      </w:r>
      <w:r w:rsidRPr="007143AA">
        <w:rPr>
          <w:rFonts w:ascii="Times New Roman" w:hAnsi="Times New Roman" w:cs="Times New Roman"/>
          <w:vertAlign w:val="superscript"/>
        </w:rPr>
        <w:t>ème</w:t>
      </w:r>
      <w:r w:rsidRPr="007143AA">
        <w:rPr>
          <w:rFonts w:ascii="Times New Roman" w:hAnsi="Times New Roman" w:cs="Times New Roman"/>
        </w:rPr>
        <w:t xml:space="preserve"> période des CEE s’étendant du 1</w:t>
      </w:r>
      <w:r w:rsidRPr="007143AA">
        <w:rPr>
          <w:rFonts w:ascii="Times New Roman" w:hAnsi="Times New Roman" w:cs="Times New Roman"/>
          <w:vertAlign w:val="superscript"/>
        </w:rPr>
        <w:t>er</w:t>
      </w:r>
      <w:r w:rsidRPr="007143AA">
        <w:rPr>
          <w:rFonts w:ascii="Times New Roman" w:hAnsi="Times New Roman" w:cs="Times New Roman"/>
        </w:rPr>
        <w:t xml:space="preserve"> janvier 2018 au 31 décembre 2020, avec un niveau global des obligations sur les trois années de 1 200 TWh cumac pour les obligations « classiques » et 400 TWh cumac pour les obligations d'économies d'énergie devant être réalisées au bénéfice des ménages en situation de précarité énergétique (décret n° 2017-690 du 2 mai 2017).</w:t>
      </w:r>
    </w:p>
    <w:p w:rsidR="00A6591F" w:rsidRDefault="00695F18" w:rsidP="007143AA">
      <w:pPr>
        <w:spacing w:line="276" w:lineRule="auto"/>
        <w:jc w:val="both"/>
        <w:rPr>
          <w:rFonts w:ascii="Times New Roman" w:hAnsi="Times New Roman" w:cs="Times New Roman"/>
        </w:rPr>
      </w:pPr>
      <w:r w:rsidRPr="007143AA">
        <w:rPr>
          <w:rFonts w:ascii="Times New Roman" w:hAnsi="Times New Roman" w:cs="Times New Roman"/>
        </w:rPr>
        <w:lastRenderedPageBreak/>
        <w:t>Si l’on retire les bonifications</w:t>
      </w:r>
      <w:r w:rsidR="001C73A9">
        <w:rPr>
          <w:rFonts w:ascii="Times New Roman" w:hAnsi="Times New Roman" w:cs="Times New Roman"/>
        </w:rPr>
        <w:t xml:space="preserve"> (ZNI, grands précaires, etc.)</w:t>
      </w:r>
      <w:r w:rsidRPr="007143AA">
        <w:rPr>
          <w:rFonts w:ascii="Times New Roman" w:hAnsi="Times New Roman" w:cs="Times New Roman"/>
        </w:rPr>
        <w:t xml:space="preserve"> </w:t>
      </w:r>
      <w:r w:rsidR="00BC2EC3">
        <w:rPr>
          <w:rFonts w:ascii="Times New Roman" w:hAnsi="Times New Roman" w:cs="Times New Roman"/>
        </w:rPr>
        <w:t>et les programmes</w:t>
      </w:r>
      <w:r w:rsidR="00867C8E">
        <w:rPr>
          <w:rFonts w:ascii="Times New Roman" w:hAnsi="Times New Roman" w:cs="Times New Roman"/>
        </w:rPr>
        <w:t xml:space="preserve"> (plafonnés à 140 TWh cumac sur les 3 ans)</w:t>
      </w:r>
      <w:r w:rsidRPr="007143AA">
        <w:rPr>
          <w:rFonts w:ascii="Times New Roman" w:hAnsi="Times New Roman" w:cs="Times New Roman"/>
        </w:rPr>
        <w:t>, cela revient à</w:t>
      </w:r>
      <w:r w:rsidR="00A6591F">
        <w:rPr>
          <w:rFonts w:ascii="Times New Roman" w:hAnsi="Times New Roman" w:cs="Times New Roman"/>
        </w:rPr>
        <w:t> :</w:t>
      </w:r>
    </w:p>
    <w:p w:rsidR="00A6591F" w:rsidRDefault="00A6591F" w:rsidP="007143AA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695F18" w:rsidRPr="007143A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343 </w:t>
      </w:r>
      <w:r w:rsidR="00695F18" w:rsidRPr="007143AA">
        <w:rPr>
          <w:rFonts w:ascii="Times New Roman" w:hAnsi="Times New Roman" w:cs="Times New Roman"/>
        </w:rPr>
        <w:t xml:space="preserve">TWh cumac </w:t>
      </w:r>
      <w:r>
        <w:rPr>
          <w:rFonts w:ascii="Times New Roman" w:hAnsi="Times New Roman" w:cs="Times New Roman"/>
        </w:rPr>
        <w:t>/ an pour les CEE classiques (1200 TWh cumac auxquels on enlève 140 pour les programmes et 30 pour les bonifications</w:t>
      </w:r>
      <w:r w:rsidR="00C1588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divisé par 3 ans</w:t>
      </w:r>
      <w:r w:rsidR="004443F6">
        <w:rPr>
          <w:rFonts w:ascii="Times New Roman" w:hAnsi="Times New Roman" w:cs="Times New Roman"/>
        </w:rPr>
        <w:t> : (1200-140-30)/3 = 343TWh cumac</w:t>
      </w:r>
      <w:r>
        <w:rPr>
          <w:rFonts w:ascii="Times New Roman" w:hAnsi="Times New Roman" w:cs="Times New Roman"/>
        </w:rPr>
        <w:t>)</w:t>
      </w:r>
    </w:p>
    <w:p w:rsidR="00A6591F" w:rsidRDefault="00A6591F" w:rsidP="007143AA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- 59</w:t>
      </w:r>
      <w:r w:rsidR="00695F18" w:rsidRPr="007143AA">
        <w:rPr>
          <w:rFonts w:ascii="Times New Roman" w:hAnsi="Times New Roman" w:cs="Times New Roman"/>
        </w:rPr>
        <w:t xml:space="preserve"> TWh cumac pour les CEE « précarité »</w:t>
      </w:r>
      <w:r>
        <w:rPr>
          <w:rFonts w:ascii="Times New Roman" w:hAnsi="Times New Roman" w:cs="Times New Roman"/>
        </w:rPr>
        <w:t xml:space="preserve"> (400 TWh cumac auxquels on enlève 80 pour les programmes</w:t>
      </w:r>
      <w:r w:rsidR="00E602AE">
        <w:rPr>
          <w:rFonts w:ascii="Times New Roman" w:hAnsi="Times New Roman" w:cs="Times New Roman"/>
        </w:rPr>
        <w:t xml:space="preserve">, puis on comptabilise le fait que </w:t>
      </w:r>
      <w:r w:rsidR="00E602AE" w:rsidRPr="00E602AE">
        <w:rPr>
          <w:rFonts w:ascii="Times New Roman" w:hAnsi="Times New Roman" w:cs="Times New Roman"/>
        </w:rPr>
        <w:t>les ménages très modestes ont une bonification "x2" et représentent 80% des aidés</w:t>
      </w:r>
      <w:r w:rsidR="00C1588B">
        <w:rPr>
          <w:rFonts w:ascii="Times New Roman" w:hAnsi="Times New Roman" w:cs="Times New Roman"/>
        </w:rPr>
        <w:t>,</w:t>
      </w:r>
      <w:r w:rsidR="004443F6">
        <w:rPr>
          <w:rFonts w:ascii="Times New Roman" w:hAnsi="Times New Roman" w:cs="Times New Roman"/>
        </w:rPr>
        <w:t xml:space="preserve"> puis</w:t>
      </w:r>
      <w:r>
        <w:rPr>
          <w:rFonts w:ascii="Times New Roman" w:hAnsi="Times New Roman" w:cs="Times New Roman"/>
        </w:rPr>
        <w:t xml:space="preserve"> divisé par 3 ans</w:t>
      </w:r>
      <w:r w:rsidR="006B0B69">
        <w:rPr>
          <w:rFonts w:ascii="Times New Roman" w:hAnsi="Times New Roman" w:cs="Times New Roman"/>
        </w:rPr>
        <w:t> : (400-80)/(0,2+0,8*2)/3 = 59 TWh cumac</w:t>
      </w:r>
      <w:r>
        <w:rPr>
          <w:rFonts w:ascii="Times New Roman" w:hAnsi="Times New Roman" w:cs="Times New Roman"/>
        </w:rPr>
        <w:t>)</w:t>
      </w:r>
    </w:p>
    <w:p w:rsidR="00A6591F" w:rsidRDefault="00A6591F" w:rsidP="007143AA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 coefficient de passage des TWh cumac aux économies d’énergie annuelles réelles est de </w:t>
      </w:r>
      <w:r w:rsidR="00FF58D0">
        <w:rPr>
          <w:rFonts w:ascii="Times New Roman" w:hAnsi="Times New Roman" w:cs="Times New Roman"/>
        </w:rPr>
        <w:t>1/</w:t>
      </w:r>
      <w:r>
        <w:rPr>
          <w:rFonts w:ascii="Times New Roman" w:hAnsi="Times New Roman" w:cs="Times New Roman"/>
        </w:rPr>
        <w:t>13,4 (</w:t>
      </w:r>
      <w:r w:rsidR="00F10532">
        <w:rPr>
          <w:rFonts w:ascii="Times New Roman" w:hAnsi="Times New Roman" w:cs="Times New Roman"/>
        </w:rPr>
        <w:t>calculé</w:t>
      </w:r>
      <w:r w:rsidR="00C1588B">
        <w:rPr>
          <w:rFonts w:ascii="Times New Roman" w:hAnsi="Times New Roman" w:cs="Times New Roman"/>
        </w:rPr>
        <w:t xml:space="preserve"> par</w:t>
      </w:r>
      <w:r>
        <w:rPr>
          <w:rFonts w:ascii="Times New Roman" w:hAnsi="Times New Roman" w:cs="Times New Roman"/>
        </w:rPr>
        <w:t xml:space="preserve"> 5CD). Celui</w:t>
      </w:r>
      <w:r w:rsidR="000E1D8A">
        <w:rPr>
          <w:rFonts w:ascii="Times New Roman" w:hAnsi="Times New Roman" w:cs="Times New Roman"/>
        </w:rPr>
        <w:t>-ci</w:t>
      </w:r>
      <w:r>
        <w:rPr>
          <w:rFonts w:ascii="Times New Roman" w:hAnsi="Times New Roman" w:cs="Times New Roman"/>
        </w:rPr>
        <w:t xml:space="preserve"> prend en compte la durée de vie </w:t>
      </w:r>
      <w:r w:rsidR="00676FE4">
        <w:rPr>
          <w:rFonts w:ascii="Times New Roman" w:hAnsi="Times New Roman" w:cs="Times New Roman"/>
        </w:rPr>
        <w:t xml:space="preserve">moyenne pondérée des opérations </w:t>
      </w:r>
      <w:r>
        <w:rPr>
          <w:rFonts w:ascii="Times New Roman" w:hAnsi="Times New Roman" w:cs="Times New Roman"/>
        </w:rPr>
        <w:t>et le taux d’actualisation de 4%.</w:t>
      </w:r>
    </w:p>
    <w:p w:rsidR="00FF58D0" w:rsidRDefault="00FF58D0" w:rsidP="007143AA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Cela revient donc à :</w:t>
      </w:r>
    </w:p>
    <w:p w:rsidR="00FF58D0" w:rsidRDefault="00FF58D0" w:rsidP="007143AA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- 25,62 TWh </w:t>
      </w:r>
      <w:r w:rsidRPr="00FF58D0">
        <w:rPr>
          <w:rFonts w:ascii="Times New Roman" w:hAnsi="Times New Roman" w:cs="Times New Roman"/>
        </w:rPr>
        <w:t>économisés par an pendant 13,4 ans</w:t>
      </w:r>
      <w:r>
        <w:rPr>
          <w:rFonts w:ascii="Times New Roman" w:hAnsi="Times New Roman" w:cs="Times New Roman"/>
        </w:rPr>
        <w:t xml:space="preserve"> pour les CEE classiques</w:t>
      </w:r>
    </w:p>
    <w:p w:rsidR="00FF58D0" w:rsidRDefault="00FF58D0" w:rsidP="007143AA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- 4,42 TWh </w:t>
      </w:r>
      <w:r w:rsidRPr="00FF58D0">
        <w:rPr>
          <w:rFonts w:ascii="Times New Roman" w:hAnsi="Times New Roman" w:cs="Times New Roman"/>
        </w:rPr>
        <w:t>économisés par an pendant 13,4 ans</w:t>
      </w:r>
      <w:r>
        <w:rPr>
          <w:rFonts w:ascii="Times New Roman" w:hAnsi="Times New Roman" w:cs="Times New Roman"/>
        </w:rPr>
        <w:t xml:space="preserve"> pour les CEE classiques précarité. </w:t>
      </w:r>
    </w:p>
    <w:p w:rsidR="008B6CF0" w:rsidRDefault="005D7C36" w:rsidP="007143AA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8B6CF0">
        <w:rPr>
          <w:rFonts w:ascii="Times New Roman" w:hAnsi="Times New Roman" w:cs="Times New Roman"/>
        </w:rPr>
        <w:t>a répartition sectorielle des CEE</w:t>
      </w:r>
      <w:r w:rsidR="00FF41E7">
        <w:rPr>
          <w:rFonts w:ascii="Times New Roman" w:hAnsi="Times New Roman" w:cs="Times New Roman"/>
        </w:rPr>
        <w:t xml:space="preserve"> (hors précarité)</w:t>
      </w:r>
      <w:r w:rsidR="008B6CF0">
        <w:rPr>
          <w:rFonts w:ascii="Times New Roman" w:hAnsi="Times New Roman" w:cs="Times New Roman"/>
        </w:rPr>
        <w:t xml:space="preserve"> entre le 1</w:t>
      </w:r>
      <w:r w:rsidR="008B6CF0" w:rsidRPr="008B6CF0">
        <w:rPr>
          <w:rFonts w:ascii="Times New Roman" w:hAnsi="Times New Roman" w:cs="Times New Roman"/>
          <w:vertAlign w:val="superscript"/>
        </w:rPr>
        <w:t>er</w:t>
      </w:r>
      <w:r w:rsidR="008B6CF0">
        <w:rPr>
          <w:rFonts w:ascii="Times New Roman" w:hAnsi="Times New Roman" w:cs="Times New Roman"/>
        </w:rPr>
        <w:t xml:space="preserve"> janvier 2015 et le 31 mars 2017</w:t>
      </w:r>
      <w:r>
        <w:rPr>
          <w:rFonts w:ascii="Times New Roman" w:hAnsi="Times New Roman" w:cs="Times New Roman"/>
        </w:rPr>
        <w:t xml:space="preserve"> est la suivante (source : Lettre d’information CEE d’avril 2017)</w:t>
      </w:r>
      <w:r w:rsidR="003B0C40">
        <w:rPr>
          <w:rFonts w:ascii="Times New Roman" w:hAnsi="Times New Roman" w:cs="Times New Roman"/>
        </w:rPr>
        <w:t> :</w:t>
      </w:r>
    </w:p>
    <w:p w:rsidR="008B6CF0" w:rsidRPr="008B6CF0" w:rsidRDefault="008B6CF0" w:rsidP="008B6CF0">
      <w:pPr>
        <w:pStyle w:val="Sansinterligne"/>
        <w:rPr>
          <w:rFonts w:ascii="Times New Roman" w:hAnsi="Times New Roman" w:cs="Times New Roman"/>
        </w:rPr>
      </w:pPr>
      <w:r w:rsidRPr="008B6CF0">
        <w:rPr>
          <w:rFonts w:ascii="Times New Roman" w:hAnsi="Times New Roman" w:cs="Times New Roman"/>
        </w:rPr>
        <w:t>- 49% dans le bâtiment résidentiel</w:t>
      </w:r>
    </w:p>
    <w:p w:rsidR="008B6CF0" w:rsidRPr="008B6CF0" w:rsidRDefault="008B6CF0" w:rsidP="008B6CF0">
      <w:pPr>
        <w:pStyle w:val="Sansinterligne"/>
        <w:rPr>
          <w:rFonts w:ascii="Times New Roman" w:hAnsi="Times New Roman" w:cs="Times New Roman"/>
        </w:rPr>
      </w:pPr>
      <w:r w:rsidRPr="008B6CF0">
        <w:rPr>
          <w:rFonts w:ascii="Times New Roman" w:hAnsi="Times New Roman" w:cs="Times New Roman"/>
        </w:rPr>
        <w:t>- 18% da</w:t>
      </w:r>
      <w:r w:rsidR="007F6E8B">
        <w:rPr>
          <w:rFonts w:ascii="Times New Roman" w:hAnsi="Times New Roman" w:cs="Times New Roman"/>
        </w:rPr>
        <w:t>ns</w:t>
      </w:r>
      <w:r w:rsidRPr="008B6CF0">
        <w:rPr>
          <w:rFonts w:ascii="Times New Roman" w:hAnsi="Times New Roman" w:cs="Times New Roman"/>
        </w:rPr>
        <w:t xml:space="preserve"> le bâtiment tertiaire</w:t>
      </w:r>
    </w:p>
    <w:p w:rsidR="008B6CF0" w:rsidRPr="008B6CF0" w:rsidRDefault="008B6CF0" w:rsidP="008B6CF0">
      <w:pPr>
        <w:pStyle w:val="Sansinterligne"/>
        <w:rPr>
          <w:rFonts w:ascii="Times New Roman" w:hAnsi="Times New Roman" w:cs="Times New Roman"/>
        </w:rPr>
      </w:pPr>
      <w:r w:rsidRPr="008B6CF0">
        <w:rPr>
          <w:rFonts w:ascii="Times New Roman" w:hAnsi="Times New Roman" w:cs="Times New Roman"/>
        </w:rPr>
        <w:t>- 20% dans l’industrie</w:t>
      </w:r>
    </w:p>
    <w:p w:rsidR="008B6CF0" w:rsidRPr="008B6CF0" w:rsidRDefault="008B6CF0" w:rsidP="008B6CF0">
      <w:pPr>
        <w:pStyle w:val="Sansinterligne"/>
        <w:rPr>
          <w:rFonts w:ascii="Times New Roman" w:hAnsi="Times New Roman" w:cs="Times New Roman"/>
        </w:rPr>
      </w:pPr>
      <w:r w:rsidRPr="008B6CF0">
        <w:rPr>
          <w:rFonts w:ascii="Times New Roman" w:hAnsi="Times New Roman" w:cs="Times New Roman"/>
        </w:rPr>
        <w:t>- 5% dans les transports</w:t>
      </w:r>
    </w:p>
    <w:p w:rsidR="008B6CF0" w:rsidRPr="008B6CF0" w:rsidRDefault="008B6CF0" w:rsidP="008B6CF0">
      <w:pPr>
        <w:pStyle w:val="Sansinterligne"/>
        <w:rPr>
          <w:rFonts w:ascii="Times New Roman" w:hAnsi="Times New Roman" w:cs="Times New Roman"/>
        </w:rPr>
      </w:pPr>
      <w:r w:rsidRPr="008B6CF0">
        <w:rPr>
          <w:rFonts w:ascii="Times New Roman" w:hAnsi="Times New Roman" w:cs="Times New Roman"/>
        </w:rPr>
        <w:t>- 5% dans l’agriculture</w:t>
      </w:r>
    </w:p>
    <w:p w:rsidR="008B6CF0" w:rsidRDefault="008B6CF0" w:rsidP="008B6CF0">
      <w:pPr>
        <w:pStyle w:val="Sansinterligne"/>
        <w:rPr>
          <w:rFonts w:ascii="Times New Roman" w:hAnsi="Times New Roman" w:cs="Times New Roman"/>
        </w:rPr>
      </w:pPr>
      <w:r w:rsidRPr="008B6CF0">
        <w:rPr>
          <w:rFonts w:ascii="Times New Roman" w:hAnsi="Times New Roman" w:cs="Times New Roman"/>
        </w:rPr>
        <w:t>- 2% dans les réseaux</w:t>
      </w:r>
    </w:p>
    <w:p w:rsidR="00F120E4" w:rsidRDefault="00F120E4" w:rsidP="008B6CF0">
      <w:pPr>
        <w:pStyle w:val="Sansinterligne"/>
        <w:rPr>
          <w:rFonts w:ascii="Times New Roman" w:hAnsi="Times New Roman" w:cs="Times New Roman"/>
        </w:rPr>
      </w:pPr>
    </w:p>
    <w:p w:rsidR="003B0C40" w:rsidRDefault="00F120E4" w:rsidP="003B0C40">
      <w:pPr>
        <w:pStyle w:val="Sansinterligne"/>
        <w:jc w:val="both"/>
        <w:rPr>
          <w:rFonts w:ascii="Times New Roman" w:hAnsi="Times New Roman" w:cs="Times New Roman"/>
        </w:rPr>
      </w:pPr>
      <w:r w:rsidRPr="00F120E4">
        <w:rPr>
          <w:rFonts w:ascii="Times New Roman" w:hAnsi="Times New Roman" w:cs="Times New Roman"/>
        </w:rPr>
        <w:t>On peut considérer qu’un arrêt du CITE conduirait à une réorientation des actions menées par les acteurs vers les</w:t>
      </w:r>
      <w:r>
        <w:rPr>
          <w:rFonts w:ascii="Times New Roman" w:hAnsi="Times New Roman" w:cs="Times New Roman"/>
        </w:rPr>
        <w:t xml:space="preserve"> secteurs industrie / tertiaire</w:t>
      </w:r>
      <w:r w:rsidR="003B0C40">
        <w:rPr>
          <w:rFonts w:ascii="Times New Roman" w:hAnsi="Times New Roman" w:cs="Times New Roman"/>
        </w:rPr>
        <w:t xml:space="preserve">. Dans l’AME 2017-2018, le CITE est supposé prolongé jusqu’en 2017, puis arrêté, </w:t>
      </w:r>
      <w:r w:rsidR="003B0C40" w:rsidRPr="00C46CDC">
        <w:rPr>
          <w:rFonts w:ascii="Times New Roman" w:hAnsi="Times New Roman" w:cs="Times New Roman"/>
        </w:rPr>
        <w:t>l’éco-PTZ est prolongé jusqu’en 2018 puis arrêté</w:t>
      </w:r>
      <w:r w:rsidR="003B0C40">
        <w:rPr>
          <w:rFonts w:ascii="Times New Roman" w:hAnsi="Times New Roman" w:cs="Times New Roman"/>
        </w:rPr>
        <w:t xml:space="preserve">, </w:t>
      </w:r>
      <w:r w:rsidR="003B0C40" w:rsidRPr="00C46CDC">
        <w:rPr>
          <w:rFonts w:ascii="Times New Roman" w:hAnsi="Times New Roman" w:cs="Times New Roman"/>
        </w:rPr>
        <w:t>l’éco-PLS est prolongé jusqu’en 2020 puis arrêté</w:t>
      </w:r>
      <w:r w:rsidR="003B0C40">
        <w:rPr>
          <w:rFonts w:ascii="Times New Roman" w:hAnsi="Times New Roman" w:cs="Times New Roman"/>
        </w:rPr>
        <w:t>.</w:t>
      </w:r>
    </w:p>
    <w:p w:rsidR="003B0C40" w:rsidRDefault="003B0C40" w:rsidP="003B0C40">
      <w:pPr>
        <w:pStyle w:val="Sansinterligne"/>
        <w:jc w:val="both"/>
        <w:rPr>
          <w:rFonts w:ascii="Times New Roman" w:hAnsi="Times New Roman" w:cs="Times New Roman"/>
        </w:rPr>
      </w:pPr>
    </w:p>
    <w:p w:rsidR="003B0C40" w:rsidRDefault="003B0C40" w:rsidP="003B0C40">
      <w:pPr>
        <w:pStyle w:val="Sansinterligne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Cela nous amène à supposer la répartition sectorielle suivante pour la 4</w:t>
      </w:r>
      <w:r w:rsidRPr="003B0C40">
        <w:rPr>
          <w:rFonts w:ascii="Times New Roman" w:hAnsi="Times New Roman" w:cs="Times New Roman"/>
          <w:vertAlign w:val="superscript"/>
        </w:rPr>
        <w:t>ème</w:t>
      </w:r>
      <w:r>
        <w:rPr>
          <w:rFonts w:ascii="Times New Roman" w:hAnsi="Times New Roman" w:cs="Times New Roman"/>
        </w:rPr>
        <w:t xml:space="preserve"> période :</w:t>
      </w:r>
    </w:p>
    <w:p w:rsidR="00FF41E7" w:rsidRDefault="00FF41E7" w:rsidP="003B0C40">
      <w:pPr>
        <w:pStyle w:val="Sansinterligne"/>
        <w:jc w:val="both"/>
        <w:rPr>
          <w:rFonts w:ascii="Times New Roman" w:hAnsi="Times New Roman" w:cs="Times New Roma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3021"/>
      </w:tblGrid>
      <w:tr w:rsidR="00E41231" w:rsidTr="006F4868">
        <w:tc>
          <w:tcPr>
            <w:tcW w:w="2122" w:type="dxa"/>
          </w:tcPr>
          <w:p w:rsidR="00E41231" w:rsidRPr="006F4868" w:rsidRDefault="00E41231" w:rsidP="007143AA">
            <w:pPr>
              <w:spacing w:line="276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84" w:type="dxa"/>
          </w:tcPr>
          <w:p w:rsidR="00E41231" w:rsidRPr="006F4868" w:rsidRDefault="006F4868" w:rsidP="006F486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4868">
              <w:rPr>
                <w:rFonts w:ascii="Times New Roman" w:hAnsi="Times New Roman" w:cs="Times New Roman"/>
                <w:color w:val="000000"/>
              </w:rPr>
              <w:t>Hypothèse 4ème période</w:t>
            </w:r>
          </w:p>
        </w:tc>
        <w:tc>
          <w:tcPr>
            <w:tcW w:w="3021" w:type="dxa"/>
          </w:tcPr>
          <w:p w:rsidR="00E41231" w:rsidRPr="006F4868" w:rsidRDefault="006F4868" w:rsidP="006F486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6F4868">
              <w:rPr>
                <w:rFonts w:ascii="Times New Roman" w:hAnsi="Times New Roman" w:cs="Times New Roman"/>
                <w:color w:val="000000"/>
              </w:rPr>
              <w:t>TWh économisés par an pendant 13,4 ans</w:t>
            </w:r>
          </w:p>
        </w:tc>
      </w:tr>
      <w:tr w:rsidR="00E41231" w:rsidTr="00433F41">
        <w:tc>
          <w:tcPr>
            <w:tcW w:w="2122" w:type="dxa"/>
            <w:vAlign w:val="center"/>
          </w:tcPr>
          <w:p w:rsidR="00E41231" w:rsidRPr="006F4868" w:rsidRDefault="00E41231" w:rsidP="00433F41">
            <w:pPr>
              <w:rPr>
                <w:rFonts w:ascii="Times New Roman" w:hAnsi="Times New Roman" w:cs="Times New Roman"/>
                <w:color w:val="000000"/>
              </w:rPr>
            </w:pPr>
            <w:r w:rsidRPr="006F4868">
              <w:rPr>
                <w:rFonts w:ascii="Times New Roman" w:hAnsi="Times New Roman" w:cs="Times New Roman"/>
                <w:color w:val="000000"/>
              </w:rPr>
              <w:t>Bâtiment résidentiel</w:t>
            </w:r>
          </w:p>
        </w:tc>
        <w:tc>
          <w:tcPr>
            <w:tcW w:w="1984" w:type="dxa"/>
            <w:vAlign w:val="center"/>
          </w:tcPr>
          <w:p w:rsidR="00E41231" w:rsidRPr="00626236" w:rsidRDefault="00E41231" w:rsidP="00433F41">
            <w:pPr>
              <w:jc w:val="right"/>
              <w:rPr>
                <w:rFonts w:ascii="Times New Roman" w:hAnsi="Times New Roman" w:cs="Times New Roman"/>
                <w:b/>
                <w:color w:val="000000"/>
              </w:rPr>
            </w:pPr>
            <w:r w:rsidRPr="00626236">
              <w:rPr>
                <w:rFonts w:ascii="Times New Roman" w:hAnsi="Times New Roman" w:cs="Times New Roman"/>
                <w:b/>
                <w:color w:val="000000"/>
              </w:rPr>
              <w:t>40%</w:t>
            </w:r>
          </w:p>
        </w:tc>
        <w:tc>
          <w:tcPr>
            <w:tcW w:w="3021" w:type="dxa"/>
            <w:vAlign w:val="bottom"/>
          </w:tcPr>
          <w:p w:rsidR="00E41231" w:rsidRDefault="00FF41E7" w:rsidP="00E4123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10,2</w:t>
            </w:r>
          </w:p>
          <w:p w:rsidR="006F4868" w:rsidRPr="006F4868" w:rsidRDefault="00FF41E7" w:rsidP="00FF41E7">
            <w:pPr>
              <w:jc w:val="right"/>
              <w:rPr>
                <w:rFonts w:ascii="Times New Roman" w:hAnsi="Times New Roman" w:cs="Times New Roman"/>
                <w:i/>
                <w:color w:val="000000"/>
              </w:rPr>
            </w:pPr>
            <w:r>
              <w:rPr>
                <w:rFonts w:ascii="Times New Roman" w:hAnsi="Times New Roman" w:cs="Times New Roman"/>
                <w:i/>
                <w:color w:val="000000"/>
              </w:rPr>
              <w:t>+</w:t>
            </w:r>
            <w:r w:rsidR="006F4868" w:rsidRPr="006F4868">
              <w:rPr>
                <w:rFonts w:ascii="Times New Roman" w:hAnsi="Times New Roman" w:cs="Times New Roman"/>
                <w:i/>
                <w:color w:val="000000"/>
              </w:rPr>
              <w:t xml:space="preserve"> 4,4 </w:t>
            </w:r>
            <w:r>
              <w:rPr>
                <w:rFonts w:ascii="Times New Roman" w:hAnsi="Times New Roman" w:cs="Times New Roman"/>
                <w:i/>
                <w:color w:val="000000"/>
              </w:rPr>
              <w:t>« </w:t>
            </w:r>
            <w:r w:rsidR="006F4868" w:rsidRPr="006F4868">
              <w:rPr>
                <w:rFonts w:ascii="Times New Roman" w:hAnsi="Times New Roman" w:cs="Times New Roman"/>
                <w:i/>
                <w:color w:val="000000"/>
              </w:rPr>
              <w:t>précarité</w:t>
            </w:r>
            <w:r>
              <w:rPr>
                <w:rFonts w:ascii="Times New Roman" w:hAnsi="Times New Roman" w:cs="Times New Roman"/>
                <w:i/>
                <w:color w:val="000000"/>
              </w:rPr>
              <w:t> »</w:t>
            </w:r>
          </w:p>
        </w:tc>
      </w:tr>
      <w:tr w:rsidR="00E41231" w:rsidTr="006F4868">
        <w:tc>
          <w:tcPr>
            <w:tcW w:w="2122" w:type="dxa"/>
            <w:vAlign w:val="bottom"/>
          </w:tcPr>
          <w:p w:rsidR="00E41231" w:rsidRPr="006F4868" w:rsidRDefault="00E41231" w:rsidP="00E41231">
            <w:pPr>
              <w:rPr>
                <w:rFonts w:ascii="Times New Roman" w:hAnsi="Times New Roman" w:cs="Times New Roman"/>
                <w:color w:val="000000"/>
              </w:rPr>
            </w:pPr>
            <w:r w:rsidRPr="006F4868">
              <w:rPr>
                <w:rFonts w:ascii="Times New Roman" w:hAnsi="Times New Roman" w:cs="Times New Roman"/>
                <w:color w:val="000000"/>
              </w:rPr>
              <w:t>Bâtiment tertiaire</w:t>
            </w:r>
          </w:p>
        </w:tc>
        <w:tc>
          <w:tcPr>
            <w:tcW w:w="1984" w:type="dxa"/>
            <w:vAlign w:val="bottom"/>
          </w:tcPr>
          <w:p w:rsidR="00E41231" w:rsidRPr="00626236" w:rsidRDefault="00E41231" w:rsidP="00E41231">
            <w:pPr>
              <w:jc w:val="right"/>
              <w:rPr>
                <w:rFonts w:ascii="Times New Roman" w:hAnsi="Times New Roman" w:cs="Times New Roman"/>
                <w:b/>
                <w:color w:val="000000"/>
              </w:rPr>
            </w:pPr>
            <w:r w:rsidRPr="00626236">
              <w:rPr>
                <w:rFonts w:ascii="Times New Roman" w:hAnsi="Times New Roman" w:cs="Times New Roman"/>
                <w:b/>
                <w:color w:val="000000"/>
              </w:rPr>
              <w:t>23%</w:t>
            </w:r>
          </w:p>
        </w:tc>
        <w:tc>
          <w:tcPr>
            <w:tcW w:w="3021" w:type="dxa"/>
            <w:vAlign w:val="bottom"/>
          </w:tcPr>
          <w:p w:rsidR="00E41231" w:rsidRPr="006F4868" w:rsidRDefault="00FF41E7" w:rsidP="00E4123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="00E41231" w:rsidRPr="006F4868">
              <w:rPr>
                <w:rFonts w:ascii="Times New Roman" w:hAnsi="Times New Roman" w:cs="Times New Roman"/>
                <w:color w:val="000000"/>
              </w:rPr>
              <w:t>,9</w:t>
            </w:r>
          </w:p>
        </w:tc>
      </w:tr>
      <w:tr w:rsidR="00E41231" w:rsidTr="006F4868">
        <w:tc>
          <w:tcPr>
            <w:tcW w:w="2122" w:type="dxa"/>
            <w:vAlign w:val="bottom"/>
          </w:tcPr>
          <w:p w:rsidR="00E41231" w:rsidRPr="006F4868" w:rsidRDefault="00E41231" w:rsidP="00E41231">
            <w:pPr>
              <w:rPr>
                <w:rFonts w:ascii="Times New Roman" w:hAnsi="Times New Roman" w:cs="Times New Roman"/>
                <w:color w:val="000000"/>
              </w:rPr>
            </w:pPr>
            <w:r w:rsidRPr="006F4868">
              <w:rPr>
                <w:rFonts w:ascii="Times New Roman" w:hAnsi="Times New Roman" w:cs="Times New Roman"/>
                <w:color w:val="000000"/>
              </w:rPr>
              <w:t>Industrie</w:t>
            </w:r>
          </w:p>
        </w:tc>
        <w:tc>
          <w:tcPr>
            <w:tcW w:w="1984" w:type="dxa"/>
            <w:vAlign w:val="bottom"/>
          </w:tcPr>
          <w:p w:rsidR="00E41231" w:rsidRPr="00626236" w:rsidRDefault="00E41231" w:rsidP="00E41231">
            <w:pPr>
              <w:jc w:val="right"/>
              <w:rPr>
                <w:rFonts w:ascii="Times New Roman" w:hAnsi="Times New Roman" w:cs="Times New Roman"/>
                <w:b/>
                <w:color w:val="000000"/>
              </w:rPr>
            </w:pPr>
            <w:r w:rsidRPr="00626236">
              <w:rPr>
                <w:rFonts w:ascii="Times New Roman" w:hAnsi="Times New Roman" w:cs="Times New Roman"/>
                <w:b/>
                <w:color w:val="000000"/>
              </w:rPr>
              <w:t>25%</w:t>
            </w:r>
          </w:p>
        </w:tc>
        <w:tc>
          <w:tcPr>
            <w:tcW w:w="3021" w:type="dxa"/>
            <w:vAlign w:val="bottom"/>
          </w:tcPr>
          <w:p w:rsidR="00E41231" w:rsidRPr="006F4868" w:rsidRDefault="00FF41E7" w:rsidP="00E41231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6,4</w:t>
            </w:r>
          </w:p>
        </w:tc>
      </w:tr>
      <w:tr w:rsidR="00E41231" w:rsidTr="006F4868">
        <w:tc>
          <w:tcPr>
            <w:tcW w:w="2122" w:type="dxa"/>
            <w:vAlign w:val="bottom"/>
          </w:tcPr>
          <w:p w:rsidR="00E41231" w:rsidRPr="006F4868" w:rsidRDefault="00E41231" w:rsidP="00E41231">
            <w:pPr>
              <w:rPr>
                <w:rFonts w:ascii="Times New Roman" w:hAnsi="Times New Roman" w:cs="Times New Roman"/>
                <w:color w:val="000000"/>
              </w:rPr>
            </w:pPr>
            <w:r w:rsidRPr="006F4868">
              <w:rPr>
                <w:rFonts w:ascii="Times New Roman" w:hAnsi="Times New Roman" w:cs="Times New Roman"/>
                <w:color w:val="000000"/>
              </w:rPr>
              <w:t>Transport</w:t>
            </w:r>
          </w:p>
        </w:tc>
        <w:tc>
          <w:tcPr>
            <w:tcW w:w="1984" w:type="dxa"/>
            <w:vAlign w:val="bottom"/>
          </w:tcPr>
          <w:p w:rsidR="00E41231" w:rsidRPr="00626236" w:rsidRDefault="00E41231" w:rsidP="00E41231">
            <w:pPr>
              <w:jc w:val="right"/>
              <w:rPr>
                <w:rFonts w:ascii="Times New Roman" w:hAnsi="Times New Roman" w:cs="Times New Roman"/>
                <w:b/>
                <w:color w:val="000000"/>
              </w:rPr>
            </w:pPr>
            <w:r w:rsidRPr="00626236">
              <w:rPr>
                <w:rFonts w:ascii="Times New Roman" w:hAnsi="Times New Roman" w:cs="Times New Roman"/>
                <w:b/>
                <w:color w:val="000000"/>
              </w:rPr>
              <w:t>5%</w:t>
            </w:r>
          </w:p>
        </w:tc>
        <w:tc>
          <w:tcPr>
            <w:tcW w:w="3021" w:type="dxa"/>
            <w:vAlign w:val="bottom"/>
          </w:tcPr>
          <w:p w:rsidR="00E41231" w:rsidRPr="006F4868" w:rsidRDefault="00E41231" w:rsidP="00FF41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6F4868">
              <w:rPr>
                <w:rFonts w:ascii="Times New Roman" w:hAnsi="Times New Roman" w:cs="Times New Roman"/>
                <w:color w:val="000000"/>
              </w:rPr>
              <w:t>1,</w:t>
            </w:r>
            <w:r w:rsidR="00FF41E7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E41231" w:rsidTr="006F4868">
        <w:tc>
          <w:tcPr>
            <w:tcW w:w="2122" w:type="dxa"/>
            <w:vAlign w:val="bottom"/>
          </w:tcPr>
          <w:p w:rsidR="00E41231" w:rsidRPr="006F4868" w:rsidRDefault="00E41231" w:rsidP="00E41231">
            <w:pPr>
              <w:rPr>
                <w:rFonts w:ascii="Times New Roman" w:hAnsi="Times New Roman" w:cs="Times New Roman"/>
                <w:color w:val="000000"/>
              </w:rPr>
            </w:pPr>
            <w:r w:rsidRPr="006F4868">
              <w:rPr>
                <w:rFonts w:ascii="Times New Roman" w:hAnsi="Times New Roman" w:cs="Times New Roman"/>
                <w:color w:val="000000"/>
              </w:rPr>
              <w:t>Agriculture</w:t>
            </w:r>
          </w:p>
        </w:tc>
        <w:tc>
          <w:tcPr>
            <w:tcW w:w="1984" w:type="dxa"/>
            <w:vAlign w:val="bottom"/>
          </w:tcPr>
          <w:p w:rsidR="00E41231" w:rsidRPr="00626236" w:rsidRDefault="00E41231" w:rsidP="00E41231">
            <w:pPr>
              <w:jc w:val="right"/>
              <w:rPr>
                <w:rFonts w:ascii="Times New Roman" w:hAnsi="Times New Roman" w:cs="Times New Roman"/>
                <w:b/>
                <w:color w:val="000000"/>
              </w:rPr>
            </w:pPr>
            <w:r w:rsidRPr="00626236">
              <w:rPr>
                <w:rFonts w:ascii="Times New Roman" w:hAnsi="Times New Roman" w:cs="Times New Roman"/>
                <w:b/>
                <w:color w:val="000000"/>
              </w:rPr>
              <w:t>5%</w:t>
            </w:r>
          </w:p>
        </w:tc>
        <w:tc>
          <w:tcPr>
            <w:tcW w:w="3021" w:type="dxa"/>
            <w:vAlign w:val="bottom"/>
          </w:tcPr>
          <w:p w:rsidR="00E41231" w:rsidRPr="006F4868" w:rsidRDefault="00E41231" w:rsidP="00FF41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6F4868">
              <w:rPr>
                <w:rFonts w:ascii="Times New Roman" w:hAnsi="Times New Roman" w:cs="Times New Roman"/>
                <w:color w:val="000000"/>
              </w:rPr>
              <w:t>1,</w:t>
            </w:r>
            <w:r w:rsidR="00FF41E7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E41231" w:rsidTr="006F4868">
        <w:tc>
          <w:tcPr>
            <w:tcW w:w="2122" w:type="dxa"/>
            <w:vAlign w:val="bottom"/>
          </w:tcPr>
          <w:p w:rsidR="00E41231" w:rsidRPr="006F4868" w:rsidRDefault="00E41231" w:rsidP="00E41231">
            <w:pPr>
              <w:rPr>
                <w:rFonts w:ascii="Times New Roman" w:hAnsi="Times New Roman" w:cs="Times New Roman"/>
                <w:color w:val="000000"/>
              </w:rPr>
            </w:pPr>
            <w:r w:rsidRPr="006F4868">
              <w:rPr>
                <w:rFonts w:ascii="Times New Roman" w:hAnsi="Times New Roman" w:cs="Times New Roman"/>
                <w:color w:val="000000"/>
              </w:rPr>
              <w:t>Réseaux</w:t>
            </w:r>
          </w:p>
        </w:tc>
        <w:tc>
          <w:tcPr>
            <w:tcW w:w="1984" w:type="dxa"/>
            <w:vAlign w:val="bottom"/>
          </w:tcPr>
          <w:p w:rsidR="00E41231" w:rsidRPr="00626236" w:rsidRDefault="00E41231" w:rsidP="00E41231">
            <w:pPr>
              <w:jc w:val="right"/>
              <w:rPr>
                <w:rFonts w:ascii="Times New Roman" w:hAnsi="Times New Roman" w:cs="Times New Roman"/>
                <w:b/>
                <w:color w:val="000000"/>
              </w:rPr>
            </w:pPr>
            <w:r w:rsidRPr="00626236">
              <w:rPr>
                <w:rFonts w:ascii="Times New Roman" w:hAnsi="Times New Roman" w:cs="Times New Roman"/>
                <w:b/>
                <w:color w:val="000000"/>
              </w:rPr>
              <w:t>2%</w:t>
            </w:r>
          </w:p>
        </w:tc>
        <w:tc>
          <w:tcPr>
            <w:tcW w:w="3021" w:type="dxa"/>
            <w:vAlign w:val="bottom"/>
          </w:tcPr>
          <w:p w:rsidR="00E41231" w:rsidRPr="006F4868" w:rsidRDefault="00E41231" w:rsidP="00FF41E7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6F4868">
              <w:rPr>
                <w:rFonts w:ascii="Times New Roman" w:hAnsi="Times New Roman" w:cs="Times New Roman"/>
                <w:color w:val="000000"/>
              </w:rPr>
              <w:t>0,</w:t>
            </w:r>
            <w:r w:rsidR="00FF41E7">
              <w:rPr>
                <w:rFonts w:ascii="Times New Roman" w:hAnsi="Times New Roman" w:cs="Times New Roman"/>
                <w:color w:val="000000"/>
              </w:rPr>
              <w:t>5</w:t>
            </w:r>
          </w:p>
        </w:tc>
      </w:tr>
    </w:tbl>
    <w:p w:rsidR="00E41231" w:rsidRDefault="00E41231" w:rsidP="007143AA">
      <w:pPr>
        <w:spacing w:line="276" w:lineRule="auto"/>
        <w:jc w:val="both"/>
        <w:rPr>
          <w:rFonts w:ascii="Times New Roman" w:hAnsi="Times New Roman" w:cs="Times New Roman"/>
          <w:b/>
        </w:rPr>
      </w:pPr>
    </w:p>
    <w:p w:rsidR="009535D6" w:rsidRPr="009535D6" w:rsidRDefault="009535D6" w:rsidP="007143AA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9535D6">
        <w:rPr>
          <w:rFonts w:ascii="Times New Roman" w:hAnsi="Times New Roman" w:cs="Times New Roman"/>
          <w:b/>
        </w:rPr>
        <w:t>2.2. Taux d’additionalité</w:t>
      </w:r>
      <w:bookmarkStart w:id="0" w:name="_GoBack"/>
      <w:bookmarkEnd w:id="0"/>
    </w:p>
    <w:p w:rsidR="005E1FB1" w:rsidRDefault="005E1FB1" w:rsidP="007143AA">
      <w:pPr>
        <w:pStyle w:val="Sansinterligne"/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Dans le cadre des scénarios, l’effet du CITE est </w:t>
      </w:r>
      <w:r w:rsidR="00D55812">
        <w:rPr>
          <w:rFonts w:ascii="Times New Roman" w:hAnsi="Times New Roman" w:cs="Times New Roman"/>
        </w:rPr>
        <w:t xml:space="preserve">d’abord </w:t>
      </w:r>
      <w:r>
        <w:rPr>
          <w:rFonts w:ascii="Times New Roman" w:hAnsi="Times New Roman" w:cs="Times New Roman"/>
        </w:rPr>
        <w:t>modélisé via des hypothèses sur le nombre de rénovations, puis l’effet des CEE est intégré en ajoutant les économies d’énergie</w:t>
      </w:r>
      <w:r w:rsidR="008D78CE">
        <w:rPr>
          <w:rFonts w:ascii="Times New Roman" w:hAnsi="Times New Roman" w:cs="Times New Roman"/>
        </w:rPr>
        <w:t xml:space="preserve"> supplémentaires supposées</w:t>
      </w:r>
      <w:r>
        <w:rPr>
          <w:rFonts w:ascii="Times New Roman" w:hAnsi="Times New Roman" w:cs="Times New Roman"/>
        </w:rPr>
        <w:t xml:space="preserve"> permises par ce dispositif. </w:t>
      </w:r>
    </w:p>
    <w:p w:rsidR="008D78CE" w:rsidRDefault="008D78CE" w:rsidP="008C6E1A">
      <w:pPr>
        <w:pStyle w:val="NormalWeb"/>
        <w:spacing w:after="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On reprend les mêmes hypothèses d’additionalité que celles réalisées lors de l’AME 2016-2017 :</w:t>
      </w:r>
    </w:p>
    <w:p w:rsidR="009535D6" w:rsidRDefault="00087D46" w:rsidP="007143AA">
      <w:pPr>
        <w:spacing w:line="276" w:lineRule="auto"/>
        <w:jc w:val="both"/>
        <w:rPr>
          <w:rFonts w:ascii="Times New Roman" w:hAnsi="Times New Roman" w:cs="Times New Roman"/>
        </w:rPr>
      </w:pPr>
      <w:r w:rsidRPr="007143AA">
        <w:rPr>
          <w:rFonts w:ascii="Times New Roman" w:hAnsi="Times New Roman" w:cs="Times New Roman"/>
        </w:rPr>
        <w:lastRenderedPageBreak/>
        <w:t xml:space="preserve">- </w:t>
      </w:r>
      <w:r w:rsidR="001C6BAD" w:rsidRPr="007143AA">
        <w:rPr>
          <w:rFonts w:ascii="Times New Roman" w:hAnsi="Times New Roman" w:cs="Times New Roman"/>
        </w:rPr>
        <w:t>tant qu'il y a du CITE (</w:t>
      </w:r>
      <w:r w:rsidR="004D1CF8">
        <w:rPr>
          <w:rFonts w:ascii="Times New Roman" w:hAnsi="Times New Roman" w:cs="Times New Roman"/>
        </w:rPr>
        <w:t>jusqu’en</w:t>
      </w:r>
      <w:r w:rsidR="001C6BAD" w:rsidRPr="007143AA">
        <w:rPr>
          <w:rFonts w:ascii="Times New Roman" w:hAnsi="Times New Roman" w:cs="Times New Roman"/>
        </w:rPr>
        <w:t xml:space="preserve"> 2017), les effets des CEE et du CITE se superposent</w:t>
      </w:r>
      <w:r w:rsidR="00B018D9">
        <w:rPr>
          <w:rFonts w:ascii="Times New Roman" w:hAnsi="Times New Roman" w:cs="Times New Roman"/>
        </w:rPr>
        <w:t xml:space="preserve"> en partie, et on représente un taux d’</w:t>
      </w:r>
      <w:r w:rsidR="001C6BAD" w:rsidRPr="007143AA">
        <w:rPr>
          <w:rFonts w:ascii="Times New Roman" w:hAnsi="Times New Roman" w:cs="Times New Roman"/>
        </w:rPr>
        <w:t>additionnalité</w:t>
      </w:r>
      <w:r w:rsidR="00B018D9">
        <w:rPr>
          <w:rFonts w:ascii="Times New Roman" w:hAnsi="Times New Roman" w:cs="Times New Roman"/>
        </w:rPr>
        <w:t xml:space="preserve"> des CEE</w:t>
      </w:r>
      <w:r w:rsidR="001C6BAD" w:rsidRPr="007143AA">
        <w:rPr>
          <w:rFonts w:ascii="Times New Roman" w:hAnsi="Times New Roman" w:cs="Times New Roman"/>
        </w:rPr>
        <w:t xml:space="preserve"> de </w:t>
      </w:r>
      <w:r w:rsidR="005E1FB1" w:rsidRPr="00626236">
        <w:rPr>
          <w:rFonts w:ascii="Times New Roman" w:hAnsi="Times New Roman" w:cs="Times New Roman"/>
          <w:b/>
        </w:rPr>
        <w:t>20</w:t>
      </w:r>
      <w:r w:rsidR="000C0C35" w:rsidRPr="00626236">
        <w:rPr>
          <w:rFonts w:ascii="Times New Roman" w:hAnsi="Times New Roman" w:cs="Times New Roman"/>
          <w:b/>
        </w:rPr>
        <w:t>%</w:t>
      </w:r>
      <w:r w:rsidR="000C0C35">
        <w:rPr>
          <w:rFonts w:ascii="Times New Roman" w:hAnsi="Times New Roman" w:cs="Times New Roman"/>
        </w:rPr>
        <w:t xml:space="preserve"> dans le résidentiel</w:t>
      </w:r>
      <w:r w:rsidR="008D78CE">
        <w:rPr>
          <w:rFonts w:ascii="Times New Roman" w:hAnsi="Times New Roman" w:cs="Times New Roman"/>
        </w:rPr>
        <w:t> ;</w:t>
      </w:r>
      <w:r w:rsidR="00B018D9">
        <w:rPr>
          <w:rFonts w:ascii="Times New Roman" w:hAnsi="Times New Roman" w:cs="Times New Roman"/>
        </w:rPr>
        <w:t xml:space="preserve"> </w:t>
      </w:r>
    </w:p>
    <w:p w:rsidR="00801C41" w:rsidRDefault="009535D6" w:rsidP="007143AA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p</w:t>
      </w:r>
      <w:r w:rsidR="001C6BAD" w:rsidRPr="007143AA">
        <w:rPr>
          <w:rFonts w:ascii="Times New Roman" w:hAnsi="Times New Roman" w:cs="Times New Roman"/>
        </w:rPr>
        <w:t xml:space="preserve">ar la suite (2018, 2019 et 2020), en </w:t>
      </w:r>
      <w:r>
        <w:rPr>
          <w:rFonts w:ascii="Times New Roman" w:hAnsi="Times New Roman" w:cs="Times New Roman"/>
        </w:rPr>
        <w:t>présence des</w:t>
      </w:r>
      <w:r w:rsidR="001C6BAD" w:rsidRPr="007143AA">
        <w:rPr>
          <w:rFonts w:ascii="Times New Roman" w:hAnsi="Times New Roman" w:cs="Times New Roman"/>
        </w:rPr>
        <w:t xml:space="preserve"> dispositif</w:t>
      </w:r>
      <w:r>
        <w:rPr>
          <w:rFonts w:ascii="Times New Roman" w:hAnsi="Times New Roman" w:cs="Times New Roman"/>
        </w:rPr>
        <w:t>s</w:t>
      </w:r>
      <w:r w:rsidR="001C6BAD" w:rsidRPr="007143AA">
        <w:rPr>
          <w:rFonts w:ascii="Times New Roman" w:hAnsi="Times New Roman" w:cs="Times New Roman"/>
        </w:rPr>
        <w:t xml:space="preserve"> d'aide</w:t>
      </w:r>
      <w:r>
        <w:rPr>
          <w:rFonts w:ascii="Times New Roman" w:hAnsi="Times New Roman" w:cs="Times New Roman"/>
        </w:rPr>
        <w:t xml:space="preserve"> (éco-PTZ jusqu’en 2018 et éco-PLS jusqu’en 2020)</w:t>
      </w:r>
      <w:r w:rsidR="001C6BAD" w:rsidRPr="007143AA">
        <w:rPr>
          <w:rFonts w:ascii="Times New Roman" w:hAnsi="Times New Roman" w:cs="Times New Roman"/>
        </w:rPr>
        <w:t xml:space="preserve">, on représente </w:t>
      </w:r>
      <w:r w:rsidR="001C6BAD" w:rsidRPr="00626236">
        <w:rPr>
          <w:rFonts w:ascii="Times New Roman" w:hAnsi="Times New Roman" w:cs="Times New Roman"/>
          <w:b/>
        </w:rPr>
        <w:t>80%</w:t>
      </w:r>
      <w:r w:rsidR="001C6BAD" w:rsidRPr="007143AA">
        <w:rPr>
          <w:rFonts w:ascii="Times New Roman" w:hAnsi="Times New Roman" w:cs="Times New Roman"/>
        </w:rPr>
        <w:t xml:space="preserve"> d'additionnalité des CEE</w:t>
      </w:r>
      <w:r w:rsidR="00801C41">
        <w:rPr>
          <w:rFonts w:ascii="Times New Roman" w:hAnsi="Times New Roman" w:cs="Times New Roman"/>
        </w:rPr>
        <w:t xml:space="preserve"> dans le résidentiel ;</w:t>
      </w:r>
    </w:p>
    <w:p w:rsidR="009535D6" w:rsidRDefault="001C6BAD" w:rsidP="007143AA">
      <w:pPr>
        <w:spacing w:line="276" w:lineRule="auto"/>
        <w:jc w:val="both"/>
        <w:rPr>
          <w:rFonts w:ascii="Times New Roman" w:hAnsi="Times New Roman" w:cs="Times New Roman"/>
        </w:rPr>
      </w:pPr>
      <w:r w:rsidRPr="007143AA">
        <w:rPr>
          <w:rFonts w:ascii="Times New Roman" w:hAnsi="Times New Roman" w:cs="Times New Roman"/>
        </w:rPr>
        <w:t xml:space="preserve"> </w:t>
      </w:r>
      <w:r w:rsidR="00801C41">
        <w:rPr>
          <w:rFonts w:ascii="Times New Roman" w:hAnsi="Times New Roman" w:cs="Times New Roman"/>
        </w:rPr>
        <w:t xml:space="preserve">- pour les secteurs autres que le résidentiel, on prend en compte un taux d’additionnalité de </w:t>
      </w:r>
      <w:r w:rsidR="002D5CD1" w:rsidRPr="00626236">
        <w:rPr>
          <w:rFonts w:ascii="Times New Roman" w:hAnsi="Times New Roman" w:cs="Times New Roman"/>
          <w:b/>
        </w:rPr>
        <w:t>100</w:t>
      </w:r>
      <w:r w:rsidR="00801C41" w:rsidRPr="00626236">
        <w:rPr>
          <w:rFonts w:ascii="Times New Roman" w:hAnsi="Times New Roman" w:cs="Times New Roman"/>
          <w:b/>
        </w:rPr>
        <w:t>%.</w:t>
      </w:r>
    </w:p>
    <w:p w:rsidR="009535D6" w:rsidRDefault="009535D6" w:rsidP="009535D6">
      <w:pPr>
        <w:pStyle w:val="Sansinterligne"/>
        <w:jc w:val="both"/>
        <w:rPr>
          <w:rFonts w:ascii="Times New Roman" w:hAnsi="Times New Roman" w:cs="Times New Roman"/>
        </w:rPr>
      </w:pPr>
    </w:p>
    <w:p w:rsidR="00C73575" w:rsidRDefault="00C73575" w:rsidP="009535D6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C73575">
        <w:rPr>
          <w:rFonts w:ascii="Times New Roman" w:hAnsi="Times New Roman" w:cs="Times New Roman"/>
          <w:b/>
          <w:color w:val="000000" w:themeColor="text1"/>
        </w:rPr>
        <w:t>2.4. Bilan</w:t>
      </w:r>
    </w:p>
    <w:p w:rsidR="008A45BF" w:rsidRPr="008A45BF" w:rsidRDefault="00CC5EBF" w:rsidP="009535D6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</w:rPr>
        <w:t>Cf. tableur Excel</w:t>
      </w:r>
    </w:p>
    <w:sectPr w:rsidR="008A45BF" w:rsidRPr="008A45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04DB" w:rsidRDefault="00F204DB" w:rsidP="007B4284">
      <w:pPr>
        <w:spacing w:after="0" w:line="240" w:lineRule="auto"/>
      </w:pPr>
      <w:r>
        <w:separator/>
      </w:r>
    </w:p>
  </w:endnote>
  <w:endnote w:type="continuationSeparator" w:id="0">
    <w:p w:rsidR="00F204DB" w:rsidRDefault="00F204DB" w:rsidP="007B4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04DB" w:rsidRDefault="00F204DB" w:rsidP="007B4284">
      <w:pPr>
        <w:spacing w:after="0" w:line="240" w:lineRule="auto"/>
      </w:pPr>
      <w:r>
        <w:separator/>
      </w:r>
    </w:p>
  </w:footnote>
  <w:footnote w:type="continuationSeparator" w:id="0">
    <w:p w:rsidR="00F204DB" w:rsidRDefault="00F204DB" w:rsidP="007B42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5E03F4"/>
    <w:multiLevelType w:val="hybridMultilevel"/>
    <w:tmpl w:val="B4CEF09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CF0"/>
    <w:rsid w:val="00007A5A"/>
    <w:rsid w:val="00015069"/>
    <w:rsid w:val="0003585F"/>
    <w:rsid w:val="00087D46"/>
    <w:rsid w:val="000C02E4"/>
    <w:rsid w:val="000C0C35"/>
    <w:rsid w:val="000E1D8A"/>
    <w:rsid w:val="000F495A"/>
    <w:rsid w:val="001033D4"/>
    <w:rsid w:val="00136B96"/>
    <w:rsid w:val="00163A03"/>
    <w:rsid w:val="00183A1C"/>
    <w:rsid w:val="001C6BAD"/>
    <w:rsid w:val="001C73A9"/>
    <w:rsid w:val="001E510B"/>
    <w:rsid w:val="001F2273"/>
    <w:rsid w:val="00260BDC"/>
    <w:rsid w:val="0029028F"/>
    <w:rsid w:val="002D5CD1"/>
    <w:rsid w:val="003B0C40"/>
    <w:rsid w:val="003E69A9"/>
    <w:rsid w:val="00433F41"/>
    <w:rsid w:val="00435DCA"/>
    <w:rsid w:val="004443F6"/>
    <w:rsid w:val="004951C3"/>
    <w:rsid w:val="004C530F"/>
    <w:rsid w:val="004D1CF8"/>
    <w:rsid w:val="0057656B"/>
    <w:rsid w:val="005801C8"/>
    <w:rsid w:val="005A063D"/>
    <w:rsid w:val="005B7179"/>
    <w:rsid w:val="005D7C36"/>
    <w:rsid w:val="005E1FB1"/>
    <w:rsid w:val="00626236"/>
    <w:rsid w:val="00644F03"/>
    <w:rsid w:val="0066332A"/>
    <w:rsid w:val="00676FE4"/>
    <w:rsid w:val="006907AB"/>
    <w:rsid w:val="00695F18"/>
    <w:rsid w:val="006B0B69"/>
    <w:rsid w:val="006B691E"/>
    <w:rsid w:val="006C1171"/>
    <w:rsid w:val="006E5D02"/>
    <w:rsid w:val="006F4868"/>
    <w:rsid w:val="007143AA"/>
    <w:rsid w:val="00722F48"/>
    <w:rsid w:val="00742DA5"/>
    <w:rsid w:val="0074386E"/>
    <w:rsid w:val="00745FC8"/>
    <w:rsid w:val="00757B80"/>
    <w:rsid w:val="007A068D"/>
    <w:rsid w:val="007B4284"/>
    <w:rsid w:val="007C6878"/>
    <w:rsid w:val="007F6E8B"/>
    <w:rsid w:val="00801C41"/>
    <w:rsid w:val="008053BB"/>
    <w:rsid w:val="008315D5"/>
    <w:rsid w:val="00831E01"/>
    <w:rsid w:val="00832B51"/>
    <w:rsid w:val="00867C8E"/>
    <w:rsid w:val="00895112"/>
    <w:rsid w:val="008A45BF"/>
    <w:rsid w:val="008B6CF0"/>
    <w:rsid w:val="008C6E1A"/>
    <w:rsid w:val="008D78CE"/>
    <w:rsid w:val="009535D6"/>
    <w:rsid w:val="00983B1C"/>
    <w:rsid w:val="00A651AE"/>
    <w:rsid w:val="00A6591F"/>
    <w:rsid w:val="00B018D9"/>
    <w:rsid w:val="00BB5B36"/>
    <w:rsid w:val="00BC2EC3"/>
    <w:rsid w:val="00BF1DBF"/>
    <w:rsid w:val="00C10D1D"/>
    <w:rsid w:val="00C1588B"/>
    <w:rsid w:val="00C46CDC"/>
    <w:rsid w:val="00C61DF5"/>
    <w:rsid w:val="00C73575"/>
    <w:rsid w:val="00CA4207"/>
    <w:rsid w:val="00CC5EBF"/>
    <w:rsid w:val="00CD1554"/>
    <w:rsid w:val="00CF3C9C"/>
    <w:rsid w:val="00D163DC"/>
    <w:rsid w:val="00D42EAA"/>
    <w:rsid w:val="00D55812"/>
    <w:rsid w:val="00D7164D"/>
    <w:rsid w:val="00DE595F"/>
    <w:rsid w:val="00E41231"/>
    <w:rsid w:val="00E602AE"/>
    <w:rsid w:val="00E9321B"/>
    <w:rsid w:val="00EA7EEE"/>
    <w:rsid w:val="00F10532"/>
    <w:rsid w:val="00F120E4"/>
    <w:rsid w:val="00F204DB"/>
    <w:rsid w:val="00F2664B"/>
    <w:rsid w:val="00F65CF0"/>
    <w:rsid w:val="00FD74F9"/>
    <w:rsid w:val="00FE293F"/>
    <w:rsid w:val="00FF41E7"/>
    <w:rsid w:val="00FF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EACA8A-8A80-4106-B4ED-5011CEEC7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B4284"/>
    <w:pPr>
      <w:spacing w:after="0" w:line="240" w:lineRule="auto"/>
    </w:pPr>
  </w:style>
  <w:style w:type="paragraph" w:styleId="Notedebasdepage">
    <w:name w:val="footnote text"/>
    <w:basedOn w:val="Normal"/>
    <w:link w:val="NotedebasdepageCar"/>
    <w:unhideWhenUsed/>
    <w:rsid w:val="007B4284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rsid w:val="007B4284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B428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087D46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7143AA"/>
    <w:pPr>
      <w:ind w:left="720"/>
      <w:contextualSpacing/>
    </w:pPr>
  </w:style>
  <w:style w:type="table" w:styleId="Grilledutableau">
    <w:name w:val="Table Grid"/>
    <w:basedOn w:val="TableauNormal"/>
    <w:uiPriority w:val="39"/>
    <w:rsid w:val="00E412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F1D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1D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794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DGEC</Company>
  <LinksUpToDate>false</LinksUpToDate>
  <CharactersWithSpaces>5157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DOUDNIKOFF Marjorie</dc:creator>
  <cp:keywords/>
  <dc:description/>
  <cp:lastModifiedBy>DOUDNIKOFF Marjorie</cp:lastModifiedBy>
  <cp:revision>3</cp:revision>
  <cp:lastPrinted>2017-08-04T08:20:00Z</cp:lastPrinted>
  <dcterms:created xsi:type="dcterms:W3CDTF">2017-08-04T08:47:00Z</dcterms:created>
  <dcterms:modified xsi:type="dcterms:W3CDTF">2017-08-04T08:48:00Z</dcterms:modified>
</cp:coreProperties>
</file>