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88.xml" ContentType="application/vnd.openxmlformats-officedocument.customXmlProperties+xml"/>
  <Override PartName="/customXml/itemProps87.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92.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word/numbering.xml" ContentType="application/vnd.openxmlformats-officedocument.wordprocessingml.numbering+xml"/>
  <Override PartName="/customXml/itemProps96.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word/webSettings.xml" ContentType="application/vnd.openxmlformats-officedocument.wordprocessingml.webSettings+xml"/>
  <Override PartName="/customXml/itemProps84.xml" ContentType="application/vnd.openxmlformats-officedocument.customXmlProperties+xml"/>
  <Override PartName="/customXml/itemProps83.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27.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38.xml" ContentType="application/vnd.openxmlformats-officedocument.customXmlProperties+xml"/>
  <Override PartName="/customXml/itemProps37.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22.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7.xml" ContentType="application/vnd.openxmlformats-officedocument.customXmlProperties+xml"/>
  <Override PartName="/customXml/itemProps6.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12.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17.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68.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79.xml" ContentType="application/vnd.openxmlformats-officedocument.customXmlProperties+xml"/>
  <Override PartName="/customXml/itemProps78.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63.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48.xml" ContentType="application/vnd.openxmlformats-officedocument.customXmlProperties+xml"/>
  <Override PartName="/customXml/itemProps47.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53.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58.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102.xml" ContentType="application/vnd.openxmlformats-officedocument.customXmlProperties+xml"/>
  <Override PartName="/customXml/itemProps101.xml" ContentType="application/vnd.openxmlformats-officedocument.customXmlProperties+xml"/>
  <Override PartName="/customXml/itemProps100.xml" ContentType="application/vnd.openxmlformats-officedocument.customXmlProperties+xml"/>
  <Override PartName="/customXml/itemProps10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4F9E8" w14:textId="77777777" w:rsidR="0092410C" w:rsidRDefault="00FA6B35" w:rsidP="001A5070">
      <w:pPr>
        <w:rPr>
          <w:rFonts w:cs="Arial"/>
        </w:rPr>
      </w:pPr>
      <w:r>
        <w:rPr>
          <w:rFonts w:cs="Arial"/>
          <w:noProof/>
          <w:sz w:val="20"/>
        </w:rPr>
        <mc:AlternateContent>
          <mc:Choice Requires="wps">
            <w:drawing>
              <wp:anchor distT="0" distB="0" distL="114300" distR="114300" simplePos="0" relativeHeight="251658240" behindDoc="0" locked="0" layoutInCell="1" allowOverlap="1" wp14:anchorId="5B159388" wp14:editId="65C9AFE1">
                <wp:simplePos x="0" y="0"/>
                <wp:positionH relativeFrom="column">
                  <wp:posOffset>-1143000</wp:posOffset>
                </wp:positionH>
                <wp:positionV relativeFrom="paragraph">
                  <wp:posOffset>228600</wp:posOffset>
                </wp:positionV>
                <wp:extent cx="9144000" cy="114300"/>
                <wp:effectExtent l="0" t="0" r="0"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E42F74" id="Rectangle 48" o:spid="_x0000_s1026" style="position:absolute;margin-left:-90pt;margin-top:18pt;width:10in;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" stroked="f">
                <v:fill color2="#1379c5" angle="90" focus="100%" type="gradient"/>
              </v:rect>
            </w:pict>
          </mc:Fallback>
        </mc:AlternateContent>
      </w:r>
    </w:p>
    <w:p w14:paraId="205406C2" w14:textId="77777777" w:rsidR="002148AE" w:rsidRPr="00C03513" w:rsidRDefault="002148AE">
      <w:pPr>
        <w:rPr>
          <w:rFonts w:cs="Arial"/>
        </w:rPr>
      </w:pPr>
    </w:p>
    <w:p w14:paraId="52941346" w14:textId="77777777" w:rsidR="002148AE" w:rsidRPr="00C03513" w:rsidRDefault="002148AE">
      <w:pPr>
        <w:pStyle w:val="ParaText"/>
        <w:jc w:val="right"/>
        <w:rPr>
          <w:rFonts w:cs="Arial"/>
          <w:b/>
          <w:bCs/>
        </w:rPr>
      </w:pPr>
    </w:p>
    <w:p w14:paraId="15B43342" w14:textId="77777777" w:rsidR="002148AE" w:rsidRPr="00C03513" w:rsidRDefault="002148AE">
      <w:pPr>
        <w:pStyle w:val="Header"/>
        <w:tabs>
          <w:tab w:val="clear" w:pos="4320"/>
          <w:tab w:val="clear" w:pos="8640"/>
        </w:tabs>
        <w:rPr>
          <w:rFonts w:cs="Arial"/>
          <w:b w:val="0"/>
          <w:bCs/>
        </w:rPr>
      </w:pPr>
    </w:p>
    <w:p w14:paraId="3D1F21C0" w14:textId="77777777" w:rsidR="002148AE" w:rsidRPr="00C03513" w:rsidRDefault="002148AE">
      <w:pPr>
        <w:pStyle w:val="ParaText"/>
        <w:rPr>
          <w:rFonts w:cs="Arial"/>
        </w:rPr>
      </w:pPr>
    </w:p>
    <w:p w14:paraId="6E5E941F" w14:textId="77777777" w:rsidR="00E52499" w:rsidRPr="00C03513" w:rsidRDefault="002148AE" w:rsidP="00C7737E">
      <w:pPr>
        <w:pStyle w:val="Title"/>
        <w:rPr>
          <w:rFonts w:cs="Arial"/>
        </w:rPr>
      </w:pPr>
      <w:r w:rsidRPr="00C03513">
        <w:rPr>
          <w:rFonts w:cs="Arial"/>
        </w:rPr>
        <w:t>Business Practice Manual</w:t>
      </w:r>
    </w:p>
    <w:p w14:paraId="3D654D24" w14:textId="77777777" w:rsidR="0071103E" w:rsidRDefault="00E52499" w:rsidP="00C7737E">
      <w:pPr>
        <w:pStyle w:val="Title"/>
        <w:rPr>
          <w:rFonts w:cs="Arial"/>
        </w:rPr>
      </w:pPr>
      <w:r w:rsidRPr="00C03513">
        <w:rPr>
          <w:rFonts w:cs="Arial"/>
        </w:rPr>
        <w:t>F</w:t>
      </w:r>
      <w:r w:rsidR="002148AE" w:rsidRPr="00C03513">
        <w:rPr>
          <w:rFonts w:cs="Arial"/>
        </w:rPr>
        <w:t>or</w:t>
      </w:r>
      <w:r w:rsidR="0039613C">
        <w:rPr>
          <w:rFonts w:cs="Arial"/>
        </w:rPr>
        <w:t xml:space="preserve"> T</w:t>
      </w:r>
      <w:r w:rsidR="000D7FC2">
        <w:rPr>
          <w:rFonts w:cs="Arial"/>
        </w:rPr>
        <w:t>he</w:t>
      </w:r>
    </w:p>
    <w:p w14:paraId="724D3CDC" w14:textId="77777777" w:rsidR="002148AE" w:rsidRPr="00C03513" w:rsidRDefault="00827D23" w:rsidP="00C7737E">
      <w:pPr>
        <w:pStyle w:val="Title"/>
        <w:rPr>
          <w:rFonts w:cs="Arial"/>
        </w:rPr>
      </w:pPr>
      <w:r>
        <w:rPr>
          <w:rFonts w:cs="Arial"/>
        </w:rPr>
        <w:t>Energy Imbalance Market</w:t>
      </w:r>
    </w:p>
    <w:p w14:paraId="1824BB83" w14:textId="77777777" w:rsidR="00635A12" w:rsidRPr="00C03513" w:rsidRDefault="00635A12" w:rsidP="00635A12">
      <w:pPr>
        <w:pStyle w:val="Subtitle"/>
      </w:pPr>
    </w:p>
    <w:p w14:paraId="543A402B" w14:textId="77777777" w:rsidR="00635A12" w:rsidRPr="00C03513" w:rsidRDefault="00635A12" w:rsidP="00635A12">
      <w:pPr>
        <w:pStyle w:val="Subtitle"/>
      </w:pPr>
    </w:p>
    <w:p w14:paraId="59BC9892" w14:textId="77777777" w:rsidR="002148AE" w:rsidRPr="00C03513" w:rsidRDefault="002148AE">
      <w:pPr>
        <w:pStyle w:val="ParaText"/>
        <w:rPr>
          <w:rFonts w:cs="Arial"/>
        </w:rPr>
      </w:pPr>
      <w:bookmarkStart w:id="0" w:name="_GoBack"/>
      <w:bookmarkEnd w:id="0"/>
    </w:p>
    <w:p w14:paraId="333608E8" w14:textId="77777777" w:rsidR="002148AE" w:rsidRPr="00C03513" w:rsidRDefault="002148AE">
      <w:pPr>
        <w:pStyle w:val="ParaText"/>
        <w:rPr>
          <w:rFonts w:cs="Arial"/>
        </w:rPr>
      </w:pPr>
    </w:p>
    <w:p w14:paraId="3B008D64" w14:textId="77777777" w:rsidR="00FA61BC" w:rsidRPr="00C03513" w:rsidRDefault="00FA61BC">
      <w:pPr>
        <w:pStyle w:val="ParaText"/>
        <w:rPr>
          <w:rFonts w:cs="Arial"/>
        </w:rPr>
      </w:pPr>
    </w:p>
    <w:p w14:paraId="1F3CF864" w14:textId="77777777" w:rsidR="00FA61BC" w:rsidRPr="00C03513" w:rsidRDefault="00FA61BC">
      <w:pPr>
        <w:pStyle w:val="ParaText"/>
        <w:rPr>
          <w:rFonts w:cs="Arial"/>
        </w:rPr>
      </w:pPr>
    </w:p>
    <w:p w14:paraId="0111DD9D" w14:textId="77777777" w:rsidR="00FA61BC" w:rsidRPr="007419FE" w:rsidRDefault="00FA61BC">
      <w:pPr>
        <w:pStyle w:val="ParaText"/>
        <w:rPr>
          <w:rFonts w:cs="Arial"/>
        </w:rPr>
      </w:pPr>
    </w:p>
    <w:p w14:paraId="256F75E0" w14:textId="77777777" w:rsidR="00FA61BC" w:rsidRPr="00C03513" w:rsidRDefault="00FA61BC">
      <w:pPr>
        <w:pStyle w:val="ParaText"/>
        <w:jc w:val="center"/>
        <w:rPr>
          <w:rFonts w:cs="Arial"/>
        </w:rPr>
      </w:pPr>
    </w:p>
    <w:p w14:paraId="4009E1CD" w14:textId="77777777" w:rsidR="00FA61BC" w:rsidRPr="00C03513" w:rsidRDefault="00FA61BC">
      <w:pPr>
        <w:pStyle w:val="ParaText"/>
        <w:jc w:val="center"/>
        <w:rPr>
          <w:rFonts w:cs="Arial"/>
        </w:rPr>
      </w:pPr>
    </w:p>
    <w:p w14:paraId="56284921" w14:textId="074C7AD9" w:rsidR="002148AE" w:rsidRPr="00C03513" w:rsidRDefault="001425BC">
      <w:pPr>
        <w:pStyle w:val="ParaText"/>
        <w:jc w:val="center"/>
        <w:rPr>
          <w:rFonts w:cs="Arial"/>
        </w:rPr>
      </w:pPr>
      <w:r w:rsidRPr="00C03513">
        <w:rPr>
          <w:rFonts w:cs="Arial"/>
        </w:rPr>
        <w:t xml:space="preserve">Version </w:t>
      </w:r>
      <w:r w:rsidR="00440572">
        <w:rPr>
          <w:rFonts w:cs="Arial"/>
        </w:rPr>
        <w:t>16</w:t>
      </w:r>
    </w:p>
    <w:p w14:paraId="628A5C70" w14:textId="77777777" w:rsidR="002148AE" w:rsidRPr="00C03513" w:rsidRDefault="002148AE">
      <w:pPr>
        <w:pStyle w:val="ParaText"/>
        <w:rPr>
          <w:rFonts w:cs="Arial"/>
        </w:rPr>
      </w:pPr>
    </w:p>
    <w:p w14:paraId="710932A4" w14:textId="1C119A7F" w:rsidR="002148AE" w:rsidRPr="00C03513" w:rsidRDefault="00C9250E">
      <w:pPr>
        <w:pStyle w:val="ParaText"/>
        <w:jc w:val="center"/>
        <w:rPr>
          <w:rFonts w:cs="Arial"/>
        </w:rPr>
      </w:pPr>
      <w:r w:rsidRPr="00C03513">
        <w:rPr>
          <w:rFonts w:cs="Arial"/>
        </w:rPr>
        <w:t>Revision Date</w:t>
      </w:r>
      <w:r w:rsidR="009E4560">
        <w:rPr>
          <w:rFonts w:cs="Arial"/>
        </w:rPr>
        <w:t xml:space="preserve"> </w:t>
      </w:r>
      <w:r w:rsidR="00440572">
        <w:rPr>
          <w:rFonts w:cs="Arial"/>
        </w:rPr>
        <w:t>September 26</w:t>
      </w:r>
      <w:r w:rsidR="000914B7">
        <w:rPr>
          <w:rFonts w:cs="Arial"/>
        </w:rPr>
        <w:t>, 2019</w:t>
      </w:r>
    </w:p>
    <w:p w14:paraId="08E8A462" w14:textId="77777777" w:rsidR="002148AE" w:rsidRPr="00C03513" w:rsidRDefault="002148AE">
      <w:pPr>
        <w:pStyle w:val="ParaText"/>
        <w:rPr>
          <w:rFonts w:cs="Arial"/>
        </w:rPr>
      </w:pPr>
    </w:p>
    <w:p w14:paraId="5FF6FF2B" w14:textId="77777777" w:rsidR="00E52499" w:rsidRPr="00C03513" w:rsidRDefault="00E52499">
      <w:pPr>
        <w:rPr>
          <w:rFonts w:cs="Arial"/>
          <w:b/>
          <w:bCs/>
          <w:sz w:val="32"/>
        </w:rPr>
      </w:pPr>
      <w:r w:rsidRPr="00C03513">
        <w:rPr>
          <w:rFonts w:cs="Arial"/>
          <w:b/>
          <w:bCs/>
          <w:sz w:val="32"/>
        </w:rPr>
        <w:br w:type="page"/>
      </w:r>
    </w:p>
    <w:p w14:paraId="21A7FDF9" w14:textId="77777777" w:rsidR="002148AE" w:rsidRPr="00C03513" w:rsidRDefault="002148AE">
      <w:pPr>
        <w:rPr>
          <w:rFonts w:cs="Arial"/>
          <w:b/>
          <w:bCs/>
          <w:sz w:val="32"/>
        </w:rPr>
      </w:pPr>
      <w:r w:rsidRPr="00C03513">
        <w:rPr>
          <w:rFonts w:cs="Arial"/>
          <w:b/>
          <w:bCs/>
          <w:sz w:val="32"/>
        </w:rPr>
        <w:lastRenderedPageBreak/>
        <w:t>Approval History</w:t>
      </w:r>
    </w:p>
    <w:p w14:paraId="44C6FBC5" w14:textId="77777777" w:rsidR="002148AE" w:rsidRPr="00C03513" w:rsidRDefault="002148AE">
      <w:pPr>
        <w:pStyle w:val="ParaText"/>
        <w:ind w:firstLine="720"/>
        <w:rPr>
          <w:rFonts w:cs="Arial"/>
        </w:rPr>
      </w:pPr>
      <w:r w:rsidRPr="00C03513">
        <w:rPr>
          <w:rFonts w:cs="Arial"/>
        </w:rPr>
        <w:t>Approval Date</w:t>
      </w:r>
      <w:r w:rsidR="00657E79">
        <w:rPr>
          <w:rFonts w:cs="Arial"/>
        </w:rPr>
        <w:t xml:space="preserve">:  </w:t>
      </w:r>
      <w:r w:rsidR="002A234D">
        <w:rPr>
          <w:rFonts w:cs="Arial"/>
        </w:rPr>
        <w:t>October 2</w:t>
      </w:r>
      <w:r w:rsidR="00B645B7" w:rsidRPr="0028532A">
        <w:rPr>
          <w:rFonts w:cs="Arial"/>
        </w:rPr>
        <w:t>,</w:t>
      </w:r>
      <w:r w:rsidR="00B645B7" w:rsidRPr="00C03513">
        <w:rPr>
          <w:rFonts w:cs="Arial"/>
        </w:rPr>
        <w:t xml:space="preserve"> 2014</w:t>
      </w:r>
    </w:p>
    <w:p w14:paraId="20B584E4" w14:textId="77777777" w:rsidR="002148AE" w:rsidRPr="00C03513" w:rsidRDefault="0028532A">
      <w:pPr>
        <w:pStyle w:val="ParaText"/>
        <w:ind w:firstLine="720"/>
        <w:rPr>
          <w:rFonts w:cs="Arial"/>
        </w:rPr>
      </w:pPr>
      <w:r>
        <w:rPr>
          <w:rFonts w:cs="Arial"/>
        </w:rPr>
        <w:t xml:space="preserve">Effective Date:  </w:t>
      </w:r>
      <w:r w:rsidR="002A234D">
        <w:rPr>
          <w:rFonts w:cs="Arial"/>
        </w:rPr>
        <w:t>October 2</w:t>
      </w:r>
      <w:r w:rsidR="00B645B7" w:rsidRPr="00C03513">
        <w:rPr>
          <w:rFonts w:cs="Arial"/>
        </w:rPr>
        <w:t>, 2014</w:t>
      </w:r>
    </w:p>
    <w:p w14:paraId="6EB7EDE0" w14:textId="77777777" w:rsidR="002148AE" w:rsidRPr="00C7737E" w:rsidRDefault="002148AE">
      <w:pPr>
        <w:pStyle w:val="ParaText"/>
        <w:ind w:firstLine="720"/>
        <w:rPr>
          <w:rFonts w:cs="Arial"/>
        </w:rPr>
      </w:pPr>
      <w:r w:rsidRPr="00C03513">
        <w:rPr>
          <w:rFonts w:cs="Arial"/>
        </w:rPr>
        <w:t>BPM Owner</w:t>
      </w:r>
      <w:r w:rsidR="00C7737E">
        <w:rPr>
          <w:rFonts w:cs="Arial"/>
        </w:rPr>
        <w:t>s</w:t>
      </w:r>
      <w:r w:rsidR="00657E79">
        <w:rPr>
          <w:rFonts w:cs="Arial"/>
        </w:rPr>
        <w:t xml:space="preserve">:  </w:t>
      </w:r>
      <w:r w:rsidR="00C7737E" w:rsidRPr="00C7737E">
        <w:rPr>
          <w:rFonts w:cs="Arial"/>
        </w:rPr>
        <w:t>Mike Turner and Jamal Batakji</w:t>
      </w:r>
    </w:p>
    <w:p w14:paraId="212D9C6B" w14:textId="77777777" w:rsidR="00837C71" w:rsidRDefault="00982CB2" w:rsidP="00F1046E">
      <w:pPr>
        <w:pStyle w:val="ParaText"/>
        <w:spacing w:after="0"/>
        <w:ind w:firstLine="720"/>
        <w:rPr>
          <w:rFonts w:cs="Arial"/>
        </w:rPr>
      </w:pPr>
      <w:r>
        <w:rPr>
          <w:rFonts w:cs="Arial"/>
        </w:rPr>
        <w:t>BPM Owner</w:t>
      </w:r>
      <w:r w:rsidR="009472BD">
        <w:rPr>
          <w:rFonts w:cs="Arial"/>
        </w:rPr>
        <w:t>s</w:t>
      </w:r>
      <w:r>
        <w:rPr>
          <w:rFonts w:cs="Arial"/>
        </w:rPr>
        <w:t>’</w:t>
      </w:r>
      <w:r w:rsidR="002148AE" w:rsidRPr="00C03513">
        <w:rPr>
          <w:rFonts w:cs="Arial"/>
        </w:rPr>
        <w:t xml:space="preserve"> Title</w:t>
      </w:r>
      <w:r>
        <w:rPr>
          <w:rFonts w:cs="Arial"/>
        </w:rPr>
        <w:t>s</w:t>
      </w:r>
      <w:r w:rsidR="00657E79">
        <w:rPr>
          <w:rFonts w:cs="Arial"/>
        </w:rPr>
        <w:t xml:space="preserve">:  </w:t>
      </w:r>
      <w:r w:rsidR="00F866BE" w:rsidRPr="00F866BE">
        <w:rPr>
          <w:rFonts w:cs="Arial"/>
        </w:rPr>
        <w:t>Manager, Market Settlement Validation and Resolution</w:t>
      </w:r>
      <w:r w:rsidR="00F866BE">
        <w:rPr>
          <w:rFonts w:cs="Arial"/>
        </w:rPr>
        <w:t xml:space="preserve"> and</w:t>
      </w:r>
    </w:p>
    <w:p w14:paraId="6DD67A07" w14:textId="77777777" w:rsidR="00F866BE" w:rsidRDefault="00F866BE" w:rsidP="00F1046E">
      <w:pPr>
        <w:pStyle w:val="ParaText"/>
        <w:ind w:firstLine="720"/>
        <w:rPr>
          <w:rFonts w:cs="Arial"/>
        </w:rPr>
      </w:pPr>
      <w:r>
        <w:rPr>
          <w:rFonts w:cs="Arial"/>
        </w:rPr>
        <w:t xml:space="preserve">  </w:t>
      </w:r>
      <w:r w:rsidR="00F1046E">
        <w:rPr>
          <w:rFonts w:cs="Arial"/>
        </w:rPr>
        <w:t xml:space="preserve">                              </w:t>
      </w:r>
      <w:r>
        <w:rPr>
          <w:rFonts w:cs="Arial"/>
        </w:rPr>
        <w:t>Lead Day-</w:t>
      </w:r>
      <w:r w:rsidRPr="00F866BE">
        <w:rPr>
          <w:rFonts w:cs="Arial"/>
        </w:rPr>
        <w:t>Ahead Market Operator</w:t>
      </w:r>
    </w:p>
    <w:p w14:paraId="5814517B" w14:textId="77777777" w:rsidR="00F866BE" w:rsidRPr="00F866BE" w:rsidRDefault="00F866BE" w:rsidP="00F866BE">
      <w:pPr>
        <w:pStyle w:val="ParaText"/>
        <w:ind w:firstLine="720"/>
        <w:rPr>
          <w:rFonts w:cs="Arial"/>
        </w:rPr>
      </w:pPr>
    </w:p>
    <w:p w14:paraId="1E86CE1A" w14:textId="77777777" w:rsidR="002148AE" w:rsidRDefault="002148AE">
      <w:pPr>
        <w:rPr>
          <w:rFonts w:cs="Arial"/>
          <w:b/>
          <w:bCs/>
          <w:sz w:val="32"/>
        </w:rPr>
      </w:pPr>
      <w:r w:rsidRPr="00C03513">
        <w:rPr>
          <w:rFonts w:cs="Arial"/>
          <w:b/>
          <w:bCs/>
          <w:sz w:val="32"/>
        </w:rPr>
        <w:t>Revision History</w:t>
      </w:r>
    </w:p>
    <w:tbl>
      <w:tblPr>
        <w:tblW w:w="98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34"/>
        <w:gridCol w:w="1297"/>
        <w:gridCol w:w="1440"/>
        <w:gridCol w:w="5887"/>
      </w:tblGrid>
      <w:tr w:rsidR="008D505E" w:rsidRPr="00C03513" w14:paraId="3A10C9A8" w14:textId="77777777" w:rsidTr="000914B7">
        <w:trPr>
          <w:tblHeader/>
        </w:trPr>
        <w:tc>
          <w:tcPr>
            <w:tcW w:w="1234" w:type="dxa"/>
            <w:shd w:val="clear" w:color="auto" w:fill="0000BE"/>
            <w:vAlign w:val="center"/>
          </w:tcPr>
          <w:p w14:paraId="63C4EBDA" w14:textId="77777777" w:rsidR="008D505E" w:rsidRPr="00C03513" w:rsidRDefault="008D505E" w:rsidP="00CC2A05">
            <w:pPr>
              <w:spacing w:before="60" w:after="60"/>
              <w:jc w:val="center"/>
              <w:rPr>
                <w:rFonts w:cs="Arial"/>
                <w:color w:val="FFFFFF"/>
                <w:sz w:val="28"/>
              </w:rPr>
            </w:pPr>
            <w:r w:rsidRPr="00C03513">
              <w:rPr>
                <w:rFonts w:cs="Arial"/>
                <w:color w:val="FFFFFF"/>
                <w:sz w:val="28"/>
              </w:rPr>
              <w:t>Version</w:t>
            </w:r>
          </w:p>
        </w:tc>
        <w:tc>
          <w:tcPr>
            <w:tcW w:w="1297" w:type="dxa"/>
            <w:shd w:val="clear" w:color="auto" w:fill="0000BE"/>
            <w:vAlign w:val="center"/>
          </w:tcPr>
          <w:p w14:paraId="1498F678" w14:textId="77777777" w:rsidR="008D505E" w:rsidRPr="00C03513" w:rsidRDefault="008D505E" w:rsidP="00CC2A05">
            <w:pPr>
              <w:spacing w:before="60" w:after="60"/>
              <w:jc w:val="center"/>
              <w:rPr>
                <w:rFonts w:cs="Arial"/>
                <w:color w:val="FFFFFF"/>
                <w:sz w:val="28"/>
              </w:rPr>
            </w:pPr>
            <w:r>
              <w:rPr>
                <w:rFonts w:cs="Arial"/>
                <w:color w:val="FFFFFF"/>
                <w:sz w:val="28"/>
              </w:rPr>
              <w:t>PRR</w:t>
            </w:r>
          </w:p>
        </w:tc>
        <w:tc>
          <w:tcPr>
            <w:tcW w:w="1440" w:type="dxa"/>
            <w:shd w:val="clear" w:color="auto" w:fill="0000BE"/>
            <w:vAlign w:val="center"/>
          </w:tcPr>
          <w:p w14:paraId="4B341F20" w14:textId="77777777" w:rsidR="008D505E" w:rsidRPr="00C03513" w:rsidRDefault="008D505E" w:rsidP="00CC2A05">
            <w:pPr>
              <w:spacing w:before="60" w:after="60"/>
              <w:jc w:val="center"/>
              <w:rPr>
                <w:rFonts w:cs="Arial"/>
                <w:color w:val="FFFFFF"/>
                <w:sz w:val="28"/>
              </w:rPr>
            </w:pPr>
            <w:r w:rsidRPr="00C03513">
              <w:rPr>
                <w:rFonts w:cs="Arial"/>
                <w:color w:val="FFFFFF"/>
                <w:sz w:val="28"/>
              </w:rPr>
              <w:t>Date</w:t>
            </w:r>
          </w:p>
        </w:tc>
        <w:tc>
          <w:tcPr>
            <w:tcW w:w="5887" w:type="dxa"/>
            <w:shd w:val="clear" w:color="auto" w:fill="0000BE"/>
            <w:vAlign w:val="center"/>
          </w:tcPr>
          <w:p w14:paraId="299AFE0C" w14:textId="77777777" w:rsidR="008D505E" w:rsidRPr="00C03513" w:rsidRDefault="008D505E" w:rsidP="00CC2A05">
            <w:pPr>
              <w:spacing w:before="60" w:after="60"/>
              <w:jc w:val="center"/>
              <w:rPr>
                <w:rFonts w:cs="Arial"/>
                <w:color w:val="FFFFFF"/>
                <w:sz w:val="28"/>
              </w:rPr>
            </w:pPr>
            <w:r w:rsidRPr="00C03513">
              <w:rPr>
                <w:rFonts w:cs="Arial"/>
                <w:color w:val="FFFFFF"/>
                <w:sz w:val="28"/>
              </w:rPr>
              <w:t>Description</w:t>
            </w:r>
          </w:p>
        </w:tc>
      </w:tr>
      <w:tr w:rsidR="009E4560" w:rsidRPr="008D505E" w14:paraId="756A6DCC" w14:textId="77777777" w:rsidTr="000914B7">
        <w:tc>
          <w:tcPr>
            <w:tcW w:w="1234" w:type="dxa"/>
            <w:shd w:val="clear" w:color="auto" w:fill="auto"/>
            <w:vAlign w:val="center"/>
          </w:tcPr>
          <w:p w14:paraId="2A279485" w14:textId="2A530FA0" w:rsidR="009E4560" w:rsidRDefault="00440572" w:rsidP="00011923">
            <w:pPr>
              <w:spacing w:before="60" w:after="60"/>
              <w:jc w:val="center"/>
              <w:rPr>
                <w:rFonts w:cs="Arial"/>
                <w:sz w:val="24"/>
                <w:szCs w:val="24"/>
              </w:rPr>
            </w:pPr>
            <w:r>
              <w:rPr>
                <w:rFonts w:cs="Arial"/>
                <w:sz w:val="24"/>
                <w:szCs w:val="24"/>
              </w:rPr>
              <w:t>16</w:t>
            </w:r>
          </w:p>
        </w:tc>
        <w:tc>
          <w:tcPr>
            <w:tcW w:w="1297" w:type="dxa"/>
            <w:shd w:val="clear" w:color="auto" w:fill="auto"/>
            <w:vAlign w:val="center"/>
          </w:tcPr>
          <w:p w14:paraId="4B797C6C" w14:textId="6D465075" w:rsidR="009E4560" w:rsidRDefault="00440572" w:rsidP="00CC346B">
            <w:pPr>
              <w:spacing w:before="60" w:after="60"/>
              <w:jc w:val="center"/>
              <w:rPr>
                <w:rFonts w:cs="Arial"/>
                <w:sz w:val="24"/>
                <w:szCs w:val="24"/>
              </w:rPr>
            </w:pPr>
            <w:r>
              <w:rPr>
                <w:rFonts w:cs="Arial"/>
                <w:sz w:val="24"/>
                <w:szCs w:val="24"/>
              </w:rPr>
              <w:t>1172</w:t>
            </w:r>
          </w:p>
        </w:tc>
        <w:tc>
          <w:tcPr>
            <w:tcW w:w="1440" w:type="dxa"/>
            <w:shd w:val="clear" w:color="auto" w:fill="auto"/>
            <w:vAlign w:val="center"/>
          </w:tcPr>
          <w:p w14:paraId="0EA7075D" w14:textId="3984C329" w:rsidR="009E4560" w:rsidRDefault="00440572" w:rsidP="00011923">
            <w:pPr>
              <w:spacing w:before="60" w:after="60"/>
              <w:jc w:val="center"/>
              <w:rPr>
                <w:rFonts w:cs="Arial"/>
                <w:sz w:val="24"/>
                <w:szCs w:val="24"/>
              </w:rPr>
            </w:pPr>
            <w:r>
              <w:rPr>
                <w:rFonts w:cs="Arial"/>
                <w:sz w:val="24"/>
                <w:szCs w:val="24"/>
              </w:rPr>
              <w:t>09/26/2019</w:t>
            </w:r>
          </w:p>
        </w:tc>
        <w:tc>
          <w:tcPr>
            <w:tcW w:w="5887" w:type="dxa"/>
            <w:shd w:val="clear" w:color="auto" w:fill="auto"/>
            <w:vAlign w:val="center"/>
          </w:tcPr>
          <w:p w14:paraId="38D2433E" w14:textId="4A05E7DB" w:rsidR="002272F4" w:rsidRPr="003358BB" w:rsidRDefault="00440572" w:rsidP="00011923">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PRR1172 Added new section 11.3.14 to detail the Market logic for EIM Threshold.</w:t>
            </w:r>
          </w:p>
        </w:tc>
      </w:tr>
      <w:tr w:rsidR="00440572" w:rsidRPr="008D505E" w14:paraId="7D50C717" w14:textId="77777777" w:rsidTr="000914B7">
        <w:tc>
          <w:tcPr>
            <w:tcW w:w="1234" w:type="dxa"/>
            <w:shd w:val="clear" w:color="auto" w:fill="auto"/>
            <w:vAlign w:val="center"/>
          </w:tcPr>
          <w:p w14:paraId="699C2A95" w14:textId="372EAECC" w:rsidR="00440572" w:rsidRDefault="00440572" w:rsidP="00440572">
            <w:pPr>
              <w:spacing w:before="60" w:after="60"/>
              <w:jc w:val="center"/>
              <w:rPr>
                <w:rFonts w:cs="Arial"/>
                <w:sz w:val="24"/>
                <w:szCs w:val="24"/>
              </w:rPr>
            </w:pPr>
            <w:r>
              <w:rPr>
                <w:rFonts w:cs="Arial"/>
                <w:sz w:val="24"/>
                <w:szCs w:val="24"/>
              </w:rPr>
              <w:t>15</w:t>
            </w:r>
          </w:p>
        </w:tc>
        <w:tc>
          <w:tcPr>
            <w:tcW w:w="1297" w:type="dxa"/>
            <w:shd w:val="clear" w:color="auto" w:fill="auto"/>
            <w:vAlign w:val="center"/>
          </w:tcPr>
          <w:p w14:paraId="271A91D6" w14:textId="14F4894D" w:rsidR="00440572" w:rsidRDefault="00440572" w:rsidP="00440572">
            <w:pPr>
              <w:spacing w:before="60" w:after="60"/>
              <w:jc w:val="center"/>
              <w:rPr>
                <w:rFonts w:cs="Arial"/>
                <w:sz w:val="24"/>
                <w:szCs w:val="24"/>
              </w:rPr>
            </w:pPr>
            <w:r>
              <w:rPr>
                <w:rFonts w:cs="Arial"/>
                <w:sz w:val="24"/>
                <w:szCs w:val="24"/>
              </w:rPr>
              <w:t>1127,1142</w:t>
            </w:r>
          </w:p>
        </w:tc>
        <w:tc>
          <w:tcPr>
            <w:tcW w:w="1440" w:type="dxa"/>
            <w:shd w:val="clear" w:color="auto" w:fill="auto"/>
            <w:vAlign w:val="center"/>
          </w:tcPr>
          <w:p w14:paraId="4159944F" w14:textId="04440380" w:rsidR="00440572" w:rsidRDefault="00440572" w:rsidP="00440572">
            <w:pPr>
              <w:spacing w:before="60" w:after="60"/>
              <w:jc w:val="center"/>
              <w:rPr>
                <w:rFonts w:cs="Arial"/>
                <w:sz w:val="24"/>
                <w:szCs w:val="24"/>
              </w:rPr>
            </w:pPr>
            <w:r>
              <w:rPr>
                <w:rFonts w:cs="Arial"/>
                <w:sz w:val="24"/>
                <w:szCs w:val="24"/>
              </w:rPr>
              <w:t>05/02/2019</w:t>
            </w:r>
          </w:p>
        </w:tc>
        <w:tc>
          <w:tcPr>
            <w:tcW w:w="5887" w:type="dxa"/>
            <w:shd w:val="clear" w:color="auto" w:fill="auto"/>
            <w:vAlign w:val="center"/>
          </w:tcPr>
          <w:p w14:paraId="404705A4" w14:textId="77777777" w:rsidR="00440572"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 xml:space="preserve">PRR1127 Applying </w:t>
            </w:r>
            <w:r w:rsidRPr="00F23201">
              <w:rPr>
                <w:rFonts w:ascii="Arial" w:eastAsia="Times New Roman" w:hAnsi="Arial" w:cs="Arial"/>
                <w:color w:val="141414"/>
              </w:rPr>
              <w:t>a tolerance band threshold to the Flexible Ramping Sufficiency Tests for each EIM BA. Targeted for February 15, 2019</w:t>
            </w:r>
          </w:p>
          <w:p w14:paraId="7FB02AA2" w14:textId="77777777" w:rsidR="00440572" w:rsidRDefault="00440572" w:rsidP="00440572">
            <w:pPr>
              <w:shd w:val="clear" w:color="auto" w:fill="FFFFFF"/>
              <w:spacing w:after="0" w:line="240" w:lineRule="auto"/>
              <w:rPr>
                <w:rFonts w:ascii="Arial" w:eastAsia="Times New Roman" w:hAnsi="Arial" w:cs="Arial"/>
                <w:color w:val="141414"/>
              </w:rPr>
            </w:pPr>
          </w:p>
          <w:p w14:paraId="246082B0" w14:textId="77777777" w:rsidR="00440572"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 xml:space="preserve">PRR1142 </w:t>
            </w:r>
            <w:r w:rsidRPr="002272F4">
              <w:rPr>
                <w:rFonts w:ascii="Arial" w:eastAsia="Times New Roman" w:hAnsi="Arial" w:cs="Arial"/>
                <w:color w:val="141414"/>
              </w:rPr>
              <w:t>This is related to the stakeholder feedback for improvements for business needs related to the EIM resource sufficiency evaluation. Effective date is 4/16/19</w:t>
            </w:r>
          </w:p>
          <w:p w14:paraId="249B852D" w14:textId="77777777" w:rsidR="00440572" w:rsidRDefault="00440572" w:rsidP="00440572">
            <w:pPr>
              <w:shd w:val="clear" w:color="auto" w:fill="FFFFFF"/>
              <w:spacing w:after="0" w:line="240" w:lineRule="auto"/>
              <w:rPr>
                <w:rFonts w:ascii="Arial" w:eastAsia="Times New Roman" w:hAnsi="Arial" w:cs="Arial"/>
                <w:color w:val="141414"/>
              </w:rPr>
            </w:pPr>
          </w:p>
        </w:tc>
      </w:tr>
      <w:tr w:rsidR="00440572" w:rsidRPr="008D505E" w14:paraId="024B6084" w14:textId="77777777" w:rsidTr="000914B7">
        <w:tc>
          <w:tcPr>
            <w:tcW w:w="1234" w:type="dxa"/>
            <w:shd w:val="clear" w:color="auto" w:fill="auto"/>
            <w:vAlign w:val="center"/>
          </w:tcPr>
          <w:p w14:paraId="4DB14C23" w14:textId="7E048325" w:rsidR="00440572" w:rsidRDefault="00440572" w:rsidP="00440572">
            <w:pPr>
              <w:spacing w:before="60" w:after="60"/>
              <w:jc w:val="center"/>
              <w:rPr>
                <w:rFonts w:cs="Arial"/>
                <w:sz w:val="24"/>
                <w:szCs w:val="24"/>
              </w:rPr>
            </w:pPr>
            <w:r>
              <w:rPr>
                <w:rFonts w:cs="Arial"/>
                <w:sz w:val="24"/>
                <w:szCs w:val="24"/>
              </w:rPr>
              <w:t>14</w:t>
            </w:r>
          </w:p>
        </w:tc>
        <w:tc>
          <w:tcPr>
            <w:tcW w:w="1297" w:type="dxa"/>
            <w:shd w:val="clear" w:color="auto" w:fill="auto"/>
            <w:vAlign w:val="center"/>
          </w:tcPr>
          <w:p w14:paraId="25C2A80B" w14:textId="0E281011" w:rsidR="00440572" w:rsidRDefault="00440572" w:rsidP="00440572">
            <w:pPr>
              <w:spacing w:before="60" w:after="60"/>
              <w:jc w:val="center"/>
              <w:rPr>
                <w:rFonts w:cs="Arial"/>
                <w:sz w:val="24"/>
                <w:szCs w:val="24"/>
              </w:rPr>
            </w:pPr>
            <w:r>
              <w:rPr>
                <w:rFonts w:cs="Arial"/>
                <w:sz w:val="24"/>
                <w:szCs w:val="24"/>
              </w:rPr>
              <w:t>1117</w:t>
            </w:r>
          </w:p>
        </w:tc>
        <w:tc>
          <w:tcPr>
            <w:tcW w:w="1440" w:type="dxa"/>
            <w:shd w:val="clear" w:color="auto" w:fill="auto"/>
            <w:vAlign w:val="center"/>
          </w:tcPr>
          <w:p w14:paraId="37B572DB" w14:textId="31FD05C3" w:rsidR="00440572" w:rsidRDefault="00440572" w:rsidP="00440572">
            <w:pPr>
              <w:spacing w:before="60" w:after="60"/>
              <w:jc w:val="center"/>
              <w:rPr>
                <w:rFonts w:cs="Arial"/>
                <w:sz w:val="24"/>
                <w:szCs w:val="24"/>
              </w:rPr>
            </w:pPr>
            <w:r>
              <w:rPr>
                <w:rFonts w:cs="Arial"/>
                <w:sz w:val="24"/>
                <w:szCs w:val="24"/>
              </w:rPr>
              <w:t>02/28/2019</w:t>
            </w:r>
          </w:p>
        </w:tc>
        <w:tc>
          <w:tcPr>
            <w:tcW w:w="5887" w:type="dxa"/>
            <w:shd w:val="clear" w:color="auto" w:fill="auto"/>
            <w:vAlign w:val="center"/>
          </w:tcPr>
          <w:p w14:paraId="470412A0" w14:textId="52D2DC69" w:rsidR="00440572" w:rsidRPr="003358BB"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PRR1117 Added a note in section 11.3.11 to refer to Market Operations Appendices BPM for load conformance.</w:t>
            </w:r>
          </w:p>
        </w:tc>
      </w:tr>
      <w:tr w:rsidR="00440572" w:rsidRPr="003358BB" w14:paraId="28327A5C" w14:textId="77777777" w:rsidTr="000914B7">
        <w:tc>
          <w:tcPr>
            <w:tcW w:w="1234" w:type="dxa"/>
            <w:shd w:val="clear" w:color="auto" w:fill="auto"/>
            <w:vAlign w:val="center"/>
          </w:tcPr>
          <w:p w14:paraId="2F7EAD16" w14:textId="77777777" w:rsidR="00440572" w:rsidRDefault="00440572" w:rsidP="00440572">
            <w:pPr>
              <w:spacing w:before="60" w:after="60"/>
              <w:jc w:val="center"/>
              <w:rPr>
                <w:rFonts w:cs="Arial"/>
                <w:sz w:val="24"/>
                <w:szCs w:val="24"/>
              </w:rPr>
            </w:pPr>
            <w:r>
              <w:rPr>
                <w:rFonts w:cs="Arial"/>
                <w:sz w:val="24"/>
                <w:szCs w:val="24"/>
              </w:rPr>
              <w:t>13</w:t>
            </w:r>
          </w:p>
        </w:tc>
        <w:tc>
          <w:tcPr>
            <w:tcW w:w="1297" w:type="dxa"/>
            <w:shd w:val="clear" w:color="auto" w:fill="auto"/>
            <w:vAlign w:val="center"/>
          </w:tcPr>
          <w:p w14:paraId="29C2EB47" w14:textId="77777777" w:rsidR="00440572" w:rsidRDefault="00440572" w:rsidP="00440572">
            <w:pPr>
              <w:spacing w:before="60" w:after="60"/>
              <w:jc w:val="center"/>
              <w:rPr>
                <w:rFonts w:cs="Arial"/>
                <w:sz w:val="24"/>
                <w:szCs w:val="24"/>
              </w:rPr>
            </w:pPr>
            <w:r>
              <w:rPr>
                <w:rFonts w:cs="Arial"/>
                <w:sz w:val="24"/>
                <w:szCs w:val="24"/>
              </w:rPr>
              <w:t>1090</w:t>
            </w:r>
          </w:p>
        </w:tc>
        <w:tc>
          <w:tcPr>
            <w:tcW w:w="1440" w:type="dxa"/>
            <w:shd w:val="clear" w:color="auto" w:fill="auto"/>
            <w:vAlign w:val="center"/>
          </w:tcPr>
          <w:p w14:paraId="35C8C4CE" w14:textId="77777777" w:rsidR="00440572" w:rsidRDefault="00440572" w:rsidP="00440572">
            <w:pPr>
              <w:spacing w:before="60" w:after="60"/>
              <w:jc w:val="center"/>
              <w:rPr>
                <w:rFonts w:cs="Arial"/>
                <w:sz w:val="24"/>
                <w:szCs w:val="24"/>
              </w:rPr>
            </w:pPr>
            <w:r>
              <w:rPr>
                <w:rFonts w:cs="Arial"/>
                <w:sz w:val="24"/>
                <w:szCs w:val="24"/>
              </w:rPr>
              <w:t>11/29/2018</w:t>
            </w:r>
          </w:p>
        </w:tc>
        <w:tc>
          <w:tcPr>
            <w:tcW w:w="5887" w:type="dxa"/>
            <w:shd w:val="clear" w:color="auto" w:fill="auto"/>
            <w:vAlign w:val="center"/>
          </w:tcPr>
          <w:p w14:paraId="7232EDA5" w14:textId="77777777" w:rsidR="00440572"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 xml:space="preserve">PRR1090: </w:t>
            </w:r>
            <w:r w:rsidRPr="009E4560">
              <w:rPr>
                <w:rFonts w:ascii="Arial" w:eastAsia="Times New Roman" w:hAnsi="Arial" w:cs="Arial"/>
                <w:color w:val="141414"/>
              </w:rPr>
              <w:t>This change is to provide clarity for EIM entities scheduling practices related to dynamic pseudo-tie wheeling schedules.</w:t>
            </w:r>
          </w:p>
          <w:p w14:paraId="26D3D8D7" w14:textId="77777777" w:rsidR="00440572" w:rsidRPr="003358BB" w:rsidRDefault="00440572" w:rsidP="00440572">
            <w:pPr>
              <w:shd w:val="clear" w:color="auto" w:fill="FFFFFF"/>
              <w:spacing w:after="0" w:line="240" w:lineRule="auto"/>
              <w:rPr>
                <w:rFonts w:ascii="Arial" w:eastAsia="Times New Roman" w:hAnsi="Arial" w:cs="Arial"/>
                <w:color w:val="141414"/>
              </w:rPr>
            </w:pPr>
          </w:p>
        </w:tc>
      </w:tr>
      <w:tr w:rsidR="00440572" w:rsidRPr="008D505E" w14:paraId="6EBE7F7D" w14:textId="77777777" w:rsidTr="000914B7">
        <w:tc>
          <w:tcPr>
            <w:tcW w:w="1234" w:type="dxa"/>
            <w:shd w:val="clear" w:color="auto" w:fill="auto"/>
            <w:vAlign w:val="center"/>
          </w:tcPr>
          <w:p w14:paraId="33A30CE1" w14:textId="1DFCBBA0" w:rsidR="00440572" w:rsidRDefault="00440572" w:rsidP="00440572">
            <w:pPr>
              <w:spacing w:before="60" w:after="60"/>
              <w:jc w:val="center"/>
              <w:rPr>
                <w:rFonts w:cs="Arial"/>
                <w:sz w:val="24"/>
                <w:szCs w:val="24"/>
              </w:rPr>
            </w:pPr>
            <w:r>
              <w:rPr>
                <w:rFonts w:cs="Arial"/>
                <w:sz w:val="24"/>
                <w:szCs w:val="24"/>
              </w:rPr>
              <w:t>12</w:t>
            </w:r>
          </w:p>
        </w:tc>
        <w:tc>
          <w:tcPr>
            <w:tcW w:w="1297" w:type="dxa"/>
            <w:shd w:val="clear" w:color="auto" w:fill="auto"/>
            <w:vAlign w:val="center"/>
          </w:tcPr>
          <w:p w14:paraId="1131ED95" w14:textId="03B6A6CC" w:rsidR="00440572" w:rsidRDefault="00440572" w:rsidP="00440572">
            <w:pPr>
              <w:spacing w:before="60" w:after="60"/>
              <w:jc w:val="center"/>
              <w:rPr>
                <w:rFonts w:cs="Arial"/>
                <w:sz w:val="24"/>
                <w:szCs w:val="24"/>
              </w:rPr>
            </w:pPr>
            <w:r>
              <w:rPr>
                <w:rFonts w:cs="Arial"/>
                <w:sz w:val="24"/>
                <w:szCs w:val="24"/>
              </w:rPr>
              <w:t>1072, 1082, 1085,1093</w:t>
            </w:r>
          </w:p>
        </w:tc>
        <w:tc>
          <w:tcPr>
            <w:tcW w:w="1440" w:type="dxa"/>
            <w:shd w:val="clear" w:color="auto" w:fill="auto"/>
            <w:vAlign w:val="center"/>
          </w:tcPr>
          <w:p w14:paraId="43741870" w14:textId="11298008" w:rsidR="00440572" w:rsidRDefault="00440572" w:rsidP="00440572">
            <w:pPr>
              <w:spacing w:before="60" w:after="60"/>
              <w:jc w:val="center"/>
              <w:rPr>
                <w:rFonts w:cs="Arial"/>
                <w:sz w:val="24"/>
                <w:szCs w:val="24"/>
              </w:rPr>
            </w:pPr>
            <w:r>
              <w:rPr>
                <w:rFonts w:cs="Arial"/>
                <w:sz w:val="24"/>
                <w:szCs w:val="24"/>
              </w:rPr>
              <w:t>10/25/2018</w:t>
            </w:r>
          </w:p>
        </w:tc>
        <w:tc>
          <w:tcPr>
            <w:tcW w:w="5887" w:type="dxa"/>
            <w:shd w:val="clear" w:color="auto" w:fill="auto"/>
            <w:vAlign w:val="center"/>
          </w:tcPr>
          <w:p w14:paraId="002174EC" w14:textId="77777777" w:rsidR="00440572" w:rsidRDefault="00440572" w:rsidP="00440572">
            <w:pPr>
              <w:shd w:val="clear" w:color="auto" w:fill="FFFFFF"/>
              <w:spacing w:after="0" w:line="240" w:lineRule="auto"/>
              <w:rPr>
                <w:rFonts w:ascii="Arial" w:hAnsi="Arial" w:cs="Arial"/>
                <w:color w:val="141414"/>
              </w:rPr>
            </w:pPr>
            <w:r>
              <w:rPr>
                <w:rFonts w:ascii="Arial" w:eastAsia="Times New Roman" w:hAnsi="Arial" w:cs="Arial"/>
                <w:color w:val="141414"/>
              </w:rPr>
              <w:t xml:space="preserve">PRR1072: </w:t>
            </w:r>
            <w:r w:rsidRPr="00B82AC8">
              <w:rPr>
                <w:rFonts w:ascii="Arial" w:hAnsi="Arial" w:cs="Arial"/>
                <w:color w:val="141414"/>
              </w:rPr>
              <w:t>This is due to EIM Enhancement 2018 project requirements where the market will not procure flexible ramping up and flexible ramping down capacity when any EIM balancing authority is undergoing a contingency. Expected effective date is Fall 2018</w:t>
            </w:r>
            <w:r>
              <w:rPr>
                <w:rFonts w:ascii="Arial" w:hAnsi="Arial" w:cs="Arial"/>
                <w:color w:val="141414"/>
              </w:rPr>
              <w:t>.</w:t>
            </w:r>
          </w:p>
          <w:p w14:paraId="1E8F3630" w14:textId="77777777" w:rsidR="00440572" w:rsidRDefault="00440572" w:rsidP="00440572">
            <w:pPr>
              <w:shd w:val="clear" w:color="auto" w:fill="FFFFFF"/>
              <w:spacing w:after="0" w:line="240" w:lineRule="auto"/>
              <w:rPr>
                <w:rFonts w:ascii="Arial" w:hAnsi="Arial" w:cs="Arial"/>
                <w:color w:val="141414"/>
              </w:rPr>
            </w:pPr>
          </w:p>
          <w:p w14:paraId="771E889B" w14:textId="77777777" w:rsidR="00440572" w:rsidRDefault="00440572" w:rsidP="00440572">
            <w:pPr>
              <w:shd w:val="clear" w:color="auto" w:fill="FFFFFF"/>
              <w:spacing w:after="0" w:line="240" w:lineRule="auto"/>
              <w:rPr>
                <w:rFonts w:ascii="Arial" w:hAnsi="Arial" w:cs="Arial"/>
                <w:color w:val="141414"/>
              </w:rPr>
            </w:pPr>
            <w:r>
              <w:rPr>
                <w:rFonts w:ascii="Arial" w:hAnsi="Arial" w:cs="Arial"/>
                <w:color w:val="141414"/>
              </w:rPr>
              <w:t xml:space="preserve">PRR1082: </w:t>
            </w:r>
            <w:r w:rsidRPr="005F7ABA">
              <w:rPr>
                <w:rFonts w:ascii="Arial" w:hAnsi="Arial" w:cs="Arial"/>
                <w:color w:val="141414"/>
              </w:rPr>
              <w:t>This is to extend the Persistence Forecast modeling to EIM entities.</w:t>
            </w:r>
          </w:p>
          <w:p w14:paraId="696BA13C" w14:textId="77777777" w:rsidR="00440572" w:rsidRDefault="00440572" w:rsidP="00440572">
            <w:pPr>
              <w:shd w:val="clear" w:color="auto" w:fill="FFFFFF"/>
              <w:spacing w:after="0" w:line="240" w:lineRule="auto"/>
              <w:rPr>
                <w:rFonts w:ascii="Arial" w:hAnsi="Arial" w:cs="Arial"/>
                <w:color w:val="141414"/>
              </w:rPr>
            </w:pPr>
          </w:p>
          <w:p w14:paraId="61156F9C" w14:textId="77777777" w:rsidR="00440572" w:rsidRDefault="00440572" w:rsidP="00440572">
            <w:pPr>
              <w:shd w:val="clear" w:color="auto" w:fill="FFFFFF"/>
              <w:spacing w:after="0" w:line="240" w:lineRule="auto"/>
              <w:rPr>
                <w:rFonts w:ascii="Arial" w:hAnsi="Arial" w:cs="Arial"/>
                <w:color w:val="141414"/>
              </w:rPr>
            </w:pPr>
            <w:r>
              <w:rPr>
                <w:rFonts w:ascii="Arial" w:hAnsi="Arial" w:cs="Arial"/>
                <w:color w:val="141414"/>
              </w:rPr>
              <w:t xml:space="preserve">PRR1085: </w:t>
            </w:r>
            <w:r w:rsidRPr="005F7ABA">
              <w:rPr>
                <w:rFonts w:ascii="Arial" w:hAnsi="Arial" w:cs="Arial"/>
                <w:color w:val="141414"/>
              </w:rPr>
              <w:t xml:space="preserve">This is due to the EIM Greenhouse Gas Enhancements policy to limit EIM participating resources’ greenhouse gas bid quantity to the MW value between </w:t>
            </w:r>
            <w:r w:rsidRPr="005F7ABA">
              <w:rPr>
                <w:rFonts w:ascii="Arial" w:hAnsi="Arial" w:cs="Arial"/>
                <w:color w:val="141414"/>
              </w:rPr>
              <w:lastRenderedPageBreak/>
              <w:t>the EIM participating resource’s base schedule and the resource’s upper economic level.</w:t>
            </w:r>
          </w:p>
          <w:p w14:paraId="0E679455" w14:textId="77777777" w:rsidR="00440572" w:rsidRDefault="00440572" w:rsidP="00440572">
            <w:pPr>
              <w:shd w:val="clear" w:color="auto" w:fill="FFFFFF"/>
              <w:spacing w:after="0" w:line="240" w:lineRule="auto"/>
              <w:rPr>
                <w:rFonts w:ascii="Arial" w:hAnsi="Arial" w:cs="Arial"/>
                <w:color w:val="141414"/>
              </w:rPr>
            </w:pPr>
          </w:p>
          <w:p w14:paraId="57DA5A13" w14:textId="36B2407E" w:rsidR="00440572" w:rsidRPr="003358BB" w:rsidRDefault="00440572" w:rsidP="00440572">
            <w:pPr>
              <w:shd w:val="clear" w:color="auto" w:fill="FFFFFF"/>
              <w:spacing w:after="0" w:line="240" w:lineRule="auto"/>
              <w:rPr>
                <w:rFonts w:ascii="Arial" w:eastAsia="Times New Roman" w:hAnsi="Arial" w:cs="Arial"/>
                <w:color w:val="141414"/>
              </w:rPr>
            </w:pPr>
            <w:r>
              <w:rPr>
                <w:rFonts w:ascii="Arial" w:hAnsi="Arial" w:cs="Arial"/>
                <w:color w:val="141414"/>
              </w:rPr>
              <w:t xml:space="preserve">PRR1093: </w:t>
            </w:r>
            <w:r w:rsidRPr="00B82AC8">
              <w:rPr>
                <w:rFonts w:ascii="Arial" w:hAnsi="Arial" w:cs="Arial"/>
                <w:color w:val="141414"/>
              </w:rPr>
              <w:t>This is for an enhancement to modify the calculation logic for the Fifteen-Minute Schedules from hourly resources. The change is explained in a new section 11.3.13. Additionally, we added a clarification in section 16.2.1.1.4 in regards to Energy Transfer System Resource (ETSR) treatment of tagged quantities where EIM BAAs paring includes the ISO BAA.</w:t>
            </w:r>
          </w:p>
        </w:tc>
      </w:tr>
      <w:tr w:rsidR="00440572" w:rsidRPr="008D505E" w14:paraId="5CC9B99A" w14:textId="77777777" w:rsidTr="000914B7">
        <w:tc>
          <w:tcPr>
            <w:tcW w:w="1234" w:type="dxa"/>
            <w:shd w:val="clear" w:color="auto" w:fill="auto"/>
            <w:vAlign w:val="center"/>
          </w:tcPr>
          <w:p w14:paraId="5FB1CE66" w14:textId="77DAD99B" w:rsidR="00440572" w:rsidRDefault="00440572" w:rsidP="00440572">
            <w:pPr>
              <w:spacing w:before="60" w:after="60"/>
              <w:jc w:val="center"/>
              <w:rPr>
                <w:rFonts w:cs="Arial"/>
                <w:sz w:val="24"/>
                <w:szCs w:val="24"/>
              </w:rPr>
            </w:pPr>
            <w:r>
              <w:rPr>
                <w:rFonts w:cs="Arial"/>
                <w:sz w:val="24"/>
                <w:szCs w:val="24"/>
              </w:rPr>
              <w:lastRenderedPageBreak/>
              <w:t>11</w:t>
            </w:r>
          </w:p>
        </w:tc>
        <w:tc>
          <w:tcPr>
            <w:tcW w:w="1297" w:type="dxa"/>
            <w:shd w:val="clear" w:color="auto" w:fill="auto"/>
            <w:vAlign w:val="center"/>
          </w:tcPr>
          <w:p w14:paraId="4347FC6A" w14:textId="6D8CD3B6" w:rsidR="00440572" w:rsidRDefault="00440572" w:rsidP="00440572">
            <w:pPr>
              <w:spacing w:before="60" w:after="60"/>
              <w:jc w:val="center"/>
              <w:rPr>
                <w:rFonts w:cs="Arial"/>
                <w:sz w:val="24"/>
                <w:szCs w:val="24"/>
              </w:rPr>
            </w:pPr>
            <w:r>
              <w:rPr>
                <w:rFonts w:cs="Arial"/>
                <w:sz w:val="24"/>
                <w:szCs w:val="24"/>
              </w:rPr>
              <w:t>1068</w:t>
            </w:r>
          </w:p>
        </w:tc>
        <w:tc>
          <w:tcPr>
            <w:tcW w:w="1440" w:type="dxa"/>
            <w:shd w:val="clear" w:color="auto" w:fill="auto"/>
            <w:vAlign w:val="center"/>
          </w:tcPr>
          <w:p w14:paraId="3BAB54C9" w14:textId="59BF6865" w:rsidR="00440572" w:rsidRDefault="00440572" w:rsidP="00440572">
            <w:pPr>
              <w:spacing w:before="60" w:after="60"/>
              <w:jc w:val="center"/>
              <w:rPr>
                <w:rFonts w:cs="Arial"/>
                <w:sz w:val="24"/>
                <w:szCs w:val="24"/>
              </w:rPr>
            </w:pPr>
            <w:r>
              <w:rPr>
                <w:rFonts w:cs="Arial"/>
                <w:sz w:val="24"/>
                <w:szCs w:val="24"/>
              </w:rPr>
              <w:t>09/04/2018</w:t>
            </w:r>
          </w:p>
        </w:tc>
        <w:tc>
          <w:tcPr>
            <w:tcW w:w="5887" w:type="dxa"/>
            <w:shd w:val="clear" w:color="auto" w:fill="auto"/>
            <w:vAlign w:val="center"/>
          </w:tcPr>
          <w:p w14:paraId="36E07A89" w14:textId="7F4AD2F5" w:rsidR="00440572" w:rsidRDefault="00440572" w:rsidP="00440572">
            <w:pPr>
              <w:shd w:val="clear" w:color="auto" w:fill="FFFFFF"/>
              <w:spacing w:after="0" w:line="240" w:lineRule="auto"/>
              <w:rPr>
                <w:rFonts w:ascii="Arial" w:eastAsia="Times New Roman" w:hAnsi="Arial" w:cs="Arial"/>
                <w:color w:val="141414"/>
              </w:rPr>
            </w:pPr>
            <w:r w:rsidRPr="00011923">
              <w:rPr>
                <w:rFonts w:ascii="Arial" w:hAnsi="Arial" w:cs="Arial"/>
                <w:color w:val="141414"/>
              </w:rPr>
              <w:t>Added new paragraphs to define the behavior of the energy imbalance market total and incremental flow constraint. Additionally, a clarification was added to paragraph 11.1.6 entitlement constraint for rate of changes. Effective date is August 2018.</w:t>
            </w:r>
          </w:p>
        </w:tc>
      </w:tr>
      <w:tr w:rsidR="00440572" w:rsidRPr="003358BB" w14:paraId="10ACE2F1" w14:textId="77777777" w:rsidTr="000914B7">
        <w:tc>
          <w:tcPr>
            <w:tcW w:w="1234" w:type="dxa"/>
            <w:shd w:val="clear" w:color="auto" w:fill="auto"/>
            <w:vAlign w:val="center"/>
          </w:tcPr>
          <w:p w14:paraId="440D5DA5" w14:textId="385993F9" w:rsidR="00440572" w:rsidRDefault="00440572" w:rsidP="00440572">
            <w:pPr>
              <w:spacing w:before="60" w:after="60"/>
              <w:jc w:val="center"/>
              <w:rPr>
                <w:rFonts w:cs="Arial"/>
                <w:sz w:val="24"/>
                <w:szCs w:val="24"/>
              </w:rPr>
            </w:pPr>
            <w:r>
              <w:rPr>
                <w:rFonts w:cs="Arial"/>
                <w:sz w:val="24"/>
                <w:szCs w:val="24"/>
              </w:rPr>
              <w:t>10</w:t>
            </w:r>
          </w:p>
        </w:tc>
        <w:tc>
          <w:tcPr>
            <w:tcW w:w="1297" w:type="dxa"/>
            <w:shd w:val="clear" w:color="auto" w:fill="auto"/>
            <w:vAlign w:val="center"/>
          </w:tcPr>
          <w:p w14:paraId="4FCE628D" w14:textId="7957FA13" w:rsidR="00440572" w:rsidRDefault="00440572" w:rsidP="00440572">
            <w:pPr>
              <w:spacing w:before="60" w:after="60"/>
              <w:jc w:val="center"/>
              <w:rPr>
                <w:rFonts w:cs="Arial"/>
                <w:sz w:val="24"/>
                <w:szCs w:val="24"/>
              </w:rPr>
            </w:pPr>
            <w:r>
              <w:rPr>
                <w:rFonts w:cs="Arial"/>
                <w:sz w:val="24"/>
                <w:szCs w:val="24"/>
              </w:rPr>
              <w:t>1033, 1051</w:t>
            </w:r>
          </w:p>
        </w:tc>
        <w:tc>
          <w:tcPr>
            <w:tcW w:w="1440" w:type="dxa"/>
            <w:shd w:val="clear" w:color="auto" w:fill="auto"/>
            <w:vAlign w:val="center"/>
          </w:tcPr>
          <w:p w14:paraId="3BA78C5F" w14:textId="0843CCDB" w:rsidR="00440572" w:rsidRDefault="00440572" w:rsidP="00440572">
            <w:pPr>
              <w:spacing w:before="60" w:after="60"/>
              <w:jc w:val="center"/>
              <w:rPr>
                <w:rFonts w:cs="Arial"/>
                <w:sz w:val="24"/>
                <w:szCs w:val="24"/>
              </w:rPr>
            </w:pPr>
            <w:r>
              <w:rPr>
                <w:rFonts w:cs="Arial"/>
                <w:sz w:val="24"/>
                <w:szCs w:val="24"/>
              </w:rPr>
              <w:t>4/02/2018</w:t>
            </w:r>
          </w:p>
        </w:tc>
        <w:tc>
          <w:tcPr>
            <w:tcW w:w="5887" w:type="dxa"/>
            <w:shd w:val="clear" w:color="auto" w:fill="auto"/>
            <w:vAlign w:val="center"/>
          </w:tcPr>
          <w:p w14:paraId="797A9B77" w14:textId="77777777" w:rsidR="00440572" w:rsidRPr="008C1669"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 xml:space="preserve">(1033) </w:t>
            </w:r>
            <w:r w:rsidRPr="008C1669">
              <w:rPr>
                <w:rFonts w:ascii="Arial" w:eastAsia="Times New Roman" w:hAnsi="Arial" w:cs="Arial"/>
                <w:color w:val="141414"/>
              </w:rPr>
              <w:t>This revision is due to the EIM Enhancement 2017 initiative which includes the following functionalities;</w:t>
            </w:r>
          </w:p>
          <w:p w14:paraId="6FAB2C73"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Automated matching of import/export schedule changes.</w:t>
            </w:r>
          </w:p>
          <w:p w14:paraId="14D51A50"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Automated mirror system resources at CAISO intertie scheduling points.</w:t>
            </w:r>
          </w:p>
          <w:p w14:paraId="4E5F1D25"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Base EIM transfer resource imbalance settlement.</w:t>
            </w:r>
          </w:p>
          <w:p w14:paraId="31EDE31E"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New non-generator resource (NGR) modeling functionality.</w:t>
            </w:r>
          </w:p>
          <w:p w14:paraId="0E2EC51A"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Allow submission of base generation distribution factors (GDFs) for aggregated EIM non-participating resources..</w:t>
            </w:r>
          </w:p>
          <w:p w14:paraId="334C29B3" w14:textId="77777777" w:rsidR="00440572" w:rsidRPr="008C1669" w:rsidRDefault="00440572" w:rsidP="00440572">
            <w:p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In addition, this revision includes some clarification of the provisions associated with the submission and processing of variable energy resource forecasts;</w:t>
            </w:r>
          </w:p>
          <w:p w14:paraId="0BE874CC" w14:textId="77777777" w:rsidR="00440572" w:rsidRPr="008C1669"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 xml:space="preserve">Allow an EIM Entity VER forecast to be considered independent if it is used for balancing their system  </w:t>
            </w:r>
          </w:p>
          <w:p w14:paraId="6FD5757F" w14:textId="77777777" w:rsidR="00440572" w:rsidRDefault="00440572" w:rsidP="00440572">
            <w:pPr>
              <w:numPr>
                <w:ilvl w:val="0"/>
                <w:numId w:val="77"/>
              </w:numPr>
              <w:shd w:val="clear" w:color="auto" w:fill="FFFFFF"/>
              <w:spacing w:after="0" w:line="240" w:lineRule="auto"/>
              <w:rPr>
                <w:rFonts w:ascii="Arial" w:eastAsia="Times New Roman" w:hAnsi="Arial" w:cs="Arial"/>
                <w:color w:val="141414"/>
              </w:rPr>
            </w:pPr>
            <w:r w:rsidRPr="008C1669">
              <w:rPr>
                <w:rFonts w:ascii="Arial" w:eastAsia="Times New Roman" w:hAnsi="Arial" w:cs="Arial"/>
                <w:color w:val="141414"/>
              </w:rPr>
              <w:t>Allow for freezing VER forecast between T-55 and T-40.</w:t>
            </w:r>
          </w:p>
          <w:p w14:paraId="0A94FCA4" w14:textId="6B097C99" w:rsidR="00440572" w:rsidRPr="003358BB" w:rsidRDefault="00440572" w:rsidP="00440572">
            <w:pPr>
              <w:shd w:val="clear" w:color="auto" w:fill="FFFFFF"/>
              <w:spacing w:after="0" w:line="240" w:lineRule="auto"/>
              <w:rPr>
                <w:rFonts w:ascii="Arial" w:eastAsia="Times New Roman" w:hAnsi="Arial" w:cs="Arial"/>
                <w:color w:val="141414"/>
              </w:rPr>
            </w:pPr>
            <w:r>
              <w:rPr>
                <w:rFonts w:ascii="Arial" w:eastAsia="Times New Roman" w:hAnsi="Arial" w:cs="Arial"/>
                <w:color w:val="141414"/>
              </w:rPr>
              <w:t xml:space="preserve">(1051) </w:t>
            </w:r>
            <w:r w:rsidRPr="00DC131B">
              <w:rPr>
                <w:rFonts w:ascii="Arial" w:hAnsi="Arial" w:cs="Arial"/>
                <w:color w:val="141414"/>
              </w:rPr>
              <w:t>clarify</w:t>
            </w:r>
            <w:r>
              <w:rPr>
                <w:rFonts w:ascii="Arial" w:hAnsi="Arial" w:cs="Arial"/>
                <w:color w:val="141414"/>
              </w:rPr>
              <w:t>ing</w:t>
            </w:r>
            <w:r w:rsidRPr="00DC131B">
              <w:rPr>
                <w:rFonts w:ascii="Arial" w:hAnsi="Arial" w:cs="Arial"/>
                <w:color w:val="141414"/>
              </w:rPr>
              <w:t xml:space="preserve"> the flexible ramping requirements for the new EIM entities joining the EIM</w:t>
            </w:r>
          </w:p>
        </w:tc>
      </w:tr>
      <w:tr w:rsidR="00440572" w:rsidRPr="008D505E" w14:paraId="4B779463" w14:textId="77777777" w:rsidTr="000914B7">
        <w:tc>
          <w:tcPr>
            <w:tcW w:w="1234" w:type="dxa"/>
            <w:shd w:val="clear" w:color="auto" w:fill="auto"/>
            <w:vAlign w:val="center"/>
          </w:tcPr>
          <w:p w14:paraId="3AE95C50" w14:textId="5AE02BB7" w:rsidR="00440572" w:rsidRDefault="00440572" w:rsidP="00440572">
            <w:pPr>
              <w:spacing w:before="60" w:after="60"/>
              <w:jc w:val="center"/>
              <w:rPr>
                <w:rFonts w:cs="Arial"/>
                <w:sz w:val="24"/>
                <w:szCs w:val="24"/>
              </w:rPr>
            </w:pPr>
            <w:r>
              <w:rPr>
                <w:rFonts w:cs="Arial"/>
                <w:sz w:val="24"/>
                <w:szCs w:val="24"/>
              </w:rPr>
              <w:t>9</w:t>
            </w:r>
          </w:p>
        </w:tc>
        <w:tc>
          <w:tcPr>
            <w:tcW w:w="1297" w:type="dxa"/>
            <w:shd w:val="clear" w:color="auto" w:fill="auto"/>
            <w:vAlign w:val="center"/>
          </w:tcPr>
          <w:p w14:paraId="2587393D" w14:textId="62832516" w:rsidR="00440572" w:rsidRDefault="00440572" w:rsidP="00440572">
            <w:pPr>
              <w:spacing w:before="60" w:after="60"/>
              <w:jc w:val="center"/>
              <w:rPr>
                <w:rFonts w:cs="Arial"/>
                <w:sz w:val="24"/>
                <w:szCs w:val="24"/>
              </w:rPr>
            </w:pPr>
            <w:r>
              <w:rPr>
                <w:rFonts w:cs="Arial"/>
                <w:sz w:val="24"/>
                <w:szCs w:val="24"/>
              </w:rPr>
              <w:t>1032</w:t>
            </w:r>
          </w:p>
        </w:tc>
        <w:tc>
          <w:tcPr>
            <w:tcW w:w="1440" w:type="dxa"/>
            <w:shd w:val="clear" w:color="auto" w:fill="auto"/>
            <w:vAlign w:val="center"/>
          </w:tcPr>
          <w:p w14:paraId="4FABB146" w14:textId="20CAA1C3" w:rsidR="00440572" w:rsidRDefault="00440572" w:rsidP="00440572">
            <w:pPr>
              <w:spacing w:before="60" w:after="60"/>
              <w:jc w:val="center"/>
              <w:rPr>
                <w:rFonts w:cs="Arial"/>
                <w:sz w:val="24"/>
                <w:szCs w:val="24"/>
              </w:rPr>
            </w:pPr>
            <w:r>
              <w:rPr>
                <w:rFonts w:cs="Arial"/>
                <w:sz w:val="24"/>
                <w:szCs w:val="24"/>
              </w:rPr>
              <w:t>1/2/2018</w:t>
            </w:r>
          </w:p>
        </w:tc>
        <w:tc>
          <w:tcPr>
            <w:tcW w:w="5887" w:type="dxa"/>
            <w:shd w:val="clear" w:color="auto" w:fill="auto"/>
            <w:vAlign w:val="center"/>
          </w:tcPr>
          <w:p w14:paraId="08BCBBA6" w14:textId="2B9E5F96" w:rsidR="00440572" w:rsidRPr="00011923" w:rsidRDefault="00440572" w:rsidP="00440572">
            <w:pPr>
              <w:shd w:val="clear" w:color="auto" w:fill="FFFFFF"/>
              <w:spacing w:after="0" w:line="240" w:lineRule="auto"/>
              <w:rPr>
                <w:rFonts w:ascii="Arial" w:hAnsi="Arial" w:cs="Arial"/>
                <w:color w:val="141414"/>
              </w:rPr>
            </w:pPr>
            <w:r>
              <w:rPr>
                <w:rFonts w:ascii="Arial" w:eastAsia="Times New Roman" w:hAnsi="Arial" w:cs="Arial"/>
                <w:color w:val="141414"/>
              </w:rPr>
              <w:t>This BPM change is to enhance the current methodology used to calculate histogram percentile that is utilized in the bid range capacity test requirements. Effective 1/4/2018. Section 11.3.2.2 is updated accordingly. PRR 1032.</w:t>
            </w:r>
          </w:p>
        </w:tc>
      </w:tr>
      <w:tr w:rsidR="00440572" w:rsidRPr="008D505E" w14:paraId="1D511EDE" w14:textId="77777777" w:rsidTr="000914B7">
        <w:tc>
          <w:tcPr>
            <w:tcW w:w="1234" w:type="dxa"/>
            <w:shd w:val="clear" w:color="auto" w:fill="auto"/>
            <w:vAlign w:val="center"/>
          </w:tcPr>
          <w:p w14:paraId="75740EBA" w14:textId="41B1CBC0" w:rsidR="00440572" w:rsidRDefault="00440572" w:rsidP="00440572">
            <w:pPr>
              <w:spacing w:before="60" w:after="60"/>
              <w:jc w:val="center"/>
              <w:rPr>
                <w:rFonts w:cs="Arial"/>
                <w:sz w:val="24"/>
                <w:szCs w:val="24"/>
              </w:rPr>
            </w:pPr>
            <w:r>
              <w:rPr>
                <w:rFonts w:cs="Arial"/>
                <w:sz w:val="24"/>
                <w:szCs w:val="24"/>
              </w:rPr>
              <w:t>8</w:t>
            </w:r>
          </w:p>
        </w:tc>
        <w:tc>
          <w:tcPr>
            <w:tcW w:w="1297" w:type="dxa"/>
            <w:shd w:val="clear" w:color="auto" w:fill="auto"/>
            <w:vAlign w:val="center"/>
          </w:tcPr>
          <w:p w14:paraId="0065E358" w14:textId="724564AE" w:rsidR="00440572" w:rsidRDefault="00440572" w:rsidP="00440572">
            <w:pPr>
              <w:spacing w:before="60" w:after="60"/>
              <w:jc w:val="center"/>
              <w:rPr>
                <w:rFonts w:cs="Arial"/>
                <w:sz w:val="24"/>
                <w:szCs w:val="24"/>
              </w:rPr>
            </w:pPr>
            <w:r>
              <w:rPr>
                <w:rFonts w:cs="Arial"/>
                <w:sz w:val="24"/>
                <w:szCs w:val="24"/>
              </w:rPr>
              <w:t>984</w:t>
            </w:r>
          </w:p>
        </w:tc>
        <w:tc>
          <w:tcPr>
            <w:tcW w:w="1440" w:type="dxa"/>
            <w:shd w:val="clear" w:color="auto" w:fill="auto"/>
            <w:vAlign w:val="center"/>
          </w:tcPr>
          <w:p w14:paraId="5FCF5E7D" w14:textId="54EE9990" w:rsidR="00440572" w:rsidRDefault="00440572" w:rsidP="00440572">
            <w:pPr>
              <w:spacing w:before="60" w:after="60"/>
              <w:jc w:val="center"/>
              <w:rPr>
                <w:rFonts w:cs="Arial"/>
                <w:sz w:val="24"/>
                <w:szCs w:val="24"/>
              </w:rPr>
            </w:pPr>
            <w:r>
              <w:rPr>
                <w:rFonts w:cs="Arial"/>
                <w:sz w:val="24"/>
                <w:szCs w:val="24"/>
              </w:rPr>
              <w:t>5/31/2017</w:t>
            </w:r>
          </w:p>
        </w:tc>
        <w:tc>
          <w:tcPr>
            <w:tcW w:w="5887" w:type="dxa"/>
            <w:shd w:val="clear" w:color="auto" w:fill="auto"/>
            <w:vAlign w:val="center"/>
          </w:tcPr>
          <w:p w14:paraId="3168D21B" w14:textId="12C3235B" w:rsidR="00440572" w:rsidRDefault="00440572" w:rsidP="00440572">
            <w:pPr>
              <w:shd w:val="clear" w:color="auto" w:fill="FFFFFF"/>
              <w:spacing w:after="0" w:line="240" w:lineRule="auto"/>
              <w:rPr>
                <w:rFonts w:ascii="Arial" w:eastAsia="Times New Roman" w:hAnsi="Arial" w:cs="Arial"/>
                <w:color w:val="141414"/>
              </w:rPr>
            </w:pPr>
            <w:r w:rsidRPr="00CF393E">
              <w:rPr>
                <w:rFonts w:ascii="Arial" w:eastAsia="Times New Roman" w:hAnsi="Arial" w:cs="Arial"/>
                <w:color w:val="141414"/>
              </w:rPr>
              <w:t>This is due to a recent discovery regarding netting, versus not netting, imports and exports for every hour, for the purpose of calculating histograms percentage differences.</w:t>
            </w:r>
            <w:r w:rsidRPr="00CF393E">
              <w:rPr>
                <w:rFonts w:ascii="Arial" w:eastAsia="Times New Roman" w:hAnsi="Arial" w:cs="Arial"/>
                <w:color w:val="141414"/>
                <w:sz w:val="18"/>
                <w:szCs w:val="18"/>
              </w:rPr>
              <w:t xml:space="preserve">  </w:t>
            </w:r>
            <w:r w:rsidRPr="00CF393E">
              <w:rPr>
                <w:rFonts w:ascii="Arial" w:eastAsia="Times New Roman" w:hAnsi="Arial" w:cs="Arial"/>
                <w:color w:val="141414"/>
                <w:sz w:val="20"/>
                <w:szCs w:val="20"/>
              </w:rPr>
              <w:t>Effective 4/1/17.</w:t>
            </w:r>
          </w:p>
        </w:tc>
      </w:tr>
      <w:tr w:rsidR="00440572" w:rsidRPr="008D505E" w14:paraId="506EC8FF" w14:textId="77777777" w:rsidTr="000914B7">
        <w:tc>
          <w:tcPr>
            <w:tcW w:w="1234" w:type="dxa"/>
            <w:shd w:val="clear" w:color="auto" w:fill="auto"/>
            <w:vAlign w:val="center"/>
          </w:tcPr>
          <w:p w14:paraId="1035A34B" w14:textId="485E3198" w:rsidR="00440572" w:rsidRDefault="00440572" w:rsidP="00440572">
            <w:pPr>
              <w:spacing w:before="60" w:after="60"/>
              <w:jc w:val="center"/>
              <w:rPr>
                <w:rFonts w:cs="Arial"/>
                <w:sz w:val="24"/>
                <w:szCs w:val="24"/>
              </w:rPr>
            </w:pPr>
            <w:r>
              <w:rPr>
                <w:rFonts w:cs="Arial"/>
                <w:sz w:val="24"/>
                <w:szCs w:val="24"/>
              </w:rPr>
              <w:lastRenderedPageBreak/>
              <w:t>7</w:t>
            </w:r>
          </w:p>
        </w:tc>
        <w:tc>
          <w:tcPr>
            <w:tcW w:w="1297" w:type="dxa"/>
            <w:shd w:val="clear" w:color="auto" w:fill="auto"/>
            <w:vAlign w:val="center"/>
          </w:tcPr>
          <w:p w14:paraId="74C63907" w14:textId="2A531AC8" w:rsidR="00440572" w:rsidRDefault="00440572" w:rsidP="00440572">
            <w:pPr>
              <w:spacing w:before="60" w:after="60"/>
              <w:jc w:val="center"/>
              <w:rPr>
                <w:rFonts w:cs="Arial"/>
                <w:sz w:val="24"/>
                <w:szCs w:val="24"/>
              </w:rPr>
            </w:pPr>
            <w:r>
              <w:rPr>
                <w:rFonts w:cs="Arial"/>
                <w:sz w:val="24"/>
                <w:szCs w:val="24"/>
              </w:rPr>
              <w:t>964</w:t>
            </w:r>
          </w:p>
        </w:tc>
        <w:tc>
          <w:tcPr>
            <w:tcW w:w="1440" w:type="dxa"/>
            <w:shd w:val="clear" w:color="auto" w:fill="auto"/>
            <w:vAlign w:val="center"/>
          </w:tcPr>
          <w:p w14:paraId="7386B800" w14:textId="4C5D7B12" w:rsidR="00440572" w:rsidRDefault="00440572" w:rsidP="00440572">
            <w:pPr>
              <w:spacing w:before="60" w:after="60"/>
              <w:jc w:val="center"/>
              <w:rPr>
                <w:rFonts w:cs="Arial"/>
                <w:sz w:val="24"/>
                <w:szCs w:val="24"/>
              </w:rPr>
            </w:pPr>
            <w:r>
              <w:rPr>
                <w:rFonts w:cs="Arial"/>
                <w:sz w:val="24"/>
                <w:szCs w:val="24"/>
              </w:rPr>
              <w:t>4/10/2017</w:t>
            </w:r>
          </w:p>
        </w:tc>
        <w:tc>
          <w:tcPr>
            <w:tcW w:w="5887" w:type="dxa"/>
            <w:shd w:val="clear" w:color="auto" w:fill="auto"/>
            <w:vAlign w:val="center"/>
          </w:tcPr>
          <w:p w14:paraId="124DDEF3" w14:textId="001C231E" w:rsidR="00440572" w:rsidRDefault="00440572" w:rsidP="00440572">
            <w:pPr>
              <w:shd w:val="clear" w:color="auto" w:fill="FFFFFF"/>
              <w:spacing w:after="0" w:line="240" w:lineRule="auto"/>
              <w:rPr>
                <w:rFonts w:ascii="Arial" w:eastAsia="Times New Roman" w:hAnsi="Arial" w:cs="Arial"/>
                <w:color w:val="141414"/>
              </w:rPr>
            </w:pPr>
            <w:r>
              <w:rPr>
                <w:rFonts w:cs="Arial"/>
              </w:rPr>
              <w:t>Added new Tariff language to “Metering” Section 8 to include SQMD Plan &amp; requirements for SCME’s; Removed section 12 (PRD/RDRR) from being unavailable to EIM market participants; Added 15-min option to “Participating” Generators granularity level.</w:t>
            </w:r>
          </w:p>
        </w:tc>
      </w:tr>
      <w:tr w:rsidR="00440572" w:rsidRPr="008D505E" w14:paraId="00B0F8AF" w14:textId="77777777" w:rsidTr="000914B7">
        <w:tc>
          <w:tcPr>
            <w:tcW w:w="1234" w:type="dxa"/>
            <w:shd w:val="clear" w:color="auto" w:fill="auto"/>
            <w:vAlign w:val="center"/>
          </w:tcPr>
          <w:p w14:paraId="426BD2DF" w14:textId="75562953" w:rsidR="00440572" w:rsidRDefault="00440572" w:rsidP="00440572">
            <w:pPr>
              <w:spacing w:before="60" w:after="60"/>
              <w:jc w:val="center"/>
              <w:rPr>
                <w:rFonts w:cs="Arial"/>
                <w:sz w:val="24"/>
                <w:szCs w:val="24"/>
              </w:rPr>
            </w:pPr>
            <w:r w:rsidRPr="008D505E">
              <w:rPr>
                <w:rFonts w:cs="Arial"/>
                <w:sz w:val="24"/>
                <w:szCs w:val="24"/>
              </w:rPr>
              <w:t>6</w:t>
            </w:r>
          </w:p>
        </w:tc>
        <w:tc>
          <w:tcPr>
            <w:tcW w:w="1297" w:type="dxa"/>
            <w:shd w:val="clear" w:color="auto" w:fill="auto"/>
            <w:vAlign w:val="center"/>
          </w:tcPr>
          <w:p w14:paraId="3D8589FB" w14:textId="0AD578FC" w:rsidR="00440572" w:rsidRDefault="00440572" w:rsidP="00440572">
            <w:pPr>
              <w:spacing w:before="60" w:after="60"/>
              <w:jc w:val="center"/>
              <w:rPr>
                <w:rFonts w:cs="Arial"/>
                <w:sz w:val="24"/>
                <w:szCs w:val="24"/>
              </w:rPr>
            </w:pPr>
            <w:r>
              <w:rPr>
                <w:rFonts w:cs="Arial"/>
                <w:sz w:val="24"/>
                <w:szCs w:val="24"/>
              </w:rPr>
              <w:t>939</w:t>
            </w:r>
          </w:p>
        </w:tc>
        <w:tc>
          <w:tcPr>
            <w:tcW w:w="1440" w:type="dxa"/>
            <w:shd w:val="clear" w:color="auto" w:fill="auto"/>
            <w:vAlign w:val="center"/>
          </w:tcPr>
          <w:p w14:paraId="470B3B46" w14:textId="1F7C311E" w:rsidR="00440572" w:rsidRDefault="00440572" w:rsidP="00440572">
            <w:pPr>
              <w:spacing w:before="60" w:after="60"/>
              <w:jc w:val="center"/>
              <w:rPr>
                <w:rFonts w:cs="Arial"/>
                <w:sz w:val="24"/>
                <w:szCs w:val="24"/>
              </w:rPr>
            </w:pPr>
            <w:r>
              <w:rPr>
                <w:rFonts w:cs="Arial"/>
                <w:sz w:val="24"/>
                <w:szCs w:val="24"/>
              </w:rPr>
              <w:t>8-31-16</w:t>
            </w:r>
          </w:p>
        </w:tc>
        <w:tc>
          <w:tcPr>
            <w:tcW w:w="5887" w:type="dxa"/>
            <w:shd w:val="clear" w:color="auto" w:fill="auto"/>
            <w:vAlign w:val="center"/>
          </w:tcPr>
          <w:p w14:paraId="14EDC526" w14:textId="78F98F11" w:rsidR="00440572" w:rsidRDefault="00440572" w:rsidP="00440572">
            <w:pPr>
              <w:shd w:val="clear" w:color="auto" w:fill="FFFFFF"/>
              <w:spacing w:after="0" w:line="240" w:lineRule="auto"/>
              <w:rPr>
                <w:rFonts w:cs="Arial"/>
              </w:rPr>
            </w:pPr>
            <w:r>
              <w:rPr>
                <w:rFonts w:cs="Arial"/>
              </w:rPr>
              <w:t>This revision includes congestion cost content due to EIM Y1 P2 enhancement project</w:t>
            </w:r>
          </w:p>
        </w:tc>
      </w:tr>
      <w:tr w:rsidR="00440572" w:rsidRPr="008D505E" w14:paraId="7C9D6764"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2DA23475" w14:textId="266A27E3" w:rsidR="00440572" w:rsidRPr="008D505E" w:rsidRDefault="00440572" w:rsidP="00440572">
            <w:pPr>
              <w:spacing w:before="60" w:after="60"/>
              <w:jc w:val="center"/>
              <w:rPr>
                <w:rFonts w:cs="Arial"/>
                <w:sz w:val="24"/>
                <w:szCs w:val="24"/>
              </w:rPr>
            </w:pPr>
            <w:r>
              <w:rPr>
                <w:rFonts w:cs="Arial"/>
              </w:rPr>
              <w:t>5</w:t>
            </w:r>
          </w:p>
        </w:tc>
        <w:tc>
          <w:tcPr>
            <w:tcW w:w="1297" w:type="dxa"/>
            <w:tcBorders>
              <w:top w:val="single" w:sz="4" w:space="0" w:color="auto"/>
              <w:left w:val="single" w:sz="4" w:space="0" w:color="auto"/>
              <w:bottom w:val="single" w:sz="4" w:space="0" w:color="auto"/>
              <w:right w:val="single" w:sz="4" w:space="0" w:color="auto"/>
            </w:tcBorders>
            <w:vAlign w:val="center"/>
          </w:tcPr>
          <w:p w14:paraId="42C32D3E" w14:textId="111168B1" w:rsidR="00440572" w:rsidRDefault="00440572" w:rsidP="00440572">
            <w:pPr>
              <w:spacing w:before="60" w:after="60"/>
              <w:jc w:val="center"/>
              <w:rPr>
                <w:rFonts w:cs="Arial"/>
                <w:sz w:val="24"/>
                <w:szCs w:val="24"/>
              </w:rPr>
            </w:pPr>
            <w:r>
              <w:rPr>
                <w:rFonts w:cs="Arial"/>
              </w:rPr>
              <w:t>891</w:t>
            </w:r>
          </w:p>
        </w:tc>
        <w:tc>
          <w:tcPr>
            <w:tcW w:w="1440" w:type="dxa"/>
            <w:tcBorders>
              <w:top w:val="single" w:sz="4" w:space="0" w:color="auto"/>
              <w:left w:val="single" w:sz="4" w:space="0" w:color="auto"/>
              <w:bottom w:val="single" w:sz="4" w:space="0" w:color="auto"/>
              <w:right w:val="single" w:sz="4" w:space="0" w:color="auto"/>
            </w:tcBorders>
            <w:vAlign w:val="center"/>
          </w:tcPr>
          <w:p w14:paraId="54AB7AF7" w14:textId="2589477D" w:rsidR="00440572" w:rsidRDefault="00440572" w:rsidP="00440572">
            <w:pPr>
              <w:spacing w:before="60" w:after="60"/>
              <w:jc w:val="center"/>
              <w:rPr>
                <w:rFonts w:cs="Arial"/>
                <w:sz w:val="24"/>
                <w:szCs w:val="24"/>
              </w:rPr>
            </w:pPr>
            <w:r>
              <w:rPr>
                <w:rFonts w:cs="Arial"/>
              </w:rPr>
              <w:t>03-31-2016</w:t>
            </w:r>
          </w:p>
        </w:tc>
        <w:tc>
          <w:tcPr>
            <w:tcW w:w="5887" w:type="dxa"/>
            <w:tcBorders>
              <w:top w:val="single" w:sz="4" w:space="0" w:color="auto"/>
              <w:left w:val="single" w:sz="4" w:space="0" w:color="auto"/>
              <w:bottom w:val="single" w:sz="4" w:space="0" w:color="auto"/>
              <w:right w:val="single" w:sz="4" w:space="0" w:color="auto"/>
            </w:tcBorders>
            <w:vAlign w:val="center"/>
          </w:tcPr>
          <w:p w14:paraId="51992E98" w14:textId="6FE1746E" w:rsidR="00440572" w:rsidRDefault="00440572" w:rsidP="00440572">
            <w:pPr>
              <w:spacing w:before="60" w:after="60"/>
              <w:rPr>
                <w:rFonts w:cs="Arial"/>
              </w:rPr>
            </w:pPr>
            <w:r>
              <w:rPr>
                <w:rFonts w:cs="Arial"/>
              </w:rPr>
              <w:t>This revision introduces incremental language pertaining to Available Balancing Capacity (ABC), additionally it improves the language throughout the document.</w:t>
            </w:r>
          </w:p>
        </w:tc>
      </w:tr>
      <w:tr w:rsidR="00440572" w:rsidRPr="008D505E" w14:paraId="46E642CC"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050F96AE" w14:textId="29413ACE" w:rsidR="00440572" w:rsidRPr="008D505E" w:rsidRDefault="00440572" w:rsidP="00440572">
            <w:pPr>
              <w:spacing w:before="60" w:after="60"/>
              <w:jc w:val="center"/>
              <w:rPr>
                <w:rFonts w:cs="Arial"/>
                <w:sz w:val="24"/>
                <w:szCs w:val="24"/>
              </w:rPr>
            </w:pPr>
            <w:r>
              <w:rPr>
                <w:rFonts w:cs="Arial"/>
              </w:rPr>
              <w:t>4</w:t>
            </w:r>
          </w:p>
        </w:tc>
        <w:tc>
          <w:tcPr>
            <w:tcW w:w="1297" w:type="dxa"/>
            <w:tcBorders>
              <w:top w:val="single" w:sz="4" w:space="0" w:color="auto"/>
              <w:left w:val="single" w:sz="4" w:space="0" w:color="auto"/>
              <w:bottom w:val="single" w:sz="4" w:space="0" w:color="auto"/>
              <w:right w:val="single" w:sz="4" w:space="0" w:color="auto"/>
            </w:tcBorders>
            <w:vAlign w:val="center"/>
          </w:tcPr>
          <w:p w14:paraId="421438C6" w14:textId="483ECD95" w:rsidR="00440572" w:rsidRPr="008D505E" w:rsidRDefault="00440572" w:rsidP="00440572">
            <w:pPr>
              <w:spacing w:before="60" w:after="60"/>
              <w:jc w:val="center"/>
              <w:rPr>
                <w:rFonts w:cs="Arial"/>
                <w:sz w:val="24"/>
                <w:szCs w:val="24"/>
              </w:rPr>
            </w:pPr>
            <w:r>
              <w:rPr>
                <w:rFonts w:cs="Arial"/>
              </w:rPr>
              <w:t>866</w:t>
            </w:r>
          </w:p>
        </w:tc>
        <w:tc>
          <w:tcPr>
            <w:tcW w:w="1440" w:type="dxa"/>
            <w:tcBorders>
              <w:top w:val="single" w:sz="4" w:space="0" w:color="auto"/>
              <w:left w:val="single" w:sz="4" w:space="0" w:color="auto"/>
              <w:bottom w:val="single" w:sz="4" w:space="0" w:color="auto"/>
              <w:right w:val="single" w:sz="4" w:space="0" w:color="auto"/>
            </w:tcBorders>
            <w:vAlign w:val="center"/>
          </w:tcPr>
          <w:p w14:paraId="1CD2DA2D" w14:textId="3860B480" w:rsidR="00440572" w:rsidRPr="008D505E" w:rsidRDefault="00440572" w:rsidP="00440572">
            <w:pPr>
              <w:spacing w:before="60" w:after="60"/>
              <w:jc w:val="center"/>
              <w:rPr>
                <w:rFonts w:cs="Arial"/>
                <w:sz w:val="24"/>
                <w:szCs w:val="24"/>
              </w:rPr>
            </w:pPr>
            <w:r>
              <w:rPr>
                <w:rFonts w:cs="Arial"/>
              </w:rPr>
              <w:t>12/02/2015</w:t>
            </w:r>
          </w:p>
        </w:tc>
        <w:tc>
          <w:tcPr>
            <w:tcW w:w="5887" w:type="dxa"/>
            <w:tcBorders>
              <w:top w:val="single" w:sz="4" w:space="0" w:color="auto"/>
              <w:left w:val="single" w:sz="4" w:space="0" w:color="auto"/>
              <w:bottom w:val="single" w:sz="4" w:space="0" w:color="auto"/>
              <w:right w:val="single" w:sz="4" w:space="0" w:color="auto"/>
            </w:tcBorders>
            <w:vAlign w:val="center"/>
          </w:tcPr>
          <w:p w14:paraId="2B313D9E" w14:textId="77777777" w:rsidR="00440572" w:rsidRDefault="00440572" w:rsidP="00440572">
            <w:pPr>
              <w:pStyle w:val="ParaText"/>
              <w:spacing w:before="120" w:after="0"/>
              <w:rPr>
                <w:rFonts w:cs="Arial"/>
              </w:rPr>
            </w:pPr>
            <w:r>
              <w:rPr>
                <w:rFonts w:cs="Arial"/>
              </w:rPr>
              <w:t>Updates for EIM Year 1 policy enhancements.</w:t>
            </w:r>
          </w:p>
          <w:p w14:paraId="6008A672" w14:textId="1B15939E" w:rsidR="00440572" w:rsidRPr="008D505E" w:rsidRDefault="00440572" w:rsidP="00440572">
            <w:pPr>
              <w:spacing w:before="60" w:after="60"/>
              <w:rPr>
                <w:rFonts w:cs="Arial"/>
                <w:sz w:val="24"/>
                <w:szCs w:val="24"/>
              </w:rPr>
            </w:pPr>
            <w:r>
              <w:rPr>
                <w:rFonts w:cs="Arial"/>
              </w:rPr>
              <w:t>Addition of Readiness Criteria</w:t>
            </w:r>
          </w:p>
        </w:tc>
      </w:tr>
      <w:tr w:rsidR="00440572" w:rsidRPr="00C03513" w14:paraId="29FF985A"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31150DD2" w14:textId="3E69F389" w:rsidR="00440572" w:rsidRDefault="00440572" w:rsidP="00440572">
            <w:pPr>
              <w:spacing w:before="120"/>
              <w:jc w:val="center"/>
              <w:rPr>
                <w:rFonts w:cs="Arial"/>
              </w:rPr>
            </w:pPr>
            <w:r>
              <w:rPr>
                <w:rFonts w:cs="Arial"/>
              </w:rPr>
              <w:t>3</w:t>
            </w:r>
          </w:p>
        </w:tc>
        <w:tc>
          <w:tcPr>
            <w:tcW w:w="1297" w:type="dxa"/>
            <w:tcBorders>
              <w:top w:val="single" w:sz="4" w:space="0" w:color="auto"/>
              <w:left w:val="single" w:sz="4" w:space="0" w:color="auto"/>
              <w:bottom w:val="single" w:sz="4" w:space="0" w:color="auto"/>
              <w:right w:val="single" w:sz="4" w:space="0" w:color="auto"/>
            </w:tcBorders>
            <w:vAlign w:val="center"/>
          </w:tcPr>
          <w:p w14:paraId="0FBFF853" w14:textId="71105C8A" w:rsidR="00440572" w:rsidRDefault="00440572" w:rsidP="00440572">
            <w:pPr>
              <w:spacing w:before="120"/>
              <w:jc w:val="center"/>
              <w:rPr>
                <w:rFonts w:cs="Arial"/>
              </w:rPr>
            </w:pPr>
            <w:r>
              <w:rPr>
                <w:rFonts w:cs="Arial"/>
              </w:rPr>
              <w:t>846</w:t>
            </w:r>
          </w:p>
        </w:tc>
        <w:tc>
          <w:tcPr>
            <w:tcW w:w="1440" w:type="dxa"/>
            <w:tcBorders>
              <w:top w:val="single" w:sz="4" w:space="0" w:color="auto"/>
              <w:left w:val="single" w:sz="4" w:space="0" w:color="auto"/>
              <w:bottom w:val="single" w:sz="4" w:space="0" w:color="auto"/>
              <w:right w:val="single" w:sz="4" w:space="0" w:color="auto"/>
            </w:tcBorders>
            <w:vAlign w:val="center"/>
          </w:tcPr>
          <w:p w14:paraId="52A6431F" w14:textId="72DD2A46" w:rsidR="00440572" w:rsidDel="00A54000" w:rsidRDefault="00440572" w:rsidP="00440572">
            <w:pPr>
              <w:spacing w:before="120"/>
              <w:jc w:val="center"/>
              <w:rPr>
                <w:rFonts w:cs="Arial"/>
              </w:rPr>
            </w:pPr>
            <w:r>
              <w:rPr>
                <w:rFonts w:cs="Arial"/>
              </w:rPr>
              <w:t>07/06/2015</w:t>
            </w:r>
          </w:p>
        </w:tc>
        <w:tc>
          <w:tcPr>
            <w:tcW w:w="5887" w:type="dxa"/>
            <w:tcBorders>
              <w:top w:val="single" w:sz="4" w:space="0" w:color="auto"/>
              <w:left w:val="single" w:sz="4" w:space="0" w:color="auto"/>
              <w:bottom w:val="single" w:sz="4" w:space="0" w:color="auto"/>
              <w:right w:val="single" w:sz="4" w:space="0" w:color="auto"/>
            </w:tcBorders>
            <w:vAlign w:val="center"/>
          </w:tcPr>
          <w:p w14:paraId="4F69D43A" w14:textId="3DAF927E" w:rsidR="00440572" w:rsidRDefault="00440572" w:rsidP="00440572">
            <w:pPr>
              <w:pStyle w:val="ParaText"/>
              <w:spacing w:before="120" w:after="0"/>
              <w:rPr>
                <w:rFonts w:cs="Arial"/>
              </w:rPr>
            </w:pPr>
            <w:r>
              <w:rPr>
                <w:rFonts w:cs="Arial"/>
              </w:rPr>
              <w:t>for clarification on the transmission relaxation, changes to section 10.1.6 and adding new section 10.1.7</w:t>
            </w:r>
          </w:p>
        </w:tc>
      </w:tr>
      <w:tr w:rsidR="00440572" w:rsidRPr="00C03513" w14:paraId="45B5B43E"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4D848205" w14:textId="257B9BF2" w:rsidR="00440572" w:rsidRDefault="00440572" w:rsidP="00440572">
            <w:pPr>
              <w:spacing w:before="120"/>
              <w:jc w:val="center"/>
              <w:rPr>
                <w:rFonts w:cs="Arial"/>
              </w:rPr>
            </w:pPr>
            <w:r>
              <w:rPr>
                <w:rFonts w:cs="Arial"/>
              </w:rPr>
              <w:t>2</w:t>
            </w:r>
          </w:p>
        </w:tc>
        <w:tc>
          <w:tcPr>
            <w:tcW w:w="1297" w:type="dxa"/>
            <w:tcBorders>
              <w:top w:val="single" w:sz="4" w:space="0" w:color="auto"/>
              <w:left w:val="single" w:sz="4" w:space="0" w:color="auto"/>
              <w:bottom w:val="single" w:sz="4" w:space="0" w:color="auto"/>
              <w:right w:val="single" w:sz="4" w:space="0" w:color="auto"/>
            </w:tcBorders>
            <w:vAlign w:val="center"/>
          </w:tcPr>
          <w:p w14:paraId="6F7CE509" w14:textId="15D19314" w:rsidR="00440572" w:rsidRDefault="00440572" w:rsidP="00440572">
            <w:pPr>
              <w:spacing w:before="120"/>
              <w:jc w:val="center"/>
              <w:rPr>
                <w:rFonts w:cs="Arial"/>
              </w:rPr>
            </w:pPr>
            <w:r>
              <w:rPr>
                <w:rFonts w:cs="Arial"/>
              </w:rPr>
              <w:t>788</w:t>
            </w:r>
          </w:p>
        </w:tc>
        <w:tc>
          <w:tcPr>
            <w:tcW w:w="1440" w:type="dxa"/>
            <w:tcBorders>
              <w:top w:val="single" w:sz="4" w:space="0" w:color="auto"/>
              <w:left w:val="single" w:sz="4" w:space="0" w:color="auto"/>
              <w:bottom w:val="single" w:sz="4" w:space="0" w:color="auto"/>
              <w:right w:val="single" w:sz="4" w:space="0" w:color="auto"/>
            </w:tcBorders>
            <w:vAlign w:val="center"/>
          </w:tcPr>
          <w:p w14:paraId="256B87B4" w14:textId="4FAC598B" w:rsidR="00440572" w:rsidRDefault="00440572" w:rsidP="00440572">
            <w:pPr>
              <w:spacing w:before="120"/>
              <w:jc w:val="center"/>
              <w:rPr>
                <w:rFonts w:cs="Arial"/>
              </w:rPr>
            </w:pPr>
            <w:r>
              <w:rPr>
                <w:rFonts w:cs="Arial"/>
              </w:rPr>
              <w:t>10/30/2014</w:t>
            </w:r>
          </w:p>
        </w:tc>
        <w:tc>
          <w:tcPr>
            <w:tcW w:w="5887" w:type="dxa"/>
            <w:tcBorders>
              <w:top w:val="single" w:sz="4" w:space="0" w:color="auto"/>
              <w:left w:val="single" w:sz="4" w:space="0" w:color="auto"/>
              <w:bottom w:val="single" w:sz="4" w:space="0" w:color="auto"/>
              <w:right w:val="single" w:sz="4" w:space="0" w:color="auto"/>
            </w:tcBorders>
            <w:vAlign w:val="center"/>
          </w:tcPr>
          <w:p w14:paraId="599F0CAA" w14:textId="2AE89821" w:rsidR="00440572" w:rsidRDefault="00440572" w:rsidP="00440572">
            <w:pPr>
              <w:pStyle w:val="ParaText"/>
              <w:spacing w:before="120" w:after="0"/>
              <w:rPr>
                <w:rFonts w:cs="Arial"/>
              </w:rPr>
            </w:pPr>
            <w:r>
              <w:rPr>
                <w:rFonts w:cs="Arial"/>
              </w:rPr>
              <w:t>Clarification to section 10.3.2.1</w:t>
            </w:r>
          </w:p>
        </w:tc>
      </w:tr>
      <w:tr w:rsidR="00440572" w:rsidRPr="00C03513" w14:paraId="0F4615DA"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66D08A3C" w14:textId="630A6B4D" w:rsidR="00440572" w:rsidRDefault="00440572" w:rsidP="00440572">
            <w:pPr>
              <w:spacing w:before="120"/>
              <w:jc w:val="center"/>
              <w:rPr>
                <w:rFonts w:cs="Arial"/>
              </w:rPr>
            </w:pPr>
            <w:r>
              <w:rPr>
                <w:rFonts w:cs="Arial"/>
              </w:rPr>
              <w:t>1</w:t>
            </w:r>
          </w:p>
        </w:tc>
        <w:tc>
          <w:tcPr>
            <w:tcW w:w="1297" w:type="dxa"/>
            <w:tcBorders>
              <w:top w:val="single" w:sz="4" w:space="0" w:color="auto"/>
              <w:left w:val="single" w:sz="4" w:space="0" w:color="auto"/>
              <w:bottom w:val="single" w:sz="4" w:space="0" w:color="auto"/>
              <w:right w:val="single" w:sz="4" w:space="0" w:color="auto"/>
            </w:tcBorders>
            <w:vAlign w:val="center"/>
          </w:tcPr>
          <w:p w14:paraId="69540639" w14:textId="5E48304E" w:rsidR="00440572" w:rsidRDefault="00440572" w:rsidP="00440572">
            <w:pPr>
              <w:spacing w:before="120"/>
              <w:jc w:val="center"/>
              <w:rPr>
                <w:rFonts w:cs="Arial"/>
              </w:rPr>
            </w:pPr>
            <w:r>
              <w:rPr>
                <w:rFonts w:cs="Arial"/>
              </w:rPr>
              <w:t>748</w:t>
            </w:r>
          </w:p>
        </w:tc>
        <w:tc>
          <w:tcPr>
            <w:tcW w:w="1440" w:type="dxa"/>
            <w:tcBorders>
              <w:top w:val="single" w:sz="4" w:space="0" w:color="auto"/>
              <w:left w:val="single" w:sz="4" w:space="0" w:color="auto"/>
              <w:bottom w:val="single" w:sz="4" w:space="0" w:color="auto"/>
              <w:right w:val="single" w:sz="4" w:space="0" w:color="auto"/>
            </w:tcBorders>
            <w:vAlign w:val="center"/>
          </w:tcPr>
          <w:p w14:paraId="577F9E29" w14:textId="3D5A56B2" w:rsidR="00440572" w:rsidRDefault="00440572" w:rsidP="00440572">
            <w:pPr>
              <w:spacing w:before="120"/>
              <w:jc w:val="center"/>
              <w:rPr>
                <w:rFonts w:cs="Arial"/>
              </w:rPr>
            </w:pPr>
            <w:r>
              <w:rPr>
                <w:rFonts w:cs="Arial"/>
              </w:rPr>
              <w:t>10/2/2014</w:t>
            </w:r>
          </w:p>
        </w:tc>
        <w:tc>
          <w:tcPr>
            <w:tcW w:w="5887" w:type="dxa"/>
            <w:tcBorders>
              <w:top w:val="single" w:sz="4" w:space="0" w:color="auto"/>
              <w:left w:val="single" w:sz="4" w:space="0" w:color="auto"/>
              <w:bottom w:val="single" w:sz="4" w:space="0" w:color="auto"/>
              <w:right w:val="single" w:sz="4" w:space="0" w:color="auto"/>
            </w:tcBorders>
            <w:vAlign w:val="center"/>
          </w:tcPr>
          <w:p w14:paraId="55E3627C" w14:textId="5DCE3A68" w:rsidR="00440572" w:rsidRDefault="00440572" w:rsidP="00440572">
            <w:pPr>
              <w:pStyle w:val="ParaText"/>
              <w:spacing w:before="120" w:after="0"/>
              <w:rPr>
                <w:rFonts w:cs="Arial"/>
              </w:rPr>
            </w:pPr>
            <w:r>
              <w:rPr>
                <w:rFonts w:cs="Arial"/>
              </w:rPr>
              <w:t>First version released.</w:t>
            </w:r>
          </w:p>
        </w:tc>
      </w:tr>
      <w:tr w:rsidR="00440572" w:rsidRPr="00C03513" w14:paraId="0A1E19FA"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0EC107C4" w14:textId="5A012A52" w:rsidR="00440572" w:rsidRDefault="00440572" w:rsidP="00440572">
            <w:pPr>
              <w:spacing w:before="120"/>
              <w:jc w:val="center"/>
              <w:rPr>
                <w:rFonts w:cs="Arial"/>
              </w:rPr>
            </w:pPr>
            <w:r>
              <w:rPr>
                <w:rFonts w:cs="Arial"/>
              </w:rPr>
              <w:t>0.3</w:t>
            </w:r>
          </w:p>
        </w:tc>
        <w:tc>
          <w:tcPr>
            <w:tcW w:w="1297" w:type="dxa"/>
            <w:tcBorders>
              <w:top w:val="single" w:sz="4" w:space="0" w:color="auto"/>
              <w:left w:val="single" w:sz="4" w:space="0" w:color="auto"/>
              <w:bottom w:val="single" w:sz="4" w:space="0" w:color="auto"/>
              <w:right w:val="single" w:sz="4" w:space="0" w:color="auto"/>
            </w:tcBorders>
            <w:vAlign w:val="center"/>
          </w:tcPr>
          <w:p w14:paraId="1E53AD31" w14:textId="79C17A61" w:rsidR="00440572" w:rsidRDefault="00440572" w:rsidP="00440572">
            <w:pPr>
              <w:spacing w:before="120"/>
              <w:jc w:val="center"/>
              <w:rPr>
                <w:rFonts w:cs="Arial"/>
              </w:rPr>
            </w:pPr>
          </w:p>
        </w:tc>
        <w:tc>
          <w:tcPr>
            <w:tcW w:w="1440" w:type="dxa"/>
            <w:tcBorders>
              <w:top w:val="single" w:sz="4" w:space="0" w:color="auto"/>
              <w:left w:val="single" w:sz="4" w:space="0" w:color="auto"/>
              <w:bottom w:val="single" w:sz="4" w:space="0" w:color="auto"/>
              <w:right w:val="single" w:sz="4" w:space="0" w:color="auto"/>
            </w:tcBorders>
            <w:vAlign w:val="center"/>
          </w:tcPr>
          <w:p w14:paraId="0B27F31E" w14:textId="0104C914" w:rsidR="00440572" w:rsidRDefault="00440572" w:rsidP="00440572">
            <w:pPr>
              <w:spacing w:before="120"/>
              <w:jc w:val="center"/>
              <w:rPr>
                <w:rFonts w:cs="Arial"/>
              </w:rPr>
            </w:pPr>
            <w:r>
              <w:rPr>
                <w:rFonts w:cs="Arial"/>
              </w:rPr>
              <w:t>9/18/2014</w:t>
            </w:r>
          </w:p>
        </w:tc>
        <w:tc>
          <w:tcPr>
            <w:tcW w:w="5887" w:type="dxa"/>
            <w:tcBorders>
              <w:top w:val="single" w:sz="4" w:space="0" w:color="auto"/>
              <w:left w:val="single" w:sz="4" w:space="0" w:color="auto"/>
              <w:bottom w:val="single" w:sz="4" w:space="0" w:color="auto"/>
              <w:right w:val="single" w:sz="4" w:space="0" w:color="auto"/>
            </w:tcBorders>
            <w:vAlign w:val="center"/>
          </w:tcPr>
          <w:p w14:paraId="16A66FDC" w14:textId="0E0B813F" w:rsidR="00440572" w:rsidRDefault="00440572" w:rsidP="00440572">
            <w:pPr>
              <w:pStyle w:val="ParaText"/>
              <w:spacing w:before="120" w:after="0"/>
              <w:rPr>
                <w:rFonts w:cs="Arial"/>
              </w:rPr>
            </w:pPr>
            <w:r>
              <w:rPr>
                <w:rFonts w:cs="Arial"/>
              </w:rPr>
              <w:t>Updated draft section 10.3.3.</w:t>
            </w:r>
          </w:p>
        </w:tc>
      </w:tr>
      <w:tr w:rsidR="00440572" w:rsidRPr="00C03513" w14:paraId="24478F02" w14:textId="77777777" w:rsidTr="000914B7">
        <w:tc>
          <w:tcPr>
            <w:tcW w:w="1234" w:type="dxa"/>
            <w:tcBorders>
              <w:top w:val="single" w:sz="4" w:space="0" w:color="auto"/>
              <w:left w:val="single" w:sz="4" w:space="0" w:color="auto"/>
              <w:bottom w:val="single" w:sz="4" w:space="0" w:color="auto"/>
              <w:right w:val="single" w:sz="4" w:space="0" w:color="auto"/>
            </w:tcBorders>
            <w:vAlign w:val="center"/>
          </w:tcPr>
          <w:p w14:paraId="3FD73123" w14:textId="00BBC346" w:rsidR="00440572" w:rsidRPr="00C03513" w:rsidRDefault="00440572" w:rsidP="00440572">
            <w:pPr>
              <w:spacing w:before="120"/>
              <w:jc w:val="center"/>
              <w:rPr>
                <w:rFonts w:cs="Arial"/>
              </w:rPr>
            </w:pPr>
            <w:r>
              <w:rPr>
                <w:rFonts w:cs="Arial"/>
              </w:rPr>
              <w:t>0.2</w:t>
            </w:r>
          </w:p>
        </w:tc>
        <w:tc>
          <w:tcPr>
            <w:tcW w:w="1297" w:type="dxa"/>
            <w:tcBorders>
              <w:top w:val="single" w:sz="4" w:space="0" w:color="auto"/>
              <w:left w:val="single" w:sz="4" w:space="0" w:color="auto"/>
              <w:bottom w:val="single" w:sz="4" w:space="0" w:color="auto"/>
              <w:right w:val="single" w:sz="4" w:space="0" w:color="auto"/>
            </w:tcBorders>
            <w:vAlign w:val="center"/>
          </w:tcPr>
          <w:p w14:paraId="3D84D0B9" w14:textId="3D93AC56" w:rsidR="00440572" w:rsidRDefault="00440572" w:rsidP="00440572">
            <w:pPr>
              <w:spacing w:before="120"/>
              <w:jc w:val="center"/>
              <w:rPr>
                <w:rFonts w:cs="Arial"/>
              </w:rPr>
            </w:pPr>
          </w:p>
        </w:tc>
        <w:tc>
          <w:tcPr>
            <w:tcW w:w="1440" w:type="dxa"/>
            <w:tcBorders>
              <w:top w:val="single" w:sz="4" w:space="0" w:color="auto"/>
              <w:left w:val="single" w:sz="4" w:space="0" w:color="auto"/>
              <w:bottom w:val="single" w:sz="4" w:space="0" w:color="auto"/>
              <w:right w:val="single" w:sz="4" w:space="0" w:color="auto"/>
            </w:tcBorders>
            <w:vAlign w:val="center"/>
          </w:tcPr>
          <w:p w14:paraId="2B482E36" w14:textId="144173E5" w:rsidR="00440572" w:rsidRPr="00C03513" w:rsidRDefault="00440572" w:rsidP="00440572">
            <w:pPr>
              <w:spacing w:before="120"/>
              <w:jc w:val="center"/>
              <w:rPr>
                <w:rFonts w:cs="Arial"/>
              </w:rPr>
            </w:pPr>
            <w:r>
              <w:rPr>
                <w:rFonts w:cs="Arial"/>
              </w:rPr>
              <w:t>9/3/2014</w:t>
            </w:r>
          </w:p>
        </w:tc>
        <w:tc>
          <w:tcPr>
            <w:tcW w:w="5887" w:type="dxa"/>
            <w:tcBorders>
              <w:top w:val="single" w:sz="4" w:space="0" w:color="auto"/>
              <w:left w:val="single" w:sz="4" w:space="0" w:color="auto"/>
              <w:bottom w:val="single" w:sz="4" w:space="0" w:color="auto"/>
              <w:right w:val="single" w:sz="4" w:space="0" w:color="auto"/>
            </w:tcBorders>
            <w:vAlign w:val="center"/>
          </w:tcPr>
          <w:p w14:paraId="0B21A1C4" w14:textId="7EA113D2" w:rsidR="00440572" w:rsidRPr="00053F7A" w:rsidRDefault="00440572" w:rsidP="00440572">
            <w:pPr>
              <w:pStyle w:val="ParaText"/>
              <w:spacing w:before="120" w:after="0"/>
              <w:rPr>
                <w:rFonts w:cs="Arial"/>
              </w:rPr>
            </w:pPr>
            <w:r>
              <w:rPr>
                <w:rFonts w:cs="Arial"/>
              </w:rPr>
              <w:t>Draft updated to reflect answers to the Market Participants’ questions and comments.</w:t>
            </w:r>
          </w:p>
        </w:tc>
      </w:tr>
      <w:tr w:rsidR="00440572" w:rsidRPr="00C03513" w14:paraId="4BCB66EF" w14:textId="77777777" w:rsidTr="000914B7">
        <w:tc>
          <w:tcPr>
            <w:tcW w:w="1234" w:type="dxa"/>
            <w:vAlign w:val="center"/>
          </w:tcPr>
          <w:p w14:paraId="6845F90B" w14:textId="1828FB70" w:rsidR="00440572" w:rsidRPr="00C03513" w:rsidRDefault="00440572" w:rsidP="00440572">
            <w:pPr>
              <w:spacing w:before="120"/>
              <w:jc w:val="center"/>
              <w:rPr>
                <w:rFonts w:cs="Arial"/>
              </w:rPr>
            </w:pPr>
            <w:r>
              <w:rPr>
                <w:rFonts w:cs="Arial"/>
              </w:rPr>
              <w:t>0.</w:t>
            </w:r>
            <w:r w:rsidRPr="00C03513">
              <w:rPr>
                <w:rFonts w:cs="Arial"/>
              </w:rPr>
              <w:t>1</w:t>
            </w:r>
          </w:p>
        </w:tc>
        <w:tc>
          <w:tcPr>
            <w:tcW w:w="1297" w:type="dxa"/>
            <w:vAlign w:val="center"/>
          </w:tcPr>
          <w:p w14:paraId="5F701979" w14:textId="77777777" w:rsidR="00440572" w:rsidRDefault="00440572" w:rsidP="00440572">
            <w:pPr>
              <w:spacing w:before="120"/>
              <w:jc w:val="center"/>
              <w:rPr>
                <w:rFonts w:cs="Arial"/>
              </w:rPr>
            </w:pPr>
          </w:p>
        </w:tc>
        <w:tc>
          <w:tcPr>
            <w:tcW w:w="1440" w:type="dxa"/>
            <w:vAlign w:val="center"/>
          </w:tcPr>
          <w:p w14:paraId="6A8E282C" w14:textId="55200B3F" w:rsidR="00440572" w:rsidRPr="00C03513" w:rsidRDefault="00440572" w:rsidP="00440572">
            <w:pPr>
              <w:spacing w:before="120"/>
              <w:jc w:val="center"/>
              <w:rPr>
                <w:rFonts w:cs="Arial"/>
              </w:rPr>
            </w:pPr>
            <w:r>
              <w:rPr>
                <w:rFonts w:cs="Arial"/>
              </w:rPr>
              <w:t>7/1/2014</w:t>
            </w:r>
          </w:p>
        </w:tc>
        <w:tc>
          <w:tcPr>
            <w:tcW w:w="5887" w:type="dxa"/>
            <w:vAlign w:val="center"/>
          </w:tcPr>
          <w:p w14:paraId="6AA80B6E" w14:textId="7548AD72" w:rsidR="00440572" w:rsidRPr="00053F7A" w:rsidRDefault="00440572" w:rsidP="00440572">
            <w:pPr>
              <w:pStyle w:val="ParaText"/>
              <w:spacing w:before="120" w:after="0" w:line="240" w:lineRule="auto"/>
              <w:rPr>
                <w:rFonts w:cs="Arial"/>
              </w:rPr>
            </w:pPr>
            <w:r w:rsidRPr="00053F7A">
              <w:rPr>
                <w:rFonts w:cs="Arial"/>
              </w:rPr>
              <w:t>Created BPM</w:t>
            </w:r>
            <w:r>
              <w:rPr>
                <w:rFonts w:cs="Arial"/>
              </w:rPr>
              <w:t xml:space="preserve"> draft.</w:t>
            </w:r>
          </w:p>
        </w:tc>
      </w:tr>
      <w:tr w:rsidR="00440572" w:rsidRPr="00C03513" w14:paraId="7BE701E3" w14:textId="77777777" w:rsidTr="000914B7">
        <w:tc>
          <w:tcPr>
            <w:tcW w:w="1234" w:type="dxa"/>
            <w:vAlign w:val="center"/>
          </w:tcPr>
          <w:p w14:paraId="5538AED9" w14:textId="0032E27B" w:rsidR="00440572" w:rsidRPr="00C03513" w:rsidRDefault="00440572" w:rsidP="00440572">
            <w:pPr>
              <w:spacing w:before="120"/>
              <w:jc w:val="center"/>
              <w:rPr>
                <w:rFonts w:cs="Arial"/>
              </w:rPr>
            </w:pPr>
          </w:p>
        </w:tc>
        <w:tc>
          <w:tcPr>
            <w:tcW w:w="1297" w:type="dxa"/>
            <w:vAlign w:val="center"/>
          </w:tcPr>
          <w:p w14:paraId="7A98945E" w14:textId="77777777" w:rsidR="00440572" w:rsidRDefault="00440572" w:rsidP="00440572">
            <w:pPr>
              <w:spacing w:before="120"/>
              <w:jc w:val="center"/>
              <w:rPr>
                <w:rFonts w:cs="Arial"/>
              </w:rPr>
            </w:pPr>
          </w:p>
        </w:tc>
        <w:tc>
          <w:tcPr>
            <w:tcW w:w="1440" w:type="dxa"/>
            <w:vAlign w:val="center"/>
          </w:tcPr>
          <w:p w14:paraId="4A80DCAC" w14:textId="3B274A19" w:rsidR="00440572" w:rsidRPr="00C03513" w:rsidRDefault="00440572" w:rsidP="00440572">
            <w:pPr>
              <w:spacing w:before="120"/>
              <w:jc w:val="center"/>
              <w:rPr>
                <w:rFonts w:cs="Arial"/>
              </w:rPr>
            </w:pPr>
          </w:p>
        </w:tc>
        <w:tc>
          <w:tcPr>
            <w:tcW w:w="5887" w:type="dxa"/>
            <w:vAlign w:val="center"/>
          </w:tcPr>
          <w:p w14:paraId="4C9E9C82" w14:textId="6D526A83" w:rsidR="00440572" w:rsidRPr="00053F7A" w:rsidRDefault="00440572" w:rsidP="00440572">
            <w:pPr>
              <w:pStyle w:val="ParaText"/>
              <w:spacing w:before="120" w:after="0" w:line="240" w:lineRule="auto"/>
              <w:rPr>
                <w:rFonts w:cs="Arial"/>
              </w:rPr>
            </w:pPr>
          </w:p>
        </w:tc>
      </w:tr>
      <w:tr w:rsidR="00440572" w:rsidRPr="00C03513" w14:paraId="613F9DEA" w14:textId="77777777" w:rsidTr="000914B7">
        <w:tc>
          <w:tcPr>
            <w:tcW w:w="1234" w:type="dxa"/>
            <w:vAlign w:val="center"/>
          </w:tcPr>
          <w:p w14:paraId="6840596C" w14:textId="39E07F8E" w:rsidR="00440572" w:rsidRPr="00C03513" w:rsidRDefault="00440572" w:rsidP="00440572">
            <w:pPr>
              <w:spacing w:before="120"/>
              <w:jc w:val="center"/>
              <w:rPr>
                <w:rFonts w:cs="Arial"/>
              </w:rPr>
            </w:pPr>
          </w:p>
        </w:tc>
        <w:tc>
          <w:tcPr>
            <w:tcW w:w="1297" w:type="dxa"/>
            <w:vAlign w:val="center"/>
          </w:tcPr>
          <w:p w14:paraId="07B37D19" w14:textId="77777777" w:rsidR="00440572" w:rsidRDefault="00440572" w:rsidP="00440572">
            <w:pPr>
              <w:spacing w:before="120"/>
              <w:jc w:val="center"/>
              <w:rPr>
                <w:rFonts w:cs="Arial"/>
              </w:rPr>
            </w:pPr>
          </w:p>
        </w:tc>
        <w:tc>
          <w:tcPr>
            <w:tcW w:w="1440" w:type="dxa"/>
            <w:vAlign w:val="center"/>
          </w:tcPr>
          <w:p w14:paraId="0BD2DB09" w14:textId="590BEF19" w:rsidR="00440572" w:rsidRPr="00C03513" w:rsidRDefault="00440572" w:rsidP="00440572">
            <w:pPr>
              <w:spacing w:before="120"/>
              <w:jc w:val="center"/>
              <w:rPr>
                <w:rFonts w:cs="Arial"/>
              </w:rPr>
            </w:pPr>
          </w:p>
        </w:tc>
        <w:tc>
          <w:tcPr>
            <w:tcW w:w="5887" w:type="dxa"/>
            <w:vAlign w:val="center"/>
          </w:tcPr>
          <w:p w14:paraId="3329AF87" w14:textId="15437C80" w:rsidR="00440572" w:rsidRPr="00053F7A" w:rsidRDefault="00440572" w:rsidP="00440572">
            <w:pPr>
              <w:pStyle w:val="ParaText"/>
              <w:spacing w:before="120" w:after="0" w:line="240" w:lineRule="auto"/>
              <w:rPr>
                <w:rFonts w:cs="Arial"/>
              </w:rPr>
            </w:pPr>
          </w:p>
        </w:tc>
      </w:tr>
    </w:tbl>
    <w:p w14:paraId="1081EF45" w14:textId="77777777" w:rsidR="008D505E" w:rsidRPr="00C03513" w:rsidRDefault="008D505E">
      <w:pPr>
        <w:rPr>
          <w:rFonts w:cs="Arial"/>
          <w:b/>
          <w:bCs/>
          <w:sz w:val="32"/>
        </w:rPr>
      </w:pPr>
    </w:p>
    <w:p w14:paraId="70915864" w14:textId="77777777" w:rsidR="002148AE" w:rsidRPr="00C03513" w:rsidRDefault="002148AE">
      <w:pPr>
        <w:jc w:val="center"/>
        <w:rPr>
          <w:rFonts w:cs="Arial"/>
          <w:b/>
          <w:bCs/>
        </w:rPr>
      </w:pPr>
      <w:r w:rsidRPr="00C03513">
        <w:rPr>
          <w:rFonts w:cs="Arial"/>
        </w:rPr>
        <w:br w:type="page"/>
      </w:r>
      <w:r w:rsidRPr="00C03513">
        <w:rPr>
          <w:rFonts w:cs="Arial"/>
          <w:b/>
          <w:bCs/>
        </w:rPr>
        <w:lastRenderedPageBreak/>
        <w:t>TABLE OF CONTENTS</w:t>
      </w:r>
    </w:p>
    <w:p w14:paraId="153473F2" w14:textId="055857DB" w:rsidR="00440572" w:rsidRDefault="00BF5ECA">
      <w:pPr>
        <w:pStyle w:val="TOC1"/>
        <w:rPr>
          <w:rFonts w:eastAsiaTheme="minorEastAsia" w:cstheme="minorBidi"/>
          <w:b w:val="0"/>
        </w:rPr>
      </w:pPr>
      <w:r w:rsidRPr="00C03513">
        <w:fldChar w:fldCharType="begin"/>
      </w:r>
      <w:r w:rsidR="002377DC" w:rsidRPr="00C03513">
        <w:instrText xml:space="preserve"> TOC \o "1-3" \h \z \u </w:instrText>
      </w:r>
      <w:r w:rsidRPr="00C03513">
        <w:fldChar w:fldCharType="separate"/>
      </w:r>
      <w:hyperlink w:anchor="_Toc20384065" w:history="1">
        <w:r w:rsidR="00440572" w:rsidRPr="00CF6022">
          <w:rPr>
            <w:rStyle w:val="Hyperlink"/>
            <w:rFonts w:ascii="Arial" w:hAnsi="Arial"/>
          </w:rPr>
          <w:t>1.</w:t>
        </w:r>
        <w:r w:rsidR="00440572">
          <w:rPr>
            <w:rFonts w:eastAsiaTheme="minorEastAsia" w:cstheme="minorBidi"/>
            <w:b w:val="0"/>
          </w:rPr>
          <w:tab/>
        </w:r>
        <w:r w:rsidR="00440572" w:rsidRPr="00CF6022">
          <w:rPr>
            <w:rStyle w:val="Hyperlink"/>
          </w:rPr>
          <w:t>INTRODUCTION</w:t>
        </w:r>
        <w:r w:rsidR="00440572">
          <w:rPr>
            <w:webHidden/>
          </w:rPr>
          <w:tab/>
        </w:r>
        <w:r w:rsidR="00440572">
          <w:rPr>
            <w:webHidden/>
          </w:rPr>
          <w:fldChar w:fldCharType="begin"/>
        </w:r>
        <w:r w:rsidR="00440572">
          <w:rPr>
            <w:webHidden/>
          </w:rPr>
          <w:instrText xml:space="preserve"> PAGEREF _Toc20384065 \h </w:instrText>
        </w:r>
        <w:r w:rsidR="00440572">
          <w:rPr>
            <w:webHidden/>
          </w:rPr>
        </w:r>
        <w:r w:rsidR="00440572">
          <w:rPr>
            <w:webHidden/>
          </w:rPr>
          <w:fldChar w:fldCharType="separate"/>
        </w:r>
        <w:r w:rsidR="00440572">
          <w:rPr>
            <w:webHidden/>
          </w:rPr>
          <w:t>9</w:t>
        </w:r>
        <w:r w:rsidR="00440572">
          <w:rPr>
            <w:webHidden/>
          </w:rPr>
          <w:fldChar w:fldCharType="end"/>
        </w:r>
      </w:hyperlink>
    </w:p>
    <w:p w14:paraId="1850C224" w14:textId="5D1BECE8" w:rsidR="00440572" w:rsidRDefault="00440572">
      <w:pPr>
        <w:pStyle w:val="TOC2"/>
        <w:rPr>
          <w:rFonts w:eastAsiaTheme="minorEastAsia"/>
          <w:b w:val="0"/>
        </w:rPr>
      </w:pPr>
      <w:hyperlink w:anchor="_Toc20384066" w:history="1">
        <w:r w:rsidRPr="00CF6022">
          <w:rPr>
            <w:rStyle w:val="Hyperlink"/>
            <w:rFonts w:ascii="Arial" w:hAnsi="Arial"/>
          </w:rPr>
          <w:t>1.1</w:t>
        </w:r>
        <w:r>
          <w:rPr>
            <w:rFonts w:eastAsiaTheme="minorEastAsia"/>
            <w:b w:val="0"/>
          </w:rPr>
          <w:tab/>
        </w:r>
        <w:r w:rsidRPr="00CF6022">
          <w:rPr>
            <w:rStyle w:val="Hyperlink"/>
          </w:rPr>
          <w:t>Purpose of CAISO Business Practice Manuals</w:t>
        </w:r>
        <w:r>
          <w:rPr>
            <w:webHidden/>
          </w:rPr>
          <w:tab/>
        </w:r>
        <w:r>
          <w:rPr>
            <w:webHidden/>
          </w:rPr>
          <w:fldChar w:fldCharType="begin"/>
        </w:r>
        <w:r>
          <w:rPr>
            <w:webHidden/>
          </w:rPr>
          <w:instrText xml:space="preserve"> PAGEREF _Toc20384066 \h </w:instrText>
        </w:r>
        <w:r>
          <w:rPr>
            <w:webHidden/>
          </w:rPr>
        </w:r>
        <w:r>
          <w:rPr>
            <w:webHidden/>
          </w:rPr>
          <w:fldChar w:fldCharType="separate"/>
        </w:r>
        <w:r>
          <w:rPr>
            <w:webHidden/>
          </w:rPr>
          <w:t>9</w:t>
        </w:r>
        <w:r>
          <w:rPr>
            <w:webHidden/>
          </w:rPr>
          <w:fldChar w:fldCharType="end"/>
        </w:r>
      </w:hyperlink>
    </w:p>
    <w:p w14:paraId="6D348D88" w14:textId="04957030" w:rsidR="00440572" w:rsidRDefault="00440572">
      <w:pPr>
        <w:pStyle w:val="TOC2"/>
        <w:rPr>
          <w:rFonts w:eastAsiaTheme="minorEastAsia"/>
          <w:b w:val="0"/>
        </w:rPr>
      </w:pPr>
      <w:hyperlink w:anchor="_Toc20384067" w:history="1">
        <w:r w:rsidRPr="00CF6022">
          <w:rPr>
            <w:rStyle w:val="Hyperlink"/>
            <w:rFonts w:ascii="Arial" w:hAnsi="Arial" w:cs="Arial"/>
          </w:rPr>
          <w:t>1.2</w:t>
        </w:r>
        <w:r>
          <w:rPr>
            <w:rFonts w:eastAsiaTheme="minorEastAsia"/>
            <w:b w:val="0"/>
          </w:rPr>
          <w:tab/>
        </w:r>
        <w:r w:rsidRPr="00CF6022">
          <w:rPr>
            <w:rStyle w:val="Hyperlink"/>
            <w:rFonts w:cs="Arial"/>
          </w:rPr>
          <w:t>Purpose of This Business Practice Manual</w:t>
        </w:r>
        <w:r>
          <w:rPr>
            <w:webHidden/>
          </w:rPr>
          <w:tab/>
        </w:r>
        <w:r>
          <w:rPr>
            <w:webHidden/>
          </w:rPr>
          <w:fldChar w:fldCharType="begin"/>
        </w:r>
        <w:r>
          <w:rPr>
            <w:webHidden/>
          </w:rPr>
          <w:instrText xml:space="preserve"> PAGEREF _Toc20384067 \h </w:instrText>
        </w:r>
        <w:r>
          <w:rPr>
            <w:webHidden/>
          </w:rPr>
        </w:r>
        <w:r>
          <w:rPr>
            <w:webHidden/>
          </w:rPr>
          <w:fldChar w:fldCharType="separate"/>
        </w:r>
        <w:r>
          <w:rPr>
            <w:webHidden/>
          </w:rPr>
          <w:t>9</w:t>
        </w:r>
        <w:r>
          <w:rPr>
            <w:webHidden/>
          </w:rPr>
          <w:fldChar w:fldCharType="end"/>
        </w:r>
      </w:hyperlink>
    </w:p>
    <w:p w14:paraId="14268BED" w14:textId="095F218F" w:rsidR="00440572" w:rsidRDefault="00440572">
      <w:pPr>
        <w:pStyle w:val="TOC2"/>
        <w:rPr>
          <w:rFonts w:eastAsiaTheme="minorEastAsia"/>
          <w:b w:val="0"/>
        </w:rPr>
      </w:pPr>
      <w:hyperlink w:anchor="_Toc20384068" w:history="1">
        <w:r w:rsidRPr="00CF6022">
          <w:rPr>
            <w:rStyle w:val="Hyperlink"/>
            <w:rFonts w:ascii="Arial" w:hAnsi="Arial" w:cs="Arial"/>
          </w:rPr>
          <w:t>1.3</w:t>
        </w:r>
        <w:r>
          <w:rPr>
            <w:rFonts w:eastAsiaTheme="minorEastAsia"/>
            <w:b w:val="0"/>
          </w:rPr>
          <w:tab/>
        </w:r>
        <w:r w:rsidRPr="00CF6022">
          <w:rPr>
            <w:rStyle w:val="Hyperlink"/>
            <w:rFonts w:cs="Arial"/>
          </w:rPr>
          <w:t>References</w:t>
        </w:r>
        <w:r>
          <w:rPr>
            <w:webHidden/>
          </w:rPr>
          <w:tab/>
        </w:r>
        <w:r>
          <w:rPr>
            <w:webHidden/>
          </w:rPr>
          <w:fldChar w:fldCharType="begin"/>
        </w:r>
        <w:r>
          <w:rPr>
            <w:webHidden/>
          </w:rPr>
          <w:instrText xml:space="preserve"> PAGEREF _Toc20384068 \h </w:instrText>
        </w:r>
        <w:r>
          <w:rPr>
            <w:webHidden/>
          </w:rPr>
        </w:r>
        <w:r>
          <w:rPr>
            <w:webHidden/>
          </w:rPr>
          <w:fldChar w:fldCharType="separate"/>
        </w:r>
        <w:r>
          <w:rPr>
            <w:webHidden/>
          </w:rPr>
          <w:t>10</w:t>
        </w:r>
        <w:r>
          <w:rPr>
            <w:webHidden/>
          </w:rPr>
          <w:fldChar w:fldCharType="end"/>
        </w:r>
      </w:hyperlink>
    </w:p>
    <w:p w14:paraId="25D2BDC5" w14:textId="548738C7" w:rsidR="00440572" w:rsidRDefault="00440572">
      <w:pPr>
        <w:pStyle w:val="TOC1"/>
        <w:rPr>
          <w:rFonts w:eastAsiaTheme="minorEastAsia" w:cstheme="minorBidi"/>
          <w:b w:val="0"/>
        </w:rPr>
      </w:pPr>
      <w:hyperlink w:anchor="_Toc20384069" w:history="1">
        <w:r w:rsidRPr="00CF6022">
          <w:rPr>
            <w:rStyle w:val="Hyperlink"/>
            <w:rFonts w:ascii="Arial" w:hAnsi="Arial"/>
          </w:rPr>
          <w:t>2.</w:t>
        </w:r>
        <w:r>
          <w:rPr>
            <w:rFonts w:eastAsiaTheme="minorEastAsia" w:cstheme="minorBidi"/>
            <w:b w:val="0"/>
          </w:rPr>
          <w:tab/>
        </w:r>
        <w:r w:rsidRPr="00CF6022">
          <w:rPr>
            <w:rStyle w:val="Hyperlink"/>
          </w:rPr>
          <w:t>BACKGROUND</w:t>
        </w:r>
        <w:r>
          <w:rPr>
            <w:webHidden/>
          </w:rPr>
          <w:tab/>
        </w:r>
        <w:r>
          <w:rPr>
            <w:webHidden/>
          </w:rPr>
          <w:fldChar w:fldCharType="begin"/>
        </w:r>
        <w:r>
          <w:rPr>
            <w:webHidden/>
          </w:rPr>
          <w:instrText xml:space="preserve"> PAGEREF _Toc20384069 \h </w:instrText>
        </w:r>
        <w:r>
          <w:rPr>
            <w:webHidden/>
          </w:rPr>
        </w:r>
        <w:r>
          <w:rPr>
            <w:webHidden/>
          </w:rPr>
          <w:fldChar w:fldCharType="separate"/>
        </w:r>
        <w:r>
          <w:rPr>
            <w:webHidden/>
          </w:rPr>
          <w:t>10</w:t>
        </w:r>
        <w:r>
          <w:rPr>
            <w:webHidden/>
          </w:rPr>
          <w:fldChar w:fldCharType="end"/>
        </w:r>
      </w:hyperlink>
    </w:p>
    <w:p w14:paraId="20C6EAA9" w14:textId="451CC364" w:rsidR="00440572" w:rsidRDefault="00440572">
      <w:pPr>
        <w:pStyle w:val="TOC2"/>
        <w:rPr>
          <w:rFonts w:eastAsiaTheme="minorEastAsia"/>
          <w:b w:val="0"/>
        </w:rPr>
      </w:pPr>
      <w:hyperlink w:anchor="_Toc20384070" w:history="1">
        <w:r w:rsidRPr="00CF6022">
          <w:rPr>
            <w:rStyle w:val="Hyperlink"/>
            <w:rFonts w:ascii="Arial" w:hAnsi="Arial"/>
          </w:rPr>
          <w:t>2.1</w:t>
        </w:r>
        <w:r>
          <w:rPr>
            <w:rFonts w:eastAsiaTheme="minorEastAsia"/>
            <w:b w:val="0"/>
          </w:rPr>
          <w:tab/>
        </w:r>
        <w:r w:rsidRPr="00CF6022">
          <w:rPr>
            <w:rStyle w:val="Hyperlink"/>
          </w:rPr>
          <w:t>Energy Imbalance Market Overview</w:t>
        </w:r>
        <w:r>
          <w:rPr>
            <w:webHidden/>
          </w:rPr>
          <w:tab/>
        </w:r>
        <w:r>
          <w:rPr>
            <w:webHidden/>
          </w:rPr>
          <w:fldChar w:fldCharType="begin"/>
        </w:r>
        <w:r>
          <w:rPr>
            <w:webHidden/>
          </w:rPr>
          <w:instrText xml:space="preserve"> PAGEREF _Toc20384070 \h </w:instrText>
        </w:r>
        <w:r>
          <w:rPr>
            <w:webHidden/>
          </w:rPr>
        </w:r>
        <w:r>
          <w:rPr>
            <w:webHidden/>
          </w:rPr>
          <w:fldChar w:fldCharType="separate"/>
        </w:r>
        <w:r>
          <w:rPr>
            <w:webHidden/>
          </w:rPr>
          <w:t>11</w:t>
        </w:r>
        <w:r>
          <w:rPr>
            <w:webHidden/>
          </w:rPr>
          <w:fldChar w:fldCharType="end"/>
        </w:r>
      </w:hyperlink>
    </w:p>
    <w:p w14:paraId="0A2522CD" w14:textId="3C5DB6B6" w:rsidR="00440572" w:rsidRDefault="00440572">
      <w:pPr>
        <w:pStyle w:val="TOC1"/>
        <w:rPr>
          <w:rFonts w:eastAsiaTheme="minorEastAsia" w:cstheme="minorBidi"/>
          <w:b w:val="0"/>
        </w:rPr>
      </w:pPr>
      <w:hyperlink w:anchor="_Toc20384071" w:history="1">
        <w:r w:rsidRPr="00CF6022">
          <w:rPr>
            <w:rStyle w:val="Hyperlink"/>
            <w:rFonts w:ascii="Arial" w:hAnsi="Arial"/>
          </w:rPr>
          <w:t>3.</w:t>
        </w:r>
        <w:r>
          <w:rPr>
            <w:rFonts w:eastAsiaTheme="minorEastAsia" w:cstheme="minorBidi"/>
            <w:b w:val="0"/>
          </w:rPr>
          <w:tab/>
        </w:r>
        <w:r w:rsidRPr="00CF6022">
          <w:rPr>
            <w:rStyle w:val="Hyperlink"/>
          </w:rPr>
          <w:t>ROLES AND RESPONSIBILITIES</w:t>
        </w:r>
        <w:r>
          <w:rPr>
            <w:webHidden/>
          </w:rPr>
          <w:tab/>
        </w:r>
        <w:r>
          <w:rPr>
            <w:webHidden/>
          </w:rPr>
          <w:fldChar w:fldCharType="begin"/>
        </w:r>
        <w:r>
          <w:rPr>
            <w:webHidden/>
          </w:rPr>
          <w:instrText xml:space="preserve"> PAGEREF _Toc20384071 \h </w:instrText>
        </w:r>
        <w:r>
          <w:rPr>
            <w:webHidden/>
          </w:rPr>
        </w:r>
        <w:r>
          <w:rPr>
            <w:webHidden/>
          </w:rPr>
          <w:fldChar w:fldCharType="separate"/>
        </w:r>
        <w:r>
          <w:rPr>
            <w:webHidden/>
          </w:rPr>
          <w:t>12</w:t>
        </w:r>
        <w:r>
          <w:rPr>
            <w:webHidden/>
          </w:rPr>
          <w:fldChar w:fldCharType="end"/>
        </w:r>
      </w:hyperlink>
    </w:p>
    <w:p w14:paraId="4DB4B7F0" w14:textId="65649695" w:rsidR="00440572" w:rsidRDefault="00440572">
      <w:pPr>
        <w:pStyle w:val="TOC2"/>
        <w:rPr>
          <w:rFonts w:eastAsiaTheme="minorEastAsia"/>
          <w:b w:val="0"/>
        </w:rPr>
      </w:pPr>
      <w:hyperlink w:anchor="_Toc20384072" w:history="1">
        <w:r w:rsidRPr="00CF6022">
          <w:rPr>
            <w:rStyle w:val="Hyperlink"/>
            <w:rFonts w:ascii="Arial" w:hAnsi="Arial"/>
          </w:rPr>
          <w:t>3.1</w:t>
        </w:r>
        <w:r>
          <w:rPr>
            <w:rFonts w:eastAsiaTheme="minorEastAsia"/>
            <w:b w:val="0"/>
          </w:rPr>
          <w:tab/>
        </w:r>
        <w:r w:rsidRPr="00CF6022">
          <w:rPr>
            <w:rStyle w:val="Hyperlink"/>
          </w:rPr>
          <w:t>Implementing and Terminating the EIM Entity Participation</w:t>
        </w:r>
        <w:r>
          <w:rPr>
            <w:webHidden/>
          </w:rPr>
          <w:tab/>
        </w:r>
        <w:r>
          <w:rPr>
            <w:webHidden/>
          </w:rPr>
          <w:fldChar w:fldCharType="begin"/>
        </w:r>
        <w:r>
          <w:rPr>
            <w:webHidden/>
          </w:rPr>
          <w:instrText xml:space="preserve"> PAGEREF _Toc20384072 \h </w:instrText>
        </w:r>
        <w:r>
          <w:rPr>
            <w:webHidden/>
          </w:rPr>
        </w:r>
        <w:r>
          <w:rPr>
            <w:webHidden/>
          </w:rPr>
          <w:fldChar w:fldCharType="separate"/>
        </w:r>
        <w:r>
          <w:rPr>
            <w:webHidden/>
          </w:rPr>
          <w:t>13</w:t>
        </w:r>
        <w:r>
          <w:rPr>
            <w:webHidden/>
          </w:rPr>
          <w:fldChar w:fldCharType="end"/>
        </w:r>
      </w:hyperlink>
    </w:p>
    <w:p w14:paraId="29014523" w14:textId="35090343" w:rsidR="00440572" w:rsidRDefault="00440572">
      <w:pPr>
        <w:pStyle w:val="TOC1"/>
        <w:rPr>
          <w:rFonts w:eastAsiaTheme="minorEastAsia" w:cstheme="minorBidi"/>
          <w:b w:val="0"/>
        </w:rPr>
      </w:pPr>
      <w:hyperlink w:anchor="_Toc20384073" w:history="1">
        <w:r w:rsidRPr="00CF6022">
          <w:rPr>
            <w:rStyle w:val="Hyperlink"/>
            <w:rFonts w:ascii="Arial" w:hAnsi="Arial"/>
          </w:rPr>
          <w:t>4.</w:t>
        </w:r>
        <w:r>
          <w:rPr>
            <w:rFonts w:eastAsiaTheme="minorEastAsia" w:cstheme="minorBidi"/>
            <w:b w:val="0"/>
          </w:rPr>
          <w:tab/>
        </w:r>
        <w:r w:rsidRPr="00CF6022">
          <w:rPr>
            <w:rStyle w:val="Hyperlink"/>
          </w:rPr>
          <w:t>SCHEDULING COORDINATOR CERTIFICATION</w:t>
        </w:r>
        <w:r>
          <w:rPr>
            <w:webHidden/>
          </w:rPr>
          <w:tab/>
        </w:r>
        <w:r>
          <w:rPr>
            <w:webHidden/>
          </w:rPr>
          <w:fldChar w:fldCharType="begin"/>
        </w:r>
        <w:r>
          <w:rPr>
            <w:webHidden/>
          </w:rPr>
          <w:instrText xml:space="preserve"> PAGEREF _Toc20384073 \h </w:instrText>
        </w:r>
        <w:r>
          <w:rPr>
            <w:webHidden/>
          </w:rPr>
        </w:r>
        <w:r>
          <w:rPr>
            <w:webHidden/>
          </w:rPr>
          <w:fldChar w:fldCharType="separate"/>
        </w:r>
        <w:r>
          <w:rPr>
            <w:webHidden/>
          </w:rPr>
          <w:t>14</w:t>
        </w:r>
        <w:r>
          <w:rPr>
            <w:webHidden/>
          </w:rPr>
          <w:fldChar w:fldCharType="end"/>
        </w:r>
      </w:hyperlink>
    </w:p>
    <w:p w14:paraId="30C6061D" w14:textId="55D33A00" w:rsidR="00440572" w:rsidRDefault="00440572">
      <w:pPr>
        <w:pStyle w:val="TOC2"/>
        <w:rPr>
          <w:rFonts w:eastAsiaTheme="minorEastAsia"/>
          <w:b w:val="0"/>
        </w:rPr>
      </w:pPr>
      <w:hyperlink w:anchor="_Toc20384074" w:history="1">
        <w:r w:rsidRPr="00CF6022">
          <w:rPr>
            <w:rStyle w:val="Hyperlink"/>
            <w:rFonts w:ascii="Arial" w:hAnsi="Arial"/>
          </w:rPr>
          <w:t>4.1</w:t>
        </w:r>
        <w:r>
          <w:rPr>
            <w:rFonts w:eastAsiaTheme="minorEastAsia"/>
            <w:b w:val="0"/>
          </w:rPr>
          <w:tab/>
        </w:r>
        <w:r w:rsidRPr="00CF6022">
          <w:rPr>
            <w:rStyle w:val="Hyperlink"/>
          </w:rPr>
          <w:t>Determination of SC Certification Requirements</w:t>
        </w:r>
        <w:r>
          <w:rPr>
            <w:webHidden/>
          </w:rPr>
          <w:tab/>
        </w:r>
        <w:r>
          <w:rPr>
            <w:webHidden/>
          </w:rPr>
          <w:fldChar w:fldCharType="begin"/>
        </w:r>
        <w:r>
          <w:rPr>
            <w:webHidden/>
          </w:rPr>
          <w:instrText xml:space="preserve"> PAGEREF _Toc20384074 \h </w:instrText>
        </w:r>
        <w:r>
          <w:rPr>
            <w:webHidden/>
          </w:rPr>
        </w:r>
        <w:r>
          <w:rPr>
            <w:webHidden/>
          </w:rPr>
          <w:fldChar w:fldCharType="separate"/>
        </w:r>
        <w:r>
          <w:rPr>
            <w:webHidden/>
          </w:rPr>
          <w:t>15</w:t>
        </w:r>
        <w:r>
          <w:rPr>
            <w:webHidden/>
          </w:rPr>
          <w:fldChar w:fldCharType="end"/>
        </w:r>
      </w:hyperlink>
    </w:p>
    <w:p w14:paraId="37E55B6E" w14:textId="044B730A" w:rsidR="00440572" w:rsidRDefault="00440572">
      <w:pPr>
        <w:pStyle w:val="TOC1"/>
        <w:rPr>
          <w:rFonts w:eastAsiaTheme="minorEastAsia" w:cstheme="minorBidi"/>
          <w:b w:val="0"/>
        </w:rPr>
      </w:pPr>
      <w:hyperlink w:anchor="_Toc20384075" w:history="1">
        <w:r w:rsidRPr="00CF6022">
          <w:rPr>
            <w:rStyle w:val="Hyperlink"/>
            <w:rFonts w:ascii="Arial" w:hAnsi="Arial"/>
          </w:rPr>
          <w:t>5.</w:t>
        </w:r>
        <w:r>
          <w:rPr>
            <w:rFonts w:eastAsiaTheme="minorEastAsia" w:cstheme="minorBidi"/>
            <w:b w:val="0"/>
          </w:rPr>
          <w:tab/>
        </w:r>
        <w:r w:rsidRPr="00CF6022">
          <w:rPr>
            <w:rStyle w:val="Hyperlink"/>
          </w:rPr>
          <w:t>AGREEMENTS</w:t>
        </w:r>
        <w:r>
          <w:rPr>
            <w:webHidden/>
          </w:rPr>
          <w:tab/>
        </w:r>
        <w:r>
          <w:rPr>
            <w:webHidden/>
          </w:rPr>
          <w:fldChar w:fldCharType="begin"/>
        </w:r>
        <w:r>
          <w:rPr>
            <w:webHidden/>
          </w:rPr>
          <w:instrText xml:space="preserve"> PAGEREF _Toc20384075 \h </w:instrText>
        </w:r>
        <w:r>
          <w:rPr>
            <w:webHidden/>
          </w:rPr>
        </w:r>
        <w:r>
          <w:rPr>
            <w:webHidden/>
          </w:rPr>
          <w:fldChar w:fldCharType="separate"/>
        </w:r>
        <w:r>
          <w:rPr>
            <w:webHidden/>
          </w:rPr>
          <w:t>16</w:t>
        </w:r>
        <w:r>
          <w:rPr>
            <w:webHidden/>
          </w:rPr>
          <w:fldChar w:fldCharType="end"/>
        </w:r>
      </w:hyperlink>
    </w:p>
    <w:p w14:paraId="74F15D14" w14:textId="10CADF6C" w:rsidR="00440572" w:rsidRDefault="00440572">
      <w:pPr>
        <w:pStyle w:val="TOC2"/>
        <w:rPr>
          <w:rFonts w:eastAsiaTheme="minorEastAsia"/>
          <w:b w:val="0"/>
        </w:rPr>
      </w:pPr>
      <w:hyperlink w:anchor="_Toc20384076" w:history="1">
        <w:r w:rsidRPr="00CF6022">
          <w:rPr>
            <w:rStyle w:val="Hyperlink"/>
            <w:rFonts w:ascii="Arial" w:hAnsi="Arial"/>
          </w:rPr>
          <w:t>5.1</w:t>
        </w:r>
        <w:r>
          <w:rPr>
            <w:rFonts w:eastAsiaTheme="minorEastAsia"/>
            <w:b w:val="0"/>
          </w:rPr>
          <w:tab/>
        </w:r>
        <w:r w:rsidRPr="00CF6022">
          <w:rPr>
            <w:rStyle w:val="Hyperlink"/>
          </w:rPr>
          <w:t>EIM Entity Agreement</w:t>
        </w:r>
        <w:r>
          <w:rPr>
            <w:webHidden/>
          </w:rPr>
          <w:tab/>
        </w:r>
        <w:r>
          <w:rPr>
            <w:webHidden/>
          </w:rPr>
          <w:fldChar w:fldCharType="begin"/>
        </w:r>
        <w:r>
          <w:rPr>
            <w:webHidden/>
          </w:rPr>
          <w:instrText xml:space="preserve"> PAGEREF _Toc20384076 \h </w:instrText>
        </w:r>
        <w:r>
          <w:rPr>
            <w:webHidden/>
          </w:rPr>
        </w:r>
        <w:r>
          <w:rPr>
            <w:webHidden/>
          </w:rPr>
          <w:fldChar w:fldCharType="separate"/>
        </w:r>
        <w:r>
          <w:rPr>
            <w:webHidden/>
          </w:rPr>
          <w:t>16</w:t>
        </w:r>
        <w:r>
          <w:rPr>
            <w:webHidden/>
          </w:rPr>
          <w:fldChar w:fldCharType="end"/>
        </w:r>
      </w:hyperlink>
    </w:p>
    <w:p w14:paraId="6A8CCB76" w14:textId="38269D1F" w:rsidR="00440572" w:rsidRDefault="00440572">
      <w:pPr>
        <w:pStyle w:val="TOC2"/>
        <w:rPr>
          <w:rFonts w:eastAsiaTheme="minorEastAsia"/>
          <w:b w:val="0"/>
        </w:rPr>
      </w:pPr>
      <w:hyperlink w:anchor="_Toc20384077" w:history="1">
        <w:r w:rsidRPr="00CF6022">
          <w:rPr>
            <w:rStyle w:val="Hyperlink"/>
            <w:rFonts w:ascii="Arial" w:hAnsi="Arial"/>
          </w:rPr>
          <w:t>5.2</w:t>
        </w:r>
        <w:r>
          <w:rPr>
            <w:rFonts w:eastAsiaTheme="minorEastAsia"/>
            <w:b w:val="0"/>
          </w:rPr>
          <w:tab/>
        </w:r>
        <w:r w:rsidRPr="00CF6022">
          <w:rPr>
            <w:rStyle w:val="Hyperlink"/>
          </w:rPr>
          <w:t>EIM Entity Scheduling Coordinator (Entity SC)</w:t>
        </w:r>
        <w:r>
          <w:rPr>
            <w:webHidden/>
          </w:rPr>
          <w:tab/>
        </w:r>
        <w:r>
          <w:rPr>
            <w:webHidden/>
          </w:rPr>
          <w:fldChar w:fldCharType="begin"/>
        </w:r>
        <w:r>
          <w:rPr>
            <w:webHidden/>
          </w:rPr>
          <w:instrText xml:space="preserve"> PAGEREF _Toc20384077 \h </w:instrText>
        </w:r>
        <w:r>
          <w:rPr>
            <w:webHidden/>
          </w:rPr>
        </w:r>
        <w:r>
          <w:rPr>
            <w:webHidden/>
          </w:rPr>
          <w:fldChar w:fldCharType="separate"/>
        </w:r>
        <w:r>
          <w:rPr>
            <w:webHidden/>
          </w:rPr>
          <w:t>17</w:t>
        </w:r>
        <w:r>
          <w:rPr>
            <w:webHidden/>
          </w:rPr>
          <w:fldChar w:fldCharType="end"/>
        </w:r>
      </w:hyperlink>
    </w:p>
    <w:p w14:paraId="3666702B" w14:textId="7692BCC9" w:rsidR="00440572" w:rsidRDefault="00440572">
      <w:pPr>
        <w:pStyle w:val="TOC1"/>
        <w:rPr>
          <w:rFonts w:eastAsiaTheme="minorEastAsia" w:cstheme="minorBidi"/>
          <w:b w:val="0"/>
        </w:rPr>
      </w:pPr>
      <w:hyperlink w:anchor="_Toc20384078" w:history="1">
        <w:r w:rsidRPr="00CF6022">
          <w:rPr>
            <w:rStyle w:val="Hyperlink"/>
          </w:rPr>
          <w:t>The submittals listed below should be sent to: SCRequests@caiso.com</w:t>
        </w:r>
        <w:r>
          <w:rPr>
            <w:webHidden/>
          </w:rPr>
          <w:tab/>
        </w:r>
        <w:r>
          <w:rPr>
            <w:webHidden/>
          </w:rPr>
          <w:fldChar w:fldCharType="begin"/>
        </w:r>
        <w:r>
          <w:rPr>
            <w:webHidden/>
          </w:rPr>
          <w:instrText xml:space="preserve"> PAGEREF _Toc20384078 \h </w:instrText>
        </w:r>
        <w:r>
          <w:rPr>
            <w:webHidden/>
          </w:rPr>
        </w:r>
        <w:r>
          <w:rPr>
            <w:webHidden/>
          </w:rPr>
          <w:fldChar w:fldCharType="separate"/>
        </w:r>
        <w:r>
          <w:rPr>
            <w:webHidden/>
          </w:rPr>
          <w:t>17</w:t>
        </w:r>
        <w:r>
          <w:rPr>
            <w:webHidden/>
          </w:rPr>
          <w:fldChar w:fldCharType="end"/>
        </w:r>
      </w:hyperlink>
    </w:p>
    <w:p w14:paraId="12E9F698" w14:textId="0CD83F5D" w:rsidR="00440572" w:rsidRDefault="00440572">
      <w:pPr>
        <w:pStyle w:val="TOC2"/>
        <w:rPr>
          <w:rFonts w:eastAsiaTheme="minorEastAsia"/>
          <w:b w:val="0"/>
        </w:rPr>
      </w:pPr>
      <w:hyperlink w:anchor="_Toc20384079" w:history="1">
        <w:r w:rsidRPr="00CF6022">
          <w:rPr>
            <w:rStyle w:val="Hyperlink"/>
            <w:rFonts w:ascii="Arial" w:hAnsi="Arial"/>
          </w:rPr>
          <w:t>5.3</w:t>
        </w:r>
        <w:r>
          <w:rPr>
            <w:rFonts w:eastAsiaTheme="minorEastAsia"/>
            <w:b w:val="0"/>
          </w:rPr>
          <w:tab/>
        </w:r>
        <w:r w:rsidRPr="00CF6022">
          <w:rPr>
            <w:rStyle w:val="Hyperlink"/>
          </w:rPr>
          <w:t>EIM Participating Resource Scheduling Coordinator (EIM PR SC)</w:t>
        </w:r>
        <w:r>
          <w:rPr>
            <w:webHidden/>
          </w:rPr>
          <w:tab/>
        </w:r>
        <w:r>
          <w:rPr>
            <w:webHidden/>
          </w:rPr>
          <w:fldChar w:fldCharType="begin"/>
        </w:r>
        <w:r>
          <w:rPr>
            <w:webHidden/>
          </w:rPr>
          <w:instrText xml:space="preserve"> PAGEREF _Toc20384079 \h </w:instrText>
        </w:r>
        <w:r>
          <w:rPr>
            <w:webHidden/>
          </w:rPr>
        </w:r>
        <w:r>
          <w:rPr>
            <w:webHidden/>
          </w:rPr>
          <w:fldChar w:fldCharType="separate"/>
        </w:r>
        <w:r>
          <w:rPr>
            <w:webHidden/>
          </w:rPr>
          <w:t>18</w:t>
        </w:r>
        <w:r>
          <w:rPr>
            <w:webHidden/>
          </w:rPr>
          <w:fldChar w:fldCharType="end"/>
        </w:r>
      </w:hyperlink>
    </w:p>
    <w:p w14:paraId="34A5D7F2" w14:textId="546855A3" w:rsidR="00440572" w:rsidRDefault="00440572">
      <w:pPr>
        <w:pStyle w:val="TOC2"/>
        <w:rPr>
          <w:rFonts w:eastAsiaTheme="minorEastAsia"/>
          <w:b w:val="0"/>
        </w:rPr>
      </w:pPr>
      <w:hyperlink w:anchor="_Toc20384080" w:history="1">
        <w:r w:rsidRPr="00CF6022">
          <w:rPr>
            <w:rStyle w:val="Hyperlink"/>
            <w:rFonts w:ascii="Arial" w:hAnsi="Arial"/>
          </w:rPr>
          <w:t>5.4</w:t>
        </w:r>
        <w:r>
          <w:rPr>
            <w:rFonts w:eastAsiaTheme="minorEastAsia"/>
            <w:b w:val="0"/>
          </w:rPr>
          <w:tab/>
        </w:r>
        <w:r w:rsidRPr="00CF6022">
          <w:rPr>
            <w:rStyle w:val="Hyperlink"/>
          </w:rPr>
          <w:t>EIM Participating Resource (PR)</w:t>
        </w:r>
        <w:r>
          <w:rPr>
            <w:webHidden/>
          </w:rPr>
          <w:tab/>
        </w:r>
        <w:r>
          <w:rPr>
            <w:webHidden/>
          </w:rPr>
          <w:fldChar w:fldCharType="begin"/>
        </w:r>
        <w:r>
          <w:rPr>
            <w:webHidden/>
          </w:rPr>
          <w:instrText xml:space="preserve"> PAGEREF _Toc20384080 \h </w:instrText>
        </w:r>
        <w:r>
          <w:rPr>
            <w:webHidden/>
          </w:rPr>
        </w:r>
        <w:r>
          <w:rPr>
            <w:webHidden/>
          </w:rPr>
          <w:fldChar w:fldCharType="separate"/>
        </w:r>
        <w:r>
          <w:rPr>
            <w:webHidden/>
          </w:rPr>
          <w:t>20</w:t>
        </w:r>
        <w:r>
          <w:rPr>
            <w:webHidden/>
          </w:rPr>
          <w:fldChar w:fldCharType="end"/>
        </w:r>
      </w:hyperlink>
    </w:p>
    <w:p w14:paraId="595A37A1" w14:textId="198CC00E" w:rsidR="00440572" w:rsidRDefault="00440572">
      <w:pPr>
        <w:pStyle w:val="TOC1"/>
        <w:rPr>
          <w:rFonts w:eastAsiaTheme="minorEastAsia" w:cstheme="minorBidi"/>
          <w:b w:val="0"/>
        </w:rPr>
      </w:pPr>
      <w:hyperlink w:anchor="_Toc20384081" w:history="1">
        <w:r w:rsidRPr="00CF6022">
          <w:rPr>
            <w:rStyle w:val="Hyperlink"/>
            <w:rFonts w:ascii="Arial" w:hAnsi="Arial"/>
          </w:rPr>
          <w:t>6.</w:t>
        </w:r>
        <w:r>
          <w:rPr>
            <w:rFonts w:eastAsiaTheme="minorEastAsia" w:cstheme="minorBidi"/>
            <w:b w:val="0"/>
          </w:rPr>
          <w:tab/>
        </w:r>
        <w:r w:rsidRPr="00CF6022">
          <w:rPr>
            <w:rStyle w:val="Hyperlink"/>
          </w:rPr>
          <w:t>CREDIT MANAGEMENT</w:t>
        </w:r>
        <w:r>
          <w:rPr>
            <w:webHidden/>
          </w:rPr>
          <w:tab/>
        </w:r>
        <w:r>
          <w:rPr>
            <w:webHidden/>
          </w:rPr>
          <w:fldChar w:fldCharType="begin"/>
        </w:r>
        <w:r>
          <w:rPr>
            <w:webHidden/>
          </w:rPr>
          <w:instrText xml:space="preserve"> PAGEREF _Toc20384081 \h </w:instrText>
        </w:r>
        <w:r>
          <w:rPr>
            <w:webHidden/>
          </w:rPr>
        </w:r>
        <w:r>
          <w:rPr>
            <w:webHidden/>
          </w:rPr>
          <w:fldChar w:fldCharType="separate"/>
        </w:r>
        <w:r>
          <w:rPr>
            <w:webHidden/>
          </w:rPr>
          <w:t>21</w:t>
        </w:r>
        <w:r>
          <w:rPr>
            <w:webHidden/>
          </w:rPr>
          <w:fldChar w:fldCharType="end"/>
        </w:r>
      </w:hyperlink>
    </w:p>
    <w:p w14:paraId="7514F7B9" w14:textId="7A692687" w:rsidR="00440572" w:rsidRDefault="00440572">
      <w:pPr>
        <w:pStyle w:val="TOC1"/>
        <w:rPr>
          <w:rFonts w:eastAsiaTheme="minorEastAsia" w:cstheme="minorBidi"/>
          <w:b w:val="0"/>
        </w:rPr>
      </w:pPr>
      <w:hyperlink w:anchor="_Toc20384082" w:history="1">
        <w:r w:rsidRPr="00CF6022">
          <w:rPr>
            <w:rStyle w:val="Hyperlink"/>
            <w:rFonts w:ascii="Arial" w:hAnsi="Arial"/>
          </w:rPr>
          <w:t>7.</w:t>
        </w:r>
        <w:r>
          <w:rPr>
            <w:rFonts w:eastAsiaTheme="minorEastAsia" w:cstheme="minorBidi"/>
            <w:b w:val="0"/>
          </w:rPr>
          <w:tab/>
        </w:r>
        <w:r w:rsidRPr="00CF6022">
          <w:rPr>
            <w:rStyle w:val="Hyperlink"/>
          </w:rPr>
          <w:t>FULL NETWORK MODEL</w:t>
        </w:r>
        <w:r>
          <w:rPr>
            <w:webHidden/>
          </w:rPr>
          <w:tab/>
        </w:r>
        <w:r>
          <w:rPr>
            <w:webHidden/>
          </w:rPr>
          <w:fldChar w:fldCharType="begin"/>
        </w:r>
        <w:r>
          <w:rPr>
            <w:webHidden/>
          </w:rPr>
          <w:instrText xml:space="preserve"> PAGEREF _Toc20384082 \h </w:instrText>
        </w:r>
        <w:r>
          <w:rPr>
            <w:webHidden/>
          </w:rPr>
        </w:r>
        <w:r>
          <w:rPr>
            <w:webHidden/>
          </w:rPr>
          <w:fldChar w:fldCharType="separate"/>
        </w:r>
        <w:r>
          <w:rPr>
            <w:webHidden/>
          </w:rPr>
          <w:t>21</w:t>
        </w:r>
        <w:r>
          <w:rPr>
            <w:webHidden/>
          </w:rPr>
          <w:fldChar w:fldCharType="end"/>
        </w:r>
      </w:hyperlink>
    </w:p>
    <w:p w14:paraId="4070650D" w14:textId="1234F46B" w:rsidR="00440572" w:rsidRDefault="00440572">
      <w:pPr>
        <w:pStyle w:val="TOC1"/>
        <w:rPr>
          <w:rFonts w:eastAsiaTheme="minorEastAsia" w:cstheme="minorBidi"/>
          <w:b w:val="0"/>
        </w:rPr>
      </w:pPr>
      <w:hyperlink w:anchor="_Toc20384083" w:history="1">
        <w:r w:rsidRPr="00CF6022">
          <w:rPr>
            <w:rStyle w:val="Hyperlink"/>
            <w:rFonts w:ascii="Arial" w:hAnsi="Arial"/>
          </w:rPr>
          <w:t>8.</w:t>
        </w:r>
        <w:r>
          <w:rPr>
            <w:rFonts w:eastAsiaTheme="minorEastAsia" w:cstheme="minorBidi"/>
            <w:b w:val="0"/>
          </w:rPr>
          <w:tab/>
        </w:r>
        <w:r w:rsidRPr="00CF6022">
          <w:rPr>
            <w:rStyle w:val="Hyperlink"/>
          </w:rPr>
          <w:t>METERING</w:t>
        </w:r>
        <w:r>
          <w:rPr>
            <w:webHidden/>
          </w:rPr>
          <w:tab/>
        </w:r>
        <w:r>
          <w:rPr>
            <w:webHidden/>
          </w:rPr>
          <w:fldChar w:fldCharType="begin"/>
        </w:r>
        <w:r>
          <w:rPr>
            <w:webHidden/>
          </w:rPr>
          <w:instrText xml:space="preserve"> PAGEREF _Toc20384083 \h </w:instrText>
        </w:r>
        <w:r>
          <w:rPr>
            <w:webHidden/>
          </w:rPr>
        </w:r>
        <w:r>
          <w:rPr>
            <w:webHidden/>
          </w:rPr>
          <w:fldChar w:fldCharType="separate"/>
        </w:r>
        <w:r>
          <w:rPr>
            <w:webHidden/>
          </w:rPr>
          <w:t>24</w:t>
        </w:r>
        <w:r>
          <w:rPr>
            <w:webHidden/>
          </w:rPr>
          <w:fldChar w:fldCharType="end"/>
        </w:r>
      </w:hyperlink>
    </w:p>
    <w:p w14:paraId="32E16C7B" w14:textId="5B878E82" w:rsidR="00440572" w:rsidRDefault="00440572">
      <w:pPr>
        <w:pStyle w:val="TOC1"/>
        <w:rPr>
          <w:rFonts w:eastAsiaTheme="minorEastAsia" w:cstheme="minorBidi"/>
          <w:b w:val="0"/>
        </w:rPr>
      </w:pPr>
      <w:hyperlink w:anchor="_Toc20384084" w:history="1">
        <w:r w:rsidRPr="00CF6022">
          <w:rPr>
            <w:rStyle w:val="Hyperlink"/>
            <w:rFonts w:ascii="Arial" w:hAnsi="Arial"/>
          </w:rPr>
          <w:t>9.</w:t>
        </w:r>
        <w:r>
          <w:rPr>
            <w:rFonts w:eastAsiaTheme="minorEastAsia" w:cstheme="minorBidi"/>
            <w:b w:val="0"/>
          </w:rPr>
          <w:tab/>
        </w:r>
        <w:r w:rsidRPr="00CF6022">
          <w:rPr>
            <w:rStyle w:val="Hyperlink"/>
          </w:rPr>
          <w:t>TELEMETRY</w:t>
        </w:r>
        <w:r>
          <w:rPr>
            <w:webHidden/>
          </w:rPr>
          <w:tab/>
        </w:r>
        <w:r>
          <w:rPr>
            <w:webHidden/>
          </w:rPr>
          <w:fldChar w:fldCharType="begin"/>
        </w:r>
        <w:r>
          <w:rPr>
            <w:webHidden/>
          </w:rPr>
          <w:instrText xml:space="preserve"> PAGEREF _Toc20384084 \h </w:instrText>
        </w:r>
        <w:r>
          <w:rPr>
            <w:webHidden/>
          </w:rPr>
        </w:r>
        <w:r>
          <w:rPr>
            <w:webHidden/>
          </w:rPr>
          <w:fldChar w:fldCharType="separate"/>
        </w:r>
        <w:r>
          <w:rPr>
            <w:webHidden/>
          </w:rPr>
          <w:t>26</w:t>
        </w:r>
        <w:r>
          <w:rPr>
            <w:webHidden/>
          </w:rPr>
          <w:fldChar w:fldCharType="end"/>
        </w:r>
      </w:hyperlink>
    </w:p>
    <w:p w14:paraId="0D0B6C79" w14:textId="728B187B" w:rsidR="00440572" w:rsidRDefault="00440572">
      <w:pPr>
        <w:pStyle w:val="TOC1"/>
        <w:rPr>
          <w:rFonts w:eastAsiaTheme="minorEastAsia" w:cstheme="minorBidi"/>
          <w:b w:val="0"/>
        </w:rPr>
      </w:pPr>
      <w:hyperlink w:anchor="_Toc20384085" w:history="1">
        <w:r w:rsidRPr="00CF6022">
          <w:rPr>
            <w:rStyle w:val="Hyperlink"/>
            <w:rFonts w:ascii="Arial" w:hAnsi="Arial"/>
          </w:rPr>
          <w:t>10.</w:t>
        </w:r>
        <w:r>
          <w:rPr>
            <w:rFonts w:eastAsiaTheme="minorEastAsia" w:cstheme="minorBidi"/>
            <w:b w:val="0"/>
          </w:rPr>
          <w:tab/>
        </w:r>
        <w:r w:rsidRPr="00CF6022">
          <w:rPr>
            <w:rStyle w:val="Hyperlink"/>
          </w:rPr>
          <w:t>OUTAGE MANAGEMENT</w:t>
        </w:r>
        <w:r>
          <w:rPr>
            <w:webHidden/>
          </w:rPr>
          <w:tab/>
        </w:r>
        <w:r>
          <w:rPr>
            <w:webHidden/>
          </w:rPr>
          <w:fldChar w:fldCharType="begin"/>
        </w:r>
        <w:r>
          <w:rPr>
            <w:webHidden/>
          </w:rPr>
          <w:instrText xml:space="preserve"> PAGEREF _Toc20384085 \h </w:instrText>
        </w:r>
        <w:r>
          <w:rPr>
            <w:webHidden/>
          </w:rPr>
        </w:r>
        <w:r>
          <w:rPr>
            <w:webHidden/>
          </w:rPr>
          <w:fldChar w:fldCharType="separate"/>
        </w:r>
        <w:r>
          <w:rPr>
            <w:webHidden/>
          </w:rPr>
          <w:t>26</w:t>
        </w:r>
        <w:r>
          <w:rPr>
            <w:webHidden/>
          </w:rPr>
          <w:fldChar w:fldCharType="end"/>
        </w:r>
      </w:hyperlink>
    </w:p>
    <w:p w14:paraId="0A4D23DE" w14:textId="3AC4C7BD" w:rsidR="00440572" w:rsidRDefault="00440572">
      <w:pPr>
        <w:pStyle w:val="TOC2"/>
        <w:rPr>
          <w:rFonts w:eastAsiaTheme="minorEastAsia"/>
          <w:b w:val="0"/>
        </w:rPr>
      </w:pPr>
      <w:hyperlink w:anchor="_Toc20384086" w:history="1">
        <w:r w:rsidRPr="00CF6022">
          <w:rPr>
            <w:rStyle w:val="Hyperlink"/>
            <w:rFonts w:ascii="Arial" w:hAnsi="Arial"/>
          </w:rPr>
          <w:t>10.1</w:t>
        </w:r>
        <w:r>
          <w:rPr>
            <w:rFonts w:eastAsiaTheme="minorEastAsia"/>
            <w:b w:val="0"/>
          </w:rPr>
          <w:tab/>
        </w:r>
        <w:r w:rsidRPr="00CF6022">
          <w:rPr>
            <w:rStyle w:val="Hyperlink"/>
          </w:rPr>
          <w:t>Objectives, Roles, Scope, and Participants</w:t>
        </w:r>
        <w:r>
          <w:rPr>
            <w:webHidden/>
          </w:rPr>
          <w:tab/>
        </w:r>
        <w:r>
          <w:rPr>
            <w:webHidden/>
          </w:rPr>
          <w:fldChar w:fldCharType="begin"/>
        </w:r>
        <w:r>
          <w:rPr>
            <w:webHidden/>
          </w:rPr>
          <w:instrText xml:space="preserve"> PAGEREF _Toc20384086 \h </w:instrText>
        </w:r>
        <w:r>
          <w:rPr>
            <w:webHidden/>
          </w:rPr>
        </w:r>
        <w:r>
          <w:rPr>
            <w:webHidden/>
          </w:rPr>
          <w:fldChar w:fldCharType="separate"/>
        </w:r>
        <w:r>
          <w:rPr>
            <w:webHidden/>
          </w:rPr>
          <w:t>27</w:t>
        </w:r>
        <w:r>
          <w:rPr>
            <w:webHidden/>
          </w:rPr>
          <w:fldChar w:fldCharType="end"/>
        </w:r>
      </w:hyperlink>
    </w:p>
    <w:p w14:paraId="4C65C12E" w14:textId="15AFDB73" w:rsidR="00440572" w:rsidRDefault="00440572">
      <w:pPr>
        <w:pStyle w:val="TOC3"/>
        <w:rPr>
          <w:rFonts w:eastAsiaTheme="minorEastAsia"/>
        </w:rPr>
      </w:pPr>
      <w:hyperlink w:anchor="_Toc20384087" w:history="1">
        <w:r w:rsidRPr="00CF6022">
          <w:rPr>
            <w:rStyle w:val="Hyperlink"/>
            <w:rFonts w:ascii="Arial" w:hAnsi="Arial"/>
          </w:rPr>
          <w:t>10.1.1</w:t>
        </w:r>
        <w:r>
          <w:rPr>
            <w:rFonts w:eastAsiaTheme="minorEastAsia"/>
          </w:rPr>
          <w:tab/>
        </w:r>
        <w:r w:rsidRPr="00CF6022">
          <w:rPr>
            <w:rStyle w:val="Hyperlink"/>
          </w:rPr>
          <w:t>Outage Management Objective</w:t>
        </w:r>
        <w:r>
          <w:rPr>
            <w:webHidden/>
          </w:rPr>
          <w:tab/>
        </w:r>
        <w:r>
          <w:rPr>
            <w:webHidden/>
          </w:rPr>
          <w:fldChar w:fldCharType="begin"/>
        </w:r>
        <w:r>
          <w:rPr>
            <w:webHidden/>
          </w:rPr>
          <w:instrText xml:space="preserve"> PAGEREF _Toc20384087 \h </w:instrText>
        </w:r>
        <w:r>
          <w:rPr>
            <w:webHidden/>
          </w:rPr>
        </w:r>
        <w:r>
          <w:rPr>
            <w:webHidden/>
          </w:rPr>
          <w:fldChar w:fldCharType="separate"/>
        </w:r>
        <w:r>
          <w:rPr>
            <w:webHidden/>
          </w:rPr>
          <w:t>27</w:t>
        </w:r>
        <w:r>
          <w:rPr>
            <w:webHidden/>
          </w:rPr>
          <w:fldChar w:fldCharType="end"/>
        </w:r>
      </w:hyperlink>
    </w:p>
    <w:p w14:paraId="76B0F120" w14:textId="76A7129C" w:rsidR="00440572" w:rsidRDefault="00440572">
      <w:pPr>
        <w:pStyle w:val="TOC3"/>
        <w:rPr>
          <w:rFonts w:eastAsiaTheme="minorEastAsia"/>
        </w:rPr>
      </w:pPr>
      <w:hyperlink w:anchor="_Toc20384088" w:history="1">
        <w:r w:rsidRPr="00CF6022">
          <w:rPr>
            <w:rStyle w:val="Hyperlink"/>
            <w:rFonts w:ascii="Arial" w:hAnsi="Arial"/>
          </w:rPr>
          <w:t>10.1.2</w:t>
        </w:r>
        <w:r>
          <w:rPr>
            <w:rFonts w:eastAsiaTheme="minorEastAsia"/>
          </w:rPr>
          <w:tab/>
        </w:r>
        <w:r w:rsidRPr="00CF6022">
          <w:rPr>
            <w:rStyle w:val="Hyperlink"/>
          </w:rPr>
          <w:t>CAISO Role</w:t>
        </w:r>
        <w:r>
          <w:rPr>
            <w:webHidden/>
          </w:rPr>
          <w:tab/>
        </w:r>
        <w:r>
          <w:rPr>
            <w:webHidden/>
          </w:rPr>
          <w:fldChar w:fldCharType="begin"/>
        </w:r>
        <w:r>
          <w:rPr>
            <w:webHidden/>
          </w:rPr>
          <w:instrText xml:space="preserve"> PAGEREF _Toc20384088 \h </w:instrText>
        </w:r>
        <w:r>
          <w:rPr>
            <w:webHidden/>
          </w:rPr>
        </w:r>
        <w:r>
          <w:rPr>
            <w:webHidden/>
          </w:rPr>
          <w:fldChar w:fldCharType="separate"/>
        </w:r>
        <w:r>
          <w:rPr>
            <w:webHidden/>
          </w:rPr>
          <w:t>27</w:t>
        </w:r>
        <w:r>
          <w:rPr>
            <w:webHidden/>
          </w:rPr>
          <w:fldChar w:fldCharType="end"/>
        </w:r>
      </w:hyperlink>
    </w:p>
    <w:p w14:paraId="7D1F5CA5" w14:textId="3342415C" w:rsidR="00440572" w:rsidRDefault="00440572">
      <w:pPr>
        <w:pStyle w:val="TOC3"/>
        <w:rPr>
          <w:rFonts w:eastAsiaTheme="minorEastAsia"/>
        </w:rPr>
      </w:pPr>
      <w:hyperlink w:anchor="_Toc20384089" w:history="1">
        <w:r w:rsidRPr="00CF6022">
          <w:rPr>
            <w:rStyle w:val="Hyperlink"/>
            <w:rFonts w:ascii="Arial" w:hAnsi="Arial"/>
          </w:rPr>
          <w:t>10.1.3</w:t>
        </w:r>
        <w:r>
          <w:rPr>
            <w:rFonts w:eastAsiaTheme="minorEastAsia"/>
          </w:rPr>
          <w:tab/>
        </w:r>
        <w:r w:rsidRPr="00CF6022">
          <w:rPr>
            <w:rStyle w:val="Hyperlink"/>
          </w:rPr>
          <w:t>Facility Owner Role</w:t>
        </w:r>
        <w:r>
          <w:rPr>
            <w:webHidden/>
          </w:rPr>
          <w:tab/>
        </w:r>
        <w:r>
          <w:rPr>
            <w:webHidden/>
          </w:rPr>
          <w:fldChar w:fldCharType="begin"/>
        </w:r>
        <w:r>
          <w:rPr>
            <w:webHidden/>
          </w:rPr>
          <w:instrText xml:space="preserve"> PAGEREF _Toc20384089 \h </w:instrText>
        </w:r>
        <w:r>
          <w:rPr>
            <w:webHidden/>
          </w:rPr>
        </w:r>
        <w:r>
          <w:rPr>
            <w:webHidden/>
          </w:rPr>
          <w:fldChar w:fldCharType="separate"/>
        </w:r>
        <w:r>
          <w:rPr>
            <w:webHidden/>
          </w:rPr>
          <w:t>27</w:t>
        </w:r>
        <w:r>
          <w:rPr>
            <w:webHidden/>
          </w:rPr>
          <w:fldChar w:fldCharType="end"/>
        </w:r>
      </w:hyperlink>
    </w:p>
    <w:p w14:paraId="3732283E" w14:textId="67CB1A74" w:rsidR="00440572" w:rsidRDefault="00440572">
      <w:pPr>
        <w:pStyle w:val="TOC3"/>
        <w:rPr>
          <w:rFonts w:eastAsiaTheme="minorEastAsia"/>
        </w:rPr>
      </w:pPr>
      <w:hyperlink w:anchor="_Toc20384090" w:history="1">
        <w:r w:rsidRPr="00CF6022">
          <w:rPr>
            <w:rStyle w:val="Hyperlink"/>
            <w:rFonts w:ascii="Arial" w:hAnsi="Arial"/>
          </w:rPr>
          <w:t>10.1.4</w:t>
        </w:r>
        <w:r>
          <w:rPr>
            <w:rFonts w:eastAsiaTheme="minorEastAsia"/>
          </w:rPr>
          <w:tab/>
        </w:r>
        <w:r w:rsidRPr="00CF6022">
          <w:rPr>
            <w:rStyle w:val="Hyperlink"/>
          </w:rPr>
          <w:t>Application to Parties</w:t>
        </w:r>
        <w:r>
          <w:rPr>
            <w:webHidden/>
          </w:rPr>
          <w:tab/>
        </w:r>
        <w:r>
          <w:rPr>
            <w:webHidden/>
          </w:rPr>
          <w:fldChar w:fldCharType="begin"/>
        </w:r>
        <w:r>
          <w:rPr>
            <w:webHidden/>
          </w:rPr>
          <w:instrText xml:space="preserve"> PAGEREF _Toc20384090 \h </w:instrText>
        </w:r>
        <w:r>
          <w:rPr>
            <w:webHidden/>
          </w:rPr>
        </w:r>
        <w:r>
          <w:rPr>
            <w:webHidden/>
          </w:rPr>
          <w:fldChar w:fldCharType="separate"/>
        </w:r>
        <w:r>
          <w:rPr>
            <w:webHidden/>
          </w:rPr>
          <w:t>27</w:t>
        </w:r>
        <w:r>
          <w:rPr>
            <w:webHidden/>
          </w:rPr>
          <w:fldChar w:fldCharType="end"/>
        </w:r>
      </w:hyperlink>
    </w:p>
    <w:p w14:paraId="1A3EA792" w14:textId="3D37849D" w:rsidR="00440572" w:rsidRDefault="00440572">
      <w:pPr>
        <w:pStyle w:val="TOC3"/>
        <w:rPr>
          <w:rFonts w:eastAsiaTheme="minorEastAsia"/>
        </w:rPr>
      </w:pPr>
      <w:hyperlink w:anchor="_Toc20384091" w:history="1">
        <w:r w:rsidRPr="00CF6022">
          <w:rPr>
            <w:rStyle w:val="Hyperlink"/>
            <w:rFonts w:ascii="Arial" w:hAnsi="Arial"/>
          </w:rPr>
          <w:t>10.1.5</w:t>
        </w:r>
        <w:r>
          <w:rPr>
            <w:rFonts w:eastAsiaTheme="minorEastAsia"/>
          </w:rPr>
          <w:tab/>
        </w:r>
        <w:r w:rsidRPr="00CF6022">
          <w:rPr>
            <w:rStyle w:val="Hyperlink"/>
          </w:rPr>
          <w:t>CAISO Outage Coordination Office</w:t>
        </w:r>
        <w:r>
          <w:rPr>
            <w:webHidden/>
          </w:rPr>
          <w:tab/>
        </w:r>
        <w:r>
          <w:rPr>
            <w:webHidden/>
          </w:rPr>
          <w:fldChar w:fldCharType="begin"/>
        </w:r>
        <w:r>
          <w:rPr>
            <w:webHidden/>
          </w:rPr>
          <w:instrText xml:space="preserve"> PAGEREF _Toc20384091 \h </w:instrText>
        </w:r>
        <w:r>
          <w:rPr>
            <w:webHidden/>
          </w:rPr>
        </w:r>
        <w:r>
          <w:rPr>
            <w:webHidden/>
          </w:rPr>
          <w:fldChar w:fldCharType="separate"/>
        </w:r>
        <w:r>
          <w:rPr>
            <w:webHidden/>
          </w:rPr>
          <w:t>28</w:t>
        </w:r>
        <w:r>
          <w:rPr>
            <w:webHidden/>
          </w:rPr>
          <w:fldChar w:fldCharType="end"/>
        </w:r>
      </w:hyperlink>
    </w:p>
    <w:p w14:paraId="70AF45BB" w14:textId="330546AC" w:rsidR="00440572" w:rsidRDefault="00440572">
      <w:pPr>
        <w:pStyle w:val="TOC2"/>
        <w:rPr>
          <w:rFonts w:eastAsiaTheme="minorEastAsia"/>
          <w:b w:val="0"/>
        </w:rPr>
      </w:pPr>
      <w:hyperlink w:anchor="_Toc20384092" w:history="1">
        <w:r w:rsidRPr="00CF6022">
          <w:rPr>
            <w:rStyle w:val="Hyperlink"/>
            <w:rFonts w:ascii="Arial" w:hAnsi="Arial"/>
          </w:rPr>
          <w:t>10.2</w:t>
        </w:r>
        <w:r>
          <w:rPr>
            <w:rFonts w:eastAsiaTheme="minorEastAsia"/>
            <w:b w:val="0"/>
          </w:rPr>
          <w:tab/>
        </w:r>
        <w:r w:rsidRPr="00CF6022">
          <w:rPr>
            <w:rStyle w:val="Hyperlink"/>
          </w:rPr>
          <w:t>Requesting Maintenance Outages</w:t>
        </w:r>
        <w:r>
          <w:rPr>
            <w:webHidden/>
          </w:rPr>
          <w:tab/>
        </w:r>
        <w:r>
          <w:rPr>
            <w:webHidden/>
          </w:rPr>
          <w:fldChar w:fldCharType="begin"/>
        </w:r>
        <w:r>
          <w:rPr>
            <w:webHidden/>
          </w:rPr>
          <w:instrText xml:space="preserve"> PAGEREF _Toc20384092 \h </w:instrText>
        </w:r>
        <w:r>
          <w:rPr>
            <w:webHidden/>
          </w:rPr>
        </w:r>
        <w:r>
          <w:rPr>
            <w:webHidden/>
          </w:rPr>
          <w:fldChar w:fldCharType="separate"/>
        </w:r>
        <w:r>
          <w:rPr>
            <w:webHidden/>
          </w:rPr>
          <w:t>29</w:t>
        </w:r>
        <w:r>
          <w:rPr>
            <w:webHidden/>
          </w:rPr>
          <w:fldChar w:fldCharType="end"/>
        </w:r>
      </w:hyperlink>
    </w:p>
    <w:p w14:paraId="0F1311E5" w14:textId="113A5D64" w:rsidR="00440572" w:rsidRDefault="00440572">
      <w:pPr>
        <w:pStyle w:val="TOC3"/>
        <w:rPr>
          <w:rFonts w:eastAsiaTheme="minorEastAsia"/>
        </w:rPr>
      </w:pPr>
      <w:hyperlink w:anchor="_Toc20384093" w:history="1">
        <w:r w:rsidRPr="00CF6022">
          <w:rPr>
            <w:rStyle w:val="Hyperlink"/>
            <w:rFonts w:ascii="Arial" w:hAnsi="Arial"/>
          </w:rPr>
          <w:t>10.2.1</w:t>
        </w:r>
        <w:r>
          <w:rPr>
            <w:rFonts w:eastAsiaTheme="minorEastAsia"/>
          </w:rPr>
          <w:tab/>
        </w:r>
        <w:r w:rsidRPr="00CF6022">
          <w:rPr>
            <w:rStyle w:val="Hyperlink"/>
          </w:rPr>
          <w:t>EIM Entity and EIM Entity Scheduling Coordinator Outage Request Process</w:t>
        </w:r>
        <w:r>
          <w:rPr>
            <w:webHidden/>
          </w:rPr>
          <w:tab/>
        </w:r>
        <w:r>
          <w:rPr>
            <w:webHidden/>
          </w:rPr>
          <w:fldChar w:fldCharType="begin"/>
        </w:r>
        <w:r>
          <w:rPr>
            <w:webHidden/>
          </w:rPr>
          <w:instrText xml:space="preserve"> PAGEREF _Toc20384093 \h </w:instrText>
        </w:r>
        <w:r>
          <w:rPr>
            <w:webHidden/>
          </w:rPr>
        </w:r>
        <w:r>
          <w:rPr>
            <w:webHidden/>
          </w:rPr>
          <w:fldChar w:fldCharType="separate"/>
        </w:r>
        <w:r>
          <w:rPr>
            <w:webHidden/>
          </w:rPr>
          <w:t>29</w:t>
        </w:r>
        <w:r>
          <w:rPr>
            <w:webHidden/>
          </w:rPr>
          <w:fldChar w:fldCharType="end"/>
        </w:r>
      </w:hyperlink>
    </w:p>
    <w:p w14:paraId="69A23483" w14:textId="6FFDB1B4" w:rsidR="00440572" w:rsidRDefault="00440572">
      <w:pPr>
        <w:pStyle w:val="TOC3"/>
        <w:rPr>
          <w:rFonts w:eastAsiaTheme="minorEastAsia"/>
        </w:rPr>
      </w:pPr>
      <w:hyperlink w:anchor="_Toc20384094" w:history="1">
        <w:r w:rsidRPr="00CF6022">
          <w:rPr>
            <w:rStyle w:val="Hyperlink"/>
            <w:rFonts w:ascii="Arial" w:hAnsi="Arial"/>
          </w:rPr>
          <w:t>10.2.2</w:t>
        </w:r>
        <w:r>
          <w:rPr>
            <w:rFonts w:eastAsiaTheme="minorEastAsia"/>
          </w:rPr>
          <w:tab/>
        </w:r>
        <w:r w:rsidRPr="00CF6022">
          <w:rPr>
            <w:rStyle w:val="Hyperlink"/>
          </w:rPr>
          <w:t>Generation Resource Start-Up Time</w:t>
        </w:r>
        <w:r>
          <w:rPr>
            <w:webHidden/>
          </w:rPr>
          <w:tab/>
        </w:r>
        <w:r>
          <w:rPr>
            <w:webHidden/>
          </w:rPr>
          <w:fldChar w:fldCharType="begin"/>
        </w:r>
        <w:r>
          <w:rPr>
            <w:webHidden/>
          </w:rPr>
          <w:instrText xml:space="preserve"> PAGEREF _Toc20384094 \h </w:instrText>
        </w:r>
        <w:r>
          <w:rPr>
            <w:webHidden/>
          </w:rPr>
        </w:r>
        <w:r>
          <w:rPr>
            <w:webHidden/>
          </w:rPr>
          <w:fldChar w:fldCharType="separate"/>
        </w:r>
        <w:r>
          <w:rPr>
            <w:webHidden/>
          </w:rPr>
          <w:t>30</w:t>
        </w:r>
        <w:r>
          <w:rPr>
            <w:webHidden/>
          </w:rPr>
          <w:fldChar w:fldCharType="end"/>
        </w:r>
      </w:hyperlink>
    </w:p>
    <w:p w14:paraId="0EC579E2" w14:textId="05F0B979" w:rsidR="00440572" w:rsidRDefault="00440572">
      <w:pPr>
        <w:pStyle w:val="TOC3"/>
        <w:rPr>
          <w:rFonts w:eastAsiaTheme="minorEastAsia"/>
        </w:rPr>
      </w:pPr>
      <w:hyperlink w:anchor="_Toc20384095" w:history="1">
        <w:r w:rsidRPr="00CF6022">
          <w:rPr>
            <w:rStyle w:val="Hyperlink"/>
            <w:rFonts w:ascii="Arial" w:hAnsi="Arial"/>
          </w:rPr>
          <w:t>10.2.3</w:t>
        </w:r>
        <w:r>
          <w:rPr>
            <w:rFonts w:eastAsiaTheme="minorEastAsia"/>
          </w:rPr>
          <w:tab/>
        </w:r>
        <w:r w:rsidRPr="00CF6022">
          <w:rPr>
            <w:rStyle w:val="Hyperlink"/>
          </w:rPr>
          <w:t>Confirmation and Acknowledgement of Receipt of Outage Request</w:t>
        </w:r>
        <w:r>
          <w:rPr>
            <w:webHidden/>
          </w:rPr>
          <w:tab/>
        </w:r>
        <w:r>
          <w:rPr>
            <w:webHidden/>
          </w:rPr>
          <w:fldChar w:fldCharType="begin"/>
        </w:r>
        <w:r>
          <w:rPr>
            <w:webHidden/>
          </w:rPr>
          <w:instrText xml:space="preserve"> PAGEREF _Toc20384095 \h </w:instrText>
        </w:r>
        <w:r>
          <w:rPr>
            <w:webHidden/>
          </w:rPr>
        </w:r>
        <w:r>
          <w:rPr>
            <w:webHidden/>
          </w:rPr>
          <w:fldChar w:fldCharType="separate"/>
        </w:r>
        <w:r>
          <w:rPr>
            <w:webHidden/>
          </w:rPr>
          <w:t>30</w:t>
        </w:r>
        <w:r>
          <w:rPr>
            <w:webHidden/>
          </w:rPr>
          <w:fldChar w:fldCharType="end"/>
        </w:r>
      </w:hyperlink>
    </w:p>
    <w:p w14:paraId="48E182FB" w14:textId="1D790BF2" w:rsidR="00440572" w:rsidRDefault="00440572">
      <w:pPr>
        <w:pStyle w:val="TOC3"/>
        <w:rPr>
          <w:rFonts w:eastAsiaTheme="minorEastAsia"/>
        </w:rPr>
      </w:pPr>
      <w:hyperlink w:anchor="_Toc20384096" w:history="1">
        <w:r w:rsidRPr="00CF6022">
          <w:rPr>
            <w:rStyle w:val="Hyperlink"/>
            <w:rFonts w:ascii="Arial" w:hAnsi="Arial"/>
          </w:rPr>
          <w:t>10.2.4</w:t>
        </w:r>
        <w:r>
          <w:rPr>
            <w:rFonts w:eastAsiaTheme="minorEastAsia"/>
          </w:rPr>
          <w:tab/>
        </w:r>
        <w:r w:rsidRPr="00CF6022">
          <w:rPr>
            <w:rStyle w:val="Hyperlink"/>
          </w:rPr>
          <w:t>Withdrawal or Modification of Request</w:t>
        </w:r>
        <w:r>
          <w:rPr>
            <w:webHidden/>
          </w:rPr>
          <w:tab/>
        </w:r>
        <w:r>
          <w:rPr>
            <w:webHidden/>
          </w:rPr>
          <w:fldChar w:fldCharType="begin"/>
        </w:r>
        <w:r>
          <w:rPr>
            <w:webHidden/>
          </w:rPr>
          <w:instrText xml:space="preserve"> PAGEREF _Toc20384096 \h </w:instrText>
        </w:r>
        <w:r>
          <w:rPr>
            <w:webHidden/>
          </w:rPr>
        </w:r>
        <w:r>
          <w:rPr>
            <w:webHidden/>
          </w:rPr>
          <w:fldChar w:fldCharType="separate"/>
        </w:r>
        <w:r>
          <w:rPr>
            <w:webHidden/>
          </w:rPr>
          <w:t>31</w:t>
        </w:r>
        <w:r>
          <w:rPr>
            <w:webHidden/>
          </w:rPr>
          <w:fldChar w:fldCharType="end"/>
        </w:r>
      </w:hyperlink>
    </w:p>
    <w:p w14:paraId="0E6AB3A6" w14:textId="613496E8" w:rsidR="00440572" w:rsidRDefault="00440572">
      <w:pPr>
        <w:pStyle w:val="TOC3"/>
        <w:rPr>
          <w:rFonts w:eastAsiaTheme="minorEastAsia"/>
        </w:rPr>
      </w:pPr>
      <w:hyperlink w:anchor="_Toc20384097" w:history="1">
        <w:r w:rsidRPr="00CF6022">
          <w:rPr>
            <w:rStyle w:val="Hyperlink"/>
            <w:rFonts w:ascii="Arial" w:hAnsi="Arial"/>
          </w:rPr>
          <w:t>10.2.5</w:t>
        </w:r>
        <w:r>
          <w:rPr>
            <w:rFonts w:eastAsiaTheme="minorEastAsia"/>
          </w:rPr>
          <w:tab/>
        </w:r>
        <w:r w:rsidRPr="00CF6022">
          <w:rPr>
            <w:rStyle w:val="Hyperlink"/>
          </w:rPr>
          <w:t>Changes to Planned Maintenance Outages</w:t>
        </w:r>
        <w:r>
          <w:rPr>
            <w:webHidden/>
          </w:rPr>
          <w:tab/>
        </w:r>
        <w:r>
          <w:rPr>
            <w:webHidden/>
          </w:rPr>
          <w:fldChar w:fldCharType="begin"/>
        </w:r>
        <w:r>
          <w:rPr>
            <w:webHidden/>
          </w:rPr>
          <w:instrText xml:space="preserve"> PAGEREF _Toc20384097 \h </w:instrText>
        </w:r>
        <w:r>
          <w:rPr>
            <w:webHidden/>
          </w:rPr>
        </w:r>
        <w:r>
          <w:rPr>
            <w:webHidden/>
          </w:rPr>
          <w:fldChar w:fldCharType="separate"/>
        </w:r>
        <w:r>
          <w:rPr>
            <w:webHidden/>
          </w:rPr>
          <w:t>31</w:t>
        </w:r>
        <w:r>
          <w:rPr>
            <w:webHidden/>
          </w:rPr>
          <w:fldChar w:fldCharType="end"/>
        </w:r>
      </w:hyperlink>
    </w:p>
    <w:p w14:paraId="2E7AA054" w14:textId="43ACE2A3" w:rsidR="00440572" w:rsidRDefault="00440572">
      <w:pPr>
        <w:pStyle w:val="TOC2"/>
        <w:rPr>
          <w:rFonts w:eastAsiaTheme="minorEastAsia"/>
          <w:b w:val="0"/>
        </w:rPr>
      </w:pPr>
      <w:hyperlink w:anchor="_Toc20384098" w:history="1">
        <w:r w:rsidRPr="00CF6022">
          <w:rPr>
            <w:rStyle w:val="Hyperlink"/>
            <w:rFonts w:ascii="Arial" w:hAnsi="Arial"/>
          </w:rPr>
          <w:t>10.3</w:t>
        </w:r>
        <w:r>
          <w:rPr>
            <w:rFonts w:eastAsiaTheme="minorEastAsia"/>
            <w:b w:val="0"/>
          </w:rPr>
          <w:tab/>
        </w:r>
        <w:r w:rsidRPr="00CF6022">
          <w:rPr>
            <w:rStyle w:val="Hyperlink"/>
          </w:rPr>
          <w:t>Management of Forced Outages</w:t>
        </w:r>
        <w:r>
          <w:rPr>
            <w:webHidden/>
          </w:rPr>
          <w:tab/>
        </w:r>
        <w:r>
          <w:rPr>
            <w:webHidden/>
          </w:rPr>
          <w:fldChar w:fldCharType="begin"/>
        </w:r>
        <w:r>
          <w:rPr>
            <w:webHidden/>
          </w:rPr>
          <w:instrText xml:space="preserve"> PAGEREF _Toc20384098 \h </w:instrText>
        </w:r>
        <w:r>
          <w:rPr>
            <w:webHidden/>
          </w:rPr>
        </w:r>
        <w:r>
          <w:rPr>
            <w:webHidden/>
          </w:rPr>
          <w:fldChar w:fldCharType="separate"/>
        </w:r>
        <w:r>
          <w:rPr>
            <w:webHidden/>
          </w:rPr>
          <w:t>31</w:t>
        </w:r>
        <w:r>
          <w:rPr>
            <w:webHidden/>
          </w:rPr>
          <w:fldChar w:fldCharType="end"/>
        </w:r>
      </w:hyperlink>
    </w:p>
    <w:p w14:paraId="316572C2" w14:textId="2E9B202D" w:rsidR="00440572" w:rsidRDefault="00440572">
      <w:pPr>
        <w:pStyle w:val="TOC3"/>
        <w:rPr>
          <w:rFonts w:eastAsiaTheme="minorEastAsia"/>
        </w:rPr>
      </w:pPr>
      <w:hyperlink w:anchor="_Toc20384099" w:history="1">
        <w:r w:rsidRPr="00CF6022">
          <w:rPr>
            <w:rStyle w:val="Hyperlink"/>
            <w:rFonts w:ascii="Arial" w:hAnsi="Arial"/>
          </w:rPr>
          <w:t>10.3.1</w:t>
        </w:r>
        <w:r>
          <w:rPr>
            <w:rFonts w:eastAsiaTheme="minorEastAsia"/>
          </w:rPr>
          <w:tab/>
        </w:r>
        <w:r w:rsidRPr="00CF6022">
          <w:rPr>
            <w:rStyle w:val="Hyperlink"/>
          </w:rPr>
          <w:t>Forced Outages</w:t>
        </w:r>
        <w:r>
          <w:rPr>
            <w:webHidden/>
          </w:rPr>
          <w:tab/>
        </w:r>
        <w:r>
          <w:rPr>
            <w:webHidden/>
          </w:rPr>
          <w:fldChar w:fldCharType="begin"/>
        </w:r>
        <w:r>
          <w:rPr>
            <w:webHidden/>
          </w:rPr>
          <w:instrText xml:space="preserve"> PAGEREF _Toc20384099 \h </w:instrText>
        </w:r>
        <w:r>
          <w:rPr>
            <w:webHidden/>
          </w:rPr>
        </w:r>
        <w:r>
          <w:rPr>
            <w:webHidden/>
          </w:rPr>
          <w:fldChar w:fldCharType="separate"/>
        </w:r>
        <w:r>
          <w:rPr>
            <w:webHidden/>
          </w:rPr>
          <w:t>31</w:t>
        </w:r>
        <w:r>
          <w:rPr>
            <w:webHidden/>
          </w:rPr>
          <w:fldChar w:fldCharType="end"/>
        </w:r>
      </w:hyperlink>
    </w:p>
    <w:p w14:paraId="1BF057D1" w14:textId="439E47CF" w:rsidR="00440572" w:rsidRDefault="00440572">
      <w:pPr>
        <w:pStyle w:val="TOC3"/>
        <w:rPr>
          <w:rFonts w:eastAsiaTheme="minorEastAsia"/>
        </w:rPr>
      </w:pPr>
      <w:hyperlink w:anchor="_Toc20384100" w:history="1">
        <w:r w:rsidRPr="00CF6022">
          <w:rPr>
            <w:rStyle w:val="Hyperlink"/>
            <w:rFonts w:ascii="Arial" w:hAnsi="Arial"/>
          </w:rPr>
          <w:t>10.3.2</w:t>
        </w:r>
        <w:r>
          <w:rPr>
            <w:rFonts w:eastAsiaTheme="minorEastAsia"/>
          </w:rPr>
          <w:tab/>
        </w:r>
        <w:r w:rsidRPr="00CF6022">
          <w:rPr>
            <w:rStyle w:val="Hyperlink"/>
          </w:rPr>
          <w:t>Extended Scheduled Outage</w:t>
        </w:r>
        <w:r>
          <w:rPr>
            <w:webHidden/>
          </w:rPr>
          <w:tab/>
        </w:r>
        <w:r>
          <w:rPr>
            <w:webHidden/>
          </w:rPr>
          <w:fldChar w:fldCharType="begin"/>
        </w:r>
        <w:r>
          <w:rPr>
            <w:webHidden/>
          </w:rPr>
          <w:instrText xml:space="preserve"> PAGEREF _Toc20384100 \h </w:instrText>
        </w:r>
        <w:r>
          <w:rPr>
            <w:webHidden/>
          </w:rPr>
        </w:r>
        <w:r>
          <w:rPr>
            <w:webHidden/>
          </w:rPr>
          <w:fldChar w:fldCharType="separate"/>
        </w:r>
        <w:r>
          <w:rPr>
            <w:webHidden/>
          </w:rPr>
          <w:t>32</w:t>
        </w:r>
        <w:r>
          <w:rPr>
            <w:webHidden/>
          </w:rPr>
          <w:fldChar w:fldCharType="end"/>
        </w:r>
      </w:hyperlink>
    </w:p>
    <w:p w14:paraId="6E65B082" w14:textId="715CABFB" w:rsidR="00440572" w:rsidRDefault="00440572">
      <w:pPr>
        <w:pStyle w:val="TOC2"/>
        <w:rPr>
          <w:rFonts w:eastAsiaTheme="minorEastAsia"/>
          <w:b w:val="0"/>
        </w:rPr>
      </w:pPr>
      <w:hyperlink w:anchor="_Toc20384101" w:history="1">
        <w:r w:rsidRPr="00CF6022">
          <w:rPr>
            <w:rStyle w:val="Hyperlink"/>
            <w:rFonts w:ascii="Arial" w:hAnsi="Arial"/>
          </w:rPr>
          <w:t>10.4</w:t>
        </w:r>
        <w:r>
          <w:rPr>
            <w:rFonts w:eastAsiaTheme="minorEastAsia"/>
            <w:b w:val="0"/>
          </w:rPr>
          <w:tab/>
        </w:r>
        <w:r w:rsidRPr="00CF6022">
          <w:rPr>
            <w:rStyle w:val="Hyperlink"/>
          </w:rPr>
          <w:t>Communication of Maintenance Outage Information</w:t>
        </w:r>
        <w:r>
          <w:rPr>
            <w:webHidden/>
          </w:rPr>
          <w:tab/>
        </w:r>
        <w:r>
          <w:rPr>
            <w:webHidden/>
          </w:rPr>
          <w:fldChar w:fldCharType="begin"/>
        </w:r>
        <w:r>
          <w:rPr>
            <w:webHidden/>
          </w:rPr>
          <w:instrText xml:space="preserve"> PAGEREF _Toc20384101 \h </w:instrText>
        </w:r>
        <w:r>
          <w:rPr>
            <w:webHidden/>
          </w:rPr>
        </w:r>
        <w:r>
          <w:rPr>
            <w:webHidden/>
          </w:rPr>
          <w:fldChar w:fldCharType="separate"/>
        </w:r>
        <w:r>
          <w:rPr>
            <w:webHidden/>
          </w:rPr>
          <w:t>32</w:t>
        </w:r>
        <w:r>
          <w:rPr>
            <w:webHidden/>
          </w:rPr>
          <w:fldChar w:fldCharType="end"/>
        </w:r>
      </w:hyperlink>
    </w:p>
    <w:p w14:paraId="4E316549" w14:textId="670027DD" w:rsidR="00440572" w:rsidRDefault="00440572">
      <w:pPr>
        <w:pStyle w:val="TOC3"/>
        <w:rPr>
          <w:rFonts w:eastAsiaTheme="minorEastAsia"/>
        </w:rPr>
      </w:pPr>
      <w:hyperlink w:anchor="_Toc20384102" w:history="1">
        <w:r w:rsidRPr="00CF6022">
          <w:rPr>
            <w:rStyle w:val="Hyperlink"/>
            <w:rFonts w:ascii="Arial" w:hAnsi="Arial"/>
          </w:rPr>
          <w:t>10.4.1</w:t>
        </w:r>
        <w:r>
          <w:rPr>
            <w:rFonts w:eastAsiaTheme="minorEastAsia"/>
          </w:rPr>
          <w:tab/>
        </w:r>
        <w:r w:rsidRPr="00CF6022">
          <w:rPr>
            <w:rStyle w:val="Hyperlink"/>
          </w:rPr>
          <w:t>Single Point of Contact</w:t>
        </w:r>
        <w:r>
          <w:rPr>
            <w:webHidden/>
          </w:rPr>
          <w:tab/>
        </w:r>
        <w:r>
          <w:rPr>
            <w:webHidden/>
          </w:rPr>
          <w:fldChar w:fldCharType="begin"/>
        </w:r>
        <w:r>
          <w:rPr>
            <w:webHidden/>
          </w:rPr>
          <w:instrText xml:space="preserve"> PAGEREF _Toc20384102 \h </w:instrText>
        </w:r>
        <w:r>
          <w:rPr>
            <w:webHidden/>
          </w:rPr>
        </w:r>
        <w:r>
          <w:rPr>
            <w:webHidden/>
          </w:rPr>
          <w:fldChar w:fldCharType="separate"/>
        </w:r>
        <w:r>
          <w:rPr>
            <w:webHidden/>
          </w:rPr>
          <w:t>32</w:t>
        </w:r>
        <w:r>
          <w:rPr>
            <w:webHidden/>
          </w:rPr>
          <w:fldChar w:fldCharType="end"/>
        </w:r>
      </w:hyperlink>
    </w:p>
    <w:p w14:paraId="58077750" w14:textId="245218E5" w:rsidR="00440572" w:rsidRDefault="00440572">
      <w:pPr>
        <w:pStyle w:val="TOC2"/>
        <w:rPr>
          <w:rFonts w:eastAsiaTheme="minorEastAsia"/>
          <w:b w:val="0"/>
        </w:rPr>
      </w:pPr>
      <w:hyperlink w:anchor="_Toc20384103" w:history="1">
        <w:r w:rsidRPr="00CF6022">
          <w:rPr>
            <w:rStyle w:val="Hyperlink"/>
            <w:rFonts w:ascii="Arial" w:hAnsi="Arial"/>
          </w:rPr>
          <w:t>10.5</w:t>
        </w:r>
        <w:r>
          <w:rPr>
            <w:rFonts w:eastAsiaTheme="minorEastAsia"/>
            <w:b w:val="0"/>
          </w:rPr>
          <w:tab/>
        </w:r>
        <w:r w:rsidRPr="00CF6022">
          <w:rPr>
            <w:rStyle w:val="Hyperlink"/>
          </w:rPr>
          <w:t>Records and Reports</w:t>
        </w:r>
        <w:r>
          <w:rPr>
            <w:webHidden/>
          </w:rPr>
          <w:tab/>
        </w:r>
        <w:r>
          <w:rPr>
            <w:webHidden/>
          </w:rPr>
          <w:fldChar w:fldCharType="begin"/>
        </w:r>
        <w:r>
          <w:rPr>
            <w:webHidden/>
          </w:rPr>
          <w:instrText xml:space="preserve"> PAGEREF _Toc20384103 \h </w:instrText>
        </w:r>
        <w:r>
          <w:rPr>
            <w:webHidden/>
          </w:rPr>
        </w:r>
        <w:r>
          <w:rPr>
            <w:webHidden/>
          </w:rPr>
          <w:fldChar w:fldCharType="separate"/>
        </w:r>
        <w:r>
          <w:rPr>
            <w:webHidden/>
          </w:rPr>
          <w:t>34</w:t>
        </w:r>
        <w:r>
          <w:rPr>
            <w:webHidden/>
          </w:rPr>
          <w:fldChar w:fldCharType="end"/>
        </w:r>
      </w:hyperlink>
    </w:p>
    <w:p w14:paraId="31791114" w14:textId="4E60E6EB" w:rsidR="00440572" w:rsidRDefault="00440572">
      <w:pPr>
        <w:pStyle w:val="TOC3"/>
        <w:rPr>
          <w:rFonts w:eastAsiaTheme="minorEastAsia"/>
        </w:rPr>
      </w:pPr>
      <w:hyperlink w:anchor="_Toc20384104" w:history="1">
        <w:r w:rsidRPr="00CF6022">
          <w:rPr>
            <w:rStyle w:val="Hyperlink"/>
            <w:rFonts w:ascii="Arial" w:hAnsi="Arial"/>
          </w:rPr>
          <w:t>10.5.1</w:t>
        </w:r>
        <w:r>
          <w:rPr>
            <w:rFonts w:eastAsiaTheme="minorEastAsia"/>
          </w:rPr>
          <w:tab/>
        </w:r>
        <w:r w:rsidRPr="00CF6022">
          <w:rPr>
            <w:rStyle w:val="Hyperlink"/>
          </w:rPr>
          <w:t>Records of Approved Maintenance Outages</w:t>
        </w:r>
        <w:r>
          <w:rPr>
            <w:webHidden/>
          </w:rPr>
          <w:tab/>
        </w:r>
        <w:r>
          <w:rPr>
            <w:webHidden/>
          </w:rPr>
          <w:fldChar w:fldCharType="begin"/>
        </w:r>
        <w:r>
          <w:rPr>
            <w:webHidden/>
          </w:rPr>
          <w:instrText xml:space="preserve"> PAGEREF _Toc20384104 \h </w:instrText>
        </w:r>
        <w:r>
          <w:rPr>
            <w:webHidden/>
          </w:rPr>
        </w:r>
        <w:r>
          <w:rPr>
            <w:webHidden/>
          </w:rPr>
          <w:fldChar w:fldCharType="separate"/>
        </w:r>
        <w:r>
          <w:rPr>
            <w:webHidden/>
          </w:rPr>
          <w:t>34</w:t>
        </w:r>
        <w:r>
          <w:rPr>
            <w:webHidden/>
          </w:rPr>
          <w:fldChar w:fldCharType="end"/>
        </w:r>
      </w:hyperlink>
    </w:p>
    <w:p w14:paraId="0C90FE04" w14:textId="760981AA" w:rsidR="00440572" w:rsidRDefault="00440572">
      <w:pPr>
        <w:pStyle w:val="TOC1"/>
        <w:rPr>
          <w:rFonts w:eastAsiaTheme="minorEastAsia" w:cstheme="minorBidi"/>
          <w:b w:val="0"/>
        </w:rPr>
      </w:pPr>
      <w:hyperlink w:anchor="_Toc20384105" w:history="1">
        <w:r w:rsidRPr="00CF6022">
          <w:rPr>
            <w:rStyle w:val="Hyperlink"/>
            <w:rFonts w:ascii="Arial" w:hAnsi="Arial"/>
          </w:rPr>
          <w:t>11.</w:t>
        </w:r>
        <w:r>
          <w:rPr>
            <w:rFonts w:eastAsiaTheme="minorEastAsia" w:cstheme="minorBidi"/>
            <w:b w:val="0"/>
          </w:rPr>
          <w:tab/>
        </w:r>
        <w:r w:rsidRPr="00CF6022">
          <w:rPr>
            <w:rStyle w:val="Hyperlink"/>
          </w:rPr>
          <w:t>MARKET OPERATIONS</w:t>
        </w:r>
        <w:r>
          <w:rPr>
            <w:webHidden/>
          </w:rPr>
          <w:tab/>
        </w:r>
        <w:r>
          <w:rPr>
            <w:webHidden/>
          </w:rPr>
          <w:fldChar w:fldCharType="begin"/>
        </w:r>
        <w:r>
          <w:rPr>
            <w:webHidden/>
          </w:rPr>
          <w:instrText xml:space="preserve"> PAGEREF _Toc20384105 \h </w:instrText>
        </w:r>
        <w:r>
          <w:rPr>
            <w:webHidden/>
          </w:rPr>
        </w:r>
        <w:r>
          <w:rPr>
            <w:webHidden/>
          </w:rPr>
          <w:fldChar w:fldCharType="separate"/>
        </w:r>
        <w:r>
          <w:rPr>
            <w:webHidden/>
          </w:rPr>
          <w:t>34</w:t>
        </w:r>
        <w:r>
          <w:rPr>
            <w:webHidden/>
          </w:rPr>
          <w:fldChar w:fldCharType="end"/>
        </w:r>
      </w:hyperlink>
    </w:p>
    <w:p w14:paraId="316D9973" w14:textId="45CD8F95" w:rsidR="00440572" w:rsidRDefault="00440572">
      <w:pPr>
        <w:pStyle w:val="TOC2"/>
        <w:rPr>
          <w:rFonts w:eastAsiaTheme="minorEastAsia"/>
          <w:b w:val="0"/>
        </w:rPr>
      </w:pPr>
      <w:hyperlink w:anchor="_Toc20384106" w:history="1">
        <w:r w:rsidRPr="00CF6022">
          <w:rPr>
            <w:rStyle w:val="Hyperlink"/>
            <w:rFonts w:ascii="Arial" w:hAnsi="Arial"/>
          </w:rPr>
          <w:t>11.1</w:t>
        </w:r>
        <w:r>
          <w:rPr>
            <w:rFonts w:eastAsiaTheme="minorEastAsia"/>
            <w:b w:val="0"/>
          </w:rPr>
          <w:tab/>
        </w:r>
        <w:r w:rsidRPr="00CF6022">
          <w:rPr>
            <w:rStyle w:val="Hyperlink"/>
          </w:rPr>
          <w:t>About the Market</w:t>
        </w:r>
        <w:r>
          <w:rPr>
            <w:webHidden/>
          </w:rPr>
          <w:tab/>
        </w:r>
        <w:r>
          <w:rPr>
            <w:webHidden/>
          </w:rPr>
          <w:fldChar w:fldCharType="begin"/>
        </w:r>
        <w:r>
          <w:rPr>
            <w:webHidden/>
          </w:rPr>
          <w:instrText xml:space="preserve"> PAGEREF _Toc20384106 \h </w:instrText>
        </w:r>
        <w:r>
          <w:rPr>
            <w:webHidden/>
          </w:rPr>
        </w:r>
        <w:r>
          <w:rPr>
            <w:webHidden/>
          </w:rPr>
          <w:fldChar w:fldCharType="separate"/>
        </w:r>
        <w:r>
          <w:rPr>
            <w:webHidden/>
          </w:rPr>
          <w:t>35</w:t>
        </w:r>
        <w:r>
          <w:rPr>
            <w:webHidden/>
          </w:rPr>
          <w:fldChar w:fldCharType="end"/>
        </w:r>
      </w:hyperlink>
    </w:p>
    <w:p w14:paraId="54A49AE1" w14:textId="13C0B5CF" w:rsidR="00440572" w:rsidRDefault="00440572">
      <w:pPr>
        <w:pStyle w:val="TOC3"/>
        <w:rPr>
          <w:rFonts w:eastAsiaTheme="minorEastAsia"/>
        </w:rPr>
      </w:pPr>
      <w:hyperlink w:anchor="_Toc20384107" w:history="1">
        <w:r w:rsidRPr="00CF6022">
          <w:rPr>
            <w:rStyle w:val="Hyperlink"/>
            <w:rFonts w:ascii="Arial" w:eastAsia="Calibri" w:hAnsi="Arial"/>
          </w:rPr>
          <w:t>11.1.1</w:t>
        </w:r>
        <w:r>
          <w:rPr>
            <w:rFonts w:eastAsiaTheme="minorEastAsia"/>
          </w:rPr>
          <w:tab/>
        </w:r>
        <w:r w:rsidRPr="00CF6022">
          <w:rPr>
            <w:rStyle w:val="Hyperlink"/>
            <w:rFonts w:eastAsia="Calibri"/>
          </w:rPr>
          <w:t>Ancillary Services</w:t>
        </w:r>
        <w:r>
          <w:rPr>
            <w:webHidden/>
          </w:rPr>
          <w:tab/>
        </w:r>
        <w:r>
          <w:rPr>
            <w:webHidden/>
          </w:rPr>
          <w:fldChar w:fldCharType="begin"/>
        </w:r>
        <w:r>
          <w:rPr>
            <w:webHidden/>
          </w:rPr>
          <w:instrText xml:space="preserve"> PAGEREF _Toc20384107 \h </w:instrText>
        </w:r>
        <w:r>
          <w:rPr>
            <w:webHidden/>
          </w:rPr>
        </w:r>
        <w:r>
          <w:rPr>
            <w:webHidden/>
          </w:rPr>
          <w:fldChar w:fldCharType="separate"/>
        </w:r>
        <w:r>
          <w:rPr>
            <w:webHidden/>
          </w:rPr>
          <w:t>35</w:t>
        </w:r>
        <w:r>
          <w:rPr>
            <w:webHidden/>
          </w:rPr>
          <w:fldChar w:fldCharType="end"/>
        </w:r>
      </w:hyperlink>
    </w:p>
    <w:p w14:paraId="49D69C3A" w14:textId="02DD0F94" w:rsidR="00440572" w:rsidRDefault="00440572">
      <w:pPr>
        <w:pStyle w:val="TOC3"/>
        <w:rPr>
          <w:rFonts w:eastAsiaTheme="minorEastAsia"/>
        </w:rPr>
      </w:pPr>
      <w:hyperlink w:anchor="_Toc20384108" w:history="1">
        <w:r w:rsidRPr="00CF6022">
          <w:rPr>
            <w:rStyle w:val="Hyperlink"/>
            <w:rFonts w:ascii="Arial" w:eastAsia="Calibri" w:hAnsi="Arial"/>
          </w:rPr>
          <w:t>11.1.2</w:t>
        </w:r>
        <w:r>
          <w:rPr>
            <w:rFonts w:eastAsiaTheme="minorEastAsia"/>
          </w:rPr>
          <w:tab/>
        </w:r>
        <w:r w:rsidRPr="00CF6022">
          <w:rPr>
            <w:rStyle w:val="Hyperlink"/>
            <w:rFonts w:eastAsia="Calibri"/>
          </w:rPr>
          <w:t>Interties Between BAAs</w:t>
        </w:r>
        <w:r>
          <w:rPr>
            <w:webHidden/>
          </w:rPr>
          <w:tab/>
        </w:r>
        <w:r>
          <w:rPr>
            <w:webHidden/>
          </w:rPr>
          <w:fldChar w:fldCharType="begin"/>
        </w:r>
        <w:r>
          <w:rPr>
            <w:webHidden/>
          </w:rPr>
          <w:instrText xml:space="preserve"> PAGEREF _Toc20384108 \h </w:instrText>
        </w:r>
        <w:r>
          <w:rPr>
            <w:webHidden/>
          </w:rPr>
        </w:r>
        <w:r>
          <w:rPr>
            <w:webHidden/>
          </w:rPr>
          <w:fldChar w:fldCharType="separate"/>
        </w:r>
        <w:r>
          <w:rPr>
            <w:webHidden/>
          </w:rPr>
          <w:t>35</w:t>
        </w:r>
        <w:r>
          <w:rPr>
            <w:webHidden/>
          </w:rPr>
          <w:fldChar w:fldCharType="end"/>
        </w:r>
      </w:hyperlink>
    </w:p>
    <w:p w14:paraId="49344BE4" w14:textId="59122C55" w:rsidR="00440572" w:rsidRDefault="00440572">
      <w:pPr>
        <w:pStyle w:val="TOC3"/>
        <w:rPr>
          <w:rFonts w:eastAsiaTheme="minorEastAsia"/>
        </w:rPr>
      </w:pPr>
      <w:hyperlink w:anchor="_Toc20384109" w:history="1">
        <w:r w:rsidRPr="00CF6022">
          <w:rPr>
            <w:rStyle w:val="Hyperlink"/>
            <w:rFonts w:ascii="Arial" w:eastAsia="Calibri" w:hAnsi="Arial"/>
          </w:rPr>
          <w:t>11.1.3</w:t>
        </w:r>
        <w:r>
          <w:rPr>
            <w:rFonts w:eastAsiaTheme="minorEastAsia"/>
          </w:rPr>
          <w:tab/>
        </w:r>
        <w:r w:rsidRPr="00CF6022">
          <w:rPr>
            <w:rStyle w:val="Hyperlink"/>
            <w:rFonts w:eastAsia="Calibri"/>
          </w:rPr>
          <w:t>EIM Transmission Services Information</w:t>
        </w:r>
        <w:r>
          <w:rPr>
            <w:webHidden/>
          </w:rPr>
          <w:tab/>
        </w:r>
        <w:r>
          <w:rPr>
            <w:webHidden/>
          </w:rPr>
          <w:fldChar w:fldCharType="begin"/>
        </w:r>
        <w:r>
          <w:rPr>
            <w:webHidden/>
          </w:rPr>
          <w:instrText xml:space="preserve"> PAGEREF _Toc20384109 \h </w:instrText>
        </w:r>
        <w:r>
          <w:rPr>
            <w:webHidden/>
          </w:rPr>
        </w:r>
        <w:r>
          <w:rPr>
            <w:webHidden/>
          </w:rPr>
          <w:fldChar w:fldCharType="separate"/>
        </w:r>
        <w:r>
          <w:rPr>
            <w:webHidden/>
          </w:rPr>
          <w:t>36</w:t>
        </w:r>
        <w:r>
          <w:rPr>
            <w:webHidden/>
          </w:rPr>
          <w:fldChar w:fldCharType="end"/>
        </w:r>
      </w:hyperlink>
    </w:p>
    <w:p w14:paraId="7650361A" w14:textId="694DF7D3" w:rsidR="00440572" w:rsidRDefault="00440572">
      <w:pPr>
        <w:pStyle w:val="TOC3"/>
        <w:rPr>
          <w:rFonts w:eastAsiaTheme="minorEastAsia"/>
        </w:rPr>
      </w:pPr>
      <w:hyperlink w:anchor="_Toc20384110" w:history="1">
        <w:r w:rsidRPr="00CF6022">
          <w:rPr>
            <w:rStyle w:val="Hyperlink"/>
            <w:rFonts w:ascii="Arial" w:eastAsia="Calibri" w:hAnsi="Arial"/>
          </w:rPr>
          <w:t>11.1.4</w:t>
        </w:r>
        <w:r>
          <w:rPr>
            <w:rFonts w:eastAsiaTheme="minorEastAsia"/>
          </w:rPr>
          <w:tab/>
        </w:r>
        <w:r w:rsidRPr="00CF6022">
          <w:rPr>
            <w:rStyle w:val="Hyperlink"/>
            <w:rFonts w:eastAsia="Calibri"/>
          </w:rPr>
          <w:t>Maximum EIM Transfer Limits</w:t>
        </w:r>
        <w:r>
          <w:rPr>
            <w:webHidden/>
          </w:rPr>
          <w:tab/>
        </w:r>
        <w:r>
          <w:rPr>
            <w:webHidden/>
          </w:rPr>
          <w:fldChar w:fldCharType="begin"/>
        </w:r>
        <w:r>
          <w:rPr>
            <w:webHidden/>
          </w:rPr>
          <w:instrText xml:space="preserve"> PAGEREF _Toc20384110 \h </w:instrText>
        </w:r>
        <w:r>
          <w:rPr>
            <w:webHidden/>
          </w:rPr>
        </w:r>
        <w:r>
          <w:rPr>
            <w:webHidden/>
          </w:rPr>
          <w:fldChar w:fldCharType="separate"/>
        </w:r>
        <w:r>
          <w:rPr>
            <w:webHidden/>
          </w:rPr>
          <w:t>36</w:t>
        </w:r>
        <w:r>
          <w:rPr>
            <w:webHidden/>
          </w:rPr>
          <w:fldChar w:fldCharType="end"/>
        </w:r>
      </w:hyperlink>
    </w:p>
    <w:p w14:paraId="7E388033" w14:textId="1CF7448A" w:rsidR="00440572" w:rsidRDefault="00440572">
      <w:pPr>
        <w:pStyle w:val="TOC3"/>
        <w:rPr>
          <w:rFonts w:eastAsiaTheme="minorEastAsia"/>
        </w:rPr>
      </w:pPr>
      <w:hyperlink w:anchor="_Toc20384111" w:history="1">
        <w:r w:rsidRPr="00CF6022">
          <w:rPr>
            <w:rStyle w:val="Hyperlink"/>
            <w:rFonts w:ascii="Arial" w:eastAsia="Calibri" w:hAnsi="Arial"/>
          </w:rPr>
          <w:t>11.1.5</w:t>
        </w:r>
        <w:r>
          <w:rPr>
            <w:rFonts w:eastAsiaTheme="minorEastAsia"/>
          </w:rPr>
          <w:tab/>
        </w:r>
        <w:r w:rsidRPr="00CF6022">
          <w:rPr>
            <w:rStyle w:val="Hyperlink"/>
            <w:rFonts w:eastAsia="Calibri"/>
          </w:rPr>
          <w:t>Energy Transfer Scheduling in Energy Imbalance Market</w:t>
        </w:r>
        <w:r>
          <w:rPr>
            <w:webHidden/>
          </w:rPr>
          <w:tab/>
        </w:r>
        <w:r>
          <w:rPr>
            <w:webHidden/>
          </w:rPr>
          <w:fldChar w:fldCharType="begin"/>
        </w:r>
        <w:r>
          <w:rPr>
            <w:webHidden/>
          </w:rPr>
          <w:instrText xml:space="preserve"> PAGEREF _Toc20384111 \h </w:instrText>
        </w:r>
        <w:r>
          <w:rPr>
            <w:webHidden/>
          </w:rPr>
        </w:r>
        <w:r>
          <w:rPr>
            <w:webHidden/>
          </w:rPr>
          <w:fldChar w:fldCharType="separate"/>
        </w:r>
        <w:r>
          <w:rPr>
            <w:webHidden/>
          </w:rPr>
          <w:t>37</w:t>
        </w:r>
        <w:r>
          <w:rPr>
            <w:webHidden/>
          </w:rPr>
          <w:fldChar w:fldCharType="end"/>
        </w:r>
      </w:hyperlink>
    </w:p>
    <w:p w14:paraId="589B0F00" w14:textId="35DDE83C" w:rsidR="00440572" w:rsidRDefault="00440572">
      <w:pPr>
        <w:pStyle w:val="TOC3"/>
        <w:rPr>
          <w:rFonts w:eastAsiaTheme="minorEastAsia"/>
        </w:rPr>
      </w:pPr>
      <w:hyperlink w:anchor="_Toc20384112" w:history="1">
        <w:r w:rsidRPr="00CF6022">
          <w:rPr>
            <w:rStyle w:val="Hyperlink"/>
            <w:rFonts w:ascii="Arial" w:eastAsia="Calibri" w:hAnsi="Arial"/>
          </w:rPr>
          <w:t>11.1.6</w:t>
        </w:r>
        <w:r>
          <w:rPr>
            <w:rFonts w:eastAsiaTheme="minorEastAsia"/>
          </w:rPr>
          <w:tab/>
        </w:r>
        <w:r w:rsidRPr="00CF6022">
          <w:rPr>
            <w:rStyle w:val="Hyperlink"/>
            <w:rFonts w:eastAsia="Calibri"/>
          </w:rPr>
          <w:t>Entitlement Constraints for Rate of Changes</w:t>
        </w:r>
        <w:r>
          <w:rPr>
            <w:webHidden/>
          </w:rPr>
          <w:tab/>
        </w:r>
        <w:r>
          <w:rPr>
            <w:webHidden/>
          </w:rPr>
          <w:fldChar w:fldCharType="begin"/>
        </w:r>
        <w:r>
          <w:rPr>
            <w:webHidden/>
          </w:rPr>
          <w:instrText xml:space="preserve"> PAGEREF _Toc20384112 \h </w:instrText>
        </w:r>
        <w:r>
          <w:rPr>
            <w:webHidden/>
          </w:rPr>
        </w:r>
        <w:r>
          <w:rPr>
            <w:webHidden/>
          </w:rPr>
          <w:fldChar w:fldCharType="separate"/>
        </w:r>
        <w:r>
          <w:rPr>
            <w:webHidden/>
          </w:rPr>
          <w:t>40</w:t>
        </w:r>
        <w:r>
          <w:rPr>
            <w:webHidden/>
          </w:rPr>
          <w:fldChar w:fldCharType="end"/>
        </w:r>
      </w:hyperlink>
    </w:p>
    <w:p w14:paraId="4F9B512F" w14:textId="57C4197C" w:rsidR="00440572" w:rsidRDefault="00440572">
      <w:pPr>
        <w:pStyle w:val="TOC3"/>
        <w:rPr>
          <w:rFonts w:eastAsiaTheme="minorEastAsia"/>
        </w:rPr>
      </w:pPr>
      <w:hyperlink w:anchor="_Toc20384113" w:history="1">
        <w:r w:rsidRPr="00CF6022">
          <w:rPr>
            <w:rStyle w:val="Hyperlink"/>
            <w:rFonts w:ascii="Arial" w:hAnsi="Arial"/>
          </w:rPr>
          <w:t>11.1.7</w:t>
        </w:r>
        <w:r>
          <w:rPr>
            <w:rFonts w:eastAsiaTheme="minorEastAsia"/>
          </w:rPr>
          <w:tab/>
        </w:r>
        <w:r w:rsidRPr="00CF6022">
          <w:rPr>
            <w:rStyle w:val="Hyperlink"/>
          </w:rPr>
          <w:t>Constraint Relaxation</w:t>
        </w:r>
        <w:r>
          <w:rPr>
            <w:webHidden/>
          </w:rPr>
          <w:tab/>
        </w:r>
        <w:r>
          <w:rPr>
            <w:webHidden/>
          </w:rPr>
          <w:fldChar w:fldCharType="begin"/>
        </w:r>
        <w:r>
          <w:rPr>
            <w:webHidden/>
          </w:rPr>
          <w:instrText xml:space="preserve"> PAGEREF _Toc20384113 \h </w:instrText>
        </w:r>
        <w:r>
          <w:rPr>
            <w:webHidden/>
          </w:rPr>
        </w:r>
        <w:r>
          <w:rPr>
            <w:webHidden/>
          </w:rPr>
          <w:fldChar w:fldCharType="separate"/>
        </w:r>
        <w:r>
          <w:rPr>
            <w:webHidden/>
          </w:rPr>
          <w:t>40</w:t>
        </w:r>
        <w:r>
          <w:rPr>
            <w:webHidden/>
          </w:rPr>
          <w:fldChar w:fldCharType="end"/>
        </w:r>
      </w:hyperlink>
    </w:p>
    <w:p w14:paraId="14865E48" w14:textId="5D84E615" w:rsidR="00440572" w:rsidRDefault="00440572">
      <w:pPr>
        <w:pStyle w:val="TOC3"/>
        <w:rPr>
          <w:rFonts w:eastAsiaTheme="minorEastAsia"/>
        </w:rPr>
      </w:pPr>
      <w:hyperlink w:anchor="_Toc20384114" w:history="1">
        <w:r w:rsidRPr="00CF6022">
          <w:rPr>
            <w:rStyle w:val="Hyperlink"/>
            <w:rFonts w:ascii="Arial" w:hAnsi="Arial"/>
          </w:rPr>
          <w:t>11.1.8</w:t>
        </w:r>
        <w:r>
          <w:rPr>
            <w:rFonts w:eastAsiaTheme="minorEastAsia"/>
          </w:rPr>
          <w:tab/>
        </w:r>
        <w:r w:rsidRPr="00CF6022">
          <w:rPr>
            <w:rStyle w:val="Hyperlink"/>
          </w:rPr>
          <w:t>Transition Period Pricing</w:t>
        </w:r>
        <w:r>
          <w:rPr>
            <w:webHidden/>
          </w:rPr>
          <w:tab/>
        </w:r>
        <w:r>
          <w:rPr>
            <w:webHidden/>
          </w:rPr>
          <w:fldChar w:fldCharType="begin"/>
        </w:r>
        <w:r>
          <w:rPr>
            <w:webHidden/>
          </w:rPr>
          <w:instrText xml:space="preserve"> PAGEREF _Toc20384114 \h </w:instrText>
        </w:r>
        <w:r>
          <w:rPr>
            <w:webHidden/>
          </w:rPr>
        </w:r>
        <w:r>
          <w:rPr>
            <w:webHidden/>
          </w:rPr>
          <w:fldChar w:fldCharType="separate"/>
        </w:r>
        <w:r>
          <w:rPr>
            <w:webHidden/>
          </w:rPr>
          <w:t>41</w:t>
        </w:r>
        <w:r>
          <w:rPr>
            <w:webHidden/>
          </w:rPr>
          <w:fldChar w:fldCharType="end"/>
        </w:r>
      </w:hyperlink>
    </w:p>
    <w:p w14:paraId="01DB9A58" w14:textId="50CE13AE" w:rsidR="00440572" w:rsidRDefault="00440572">
      <w:pPr>
        <w:pStyle w:val="TOC3"/>
        <w:rPr>
          <w:rFonts w:eastAsiaTheme="minorEastAsia"/>
        </w:rPr>
      </w:pPr>
      <w:hyperlink w:anchor="_Toc20384115" w:history="1">
        <w:r w:rsidRPr="00CF6022">
          <w:rPr>
            <w:rStyle w:val="Hyperlink"/>
            <w:rFonts w:ascii="Arial" w:eastAsia="Calibri" w:hAnsi="Arial"/>
          </w:rPr>
          <w:t>11.1.9</w:t>
        </w:r>
        <w:r>
          <w:rPr>
            <w:rFonts w:eastAsiaTheme="minorEastAsia"/>
          </w:rPr>
          <w:tab/>
        </w:r>
        <w:r w:rsidRPr="00CF6022">
          <w:rPr>
            <w:rStyle w:val="Hyperlink"/>
            <w:rFonts w:eastAsia="Calibri"/>
          </w:rPr>
          <w:t>Coordination with Reliability Coordinator and WECC Unscheduled Flow Mitigation</w:t>
        </w:r>
        <w:r>
          <w:rPr>
            <w:webHidden/>
          </w:rPr>
          <w:tab/>
        </w:r>
        <w:r>
          <w:rPr>
            <w:webHidden/>
          </w:rPr>
          <w:fldChar w:fldCharType="begin"/>
        </w:r>
        <w:r>
          <w:rPr>
            <w:webHidden/>
          </w:rPr>
          <w:instrText xml:space="preserve"> PAGEREF _Toc20384115 \h </w:instrText>
        </w:r>
        <w:r>
          <w:rPr>
            <w:webHidden/>
          </w:rPr>
        </w:r>
        <w:r>
          <w:rPr>
            <w:webHidden/>
          </w:rPr>
          <w:fldChar w:fldCharType="separate"/>
        </w:r>
        <w:r>
          <w:rPr>
            <w:webHidden/>
          </w:rPr>
          <w:t>41</w:t>
        </w:r>
        <w:r>
          <w:rPr>
            <w:webHidden/>
          </w:rPr>
          <w:fldChar w:fldCharType="end"/>
        </w:r>
      </w:hyperlink>
    </w:p>
    <w:p w14:paraId="60BCDF8F" w14:textId="084F0EC2" w:rsidR="00440572" w:rsidRDefault="00440572">
      <w:pPr>
        <w:pStyle w:val="TOC3"/>
        <w:rPr>
          <w:rFonts w:eastAsiaTheme="minorEastAsia"/>
        </w:rPr>
      </w:pPr>
      <w:hyperlink w:anchor="_Toc20384116" w:history="1">
        <w:r w:rsidRPr="00CF6022">
          <w:rPr>
            <w:rStyle w:val="Hyperlink"/>
            <w:rFonts w:ascii="Arial" w:eastAsia="Calibri" w:hAnsi="Arial"/>
          </w:rPr>
          <w:t>11.1.10</w:t>
        </w:r>
        <w:r>
          <w:rPr>
            <w:rFonts w:eastAsiaTheme="minorEastAsia"/>
          </w:rPr>
          <w:tab/>
        </w:r>
        <w:r w:rsidRPr="00CF6022">
          <w:rPr>
            <w:rStyle w:val="Hyperlink"/>
            <w:rFonts w:eastAsia="Calibri"/>
          </w:rPr>
          <w:t>Entitlement Constraints for EIM Incremental Flow</w:t>
        </w:r>
        <w:r>
          <w:rPr>
            <w:webHidden/>
          </w:rPr>
          <w:tab/>
        </w:r>
        <w:r>
          <w:rPr>
            <w:webHidden/>
          </w:rPr>
          <w:fldChar w:fldCharType="begin"/>
        </w:r>
        <w:r>
          <w:rPr>
            <w:webHidden/>
          </w:rPr>
          <w:instrText xml:space="preserve"> PAGEREF _Toc20384116 \h </w:instrText>
        </w:r>
        <w:r>
          <w:rPr>
            <w:webHidden/>
          </w:rPr>
        </w:r>
        <w:r>
          <w:rPr>
            <w:webHidden/>
          </w:rPr>
          <w:fldChar w:fldCharType="separate"/>
        </w:r>
        <w:r>
          <w:rPr>
            <w:webHidden/>
          </w:rPr>
          <w:t>42</w:t>
        </w:r>
        <w:r>
          <w:rPr>
            <w:webHidden/>
          </w:rPr>
          <w:fldChar w:fldCharType="end"/>
        </w:r>
      </w:hyperlink>
    </w:p>
    <w:p w14:paraId="48D956A1" w14:textId="7CEF7667" w:rsidR="00440572" w:rsidRDefault="00440572">
      <w:pPr>
        <w:pStyle w:val="TOC3"/>
        <w:rPr>
          <w:rFonts w:eastAsiaTheme="minorEastAsia"/>
        </w:rPr>
      </w:pPr>
      <w:hyperlink w:anchor="_Toc20384117" w:history="1">
        <w:r w:rsidRPr="00CF6022">
          <w:rPr>
            <w:rStyle w:val="Hyperlink"/>
            <w:rFonts w:ascii="Arial" w:hAnsi="Arial"/>
          </w:rPr>
          <w:t>11.1.11</w:t>
        </w:r>
        <w:r>
          <w:rPr>
            <w:rFonts w:eastAsiaTheme="minorEastAsia"/>
          </w:rPr>
          <w:tab/>
        </w:r>
        <w:r w:rsidRPr="00CF6022">
          <w:rPr>
            <w:rStyle w:val="Hyperlink"/>
          </w:rPr>
          <w:t>Entitlement Constraints for EIM Area Total Flow</w:t>
        </w:r>
        <w:r>
          <w:rPr>
            <w:webHidden/>
          </w:rPr>
          <w:tab/>
        </w:r>
        <w:r>
          <w:rPr>
            <w:webHidden/>
          </w:rPr>
          <w:fldChar w:fldCharType="begin"/>
        </w:r>
        <w:r>
          <w:rPr>
            <w:webHidden/>
          </w:rPr>
          <w:instrText xml:space="preserve"> PAGEREF _Toc20384117 \h </w:instrText>
        </w:r>
        <w:r>
          <w:rPr>
            <w:webHidden/>
          </w:rPr>
        </w:r>
        <w:r>
          <w:rPr>
            <w:webHidden/>
          </w:rPr>
          <w:fldChar w:fldCharType="separate"/>
        </w:r>
        <w:r>
          <w:rPr>
            <w:webHidden/>
          </w:rPr>
          <w:t>43</w:t>
        </w:r>
        <w:r>
          <w:rPr>
            <w:webHidden/>
          </w:rPr>
          <w:fldChar w:fldCharType="end"/>
        </w:r>
      </w:hyperlink>
    </w:p>
    <w:p w14:paraId="54DD3BA0" w14:textId="79A1983F" w:rsidR="00440572" w:rsidRDefault="00440572">
      <w:pPr>
        <w:pStyle w:val="TOC2"/>
        <w:rPr>
          <w:rFonts w:eastAsiaTheme="minorEastAsia"/>
          <w:b w:val="0"/>
        </w:rPr>
      </w:pPr>
      <w:hyperlink w:anchor="_Toc20384118" w:history="1">
        <w:r w:rsidRPr="00CF6022">
          <w:rPr>
            <w:rStyle w:val="Hyperlink"/>
            <w:rFonts w:ascii="Arial" w:eastAsia="Calibri" w:hAnsi="Arial"/>
          </w:rPr>
          <w:t>11.2</w:t>
        </w:r>
        <w:r>
          <w:rPr>
            <w:rFonts w:eastAsiaTheme="minorEastAsia"/>
            <w:b w:val="0"/>
          </w:rPr>
          <w:tab/>
        </w:r>
        <w:r w:rsidRPr="00CF6022">
          <w:rPr>
            <w:rStyle w:val="Hyperlink"/>
            <w:rFonts w:eastAsia="Calibri"/>
          </w:rPr>
          <w:t>Day-Ahead Operations</w:t>
        </w:r>
        <w:r>
          <w:rPr>
            <w:webHidden/>
          </w:rPr>
          <w:tab/>
        </w:r>
        <w:r>
          <w:rPr>
            <w:webHidden/>
          </w:rPr>
          <w:fldChar w:fldCharType="begin"/>
        </w:r>
        <w:r>
          <w:rPr>
            <w:webHidden/>
          </w:rPr>
          <w:instrText xml:space="preserve"> PAGEREF _Toc20384118 \h </w:instrText>
        </w:r>
        <w:r>
          <w:rPr>
            <w:webHidden/>
          </w:rPr>
        </w:r>
        <w:r>
          <w:rPr>
            <w:webHidden/>
          </w:rPr>
          <w:fldChar w:fldCharType="separate"/>
        </w:r>
        <w:r>
          <w:rPr>
            <w:webHidden/>
          </w:rPr>
          <w:t>43</w:t>
        </w:r>
        <w:r>
          <w:rPr>
            <w:webHidden/>
          </w:rPr>
          <w:fldChar w:fldCharType="end"/>
        </w:r>
      </w:hyperlink>
    </w:p>
    <w:p w14:paraId="46453A7F" w14:textId="054C869B" w:rsidR="00440572" w:rsidRDefault="00440572">
      <w:pPr>
        <w:pStyle w:val="TOC2"/>
        <w:rPr>
          <w:rFonts w:eastAsiaTheme="minorEastAsia"/>
          <w:b w:val="0"/>
        </w:rPr>
      </w:pPr>
      <w:hyperlink w:anchor="_Toc20384119" w:history="1">
        <w:r w:rsidRPr="00CF6022">
          <w:rPr>
            <w:rStyle w:val="Hyperlink"/>
            <w:rFonts w:ascii="Arial" w:eastAsia="Calibri" w:hAnsi="Arial"/>
          </w:rPr>
          <w:t>11.3</w:t>
        </w:r>
        <w:r>
          <w:rPr>
            <w:rFonts w:eastAsiaTheme="minorEastAsia"/>
            <w:b w:val="0"/>
          </w:rPr>
          <w:tab/>
        </w:r>
        <w:r w:rsidRPr="00CF6022">
          <w:rPr>
            <w:rStyle w:val="Hyperlink"/>
            <w:rFonts w:eastAsia="Calibri"/>
          </w:rPr>
          <w:t>Real-Time Operations</w:t>
        </w:r>
        <w:r>
          <w:rPr>
            <w:webHidden/>
          </w:rPr>
          <w:tab/>
        </w:r>
        <w:r>
          <w:rPr>
            <w:webHidden/>
          </w:rPr>
          <w:fldChar w:fldCharType="begin"/>
        </w:r>
        <w:r>
          <w:rPr>
            <w:webHidden/>
          </w:rPr>
          <w:instrText xml:space="preserve"> PAGEREF _Toc20384119 \h </w:instrText>
        </w:r>
        <w:r>
          <w:rPr>
            <w:webHidden/>
          </w:rPr>
        </w:r>
        <w:r>
          <w:rPr>
            <w:webHidden/>
          </w:rPr>
          <w:fldChar w:fldCharType="separate"/>
        </w:r>
        <w:r>
          <w:rPr>
            <w:webHidden/>
          </w:rPr>
          <w:t>45</w:t>
        </w:r>
        <w:r>
          <w:rPr>
            <w:webHidden/>
          </w:rPr>
          <w:fldChar w:fldCharType="end"/>
        </w:r>
      </w:hyperlink>
    </w:p>
    <w:p w14:paraId="68E1FE04" w14:textId="179159D3" w:rsidR="00440572" w:rsidRDefault="00440572">
      <w:pPr>
        <w:pStyle w:val="TOC3"/>
        <w:rPr>
          <w:rFonts w:eastAsiaTheme="minorEastAsia"/>
        </w:rPr>
      </w:pPr>
      <w:hyperlink w:anchor="_Toc20384120" w:history="1">
        <w:r w:rsidRPr="00CF6022">
          <w:rPr>
            <w:rStyle w:val="Hyperlink"/>
            <w:rFonts w:ascii="Arial" w:eastAsia="Calibri" w:hAnsi="Arial"/>
          </w:rPr>
          <w:t>11.3.1</w:t>
        </w:r>
        <w:r>
          <w:rPr>
            <w:rFonts w:eastAsiaTheme="minorEastAsia"/>
          </w:rPr>
          <w:tab/>
        </w:r>
        <w:r w:rsidRPr="00CF6022">
          <w:rPr>
            <w:rStyle w:val="Hyperlink"/>
            <w:rFonts w:eastAsia="Calibri"/>
          </w:rPr>
          <w:t>Establishment of Hourly Base Schedules and Hourly Resource Plan</w:t>
        </w:r>
        <w:r>
          <w:rPr>
            <w:webHidden/>
          </w:rPr>
          <w:tab/>
        </w:r>
        <w:r>
          <w:rPr>
            <w:webHidden/>
          </w:rPr>
          <w:fldChar w:fldCharType="begin"/>
        </w:r>
        <w:r>
          <w:rPr>
            <w:webHidden/>
          </w:rPr>
          <w:instrText xml:space="preserve"> PAGEREF _Toc20384120 \h </w:instrText>
        </w:r>
        <w:r>
          <w:rPr>
            <w:webHidden/>
          </w:rPr>
        </w:r>
        <w:r>
          <w:rPr>
            <w:webHidden/>
          </w:rPr>
          <w:fldChar w:fldCharType="separate"/>
        </w:r>
        <w:r>
          <w:rPr>
            <w:webHidden/>
          </w:rPr>
          <w:t>48</w:t>
        </w:r>
        <w:r>
          <w:rPr>
            <w:webHidden/>
          </w:rPr>
          <w:fldChar w:fldCharType="end"/>
        </w:r>
      </w:hyperlink>
    </w:p>
    <w:p w14:paraId="40DABE2A" w14:textId="6C28DC7F" w:rsidR="00440572" w:rsidRDefault="00440572">
      <w:pPr>
        <w:pStyle w:val="TOC3"/>
        <w:rPr>
          <w:rFonts w:eastAsiaTheme="minorEastAsia"/>
        </w:rPr>
      </w:pPr>
      <w:hyperlink w:anchor="_Toc20384121" w:history="1">
        <w:r w:rsidRPr="00CF6022">
          <w:rPr>
            <w:rStyle w:val="Hyperlink"/>
            <w:rFonts w:ascii="Arial" w:eastAsia="Calibri" w:hAnsi="Arial"/>
          </w:rPr>
          <w:t>11.3.2</w:t>
        </w:r>
        <w:r>
          <w:rPr>
            <w:rFonts w:eastAsiaTheme="minorEastAsia"/>
          </w:rPr>
          <w:tab/>
        </w:r>
        <w:r w:rsidRPr="00CF6022">
          <w:rPr>
            <w:rStyle w:val="Hyperlink"/>
            <w:rFonts w:eastAsia="Calibri"/>
          </w:rPr>
          <w:t>Resource Sufficiency Evaluation</w:t>
        </w:r>
        <w:r>
          <w:rPr>
            <w:webHidden/>
          </w:rPr>
          <w:tab/>
        </w:r>
        <w:r>
          <w:rPr>
            <w:webHidden/>
          </w:rPr>
          <w:fldChar w:fldCharType="begin"/>
        </w:r>
        <w:r>
          <w:rPr>
            <w:webHidden/>
          </w:rPr>
          <w:instrText xml:space="preserve"> PAGEREF _Toc20384121 \h </w:instrText>
        </w:r>
        <w:r>
          <w:rPr>
            <w:webHidden/>
          </w:rPr>
        </w:r>
        <w:r>
          <w:rPr>
            <w:webHidden/>
          </w:rPr>
          <w:fldChar w:fldCharType="separate"/>
        </w:r>
        <w:r>
          <w:rPr>
            <w:webHidden/>
          </w:rPr>
          <w:t>49</w:t>
        </w:r>
        <w:r>
          <w:rPr>
            <w:webHidden/>
          </w:rPr>
          <w:fldChar w:fldCharType="end"/>
        </w:r>
      </w:hyperlink>
    </w:p>
    <w:p w14:paraId="22BE1B84" w14:textId="64CAB6C3" w:rsidR="00440572" w:rsidRDefault="00440572">
      <w:pPr>
        <w:pStyle w:val="TOC3"/>
        <w:rPr>
          <w:rFonts w:eastAsiaTheme="minorEastAsia"/>
        </w:rPr>
      </w:pPr>
      <w:hyperlink w:anchor="_Toc20384122" w:history="1">
        <w:r w:rsidRPr="00CF6022">
          <w:rPr>
            <w:rStyle w:val="Hyperlink"/>
            <w:rFonts w:ascii="Arial" w:eastAsia="Calibri" w:hAnsi="Arial"/>
          </w:rPr>
          <w:t>11.3.3</w:t>
        </w:r>
        <w:r>
          <w:rPr>
            <w:rFonts w:eastAsiaTheme="minorEastAsia"/>
          </w:rPr>
          <w:tab/>
        </w:r>
        <w:r w:rsidRPr="00CF6022">
          <w:rPr>
            <w:rStyle w:val="Hyperlink"/>
            <w:rFonts w:eastAsia="Calibri"/>
          </w:rPr>
          <w:t>Locational Marginal Prices</w:t>
        </w:r>
        <w:r>
          <w:rPr>
            <w:webHidden/>
          </w:rPr>
          <w:tab/>
        </w:r>
        <w:r>
          <w:rPr>
            <w:webHidden/>
          </w:rPr>
          <w:fldChar w:fldCharType="begin"/>
        </w:r>
        <w:r>
          <w:rPr>
            <w:webHidden/>
          </w:rPr>
          <w:instrText xml:space="preserve"> PAGEREF _Toc20384122 \h </w:instrText>
        </w:r>
        <w:r>
          <w:rPr>
            <w:webHidden/>
          </w:rPr>
        </w:r>
        <w:r>
          <w:rPr>
            <w:webHidden/>
          </w:rPr>
          <w:fldChar w:fldCharType="separate"/>
        </w:r>
        <w:r>
          <w:rPr>
            <w:webHidden/>
          </w:rPr>
          <w:t>66</w:t>
        </w:r>
        <w:r>
          <w:rPr>
            <w:webHidden/>
          </w:rPr>
          <w:fldChar w:fldCharType="end"/>
        </w:r>
      </w:hyperlink>
    </w:p>
    <w:p w14:paraId="72324AA7" w14:textId="16E73462" w:rsidR="00440572" w:rsidRDefault="00440572">
      <w:pPr>
        <w:pStyle w:val="TOC3"/>
        <w:rPr>
          <w:rFonts w:eastAsiaTheme="minorEastAsia"/>
        </w:rPr>
      </w:pPr>
      <w:hyperlink w:anchor="_Toc20384123" w:history="1">
        <w:r w:rsidRPr="00CF6022">
          <w:rPr>
            <w:rStyle w:val="Hyperlink"/>
            <w:rFonts w:ascii="Arial" w:hAnsi="Arial"/>
          </w:rPr>
          <w:t>11.3.4</w:t>
        </w:r>
        <w:r>
          <w:rPr>
            <w:rFonts w:eastAsiaTheme="minorEastAsia"/>
          </w:rPr>
          <w:tab/>
        </w:r>
        <w:r w:rsidRPr="00CF6022">
          <w:rPr>
            <w:rStyle w:val="Hyperlink"/>
          </w:rPr>
          <w:t>Using EIM Available Balancing Capacity to Resolve Infeasible Power Balance Conditions in EIM BAAs</w:t>
        </w:r>
        <w:r>
          <w:rPr>
            <w:webHidden/>
          </w:rPr>
          <w:tab/>
        </w:r>
        <w:r>
          <w:rPr>
            <w:webHidden/>
          </w:rPr>
          <w:fldChar w:fldCharType="begin"/>
        </w:r>
        <w:r>
          <w:rPr>
            <w:webHidden/>
          </w:rPr>
          <w:instrText xml:space="preserve"> PAGEREF _Toc20384123 \h </w:instrText>
        </w:r>
        <w:r>
          <w:rPr>
            <w:webHidden/>
          </w:rPr>
        </w:r>
        <w:r>
          <w:rPr>
            <w:webHidden/>
          </w:rPr>
          <w:fldChar w:fldCharType="separate"/>
        </w:r>
        <w:r>
          <w:rPr>
            <w:webHidden/>
          </w:rPr>
          <w:t>90</w:t>
        </w:r>
        <w:r>
          <w:rPr>
            <w:webHidden/>
          </w:rPr>
          <w:fldChar w:fldCharType="end"/>
        </w:r>
      </w:hyperlink>
    </w:p>
    <w:p w14:paraId="0E66CF40" w14:textId="1E731D80" w:rsidR="00440572" w:rsidRDefault="00440572">
      <w:pPr>
        <w:pStyle w:val="TOC3"/>
        <w:rPr>
          <w:rFonts w:eastAsiaTheme="minorEastAsia"/>
        </w:rPr>
      </w:pPr>
      <w:hyperlink w:anchor="_Toc20384124" w:history="1">
        <w:r w:rsidRPr="00CF6022">
          <w:rPr>
            <w:rStyle w:val="Hyperlink"/>
            <w:rFonts w:ascii="Arial" w:eastAsia="Calibri" w:hAnsi="Arial"/>
          </w:rPr>
          <w:t>11.3.5</w:t>
        </w:r>
        <w:r>
          <w:rPr>
            <w:rFonts w:eastAsiaTheme="minorEastAsia"/>
          </w:rPr>
          <w:tab/>
        </w:r>
        <w:r w:rsidRPr="00CF6022">
          <w:rPr>
            <w:rStyle w:val="Hyperlink"/>
            <w:rFonts w:eastAsia="Calibri"/>
          </w:rPr>
          <w:t>EIM Market Power Mitigation</w:t>
        </w:r>
        <w:r>
          <w:rPr>
            <w:webHidden/>
          </w:rPr>
          <w:tab/>
        </w:r>
        <w:r>
          <w:rPr>
            <w:webHidden/>
          </w:rPr>
          <w:fldChar w:fldCharType="begin"/>
        </w:r>
        <w:r>
          <w:rPr>
            <w:webHidden/>
          </w:rPr>
          <w:instrText xml:space="preserve"> PAGEREF _Toc20384124 \h </w:instrText>
        </w:r>
        <w:r>
          <w:rPr>
            <w:webHidden/>
          </w:rPr>
        </w:r>
        <w:r>
          <w:rPr>
            <w:webHidden/>
          </w:rPr>
          <w:fldChar w:fldCharType="separate"/>
        </w:r>
        <w:r>
          <w:rPr>
            <w:webHidden/>
          </w:rPr>
          <w:t>95</w:t>
        </w:r>
        <w:r>
          <w:rPr>
            <w:webHidden/>
          </w:rPr>
          <w:fldChar w:fldCharType="end"/>
        </w:r>
      </w:hyperlink>
    </w:p>
    <w:p w14:paraId="192970FE" w14:textId="06B80558" w:rsidR="00440572" w:rsidRDefault="00440572">
      <w:pPr>
        <w:pStyle w:val="TOC3"/>
        <w:rPr>
          <w:rFonts w:eastAsiaTheme="minorEastAsia"/>
        </w:rPr>
      </w:pPr>
      <w:hyperlink w:anchor="_Toc20384125" w:history="1">
        <w:r w:rsidRPr="00CF6022">
          <w:rPr>
            <w:rStyle w:val="Hyperlink"/>
            <w:rFonts w:ascii="Arial" w:eastAsia="Calibri" w:hAnsi="Arial"/>
          </w:rPr>
          <w:t>11.3.6</w:t>
        </w:r>
        <w:r>
          <w:rPr>
            <w:rFonts w:eastAsiaTheme="minorEastAsia"/>
          </w:rPr>
          <w:tab/>
        </w:r>
        <w:r w:rsidRPr="00CF6022">
          <w:rPr>
            <w:rStyle w:val="Hyperlink"/>
            <w:rFonts w:eastAsia="Calibri"/>
          </w:rPr>
          <w:t>Default Energy Bids</w:t>
        </w:r>
        <w:r>
          <w:rPr>
            <w:webHidden/>
          </w:rPr>
          <w:tab/>
        </w:r>
        <w:r>
          <w:rPr>
            <w:webHidden/>
          </w:rPr>
          <w:fldChar w:fldCharType="begin"/>
        </w:r>
        <w:r>
          <w:rPr>
            <w:webHidden/>
          </w:rPr>
          <w:instrText xml:space="preserve"> PAGEREF _Toc20384125 \h </w:instrText>
        </w:r>
        <w:r>
          <w:rPr>
            <w:webHidden/>
          </w:rPr>
        </w:r>
        <w:r>
          <w:rPr>
            <w:webHidden/>
          </w:rPr>
          <w:fldChar w:fldCharType="separate"/>
        </w:r>
        <w:r>
          <w:rPr>
            <w:webHidden/>
          </w:rPr>
          <w:t>97</w:t>
        </w:r>
        <w:r>
          <w:rPr>
            <w:webHidden/>
          </w:rPr>
          <w:fldChar w:fldCharType="end"/>
        </w:r>
      </w:hyperlink>
    </w:p>
    <w:p w14:paraId="65E0703A" w14:textId="47A4E40A" w:rsidR="00440572" w:rsidRDefault="00440572">
      <w:pPr>
        <w:pStyle w:val="TOC3"/>
        <w:rPr>
          <w:rFonts w:eastAsiaTheme="minorEastAsia"/>
        </w:rPr>
      </w:pPr>
      <w:hyperlink w:anchor="_Toc20384126" w:history="1">
        <w:r w:rsidRPr="00CF6022">
          <w:rPr>
            <w:rStyle w:val="Hyperlink"/>
            <w:rFonts w:ascii="Arial" w:eastAsia="Calibri" w:hAnsi="Arial"/>
          </w:rPr>
          <w:t>11.3.7</w:t>
        </w:r>
        <w:r>
          <w:rPr>
            <w:rFonts w:eastAsiaTheme="minorEastAsia"/>
          </w:rPr>
          <w:tab/>
        </w:r>
        <w:r w:rsidRPr="00CF6022">
          <w:rPr>
            <w:rStyle w:val="Hyperlink"/>
            <w:rFonts w:eastAsia="Calibri"/>
          </w:rPr>
          <w:t>Compensating Injections in the RTM</w:t>
        </w:r>
        <w:r>
          <w:rPr>
            <w:webHidden/>
          </w:rPr>
          <w:tab/>
        </w:r>
        <w:r>
          <w:rPr>
            <w:webHidden/>
          </w:rPr>
          <w:fldChar w:fldCharType="begin"/>
        </w:r>
        <w:r>
          <w:rPr>
            <w:webHidden/>
          </w:rPr>
          <w:instrText xml:space="preserve"> PAGEREF _Toc20384126 \h </w:instrText>
        </w:r>
        <w:r>
          <w:rPr>
            <w:webHidden/>
          </w:rPr>
        </w:r>
        <w:r>
          <w:rPr>
            <w:webHidden/>
          </w:rPr>
          <w:fldChar w:fldCharType="separate"/>
        </w:r>
        <w:r>
          <w:rPr>
            <w:webHidden/>
          </w:rPr>
          <w:t>97</w:t>
        </w:r>
        <w:r>
          <w:rPr>
            <w:webHidden/>
          </w:rPr>
          <w:fldChar w:fldCharType="end"/>
        </w:r>
      </w:hyperlink>
    </w:p>
    <w:p w14:paraId="6E3E447F" w14:textId="6AE830EF" w:rsidR="00440572" w:rsidRDefault="00440572">
      <w:pPr>
        <w:pStyle w:val="TOC3"/>
        <w:rPr>
          <w:rFonts w:eastAsiaTheme="minorEastAsia"/>
        </w:rPr>
      </w:pPr>
      <w:hyperlink w:anchor="_Toc20384127" w:history="1">
        <w:r w:rsidRPr="00CF6022">
          <w:rPr>
            <w:rStyle w:val="Hyperlink"/>
            <w:rFonts w:ascii="Arial" w:hAnsi="Arial"/>
          </w:rPr>
          <w:t>11.3.8</w:t>
        </w:r>
        <w:r>
          <w:rPr>
            <w:rFonts w:eastAsiaTheme="minorEastAsia"/>
          </w:rPr>
          <w:tab/>
        </w:r>
        <w:r w:rsidRPr="00CF6022">
          <w:rPr>
            <w:rStyle w:val="Hyperlink"/>
          </w:rPr>
          <w:t>Auto-Match of Import/Export Schedule Changes</w:t>
        </w:r>
        <w:r>
          <w:rPr>
            <w:webHidden/>
          </w:rPr>
          <w:tab/>
        </w:r>
        <w:r>
          <w:rPr>
            <w:webHidden/>
          </w:rPr>
          <w:fldChar w:fldCharType="begin"/>
        </w:r>
        <w:r>
          <w:rPr>
            <w:webHidden/>
          </w:rPr>
          <w:instrText xml:space="preserve"> PAGEREF _Toc20384127 \h </w:instrText>
        </w:r>
        <w:r>
          <w:rPr>
            <w:webHidden/>
          </w:rPr>
        </w:r>
        <w:r>
          <w:rPr>
            <w:webHidden/>
          </w:rPr>
          <w:fldChar w:fldCharType="separate"/>
        </w:r>
        <w:r>
          <w:rPr>
            <w:webHidden/>
          </w:rPr>
          <w:t>97</w:t>
        </w:r>
        <w:r>
          <w:rPr>
            <w:webHidden/>
          </w:rPr>
          <w:fldChar w:fldCharType="end"/>
        </w:r>
      </w:hyperlink>
    </w:p>
    <w:p w14:paraId="65D6BDC3" w14:textId="300EDAA2" w:rsidR="00440572" w:rsidRDefault="00440572">
      <w:pPr>
        <w:pStyle w:val="TOC3"/>
        <w:rPr>
          <w:rFonts w:eastAsiaTheme="minorEastAsia"/>
        </w:rPr>
      </w:pPr>
      <w:hyperlink w:anchor="_Toc20384128" w:history="1">
        <w:r w:rsidRPr="00CF6022">
          <w:rPr>
            <w:rStyle w:val="Hyperlink"/>
            <w:rFonts w:ascii="Arial" w:hAnsi="Arial"/>
          </w:rPr>
          <w:t>11.3.9</w:t>
        </w:r>
        <w:r>
          <w:rPr>
            <w:rFonts w:eastAsiaTheme="minorEastAsia"/>
          </w:rPr>
          <w:tab/>
        </w:r>
        <w:r w:rsidRPr="00CF6022">
          <w:rPr>
            <w:rStyle w:val="Hyperlink"/>
          </w:rPr>
          <w:t>Auto Mirror of CAISO Import/Export Schedule Changes</w:t>
        </w:r>
        <w:r>
          <w:rPr>
            <w:webHidden/>
          </w:rPr>
          <w:tab/>
        </w:r>
        <w:r>
          <w:rPr>
            <w:webHidden/>
          </w:rPr>
          <w:fldChar w:fldCharType="begin"/>
        </w:r>
        <w:r>
          <w:rPr>
            <w:webHidden/>
          </w:rPr>
          <w:instrText xml:space="preserve"> PAGEREF _Toc20384128 \h </w:instrText>
        </w:r>
        <w:r>
          <w:rPr>
            <w:webHidden/>
          </w:rPr>
        </w:r>
        <w:r>
          <w:rPr>
            <w:webHidden/>
          </w:rPr>
          <w:fldChar w:fldCharType="separate"/>
        </w:r>
        <w:r>
          <w:rPr>
            <w:webHidden/>
          </w:rPr>
          <w:t>98</w:t>
        </w:r>
        <w:r>
          <w:rPr>
            <w:webHidden/>
          </w:rPr>
          <w:fldChar w:fldCharType="end"/>
        </w:r>
      </w:hyperlink>
    </w:p>
    <w:p w14:paraId="7A3AC4F7" w14:textId="0749C328" w:rsidR="00440572" w:rsidRDefault="00440572">
      <w:pPr>
        <w:pStyle w:val="TOC3"/>
        <w:rPr>
          <w:rFonts w:eastAsiaTheme="minorEastAsia"/>
        </w:rPr>
      </w:pPr>
      <w:hyperlink w:anchor="_Toc20384129" w:history="1">
        <w:r w:rsidRPr="00CF6022">
          <w:rPr>
            <w:rStyle w:val="Hyperlink"/>
            <w:rFonts w:ascii="Arial" w:eastAsia="Calibri" w:hAnsi="Arial"/>
          </w:rPr>
          <w:t>11.3.10</w:t>
        </w:r>
        <w:r>
          <w:rPr>
            <w:rFonts w:eastAsiaTheme="minorEastAsia"/>
          </w:rPr>
          <w:tab/>
        </w:r>
        <w:r w:rsidRPr="00CF6022">
          <w:rPr>
            <w:rStyle w:val="Hyperlink"/>
            <w:rFonts w:eastAsia="Calibri"/>
          </w:rPr>
          <w:t>Manual Dispatch</w:t>
        </w:r>
        <w:r>
          <w:rPr>
            <w:webHidden/>
          </w:rPr>
          <w:tab/>
        </w:r>
        <w:r>
          <w:rPr>
            <w:webHidden/>
          </w:rPr>
          <w:fldChar w:fldCharType="begin"/>
        </w:r>
        <w:r>
          <w:rPr>
            <w:webHidden/>
          </w:rPr>
          <w:instrText xml:space="preserve"> PAGEREF _Toc20384129 \h </w:instrText>
        </w:r>
        <w:r>
          <w:rPr>
            <w:webHidden/>
          </w:rPr>
        </w:r>
        <w:r>
          <w:rPr>
            <w:webHidden/>
          </w:rPr>
          <w:fldChar w:fldCharType="separate"/>
        </w:r>
        <w:r>
          <w:rPr>
            <w:webHidden/>
          </w:rPr>
          <w:t>98</w:t>
        </w:r>
        <w:r>
          <w:rPr>
            <w:webHidden/>
          </w:rPr>
          <w:fldChar w:fldCharType="end"/>
        </w:r>
      </w:hyperlink>
    </w:p>
    <w:p w14:paraId="3BA343D9" w14:textId="2DE730E8" w:rsidR="00440572" w:rsidRDefault="00440572">
      <w:pPr>
        <w:pStyle w:val="TOC3"/>
        <w:rPr>
          <w:rFonts w:eastAsiaTheme="minorEastAsia"/>
        </w:rPr>
      </w:pPr>
      <w:hyperlink w:anchor="_Toc20384130" w:history="1">
        <w:r w:rsidRPr="00CF6022">
          <w:rPr>
            <w:rStyle w:val="Hyperlink"/>
            <w:rFonts w:ascii="Arial" w:eastAsia="Calibri" w:hAnsi="Arial"/>
          </w:rPr>
          <w:t>11.3.11</w:t>
        </w:r>
        <w:r>
          <w:rPr>
            <w:rFonts w:eastAsiaTheme="minorEastAsia"/>
          </w:rPr>
          <w:tab/>
        </w:r>
        <w:r w:rsidRPr="00CF6022">
          <w:rPr>
            <w:rStyle w:val="Hyperlink"/>
            <w:rFonts w:eastAsia="Calibri"/>
          </w:rPr>
          <w:t>Load Forecast Operator Adjustments</w:t>
        </w:r>
        <w:r>
          <w:rPr>
            <w:webHidden/>
          </w:rPr>
          <w:tab/>
        </w:r>
        <w:r>
          <w:rPr>
            <w:webHidden/>
          </w:rPr>
          <w:fldChar w:fldCharType="begin"/>
        </w:r>
        <w:r>
          <w:rPr>
            <w:webHidden/>
          </w:rPr>
          <w:instrText xml:space="preserve"> PAGEREF _Toc20384130 \h </w:instrText>
        </w:r>
        <w:r>
          <w:rPr>
            <w:webHidden/>
          </w:rPr>
        </w:r>
        <w:r>
          <w:rPr>
            <w:webHidden/>
          </w:rPr>
          <w:fldChar w:fldCharType="separate"/>
        </w:r>
        <w:r>
          <w:rPr>
            <w:webHidden/>
          </w:rPr>
          <w:t>99</w:t>
        </w:r>
        <w:r>
          <w:rPr>
            <w:webHidden/>
          </w:rPr>
          <w:fldChar w:fldCharType="end"/>
        </w:r>
      </w:hyperlink>
    </w:p>
    <w:p w14:paraId="016EA916" w14:textId="662131D9" w:rsidR="00440572" w:rsidRDefault="00440572">
      <w:pPr>
        <w:pStyle w:val="TOC3"/>
        <w:rPr>
          <w:rFonts w:eastAsiaTheme="minorEastAsia"/>
        </w:rPr>
      </w:pPr>
      <w:hyperlink w:anchor="_Toc20384131" w:history="1">
        <w:r w:rsidRPr="00CF6022">
          <w:rPr>
            <w:rStyle w:val="Hyperlink"/>
            <w:rFonts w:ascii="Arial" w:eastAsia="Calibri" w:hAnsi="Arial"/>
          </w:rPr>
          <w:t>11.3.12</w:t>
        </w:r>
        <w:r>
          <w:rPr>
            <w:rFonts w:eastAsiaTheme="minorEastAsia"/>
          </w:rPr>
          <w:tab/>
        </w:r>
        <w:r w:rsidRPr="00CF6022">
          <w:rPr>
            <w:rStyle w:val="Hyperlink"/>
            <w:rFonts w:eastAsia="Calibri"/>
          </w:rPr>
          <w:t>Contingency Dispatch</w:t>
        </w:r>
        <w:r>
          <w:rPr>
            <w:webHidden/>
          </w:rPr>
          <w:tab/>
        </w:r>
        <w:r>
          <w:rPr>
            <w:webHidden/>
          </w:rPr>
          <w:fldChar w:fldCharType="begin"/>
        </w:r>
        <w:r>
          <w:rPr>
            <w:webHidden/>
          </w:rPr>
          <w:instrText xml:space="preserve"> PAGEREF _Toc20384131 \h </w:instrText>
        </w:r>
        <w:r>
          <w:rPr>
            <w:webHidden/>
          </w:rPr>
        </w:r>
        <w:r>
          <w:rPr>
            <w:webHidden/>
          </w:rPr>
          <w:fldChar w:fldCharType="separate"/>
        </w:r>
        <w:r>
          <w:rPr>
            <w:webHidden/>
          </w:rPr>
          <w:t>100</w:t>
        </w:r>
        <w:r>
          <w:rPr>
            <w:webHidden/>
          </w:rPr>
          <w:fldChar w:fldCharType="end"/>
        </w:r>
      </w:hyperlink>
    </w:p>
    <w:p w14:paraId="0D596EE3" w14:textId="5298FA9A" w:rsidR="00440572" w:rsidRDefault="00440572">
      <w:pPr>
        <w:pStyle w:val="TOC3"/>
        <w:rPr>
          <w:rFonts w:eastAsiaTheme="minorEastAsia"/>
        </w:rPr>
      </w:pPr>
      <w:hyperlink w:anchor="_Toc20384132" w:history="1">
        <w:r w:rsidRPr="00CF6022">
          <w:rPr>
            <w:rStyle w:val="Hyperlink"/>
            <w:rFonts w:ascii="Arial" w:hAnsi="Arial"/>
          </w:rPr>
          <w:t>11.3.13</w:t>
        </w:r>
        <w:r>
          <w:rPr>
            <w:rFonts w:eastAsiaTheme="minorEastAsia"/>
          </w:rPr>
          <w:tab/>
        </w:r>
        <w:r w:rsidRPr="00CF6022">
          <w:rPr>
            <w:rStyle w:val="Hyperlink"/>
          </w:rPr>
          <w:t>FMM Interchange Schedules based on RTSI</w:t>
        </w:r>
        <w:r>
          <w:rPr>
            <w:webHidden/>
          </w:rPr>
          <w:tab/>
        </w:r>
        <w:r>
          <w:rPr>
            <w:webHidden/>
          </w:rPr>
          <w:fldChar w:fldCharType="begin"/>
        </w:r>
        <w:r>
          <w:rPr>
            <w:webHidden/>
          </w:rPr>
          <w:instrText xml:space="preserve"> PAGEREF _Toc20384132 \h </w:instrText>
        </w:r>
        <w:r>
          <w:rPr>
            <w:webHidden/>
          </w:rPr>
        </w:r>
        <w:r>
          <w:rPr>
            <w:webHidden/>
          </w:rPr>
          <w:fldChar w:fldCharType="separate"/>
        </w:r>
        <w:r>
          <w:rPr>
            <w:webHidden/>
          </w:rPr>
          <w:t>102</w:t>
        </w:r>
        <w:r>
          <w:rPr>
            <w:webHidden/>
          </w:rPr>
          <w:fldChar w:fldCharType="end"/>
        </w:r>
      </w:hyperlink>
    </w:p>
    <w:p w14:paraId="3AFFAF4B" w14:textId="4DEA22C1" w:rsidR="00440572" w:rsidRDefault="00440572">
      <w:pPr>
        <w:pStyle w:val="TOC3"/>
        <w:rPr>
          <w:rFonts w:eastAsiaTheme="minorEastAsia"/>
        </w:rPr>
      </w:pPr>
      <w:hyperlink w:anchor="_Toc20384133" w:history="1">
        <w:r w:rsidRPr="00CF6022">
          <w:rPr>
            <w:rStyle w:val="Hyperlink"/>
            <w:rFonts w:ascii="Arial" w:hAnsi="Arial"/>
          </w:rPr>
          <w:t>11.3.14</w:t>
        </w:r>
        <w:r>
          <w:rPr>
            <w:rFonts w:eastAsiaTheme="minorEastAsia"/>
          </w:rPr>
          <w:tab/>
        </w:r>
        <w:r w:rsidRPr="00CF6022">
          <w:rPr>
            <w:rStyle w:val="Hyperlink"/>
          </w:rPr>
          <w:t>EIM Thresholds</w:t>
        </w:r>
        <w:r>
          <w:rPr>
            <w:webHidden/>
          </w:rPr>
          <w:tab/>
        </w:r>
        <w:r>
          <w:rPr>
            <w:webHidden/>
          </w:rPr>
          <w:fldChar w:fldCharType="begin"/>
        </w:r>
        <w:r>
          <w:rPr>
            <w:webHidden/>
          </w:rPr>
          <w:instrText xml:space="preserve"> PAGEREF _Toc20384133 \h </w:instrText>
        </w:r>
        <w:r>
          <w:rPr>
            <w:webHidden/>
          </w:rPr>
        </w:r>
        <w:r>
          <w:rPr>
            <w:webHidden/>
          </w:rPr>
          <w:fldChar w:fldCharType="separate"/>
        </w:r>
        <w:r>
          <w:rPr>
            <w:webHidden/>
          </w:rPr>
          <w:t>102</w:t>
        </w:r>
        <w:r>
          <w:rPr>
            <w:webHidden/>
          </w:rPr>
          <w:fldChar w:fldCharType="end"/>
        </w:r>
      </w:hyperlink>
    </w:p>
    <w:p w14:paraId="7DF49165" w14:textId="57A29A31" w:rsidR="00440572" w:rsidRDefault="00440572">
      <w:pPr>
        <w:pStyle w:val="TOC2"/>
        <w:rPr>
          <w:rFonts w:eastAsiaTheme="minorEastAsia"/>
          <w:b w:val="0"/>
        </w:rPr>
      </w:pPr>
      <w:hyperlink w:anchor="_Toc20384134" w:history="1">
        <w:r w:rsidRPr="00CF6022">
          <w:rPr>
            <w:rStyle w:val="Hyperlink"/>
            <w:rFonts w:ascii="Arial" w:eastAsia="Calibri" w:hAnsi="Arial"/>
          </w:rPr>
          <w:t>11.4</w:t>
        </w:r>
        <w:r>
          <w:rPr>
            <w:rFonts w:eastAsiaTheme="minorEastAsia"/>
            <w:b w:val="0"/>
          </w:rPr>
          <w:tab/>
        </w:r>
        <w:r w:rsidRPr="00CF6022">
          <w:rPr>
            <w:rStyle w:val="Hyperlink"/>
            <w:rFonts w:eastAsia="Calibri"/>
          </w:rPr>
          <w:t>Contingencies and Corrective Actions</w:t>
        </w:r>
        <w:r>
          <w:rPr>
            <w:webHidden/>
          </w:rPr>
          <w:tab/>
        </w:r>
        <w:r>
          <w:rPr>
            <w:webHidden/>
          </w:rPr>
          <w:fldChar w:fldCharType="begin"/>
        </w:r>
        <w:r>
          <w:rPr>
            <w:webHidden/>
          </w:rPr>
          <w:instrText xml:space="preserve"> PAGEREF _Toc20384134 \h </w:instrText>
        </w:r>
        <w:r>
          <w:rPr>
            <w:webHidden/>
          </w:rPr>
        </w:r>
        <w:r>
          <w:rPr>
            <w:webHidden/>
          </w:rPr>
          <w:fldChar w:fldCharType="separate"/>
        </w:r>
        <w:r>
          <w:rPr>
            <w:webHidden/>
          </w:rPr>
          <w:t>106</w:t>
        </w:r>
        <w:r>
          <w:rPr>
            <w:webHidden/>
          </w:rPr>
          <w:fldChar w:fldCharType="end"/>
        </w:r>
      </w:hyperlink>
    </w:p>
    <w:p w14:paraId="2A7ABA3E" w14:textId="2540432F" w:rsidR="00440572" w:rsidRDefault="00440572">
      <w:pPr>
        <w:pStyle w:val="TOC3"/>
        <w:rPr>
          <w:rFonts w:eastAsiaTheme="minorEastAsia"/>
        </w:rPr>
      </w:pPr>
      <w:hyperlink w:anchor="_Toc20384135" w:history="1">
        <w:r w:rsidRPr="00CF6022">
          <w:rPr>
            <w:rStyle w:val="Hyperlink"/>
            <w:rFonts w:ascii="Arial" w:eastAsia="Calibri" w:hAnsi="Arial"/>
          </w:rPr>
          <w:t>11.4.1</w:t>
        </w:r>
        <w:r>
          <w:rPr>
            <w:rFonts w:eastAsiaTheme="minorEastAsia"/>
          </w:rPr>
          <w:tab/>
        </w:r>
        <w:r w:rsidRPr="00CF6022">
          <w:rPr>
            <w:rStyle w:val="Hyperlink"/>
            <w:rFonts w:eastAsia="Calibri"/>
          </w:rPr>
          <w:t>Recovery Approach</w:t>
        </w:r>
        <w:r>
          <w:rPr>
            <w:webHidden/>
          </w:rPr>
          <w:tab/>
        </w:r>
        <w:r>
          <w:rPr>
            <w:webHidden/>
          </w:rPr>
          <w:fldChar w:fldCharType="begin"/>
        </w:r>
        <w:r>
          <w:rPr>
            <w:webHidden/>
          </w:rPr>
          <w:instrText xml:space="preserve"> PAGEREF _Toc20384135 \h </w:instrText>
        </w:r>
        <w:r>
          <w:rPr>
            <w:webHidden/>
          </w:rPr>
        </w:r>
        <w:r>
          <w:rPr>
            <w:webHidden/>
          </w:rPr>
          <w:fldChar w:fldCharType="separate"/>
        </w:r>
        <w:r>
          <w:rPr>
            <w:webHidden/>
          </w:rPr>
          <w:t>106</w:t>
        </w:r>
        <w:r>
          <w:rPr>
            <w:webHidden/>
          </w:rPr>
          <w:fldChar w:fldCharType="end"/>
        </w:r>
      </w:hyperlink>
    </w:p>
    <w:p w14:paraId="41479B63" w14:textId="23B1E01E" w:rsidR="00440572" w:rsidRDefault="00440572">
      <w:pPr>
        <w:pStyle w:val="TOC2"/>
        <w:rPr>
          <w:rFonts w:eastAsiaTheme="minorEastAsia"/>
          <w:b w:val="0"/>
        </w:rPr>
      </w:pPr>
      <w:hyperlink w:anchor="_Toc20384136" w:history="1">
        <w:r w:rsidRPr="00CF6022">
          <w:rPr>
            <w:rStyle w:val="Hyperlink"/>
            <w:rFonts w:ascii="Arial" w:eastAsia="Calibri" w:hAnsi="Arial"/>
          </w:rPr>
          <w:t>11.5</w:t>
        </w:r>
        <w:r>
          <w:rPr>
            <w:rFonts w:eastAsiaTheme="minorEastAsia"/>
            <w:b w:val="0"/>
          </w:rPr>
          <w:tab/>
        </w:r>
        <w:r w:rsidRPr="00CF6022">
          <w:rPr>
            <w:rStyle w:val="Hyperlink"/>
            <w:rFonts w:eastAsia="Calibri"/>
          </w:rPr>
          <w:t>Separation of the EIM Entity</w:t>
        </w:r>
        <w:r>
          <w:rPr>
            <w:webHidden/>
          </w:rPr>
          <w:tab/>
        </w:r>
        <w:r>
          <w:rPr>
            <w:webHidden/>
          </w:rPr>
          <w:fldChar w:fldCharType="begin"/>
        </w:r>
        <w:r>
          <w:rPr>
            <w:webHidden/>
          </w:rPr>
          <w:instrText xml:space="preserve"> PAGEREF _Toc20384136 \h </w:instrText>
        </w:r>
        <w:r>
          <w:rPr>
            <w:webHidden/>
          </w:rPr>
        </w:r>
        <w:r>
          <w:rPr>
            <w:webHidden/>
          </w:rPr>
          <w:fldChar w:fldCharType="separate"/>
        </w:r>
        <w:r>
          <w:rPr>
            <w:webHidden/>
          </w:rPr>
          <w:t>108</w:t>
        </w:r>
        <w:r>
          <w:rPr>
            <w:webHidden/>
          </w:rPr>
          <w:fldChar w:fldCharType="end"/>
        </w:r>
      </w:hyperlink>
    </w:p>
    <w:p w14:paraId="73210E03" w14:textId="5D6FD631" w:rsidR="00440572" w:rsidRDefault="00440572">
      <w:pPr>
        <w:pStyle w:val="TOC3"/>
        <w:rPr>
          <w:rFonts w:eastAsiaTheme="minorEastAsia"/>
        </w:rPr>
      </w:pPr>
      <w:hyperlink w:anchor="_Toc20384137" w:history="1">
        <w:r w:rsidRPr="00CF6022">
          <w:rPr>
            <w:rStyle w:val="Hyperlink"/>
            <w:rFonts w:ascii="Arial" w:eastAsia="Calibri" w:hAnsi="Arial"/>
          </w:rPr>
          <w:t>11.5.1</w:t>
        </w:r>
        <w:r>
          <w:rPr>
            <w:rFonts w:eastAsiaTheme="minorEastAsia"/>
          </w:rPr>
          <w:tab/>
        </w:r>
        <w:r w:rsidRPr="00CF6022">
          <w:rPr>
            <w:rStyle w:val="Hyperlink"/>
            <w:rFonts w:eastAsia="Calibri"/>
          </w:rPr>
          <w:t>EIM Entity Separation from Market</w:t>
        </w:r>
        <w:r>
          <w:rPr>
            <w:webHidden/>
          </w:rPr>
          <w:tab/>
        </w:r>
        <w:r>
          <w:rPr>
            <w:webHidden/>
          </w:rPr>
          <w:fldChar w:fldCharType="begin"/>
        </w:r>
        <w:r>
          <w:rPr>
            <w:webHidden/>
          </w:rPr>
          <w:instrText xml:space="preserve"> PAGEREF _Toc20384137 \h </w:instrText>
        </w:r>
        <w:r>
          <w:rPr>
            <w:webHidden/>
          </w:rPr>
        </w:r>
        <w:r>
          <w:rPr>
            <w:webHidden/>
          </w:rPr>
          <w:fldChar w:fldCharType="separate"/>
        </w:r>
        <w:r>
          <w:rPr>
            <w:webHidden/>
          </w:rPr>
          <w:t>108</w:t>
        </w:r>
        <w:r>
          <w:rPr>
            <w:webHidden/>
          </w:rPr>
          <w:fldChar w:fldCharType="end"/>
        </w:r>
      </w:hyperlink>
    </w:p>
    <w:p w14:paraId="56237C41" w14:textId="12034953" w:rsidR="00440572" w:rsidRDefault="00440572">
      <w:pPr>
        <w:pStyle w:val="TOC2"/>
        <w:rPr>
          <w:rFonts w:eastAsiaTheme="minorEastAsia"/>
          <w:b w:val="0"/>
        </w:rPr>
      </w:pPr>
      <w:hyperlink w:anchor="_Toc20384138" w:history="1">
        <w:r w:rsidRPr="00CF6022">
          <w:rPr>
            <w:rStyle w:val="Hyperlink"/>
            <w:rFonts w:ascii="Arial" w:eastAsia="Calibri" w:hAnsi="Arial"/>
          </w:rPr>
          <w:t>11.6</w:t>
        </w:r>
        <w:r>
          <w:rPr>
            <w:rFonts w:eastAsiaTheme="minorEastAsia"/>
            <w:b w:val="0"/>
          </w:rPr>
          <w:tab/>
        </w:r>
        <w:r w:rsidRPr="00CF6022">
          <w:rPr>
            <w:rStyle w:val="Hyperlink"/>
            <w:rFonts w:eastAsia="Calibri"/>
          </w:rPr>
          <w:t>Advanced Load Forecasting System (ALFS)</w:t>
        </w:r>
        <w:r>
          <w:rPr>
            <w:webHidden/>
          </w:rPr>
          <w:tab/>
        </w:r>
        <w:r>
          <w:rPr>
            <w:webHidden/>
          </w:rPr>
          <w:fldChar w:fldCharType="begin"/>
        </w:r>
        <w:r>
          <w:rPr>
            <w:webHidden/>
          </w:rPr>
          <w:instrText xml:space="preserve"> PAGEREF _Toc20384138 \h </w:instrText>
        </w:r>
        <w:r>
          <w:rPr>
            <w:webHidden/>
          </w:rPr>
        </w:r>
        <w:r>
          <w:rPr>
            <w:webHidden/>
          </w:rPr>
          <w:fldChar w:fldCharType="separate"/>
        </w:r>
        <w:r>
          <w:rPr>
            <w:webHidden/>
          </w:rPr>
          <w:t>109</w:t>
        </w:r>
        <w:r>
          <w:rPr>
            <w:webHidden/>
          </w:rPr>
          <w:fldChar w:fldCharType="end"/>
        </w:r>
      </w:hyperlink>
    </w:p>
    <w:p w14:paraId="2A62AA7F" w14:textId="5C5768A3" w:rsidR="00440572" w:rsidRDefault="00440572">
      <w:pPr>
        <w:pStyle w:val="TOC3"/>
        <w:rPr>
          <w:rFonts w:eastAsiaTheme="minorEastAsia"/>
        </w:rPr>
      </w:pPr>
      <w:hyperlink w:anchor="_Toc20384139" w:history="1">
        <w:r w:rsidRPr="00CF6022">
          <w:rPr>
            <w:rStyle w:val="Hyperlink"/>
            <w:rFonts w:ascii="Arial" w:eastAsia="Calibri" w:hAnsi="Arial"/>
          </w:rPr>
          <w:t>11.6.1</w:t>
        </w:r>
        <w:r>
          <w:rPr>
            <w:rFonts w:eastAsiaTheme="minorEastAsia"/>
          </w:rPr>
          <w:tab/>
        </w:r>
        <w:r w:rsidRPr="00CF6022">
          <w:rPr>
            <w:rStyle w:val="Hyperlink"/>
            <w:rFonts w:eastAsia="Calibri"/>
          </w:rPr>
          <w:t>Requirements for Load Forecasting</w:t>
        </w:r>
        <w:r>
          <w:rPr>
            <w:webHidden/>
          </w:rPr>
          <w:tab/>
        </w:r>
        <w:r>
          <w:rPr>
            <w:webHidden/>
          </w:rPr>
          <w:fldChar w:fldCharType="begin"/>
        </w:r>
        <w:r>
          <w:rPr>
            <w:webHidden/>
          </w:rPr>
          <w:instrText xml:space="preserve"> PAGEREF _Toc20384139 \h </w:instrText>
        </w:r>
        <w:r>
          <w:rPr>
            <w:webHidden/>
          </w:rPr>
        </w:r>
        <w:r>
          <w:rPr>
            <w:webHidden/>
          </w:rPr>
          <w:fldChar w:fldCharType="separate"/>
        </w:r>
        <w:r>
          <w:rPr>
            <w:webHidden/>
          </w:rPr>
          <w:t>109</w:t>
        </w:r>
        <w:r>
          <w:rPr>
            <w:webHidden/>
          </w:rPr>
          <w:fldChar w:fldCharType="end"/>
        </w:r>
      </w:hyperlink>
    </w:p>
    <w:p w14:paraId="26339EA8" w14:textId="5D792C28" w:rsidR="00440572" w:rsidRDefault="00440572">
      <w:pPr>
        <w:pStyle w:val="TOC2"/>
        <w:rPr>
          <w:rFonts w:eastAsiaTheme="minorEastAsia"/>
          <w:b w:val="0"/>
        </w:rPr>
      </w:pPr>
      <w:hyperlink w:anchor="_Toc20384140" w:history="1">
        <w:r w:rsidRPr="00CF6022">
          <w:rPr>
            <w:rStyle w:val="Hyperlink"/>
            <w:rFonts w:ascii="Arial" w:eastAsia="Calibri" w:hAnsi="Arial"/>
          </w:rPr>
          <w:t>11.7</w:t>
        </w:r>
        <w:r>
          <w:rPr>
            <w:rFonts w:eastAsiaTheme="minorEastAsia"/>
            <w:b w:val="0"/>
          </w:rPr>
          <w:tab/>
        </w:r>
        <w:r w:rsidRPr="00CF6022">
          <w:rPr>
            <w:rStyle w:val="Hyperlink"/>
            <w:rFonts w:eastAsia="Calibri"/>
          </w:rPr>
          <w:t>Variable Energy Resource (VERs)</w:t>
        </w:r>
        <w:r>
          <w:rPr>
            <w:webHidden/>
          </w:rPr>
          <w:tab/>
        </w:r>
        <w:r>
          <w:rPr>
            <w:webHidden/>
          </w:rPr>
          <w:fldChar w:fldCharType="begin"/>
        </w:r>
        <w:r>
          <w:rPr>
            <w:webHidden/>
          </w:rPr>
          <w:instrText xml:space="preserve"> PAGEREF _Toc20384140 \h </w:instrText>
        </w:r>
        <w:r>
          <w:rPr>
            <w:webHidden/>
          </w:rPr>
        </w:r>
        <w:r>
          <w:rPr>
            <w:webHidden/>
          </w:rPr>
          <w:fldChar w:fldCharType="separate"/>
        </w:r>
        <w:r>
          <w:rPr>
            <w:webHidden/>
          </w:rPr>
          <w:t>110</w:t>
        </w:r>
        <w:r>
          <w:rPr>
            <w:webHidden/>
          </w:rPr>
          <w:fldChar w:fldCharType="end"/>
        </w:r>
      </w:hyperlink>
    </w:p>
    <w:p w14:paraId="255A68AD" w14:textId="176FB1C4" w:rsidR="00440572" w:rsidRDefault="00440572">
      <w:pPr>
        <w:pStyle w:val="TOC3"/>
        <w:rPr>
          <w:rFonts w:eastAsiaTheme="minorEastAsia"/>
        </w:rPr>
      </w:pPr>
      <w:hyperlink w:anchor="_Toc20384141" w:history="1">
        <w:r w:rsidRPr="00CF6022">
          <w:rPr>
            <w:rStyle w:val="Hyperlink"/>
            <w:rFonts w:ascii="Arial" w:eastAsia="Calibri" w:hAnsi="Arial"/>
          </w:rPr>
          <w:t>11.7.1</w:t>
        </w:r>
        <w:r>
          <w:rPr>
            <w:rFonts w:eastAsiaTheme="minorEastAsia"/>
          </w:rPr>
          <w:tab/>
        </w:r>
        <w:r w:rsidRPr="00CF6022">
          <w:rPr>
            <w:rStyle w:val="Hyperlink"/>
            <w:rFonts w:eastAsia="Calibri"/>
          </w:rPr>
          <w:t>Forecast Fee</w:t>
        </w:r>
        <w:r>
          <w:rPr>
            <w:webHidden/>
          </w:rPr>
          <w:tab/>
        </w:r>
        <w:r>
          <w:rPr>
            <w:webHidden/>
          </w:rPr>
          <w:fldChar w:fldCharType="begin"/>
        </w:r>
        <w:r>
          <w:rPr>
            <w:webHidden/>
          </w:rPr>
          <w:instrText xml:space="preserve"> PAGEREF _Toc20384141 \h </w:instrText>
        </w:r>
        <w:r>
          <w:rPr>
            <w:webHidden/>
          </w:rPr>
        </w:r>
        <w:r>
          <w:rPr>
            <w:webHidden/>
          </w:rPr>
          <w:fldChar w:fldCharType="separate"/>
        </w:r>
        <w:r>
          <w:rPr>
            <w:webHidden/>
          </w:rPr>
          <w:t>110</w:t>
        </w:r>
        <w:r>
          <w:rPr>
            <w:webHidden/>
          </w:rPr>
          <w:fldChar w:fldCharType="end"/>
        </w:r>
      </w:hyperlink>
    </w:p>
    <w:p w14:paraId="186E7FEE" w14:textId="2E212439" w:rsidR="00440572" w:rsidRDefault="00440572">
      <w:pPr>
        <w:pStyle w:val="TOC3"/>
        <w:rPr>
          <w:rFonts w:eastAsiaTheme="minorEastAsia"/>
        </w:rPr>
      </w:pPr>
      <w:hyperlink w:anchor="_Toc20384142" w:history="1">
        <w:r w:rsidRPr="00CF6022">
          <w:rPr>
            <w:rStyle w:val="Hyperlink"/>
            <w:rFonts w:ascii="Arial" w:eastAsia="Calibri" w:hAnsi="Arial"/>
          </w:rPr>
          <w:t>11.7.2</w:t>
        </w:r>
        <w:r>
          <w:rPr>
            <w:rFonts w:eastAsiaTheme="minorEastAsia"/>
          </w:rPr>
          <w:tab/>
        </w:r>
        <w:r w:rsidRPr="00CF6022">
          <w:rPr>
            <w:rStyle w:val="Hyperlink"/>
            <w:rFonts w:eastAsia="Calibri"/>
          </w:rPr>
          <w:t>EIM Variable Energy Resource Forecasting</w:t>
        </w:r>
        <w:r>
          <w:rPr>
            <w:webHidden/>
          </w:rPr>
          <w:tab/>
        </w:r>
        <w:r>
          <w:rPr>
            <w:webHidden/>
          </w:rPr>
          <w:fldChar w:fldCharType="begin"/>
        </w:r>
        <w:r>
          <w:rPr>
            <w:webHidden/>
          </w:rPr>
          <w:instrText xml:space="preserve"> PAGEREF _Toc20384142 \h </w:instrText>
        </w:r>
        <w:r>
          <w:rPr>
            <w:webHidden/>
          </w:rPr>
        </w:r>
        <w:r>
          <w:rPr>
            <w:webHidden/>
          </w:rPr>
          <w:fldChar w:fldCharType="separate"/>
        </w:r>
        <w:r>
          <w:rPr>
            <w:webHidden/>
          </w:rPr>
          <w:t>110</w:t>
        </w:r>
        <w:r>
          <w:rPr>
            <w:webHidden/>
          </w:rPr>
          <w:fldChar w:fldCharType="end"/>
        </w:r>
      </w:hyperlink>
    </w:p>
    <w:p w14:paraId="622E8116" w14:textId="568D4992" w:rsidR="00440572" w:rsidRDefault="00440572">
      <w:pPr>
        <w:pStyle w:val="TOC1"/>
        <w:rPr>
          <w:rFonts w:eastAsiaTheme="minorEastAsia" w:cstheme="minorBidi"/>
          <w:b w:val="0"/>
        </w:rPr>
      </w:pPr>
      <w:hyperlink w:anchor="_Toc20384143" w:history="1">
        <w:r w:rsidRPr="00CF6022">
          <w:rPr>
            <w:rStyle w:val="Hyperlink"/>
            <w:rFonts w:ascii="Arial" w:hAnsi="Arial"/>
          </w:rPr>
          <w:t>12.</w:t>
        </w:r>
        <w:r>
          <w:rPr>
            <w:rFonts w:eastAsiaTheme="minorEastAsia" w:cstheme="minorBidi"/>
            <w:b w:val="0"/>
          </w:rPr>
          <w:tab/>
        </w:r>
        <w:r w:rsidRPr="00CF6022">
          <w:rPr>
            <w:rStyle w:val="Hyperlink"/>
          </w:rPr>
          <w:t>SETTLEMENTS AND BILLING</w:t>
        </w:r>
        <w:r>
          <w:rPr>
            <w:webHidden/>
          </w:rPr>
          <w:tab/>
        </w:r>
        <w:r>
          <w:rPr>
            <w:webHidden/>
          </w:rPr>
          <w:fldChar w:fldCharType="begin"/>
        </w:r>
        <w:r>
          <w:rPr>
            <w:webHidden/>
          </w:rPr>
          <w:instrText xml:space="preserve"> PAGEREF _Toc20384143 \h </w:instrText>
        </w:r>
        <w:r>
          <w:rPr>
            <w:webHidden/>
          </w:rPr>
        </w:r>
        <w:r>
          <w:rPr>
            <w:webHidden/>
          </w:rPr>
          <w:fldChar w:fldCharType="separate"/>
        </w:r>
        <w:r>
          <w:rPr>
            <w:webHidden/>
          </w:rPr>
          <w:t>111</w:t>
        </w:r>
        <w:r>
          <w:rPr>
            <w:webHidden/>
          </w:rPr>
          <w:fldChar w:fldCharType="end"/>
        </w:r>
      </w:hyperlink>
    </w:p>
    <w:p w14:paraId="2D1B089A" w14:textId="509EA365" w:rsidR="00440572" w:rsidRDefault="00440572">
      <w:pPr>
        <w:pStyle w:val="TOC2"/>
        <w:rPr>
          <w:rFonts w:eastAsiaTheme="minorEastAsia"/>
          <w:b w:val="0"/>
        </w:rPr>
      </w:pPr>
      <w:hyperlink w:anchor="_Toc20384144" w:history="1">
        <w:r w:rsidRPr="00CF6022">
          <w:rPr>
            <w:rStyle w:val="Hyperlink"/>
            <w:rFonts w:ascii="Arial" w:hAnsi="Arial"/>
          </w:rPr>
          <w:t>12.1</w:t>
        </w:r>
        <w:r>
          <w:rPr>
            <w:rFonts w:eastAsiaTheme="minorEastAsia"/>
            <w:b w:val="0"/>
          </w:rPr>
          <w:tab/>
        </w:r>
        <w:r w:rsidRPr="00CF6022">
          <w:rPr>
            <w:rStyle w:val="Hyperlink"/>
          </w:rPr>
          <w:t>Charge Codes</w:t>
        </w:r>
        <w:r>
          <w:rPr>
            <w:webHidden/>
          </w:rPr>
          <w:tab/>
        </w:r>
        <w:r>
          <w:rPr>
            <w:webHidden/>
          </w:rPr>
          <w:fldChar w:fldCharType="begin"/>
        </w:r>
        <w:r>
          <w:rPr>
            <w:webHidden/>
          </w:rPr>
          <w:instrText xml:space="preserve"> PAGEREF _Toc20384144 \h </w:instrText>
        </w:r>
        <w:r>
          <w:rPr>
            <w:webHidden/>
          </w:rPr>
        </w:r>
        <w:r>
          <w:rPr>
            <w:webHidden/>
          </w:rPr>
          <w:fldChar w:fldCharType="separate"/>
        </w:r>
        <w:r>
          <w:rPr>
            <w:webHidden/>
          </w:rPr>
          <w:t>111</w:t>
        </w:r>
        <w:r>
          <w:rPr>
            <w:webHidden/>
          </w:rPr>
          <w:fldChar w:fldCharType="end"/>
        </w:r>
      </w:hyperlink>
    </w:p>
    <w:p w14:paraId="0125CD19" w14:textId="382162A8" w:rsidR="00440572" w:rsidRDefault="00440572">
      <w:pPr>
        <w:pStyle w:val="TOC2"/>
        <w:rPr>
          <w:rFonts w:eastAsiaTheme="minorEastAsia"/>
          <w:b w:val="0"/>
        </w:rPr>
      </w:pPr>
      <w:hyperlink w:anchor="_Toc20384145" w:history="1">
        <w:r w:rsidRPr="00CF6022">
          <w:rPr>
            <w:rStyle w:val="Hyperlink"/>
            <w:rFonts w:ascii="Arial" w:hAnsi="Arial"/>
          </w:rPr>
          <w:t>12.2</w:t>
        </w:r>
        <w:r>
          <w:rPr>
            <w:rFonts w:eastAsiaTheme="minorEastAsia"/>
            <w:b w:val="0"/>
          </w:rPr>
          <w:tab/>
        </w:r>
        <w:r w:rsidRPr="00CF6022">
          <w:rPr>
            <w:rStyle w:val="Hyperlink"/>
          </w:rPr>
          <w:t>Disagreements</w:t>
        </w:r>
        <w:r>
          <w:rPr>
            <w:webHidden/>
          </w:rPr>
          <w:tab/>
        </w:r>
        <w:r>
          <w:rPr>
            <w:webHidden/>
          </w:rPr>
          <w:fldChar w:fldCharType="begin"/>
        </w:r>
        <w:r>
          <w:rPr>
            <w:webHidden/>
          </w:rPr>
          <w:instrText xml:space="preserve"> PAGEREF _Toc20384145 \h </w:instrText>
        </w:r>
        <w:r>
          <w:rPr>
            <w:webHidden/>
          </w:rPr>
        </w:r>
        <w:r>
          <w:rPr>
            <w:webHidden/>
          </w:rPr>
          <w:fldChar w:fldCharType="separate"/>
        </w:r>
        <w:r>
          <w:rPr>
            <w:webHidden/>
          </w:rPr>
          <w:t>112</w:t>
        </w:r>
        <w:r>
          <w:rPr>
            <w:webHidden/>
          </w:rPr>
          <w:fldChar w:fldCharType="end"/>
        </w:r>
      </w:hyperlink>
    </w:p>
    <w:p w14:paraId="2239E0B2" w14:textId="2E8872AD" w:rsidR="00440572" w:rsidRDefault="00440572">
      <w:pPr>
        <w:pStyle w:val="TOC2"/>
        <w:rPr>
          <w:rFonts w:eastAsiaTheme="minorEastAsia"/>
          <w:b w:val="0"/>
        </w:rPr>
      </w:pPr>
      <w:hyperlink w:anchor="_Toc20384146" w:history="1">
        <w:r w:rsidRPr="00CF6022">
          <w:rPr>
            <w:rStyle w:val="Hyperlink"/>
            <w:rFonts w:ascii="Arial" w:hAnsi="Arial"/>
          </w:rPr>
          <w:t>12.3</w:t>
        </w:r>
        <w:r>
          <w:rPr>
            <w:rFonts w:eastAsiaTheme="minorEastAsia"/>
            <w:b w:val="0"/>
          </w:rPr>
          <w:tab/>
        </w:r>
        <w:r w:rsidRPr="00CF6022">
          <w:rPr>
            <w:rStyle w:val="Hyperlink"/>
          </w:rPr>
          <w:t>Suspension</w:t>
        </w:r>
        <w:r>
          <w:rPr>
            <w:webHidden/>
          </w:rPr>
          <w:tab/>
        </w:r>
        <w:r>
          <w:rPr>
            <w:webHidden/>
          </w:rPr>
          <w:fldChar w:fldCharType="begin"/>
        </w:r>
        <w:r>
          <w:rPr>
            <w:webHidden/>
          </w:rPr>
          <w:instrText xml:space="preserve"> PAGEREF _Toc20384146 \h </w:instrText>
        </w:r>
        <w:r>
          <w:rPr>
            <w:webHidden/>
          </w:rPr>
        </w:r>
        <w:r>
          <w:rPr>
            <w:webHidden/>
          </w:rPr>
          <w:fldChar w:fldCharType="separate"/>
        </w:r>
        <w:r>
          <w:rPr>
            <w:webHidden/>
          </w:rPr>
          <w:t>112</w:t>
        </w:r>
        <w:r>
          <w:rPr>
            <w:webHidden/>
          </w:rPr>
          <w:fldChar w:fldCharType="end"/>
        </w:r>
      </w:hyperlink>
    </w:p>
    <w:p w14:paraId="216DD160" w14:textId="5877A688" w:rsidR="00440572" w:rsidRDefault="00440572">
      <w:pPr>
        <w:pStyle w:val="TOC1"/>
        <w:rPr>
          <w:rFonts w:eastAsiaTheme="minorEastAsia" w:cstheme="minorBidi"/>
          <w:b w:val="0"/>
        </w:rPr>
      </w:pPr>
      <w:hyperlink w:anchor="_Toc20384147" w:history="1">
        <w:r w:rsidRPr="00CF6022">
          <w:rPr>
            <w:rStyle w:val="Hyperlink"/>
            <w:rFonts w:ascii="Arial" w:hAnsi="Arial"/>
          </w:rPr>
          <w:t>13.</w:t>
        </w:r>
        <w:r>
          <w:rPr>
            <w:rFonts w:eastAsiaTheme="minorEastAsia" w:cstheme="minorBidi"/>
            <w:b w:val="0"/>
          </w:rPr>
          <w:tab/>
        </w:r>
        <w:r w:rsidRPr="00CF6022">
          <w:rPr>
            <w:rStyle w:val="Hyperlink"/>
          </w:rPr>
          <w:t>READINESS</w:t>
        </w:r>
        <w:r>
          <w:rPr>
            <w:webHidden/>
          </w:rPr>
          <w:tab/>
        </w:r>
        <w:r>
          <w:rPr>
            <w:webHidden/>
          </w:rPr>
          <w:fldChar w:fldCharType="begin"/>
        </w:r>
        <w:r>
          <w:rPr>
            <w:webHidden/>
          </w:rPr>
          <w:instrText xml:space="preserve"> PAGEREF _Toc20384147 \h </w:instrText>
        </w:r>
        <w:r>
          <w:rPr>
            <w:webHidden/>
          </w:rPr>
        </w:r>
        <w:r>
          <w:rPr>
            <w:webHidden/>
          </w:rPr>
          <w:fldChar w:fldCharType="separate"/>
        </w:r>
        <w:r>
          <w:rPr>
            <w:webHidden/>
          </w:rPr>
          <w:t>113</w:t>
        </w:r>
        <w:r>
          <w:rPr>
            <w:webHidden/>
          </w:rPr>
          <w:fldChar w:fldCharType="end"/>
        </w:r>
      </w:hyperlink>
    </w:p>
    <w:p w14:paraId="0D062483" w14:textId="3145E94A" w:rsidR="00440572" w:rsidRDefault="00440572">
      <w:pPr>
        <w:pStyle w:val="TOC2"/>
        <w:rPr>
          <w:rFonts w:eastAsiaTheme="minorEastAsia"/>
          <w:b w:val="0"/>
        </w:rPr>
      </w:pPr>
      <w:hyperlink w:anchor="_Toc20384148" w:history="1">
        <w:r w:rsidRPr="00CF6022">
          <w:rPr>
            <w:rStyle w:val="Hyperlink"/>
            <w:rFonts w:ascii="Arial" w:hAnsi="Arial"/>
          </w:rPr>
          <w:t>13.1</w:t>
        </w:r>
        <w:r>
          <w:rPr>
            <w:rFonts w:eastAsiaTheme="minorEastAsia"/>
            <w:b w:val="0"/>
          </w:rPr>
          <w:tab/>
        </w:r>
        <w:r w:rsidRPr="00CF6022">
          <w:rPr>
            <w:rStyle w:val="Hyperlink"/>
          </w:rPr>
          <w:t>Readiness Criteria Categories</w:t>
        </w:r>
        <w:r>
          <w:rPr>
            <w:webHidden/>
          </w:rPr>
          <w:tab/>
        </w:r>
        <w:r>
          <w:rPr>
            <w:webHidden/>
          </w:rPr>
          <w:fldChar w:fldCharType="begin"/>
        </w:r>
        <w:r>
          <w:rPr>
            <w:webHidden/>
          </w:rPr>
          <w:instrText xml:space="preserve"> PAGEREF _Toc20384148 \h </w:instrText>
        </w:r>
        <w:r>
          <w:rPr>
            <w:webHidden/>
          </w:rPr>
        </w:r>
        <w:r>
          <w:rPr>
            <w:webHidden/>
          </w:rPr>
          <w:fldChar w:fldCharType="separate"/>
        </w:r>
        <w:r>
          <w:rPr>
            <w:webHidden/>
          </w:rPr>
          <w:t>113</w:t>
        </w:r>
        <w:r>
          <w:rPr>
            <w:webHidden/>
          </w:rPr>
          <w:fldChar w:fldCharType="end"/>
        </w:r>
      </w:hyperlink>
    </w:p>
    <w:p w14:paraId="3FB35C24" w14:textId="0BFFDD13" w:rsidR="00440572" w:rsidRDefault="00440572">
      <w:pPr>
        <w:pStyle w:val="TOC2"/>
        <w:rPr>
          <w:rFonts w:eastAsiaTheme="minorEastAsia"/>
          <w:b w:val="0"/>
        </w:rPr>
      </w:pPr>
      <w:hyperlink w:anchor="_Toc20384149" w:history="1">
        <w:r w:rsidRPr="00CF6022">
          <w:rPr>
            <w:rStyle w:val="Hyperlink"/>
            <w:rFonts w:ascii="Arial" w:hAnsi="Arial"/>
          </w:rPr>
          <w:t>13.2</w:t>
        </w:r>
        <w:r>
          <w:rPr>
            <w:rFonts w:eastAsiaTheme="minorEastAsia"/>
            <w:b w:val="0"/>
          </w:rPr>
          <w:tab/>
        </w:r>
        <w:r w:rsidRPr="00CF6022">
          <w:rPr>
            <w:rStyle w:val="Hyperlink"/>
          </w:rPr>
          <w:t>Readiness Metrics, Criteria, and Thresholds</w:t>
        </w:r>
        <w:r>
          <w:rPr>
            <w:webHidden/>
          </w:rPr>
          <w:tab/>
        </w:r>
        <w:r>
          <w:rPr>
            <w:webHidden/>
          </w:rPr>
          <w:fldChar w:fldCharType="begin"/>
        </w:r>
        <w:r>
          <w:rPr>
            <w:webHidden/>
          </w:rPr>
          <w:instrText xml:space="preserve"> PAGEREF _Toc20384149 \h </w:instrText>
        </w:r>
        <w:r>
          <w:rPr>
            <w:webHidden/>
          </w:rPr>
        </w:r>
        <w:r>
          <w:rPr>
            <w:webHidden/>
          </w:rPr>
          <w:fldChar w:fldCharType="separate"/>
        </w:r>
        <w:r>
          <w:rPr>
            <w:webHidden/>
          </w:rPr>
          <w:t>114</w:t>
        </w:r>
        <w:r>
          <w:rPr>
            <w:webHidden/>
          </w:rPr>
          <w:fldChar w:fldCharType="end"/>
        </w:r>
      </w:hyperlink>
    </w:p>
    <w:p w14:paraId="5EE2A928" w14:textId="337BD726" w:rsidR="00440572" w:rsidRDefault="00440572">
      <w:pPr>
        <w:pStyle w:val="TOC2"/>
        <w:rPr>
          <w:rFonts w:eastAsiaTheme="minorEastAsia"/>
          <w:b w:val="0"/>
        </w:rPr>
      </w:pPr>
      <w:hyperlink w:anchor="_Toc20384150" w:history="1">
        <w:r w:rsidRPr="00CF6022">
          <w:rPr>
            <w:rStyle w:val="Hyperlink"/>
            <w:rFonts w:ascii="Arial" w:hAnsi="Arial"/>
          </w:rPr>
          <w:t>13.3</w:t>
        </w:r>
        <w:r>
          <w:rPr>
            <w:rFonts w:eastAsiaTheme="minorEastAsia"/>
            <w:b w:val="0"/>
          </w:rPr>
          <w:tab/>
        </w:r>
        <w:r w:rsidRPr="00CF6022">
          <w:rPr>
            <w:rStyle w:val="Hyperlink"/>
          </w:rPr>
          <w:t>Readiness Reporting, Determination &amp; Certification</w:t>
        </w:r>
        <w:r>
          <w:rPr>
            <w:webHidden/>
          </w:rPr>
          <w:tab/>
        </w:r>
        <w:r>
          <w:rPr>
            <w:webHidden/>
          </w:rPr>
          <w:fldChar w:fldCharType="begin"/>
        </w:r>
        <w:r>
          <w:rPr>
            <w:webHidden/>
          </w:rPr>
          <w:instrText xml:space="preserve"> PAGEREF _Toc20384150 \h </w:instrText>
        </w:r>
        <w:r>
          <w:rPr>
            <w:webHidden/>
          </w:rPr>
        </w:r>
        <w:r>
          <w:rPr>
            <w:webHidden/>
          </w:rPr>
          <w:fldChar w:fldCharType="separate"/>
        </w:r>
        <w:r>
          <w:rPr>
            <w:webHidden/>
          </w:rPr>
          <w:t>123</w:t>
        </w:r>
        <w:r>
          <w:rPr>
            <w:webHidden/>
          </w:rPr>
          <w:fldChar w:fldCharType="end"/>
        </w:r>
      </w:hyperlink>
    </w:p>
    <w:p w14:paraId="38803E0C" w14:textId="763AFF76" w:rsidR="00440572" w:rsidRDefault="00440572">
      <w:pPr>
        <w:pStyle w:val="TOC1"/>
        <w:rPr>
          <w:rFonts w:eastAsiaTheme="minorEastAsia" w:cstheme="minorBidi"/>
          <w:b w:val="0"/>
        </w:rPr>
      </w:pPr>
      <w:hyperlink w:anchor="_Toc20384151" w:history="1">
        <w:r w:rsidRPr="00CF6022">
          <w:rPr>
            <w:rStyle w:val="Hyperlink"/>
            <w:rFonts w:ascii="Arial" w:hAnsi="Arial"/>
          </w:rPr>
          <w:t>14.</w:t>
        </w:r>
        <w:r>
          <w:rPr>
            <w:rFonts w:eastAsiaTheme="minorEastAsia" w:cstheme="minorBidi"/>
            <w:b w:val="0"/>
          </w:rPr>
          <w:tab/>
        </w:r>
        <w:r w:rsidRPr="00CF6022">
          <w:rPr>
            <w:rStyle w:val="Hyperlink"/>
          </w:rPr>
          <w:t>RULES OF CONDUCT</w:t>
        </w:r>
        <w:r>
          <w:rPr>
            <w:webHidden/>
          </w:rPr>
          <w:tab/>
        </w:r>
        <w:r>
          <w:rPr>
            <w:webHidden/>
          </w:rPr>
          <w:fldChar w:fldCharType="begin"/>
        </w:r>
        <w:r>
          <w:rPr>
            <w:webHidden/>
          </w:rPr>
          <w:instrText xml:space="preserve"> PAGEREF _Toc20384151 \h </w:instrText>
        </w:r>
        <w:r>
          <w:rPr>
            <w:webHidden/>
          </w:rPr>
        </w:r>
        <w:r>
          <w:rPr>
            <w:webHidden/>
          </w:rPr>
          <w:fldChar w:fldCharType="separate"/>
        </w:r>
        <w:r>
          <w:rPr>
            <w:webHidden/>
          </w:rPr>
          <w:t>124</w:t>
        </w:r>
        <w:r>
          <w:rPr>
            <w:webHidden/>
          </w:rPr>
          <w:fldChar w:fldCharType="end"/>
        </w:r>
      </w:hyperlink>
    </w:p>
    <w:p w14:paraId="2AD91605" w14:textId="428BC4AD" w:rsidR="00440572" w:rsidRDefault="00440572">
      <w:pPr>
        <w:pStyle w:val="TOC1"/>
        <w:rPr>
          <w:rFonts w:eastAsiaTheme="minorEastAsia" w:cstheme="minorBidi"/>
          <w:b w:val="0"/>
        </w:rPr>
      </w:pPr>
      <w:hyperlink w:anchor="_Toc20384152" w:history="1">
        <w:r w:rsidRPr="00CF6022">
          <w:rPr>
            <w:rStyle w:val="Hyperlink"/>
            <w:rFonts w:ascii="Arial" w:hAnsi="Arial"/>
          </w:rPr>
          <w:t>15.</w:t>
        </w:r>
        <w:r>
          <w:rPr>
            <w:rFonts w:eastAsiaTheme="minorEastAsia" w:cstheme="minorBidi"/>
            <w:b w:val="0"/>
          </w:rPr>
          <w:tab/>
        </w:r>
        <w:r w:rsidRPr="00CF6022">
          <w:rPr>
            <w:rStyle w:val="Hyperlink"/>
          </w:rPr>
          <w:t>CHANGE MANAGEMENT</w:t>
        </w:r>
        <w:r>
          <w:rPr>
            <w:webHidden/>
          </w:rPr>
          <w:tab/>
        </w:r>
        <w:r>
          <w:rPr>
            <w:webHidden/>
          </w:rPr>
          <w:fldChar w:fldCharType="begin"/>
        </w:r>
        <w:r>
          <w:rPr>
            <w:webHidden/>
          </w:rPr>
          <w:instrText xml:space="preserve"> PAGEREF _Toc20384152 \h </w:instrText>
        </w:r>
        <w:r>
          <w:rPr>
            <w:webHidden/>
          </w:rPr>
        </w:r>
        <w:r>
          <w:rPr>
            <w:webHidden/>
          </w:rPr>
          <w:fldChar w:fldCharType="separate"/>
        </w:r>
        <w:r>
          <w:rPr>
            <w:webHidden/>
          </w:rPr>
          <w:t>124</w:t>
        </w:r>
        <w:r>
          <w:rPr>
            <w:webHidden/>
          </w:rPr>
          <w:fldChar w:fldCharType="end"/>
        </w:r>
      </w:hyperlink>
    </w:p>
    <w:p w14:paraId="652E987A" w14:textId="2372C3A8" w:rsidR="00440572" w:rsidRDefault="00440572">
      <w:pPr>
        <w:pStyle w:val="TOC1"/>
        <w:rPr>
          <w:rFonts w:eastAsiaTheme="minorEastAsia" w:cstheme="minorBidi"/>
          <w:b w:val="0"/>
        </w:rPr>
      </w:pPr>
      <w:hyperlink w:anchor="_Toc20384153" w:history="1">
        <w:r w:rsidRPr="00CF6022">
          <w:rPr>
            <w:rStyle w:val="Hyperlink"/>
            <w:rFonts w:ascii="Arial" w:hAnsi="Arial"/>
          </w:rPr>
          <w:t>16.</w:t>
        </w:r>
        <w:r>
          <w:rPr>
            <w:rFonts w:eastAsiaTheme="minorEastAsia" w:cstheme="minorBidi"/>
            <w:b w:val="0"/>
          </w:rPr>
          <w:tab/>
        </w:r>
        <w:r w:rsidRPr="00CF6022">
          <w:rPr>
            <w:rStyle w:val="Hyperlink"/>
          </w:rPr>
          <w:t>DEFINITIONS AND ACRONYMS</w:t>
        </w:r>
        <w:r>
          <w:rPr>
            <w:webHidden/>
          </w:rPr>
          <w:tab/>
        </w:r>
        <w:r>
          <w:rPr>
            <w:webHidden/>
          </w:rPr>
          <w:fldChar w:fldCharType="begin"/>
        </w:r>
        <w:r>
          <w:rPr>
            <w:webHidden/>
          </w:rPr>
          <w:instrText xml:space="preserve"> PAGEREF _Toc20384153 \h </w:instrText>
        </w:r>
        <w:r>
          <w:rPr>
            <w:webHidden/>
          </w:rPr>
        </w:r>
        <w:r>
          <w:rPr>
            <w:webHidden/>
          </w:rPr>
          <w:fldChar w:fldCharType="separate"/>
        </w:r>
        <w:r>
          <w:rPr>
            <w:webHidden/>
          </w:rPr>
          <w:t>125</w:t>
        </w:r>
        <w:r>
          <w:rPr>
            <w:webHidden/>
          </w:rPr>
          <w:fldChar w:fldCharType="end"/>
        </w:r>
      </w:hyperlink>
    </w:p>
    <w:p w14:paraId="479C7848" w14:textId="39FF73CB" w:rsidR="00440572" w:rsidRDefault="00440572">
      <w:pPr>
        <w:pStyle w:val="TOC2"/>
        <w:rPr>
          <w:rFonts w:eastAsiaTheme="minorEastAsia"/>
          <w:b w:val="0"/>
        </w:rPr>
      </w:pPr>
      <w:hyperlink w:anchor="_Toc20384154" w:history="1">
        <w:r w:rsidRPr="00CF6022">
          <w:rPr>
            <w:rStyle w:val="Hyperlink"/>
            <w:rFonts w:ascii="Arial" w:hAnsi="Arial"/>
          </w:rPr>
          <w:t>16.1</w:t>
        </w:r>
        <w:r>
          <w:rPr>
            <w:rFonts w:eastAsiaTheme="minorEastAsia"/>
            <w:b w:val="0"/>
          </w:rPr>
          <w:tab/>
        </w:r>
        <w:r w:rsidRPr="00CF6022">
          <w:rPr>
            <w:rStyle w:val="Hyperlink"/>
          </w:rPr>
          <w:t>Acronyms</w:t>
        </w:r>
        <w:r>
          <w:rPr>
            <w:webHidden/>
          </w:rPr>
          <w:tab/>
        </w:r>
        <w:r>
          <w:rPr>
            <w:webHidden/>
          </w:rPr>
          <w:fldChar w:fldCharType="begin"/>
        </w:r>
        <w:r>
          <w:rPr>
            <w:webHidden/>
          </w:rPr>
          <w:instrText xml:space="preserve"> PAGEREF _Toc20384154 \h </w:instrText>
        </w:r>
        <w:r>
          <w:rPr>
            <w:webHidden/>
          </w:rPr>
        </w:r>
        <w:r>
          <w:rPr>
            <w:webHidden/>
          </w:rPr>
          <w:fldChar w:fldCharType="separate"/>
        </w:r>
        <w:r>
          <w:rPr>
            <w:webHidden/>
          </w:rPr>
          <w:t>125</w:t>
        </w:r>
        <w:r>
          <w:rPr>
            <w:webHidden/>
          </w:rPr>
          <w:fldChar w:fldCharType="end"/>
        </w:r>
      </w:hyperlink>
    </w:p>
    <w:p w14:paraId="58BF3494" w14:textId="169581BB" w:rsidR="00440572" w:rsidRDefault="00440572">
      <w:pPr>
        <w:pStyle w:val="TOC2"/>
        <w:rPr>
          <w:rFonts w:eastAsiaTheme="minorEastAsia"/>
          <w:b w:val="0"/>
        </w:rPr>
      </w:pPr>
      <w:hyperlink w:anchor="_Toc20384155" w:history="1">
        <w:r w:rsidRPr="00CF6022">
          <w:rPr>
            <w:rStyle w:val="Hyperlink"/>
            <w:rFonts w:ascii="Arial" w:hAnsi="Arial"/>
          </w:rPr>
          <w:t>16.2</w:t>
        </w:r>
        <w:r>
          <w:rPr>
            <w:rFonts w:eastAsiaTheme="minorEastAsia"/>
            <w:b w:val="0"/>
          </w:rPr>
          <w:tab/>
        </w:r>
        <w:r w:rsidRPr="00CF6022">
          <w:rPr>
            <w:rStyle w:val="Hyperlink"/>
          </w:rPr>
          <w:t>Definitions</w:t>
        </w:r>
        <w:r>
          <w:rPr>
            <w:webHidden/>
          </w:rPr>
          <w:tab/>
        </w:r>
        <w:r>
          <w:rPr>
            <w:webHidden/>
          </w:rPr>
          <w:fldChar w:fldCharType="begin"/>
        </w:r>
        <w:r>
          <w:rPr>
            <w:webHidden/>
          </w:rPr>
          <w:instrText xml:space="preserve"> PAGEREF _Toc20384155 \h </w:instrText>
        </w:r>
        <w:r>
          <w:rPr>
            <w:webHidden/>
          </w:rPr>
        </w:r>
        <w:r>
          <w:rPr>
            <w:webHidden/>
          </w:rPr>
          <w:fldChar w:fldCharType="separate"/>
        </w:r>
        <w:r>
          <w:rPr>
            <w:webHidden/>
          </w:rPr>
          <w:t>126</w:t>
        </w:r>
        <w:r>
          <w:rPr>
            <w:webHidden/>
          </w:rPr>
          <w:fldChar w:fldCharType="end"/>
        </w:r>
      </w:hyperlink>
    </w:p>
    <w:p w14:paraId="3A50E41D" w14:textId="619BAFBA" w:rsidR="00440572" w:rsidRDefault="00440572">
      <w:pPr>
        <w:pStyle w:val="TOC1"/>
        <w:rPr>
          <w:rFonts w:eastAsiaTheme="minorEastAsia" w:cstheme="minorBidi"/>
          <w:b w:val="0"/>
        </w:rPr>
      </w:pPr>
      <w:hyperlink w:anchor="_Toc20384156" w:history="1">
        <w:r w:rsidRPr="00CF6022">
          <w:rPr>
            <w:rStyle w:val="Hyperlink"/>
          </w:rPr>
          <w:t xml:space="preserve">Appendix A: </w:t>
        </w:r>
        <w:r w:rsidRPr="00CF6022">
          <w:rPr>
            <w:rStyle w:val="Hyperlink"/>
            <w:rFonts w:eastAsia="Calibri"/>
          </w:rPr>
          <w:t>Mathematical Formulation for EIM Transfer</w:t>
        </w:r>
        <w:r>
          <w:rPr>
            <w:webHidden/>
          </w:rPr>
          <w:tab/>
        </w:r>
        <w:r>
          <w:rPr>
            <w:webHidden/>
          </w:rPr>
          <w:fldChar w:fldCharType="begin"/>
        </w:r>
        <w:r>
          <w:rPr>
            <w:webHidden/>
          </w:rPr>
          <w:instrText xml:space="preserve"> PAGEREF _Toc20384156 \h </w:instrText>
        </w:r>
        <w:r>
          <w:rPr>
            <w:webHidden/>
          </w:rPr>
        </w:r>
        <w:r>
          <w:rPr>
            <w:webHidden/>
          </w:rPr>
          <w:fldChar w:fldCharType="separate"/>
        </w:r>
        <w:r>
          <w:rPr>
            <w:webHidden/>
          </w:rPr>
          <w:t>131</w:t>
        </w:r>
        <w:r>
          <w:rPr>
            <w:webHidden/>
          </w:rPr>
          <w:fldChar w:fldCharType="end"/>
        </w:r>
      </w:hyperlink>
    </w:p>
    <w:p w14:paraId="4C4BF7EA" w14:textId="1CC92DF9" w:rsidR="00440572" w:rsidRDefault="00440572">
      <w:pPr>
        <w:pStyle w:val="TOC1"/>
        <w:rPr>
          <w:rFonts w:eastAsiaTheme="minorEastAsia" w:cstheme="minorBidi"/>
          <w:b w:val="0"/>
        </w:rPr>
      </w:pPr>
      <w:hyperlink w:anchor="_Toc20384157" w:history="1">
        <w:r w:rsidRPr="00CF6022">
          <w:rPr>
            <w:rStyle w:val="Hyperlink"/>
          </w:rPr>
          <w:t>Appendix B: Mathematical Formulation for using Available Capacity resolving infeasible power balance conditions in EIM BAAs</w:t>
        </w:r>
        <w:r>
          <w:rPr>
            <w:webHidden/>
          </w:rPr>
          <w:tab/>
        </w:r>
        <w:r>
          <w:rPr>
            <w:webHidden/>
          </w:rPr>
          <w:fldChar w:fldCharType="begin"/>
        </w:r>
        <w:r>
          <w:rPr>
            <w:webHidden/>
          </w:rPr>
          <w:instrText xml:space="preserve"> PAGEREF _Toc20384157 \h </w:instrText>
        </w:r>
        <w:r>
          <w:rPr>
            <w:webHidden/>
          </w:rPr>
        </w:r>
        <w:r>
          <w:rPr>
            <w:webHidden/>
          </w:rPr>
          <w:fldChar w:fldCharType="separate"/>
        </w:r>
        <w:r>
          <w:rPr>
            <w:webHidden/>
          </w:rPr>
          <w:t>150</w:t>
        </w:r>
        <w:r>
          <w:rPr>
            <w:webHidden/>
          </w:rPr>
          <w:fldChar w:fldCharType="end"/>
        </w:r>
      </w:hyperlink>
    </w:p>
    <w:p w14:paraId="19729B82" w14:textId="52E647CD" w:rsidR="00440572" w:rsidRDefault="00440572">
      <w:pPr>
        <w:pStyle w:val="TOC2"/>
        <w:rPr>
          <w:rFonts w:eastAsiaTheme="minorEastAsia"/>
          <w:b w:val="0"/>
        </w:rPr>
      </w:pPr>
      <w:hyperlink w:anchor="_Toc20384158" w:history="1">
        <w:r w:rsidRPr="00CF6022">
          <w:rPr>
            <w:rStyle w:val="Hyperlink"/>
          </w:rPr>
          <w:t>Introduction</w:t>
        </w:r>
        <w:r>
          <w:rPr>
            <w:webHidden/>
          </w:rPr>
          <w:tab/>
        </w:r>
        <w:r>
          <w:rPr>
            <w:webHidden/>
          </w:rPr>
          <w:fldChar w:fldCharType="begin"/>
        </w:r>
        <w:r>
          <w:rPr>
            <w:webHidden/>
          </w:rPr>
          <w:instrText xml:space="preserve"> PAGEREF _Toc20384158 \h </w:instrText>
        </w:r>
        <w:r>
          <w:rPr>
            <w:webHidden/>
          </w:rPr>
        </w:r>
        <w:r>
          <w:rPr>
            <w:webHidden/>
          </w:rPr>
          <w:fldChar w:fldCharType="separate"/>
        </w:r>
        <w:r>
          <w:rPr>
            <w:webHidden/>
          </w:rPr>
          <w:t>150</w:t>
        </w:r>
        <w:r>
          <w:rPr>
            <w:webHidden/>
          </w:rPr>
          <w:fldChar w:fldCharType="end"/>
        </w:r>
      </w:hyperlink>
    </w:p>
    <w:p w14:paraId="5CC49959" w14:textId="7C9FF786" w:rsidR="00440572" w:rsidRDefault="00440572">
      <w:pPr>
        <w:pStyle w:val="TOC2"/>
        <w:rPr>
          <w:rFonts w:eastAsiaTheme="minorEastAsia"/>
          <w:b w:val="0"/>
        </w:rPr>
      </w:pPr>
      <w:hyperlink w:anchor="_Toc20384159" w:history="1">
        <w:r w:rsidRPr="00CF6022">
          <w:rPr>
            <w:rStyle w:val="Hyperlink"/>
          </w:rPr>
          <w:t>Technical Description</w:t>
        </w:r>
        <w:r>
          <w:rPr>
            <w:webHidden/>
          </w:rPr>
          <w:tab/>
        </w:r>
        <w:r>
          <w:rPr>
            <w:webHidden/>
          </w:rPr>
          <w:fldChar w:fldCharType="begin"/>
        </w:r>
        <w:r>
          <w:rPr>
            <w:webHidden/>
          </w:rPr>
          <w:instrText xml:space="preserve"> PAGEREF _Toc20384159 \h </w:instrText>
        </w:r>
        <w:r>
          <w:rPr>
            <w:webHidden/>
          </w:rPr>
        </w:r>
        <w:r>
          <w:rPr>
            <w:webHidden/>
          </w:rPr>
          <w:fldChar w:fldCharType="separate"/>
        </w:r>
        <w:r>
          <w:rPr>
            <w:webHidden/>
          </w:rPr>
          <w:t>150</w:t>
        </w:r>
        <w:r>
          <w:rPr>
            <w:webHidden/>
          </w:rPr>
          <w:fldChar w:fldCharType="end"/>
        </w:r>
      </w:hyperlink>
    </w:p>
    <w:p w14:paraId="7D3BE456" w14:textId="1F77BE8D" w:rsidR="00440572" w:rsidRDefault="00440572">
      <w:pPr>
        <w:pStyle w:val="TOC2"/>
        <w:rPr>
          <w:rFonts w:eastAsiaTheme="minorEastAsia"/>
          <w:b w:val="0"/>
        </w:rPr>
      </w:pPr>
      <w:hyperlink w:anchor="_Toc20384160" w:history="1">
        <w:r w:rsidRPr="00CF6022">
          <w:rPr>
            <w:rStyle w:val="Hyperlink"/>
          </w:rPr>
          <w:t>Mathematical Formulation</w:t>
        </w:r>
        <w:r>
          <w:rPr>
            <w:webHidden/>
          </w:rPr>
          <w:tab/>
        </w:r>
        <w:r>
          <w:rPr>
            <w:webHidden/>
          </w:rPr>
          <w:fldChar w:fldCharType="begin"/>
        </w:r>
        <w:r>
          <w:rPr>
            <w:webHidden/>
          </w:rPr>
          <w:instrText xml:space="preserve"> PAGEREF _Toc20384160 \h </w:instrText>
        </w:r>
        <w:r>
          <w:rPr>
            <w:webHidden/>
          </w:rPr>
        </w:r>
        <w:r>
          <w:rPr>
            <w:webHidden/>
          </w:rPr>
          <w:fldChar w:fldCharType="separate"/>
        </w:r>
        <w:r>
          <w:rPr>
            <w:webHidden/>
          </w:rPr>
          <w:t>150</w:t>
        </w:r>
        <w:r>
          <w:rPr>
            <w:webHidden/>
          </w:rPr>
          <w:fldChar w:fldCharType="end"/>
        </w:r>
      </w:hyperlink>
    </w:p>
    <w:p w14:paraId="0D2052CC" w14:textId="362F2C12" w:rsidR="00D00182" w:rsidRPr="00C03513" w:rsidRDefault="00BF5ECA" w:rsidP="006C2CAC">
      <w:pPr>
        <w:spacing w:after="200" w:line="276" w:lineRule="auto"/>
        <w:rPr>
          <w:rFonts w:cs="Arial"/>
        </w:rPr>
        <w:sectPr w:rsidR="00D00182" w:rsidRPr="00C03513" w:rsidSect="00A47C1E">
          <w:headerReference w:type="default" r:id="rId106"/>
          <w:footerReference w:type="default" r:id="rId107"/>
          <w:headerReference w:type="first" r:id="rId108"/>
          <w:pgSz w:w="12240" w:h="15840"/>
          <w:pgMar w:top="432" w:right="1350" w:bottom="432" w:left="1440" w:header="720" w:footer="720" w:gutter="0"/>
          <w:pgNumType w:start="1"/>
          <w:cols w:space="720"/>
          <w:titlePg/>
          <w:docGrid w:linePitch="299"/>
        </w:sectPr>
      </w:pPr>
      <w:r w:rsidRPr="00C03513">
        <w:rPr>
          <w:rFonts w:cs="Arial"/>
        </w:rPr>
        <w:fldChar w:fldCharType="end"/>
      </w:r>
    </w:p>
    <w:p w14:paraId="2C151368" w14:textId="77777777" w:rsidR="00D00182" w:rsidRPr="00B00E71" w:rsidRDefault="00D00182" w:rsidP="008E1C96">
      <w:pPr>
        <w:pStyle w:val="Heading1"/>
      </w:pPr>
      <w:bookmarkStart w:id="1" w:name="_Toc389662559"/>
      <w:bookmarkStart w:id="2" w:name="_Toc390946244"/>
      <w:bookmarkStart w:id="3" w:name="_Toc391969809"/>
      <w:bookmarkStart w:id="4" w:name="_Toc20384065"/>
      <w:r w:rsidRPr="008E1C96">
        <w:lastRenderedPageBreak/>
        <w:t>I</w:t>
      </w:r>
      <w:r w:rsidR="008E1C96" w:rsidRPr="008E1C96">
        <w:t>NTRODUCTION</w:t>
      </w:r>
      <w:bookmarkEnd w:id="1"/>
      <w:bookmarkEnd w:id="2"/>
      <w:bookmarkEnd w:id="3"/>
      <w:bookmarkEnd w:id="4"/>
    </w:p>
    <w:p w14:paraId="3F965892" w14:textId="77777777" w:rsidR="00D00182" w:rsidRPr="00C03513" w:rsidRDefault="00D00182" w:rsidP="000F52BB">
      <w:pPr>
        <w:pStyle w:val="ParaText"/>
        <w:rPr>
          <w:rFonts w:cs="Arial"/>
        </w:rPr>
      </w:pPr>
      <w:r w:rsidRPr="00C03513">
        <w:rPr>
          <w:rFonts w:cs="Arial"/>
        </w:rPr>
        <w:t xml:space="preserve">Welcome to the CAISO </w:t>
      </w:r>
      <w:r w:rsidRPr="00C03513">
        <w:rPr>
          <w:rFonts w:cs="Arial"/>
          <w:b/>
          <w:bCs/>
          <w:i/>
          <w:iCs/>
        </w:rPr>
        <w:t>BPM fo</w:t>
      </w:r>
      <w:r w:rsidR="00DE6F5F" w:rsidRPr="00C03513">
        <w:rPr>
          <w:rFonts w:cs="Arial"/>
          <w:b/>
          <w:bCs/>
          <w:i/>
          <w:iCs/>
        </w:rPr>
        <w:t>r</w:t>
      </w:r>
      <w:r w:rsidR="0029044A">
        <w:rPr>
          <w:rFonts w:cs="Arial"/>
          <w:b/>
          <w:bCs/>
          <w:i/>
          <w:iCs/>
        </w:rPr>
        <w:t xml:space="preserve"> the Energy Imbalance Market</w:t>
      </w:r>
      <w:r w:rsidR="00DE6F5F" w:rsidRPr="00C03513">
        <w:rPr>
          <w:rFonts w:cs="Arial"/>
          <w:b/>
          <w:bCs/>
          <w:i/>
          <w:iCs/>
        </w:rPr>
        <w:t>.</w:t>
      </w:r>
      <w:r w:rsidRPr="00C03513">
        <w:rPr>
          <w:rFonts w:cs="Arial"/>
        </w:rPr>
        <w:t xml:space="preserve"> </w:t>
      </w:r>
      <w:r w:rsidR="00DE6F5F" w:rsidRPr="00C03513">
        <w:rPr>
          <w:rFonts w:cs="Arial"/>
        </w:rPr>
        <w:t xml:space="preserve"> </w:t>
      </w:r>
      <w:r w:rsidRPr="00C03513">
        <w:rPr>
          <w:rFonts w:cs="Arial"/>
        </w:rPr>
        <w:t>In this Introduction you will find the following information:</w:t>
      </w:r>
    </w:p>
    <w:p w14:paraId="05D0A013" w14:textId="77777777" w:rsidR="00D00182" w:rsidRPr="00C03513" w:rsidRDefault="00D00182" w:rsidP="000F0531">
      <w:pPr>
        <w:pStyle w:val="Bullet1HRt"/>
        <w:numPr>
          <w:ilvl w:val="0"/>
          <w:numId w:val="37"/>
        </w:numPr>
        <w:rPr>
          <w:rFonts w:cs="Arial"/>
        </w:rPr>
      </w:pPr>
      <w:r w:rsidRPr="00C03513">
        <w:rPr>
          <w:rFonts w:cs="Arial"/>
        </w:rPr>
        <w:t xml:space="preserve">The purpose of </w:t>
      </w:r>
      <w:r w:rsidR="008F0F75" w:rsidRPr="00C03513">
        <w:rPr>
          <w:rFonts w:cs="Arial"/>
        </w:rPr>
        <w:t>California Independent System Operator Corporation (</w:t>
      </w:r>
      <w:r w:rsidRPr="00C03513">
        <w:rPr>
          <w:rFonts w:cs="Arial"/>
        </w:rPr>
        <w:t>CAISO</w:t>
      </w:r>
      <w:r w:rsidR="008F0F75" w:rsidRPr="00C03513">
        <w:rPr>
          <w:rFonts w:cs="Arial"/>
        </w:rPr>
        <w:t>) Business Practice Manuals</w:t>
      </w:r>
      <w:r w:rsidRPr="00C03513">
        <w:rPr>
          <w:rFonts w:cs="Arial"/>
        </w:rPr>
        <w:t xml:space="preserve"> </w:t>
      </w:r>
      <w:r w:rsidR="008F0F75" w:rsidRPr="00C03513">
        <w:rPr>
          <w:rFonts w:cs="Arial"/>
        </w:rPr>
        <w:t>(</w:t>
      </w:r>
      <w:r w:rsidRPr="00C03513">
        <w:rPr>
          <w:rFonts w:cs="Arial"/>
        </w:rPr>
        <w:t>BPMs</w:t>
      </w:r>
      <w:r w:rsidR="008F0F75" w:rsidRPr="00C03513">
        <w:rPr>
          <w:rFonts w:cs="Arial"/>
        </w:rPr>
        <w:t>)</w:t>
      </w:r>
      <w:r w:rsidR="00B132CB" w:rsidRPr="00C03513">
        <w:rPr>
          <w:rFonts w:cs="Arial"/>
        </w:rPr>
        <w:t>;</w:t>
      </w:r>
    </w:p>
    <w:p w14:paraId="2F99B3DF" w14:textId="77777777" w:rsidR="00D00182" w:rsidRPr="00C03513" w:rsidRDefault="00D00182" w:rsidP="000F0531">
      <w:pPr>
        <w:pStyle w:val="Bullet1HRt"/>
        <w:numPr>
          <w:ilvl w:val="0"/>
          <w:numId w:val="37"/>
        </w:numPr>
        <w:rPr>
          <w:rFonts w:cs="Arial"/>
        </w:rPr>
      </w:pPr>
      <w:r w:rsidRPr="00C03513">
        <w:rPr>
          <w:rFonts w:cs="Arial"/>
        </w:rPr>
        <w:t>What you can expect from this CAISO BPM</w:t>
      </w:r>
      <w:r w:rsidR="00B132CB" w:rsidRPr="00C03513">
        <w:rPr>
          <w:rFonts w:cs="Arial"/>
        </w:rPr>
        <w:t xml:space="preserve">; </w:t>
      </w:r>
    </w:p>
    <w:p w14:paraId="369649FA" w14:textId="77777777" w:rsidR="00527618" w:rsidRPr="00BF03A5" w:rsidRDefault="00D00182" w:rsidP="000F0531">
      <w:pPr>
        <w:pStyle w:val="Bullet1HRt"/>
        <w:numPr>
          <w:ilvl w:val="0"/>
          <w:numId w:val="37"/>
        </w:numPr>
      </w:pPr>
      <w:r w:rsidRPr="00C03513">
        <w:rPr>
          <w:rFonts w:cs="Arial"/>
        </w:rPr>
        <w:t>Other CAISO BPMs or documents that provide related or additional information</w:t>
      </w:r>
      <w:r w:rsidR="00527618">
        <w:rPr>
          <w:rFonts w:cs="Arial"/>
        </w:rPr>
        <w:t>; and</w:t>
      </w:r>
    </w:p>
    <w:p w14:paraId="3EA0DF1A" w14:textId="77777777" w:rsidR="00D00182" w:rsidRDefault="00527618" w:rsidP="000F0531">
      <w:pPr>
        <w:pStyle w:val="Bullet1HRt"/>
        <w:numPr>
          <w:ilvl w:val="0"/>
          <w:numId w:val="37"/>
        </w:numPr>
        <w:rPr>
          <w:rFonts w:cs="Arial"/>
        </w:rPr>
      </w:pPr>
      <w:r>
        <w:rPr>
          <w:rFonts w:cs="Arial"/>
        </w:rPr>
        <w:t>The draft status of this BPM and expected next steps</w:t>
      </w:r>
      <w:r w:rsidR="00B132CB" w:rsidRPr="00C03513">
        <w:rPr>
          <w:rFonts w:cs="Arial"/>
        </w:rPr>
        <w:t>.</w:t>
      </w:r>
    </w:p>
    <w:p w14:paraId="3C9BB5C6" w14:textId="77777777" w:rsidR="00D00182" w:rsidRPr="008E1C96" w:rsidRDefault="00D00182" w:rsidP="008E1C96">
      <w:pPr>
        <w:pStyle w:val="Heading2"/>
      </w:pPr>
      <w:bookmarkStart w:id="5" w:name="_Toc389662560"/>
      <w:bookmarkStart w:id="6" w:name="_Toc390946245"/>
      <w:bookmarkStart w:id="7" w:name="_Toc391969810"/>
      <w:bookmarkStart w:id="8" w:name="_Toc20384066"/>
      <w:r w:rsidRPr="008E1C96">
        <w:t>Purpose of CAISO Business Practice Manuals</w:t>
      </w:r>
      <w:bookmarkEnd w:id="5"/>
      <w:bookmarkEnd w:id="6"/>
      <w:bookmarkEnd w:id="7"/>
      <w:bookmarkEnd w:id="8"/>
    </w:p>
    <w:p w14:paraId="3C9931CA" w14:textId="77777777" w:rsidR="00D00182" w:rsidRPr="00B00E71" w:rsidRDefault="00D00182" w:rsidP="00B06DE4">
      <w:pPr>
        <w:pStyle w:val="ParaText"/>
      </w:pPr>
      <w:r w:rsidRPr="00C03513">
        <w:rPr>
          <w:rFonts w:cs="Arial"/>
        </w:rPr>
        <w:t xml:space="preserve">The Business Practice Manuals (BPMs) developed by CAISO are intended to contain implementation detail, consistent with and supported by the CAISO Tariff, including: instructions, rules, procedures, examples, and guidelines for the administration, operation, planning, and accounting requirements of CAISO and the markets. </w:t>
      </w:r>
      <w:r w:rsidR="003D2EC1">
        <w:t>Each Business Practice Manual is posted in the BPM Library at:</w:t>
      </w:r>
      <w:r w:rsidR="001765FC" w:rsidRPr="001765FC">
        <w:t xml:space="preserve"> </w:t>
      </w:r>
      <w:hyperlink r:id="rId109" w:history="1">
        <w:r w:rsidR="001765FC" w:rsidRPr="007A33C4">
          <w:rPr>
            <w:color w:val="0000FF"/>
            <w:u w:val="single"/>
          </w:rPr>
          <w:t>http://bpmcm.caiso.com/Pages/BPMLibrary.aspx</w:t>
        </w:r>
      </w:hyperlink>
      <w:r w:rsidR="001765FC" w:rsidRPr="007A33C4">
        <w:rPr>
          <w:color w:val="0000FF"/>
          <w:u w:val="single"/>
        </w:rPr>
        <w:t xml:space="preserve">.  </w:t>
      </w:r>
      <w:r w:rsidR="003D2EC1">
        <w:t xml:space="preserve"> </w:t>
      </w:r>
      <w:r w:rsidR="00D71FFC" w:rsidRPr="00E16E49">
        <w:rPr>
          <w:rStyle w:val="Hyperlink"/>
          <w:color w:val="auto"/>
          <w:u w:val="none"/>
        </w:rPr>
        <w:t xml:space="preserve">Updates to all BPMs are managed in accordance with the change management procedures included in the </w:t>
      </w:r>
      <w:hyperlink r:id="rId110" w:history="1">
        <w:r w:rsidR="001765FC" w:rsidRPr="001765FC">
          <w:rPr>
            <w:rStyle w:val="Hyperlink"/>
            <w:b/>
          </w:rPr>
          <w:t>BPM for Change Management</w:t>
        </w:r>
      </w:hyperlink>
      <w:r w:rsidR="001765FC" w:rsidRPr="001765FC">
        <w:t>.</w:t>
      </w:r>
    </w:p>
    <w:p w14:paraId="5C17E973" w14:textId="77777777" w:rsidR="00D00182" w:rsidRPr="00C03513" w:rsidRDefault="00D00182" w:rsidP="00606233">
      <w:pPr>
        <w:pStyle w:val="Heading2"/>
        <w:keepLines/>
        <w:numPr>
          <w:ilvl w:val="1"/>
          <w:numId w:val="7"/>
        </w:numPr>
        <w:rPr>
          <w:rFonts w:cs="Arial"/>
        </w:rPr>
      </w:pPr>
      <w:bookmarkStart w:id="9" w:name="_Toc389662561"/>
      <w:bookmarkStart w:id="10" w:name="_Toc390946246"/>
      <w:bookmarkStart w:id="11" w:name="_Toc391969811"/>
      <w:bookmarkStart w:id="12" w:name="_Toc20384067"/>
      <w:r w:rsidRPr="00C03513">
        <w:rPr>
          <w:rFonts w:cs="Arial"/>
        </w:rPr>
        <w:t xml:space="preserve">Purpose of </w:t>
      </w:r>
      <w:r w:rsidR="00A51DCD" w:rsidRPr="00C03513">
        <w:rPr>
          <w:rFonts w:cs="Arial"/>
        </w:rPr>
        <w:t>Th</w:t>
      </w:r>
      <w:r w:rsidRPr="00C03513">
        <w:rPr>
          <w:rFonts w:cs="Arial"/>
        </w:rPr>
        <w:t>is Business Practice Manual</w:t>
      </w:r>
      <w:bookmarkEnd w:id="9"/>
      <w:bookmarkEnd w:id="10"/>
      <w:bookmarkEnd w:id="11"/>
      <w:bookmarkEnd w:id="12"/>
    </w:p>
    <w:p w14:paraId="1C63BD2B" w14:textId="77777777" w:rsidR="00FD34EB" w:rsidRDefault="00486B53" w:rsidP="000F52BB">
      <w:pPr>
        <w:pStyle w:val="ParaText"/>
        <w:rPr>
          <w:rFonts w:cs="Arial"/>
        </w:rPr>
      </w:pPr>
      <w:r>
        <w:rPr>
          <w:rFonts w:cs="Arial"/>
        </w:rPr>
        <w:t>The Energy Imbalan</w:t>
      </w:r>
      <w:r w:rsidR="00AD59C2">
        <w:rPr>
          <w:rFonts w:cs="Arial"/>
        </w:rPr>
        <w:t xml:space="preserve">ce Market is an extension of </w:t>
      </w:r>
      <w:r w:rsidR="006A582E">
        <w:rPr>
          <w:rFonts w:cs="Arial"/>
        </w:rPr>
        <w:t>CA</w:t>
      </w:r>
      <w:r w:rsidR="008C11A0">
        <w:rPr>
          <w:rFonts w:cs="Arial"/>
        </w:rPr>
        <w:t xml:space="preserve">ISO’s </w:t>
      </w:r>
      <w:r w:rsidR="00FC30E3">
        <w:rPr>
          <w:rFonts w:cs="Arial"/>
        </w:rPr>
        <w:t>Real-Time</w:t>
      </w:r>
      <w:r w:rsidR="008C11A0">
        <w:rPr>
          <w:rFonts w:cs="Arial"/>
        </w:rPr>
        <w:t xml:space="preserve"> M</w:t>
      </w:r>
      <w:r>
        <w:rPr>
          <w:rFonts w:cs="Arial"/>
        </w:rPr>
        <w:t>arket.  Many of the busine</w:t>
      </w:r>
      <w:r w:rsidR="008C11A0">
        <w:rPr>
          <w:rFonts w:cs="Arial"/>
        </w:rPr>
        <w:t xml:space="preserve">ss practices applicable to the </w:t>
      </w:r>
      <w:r w:rsidR="00FC30E3">
        <w:rPr>
          <w:rFonts w:cs="Arial"/>
        </w:rPr>
        <w:t>Real-Time</w:t>
      </w:r>
      <w:r w:rsidR="008C11A0">
        <w:rPr>
          <w:rFonts w:cs="Arial"/>
        </w:rPr>
        <w:t xml:space="preserve"> M</w:t>
      </w:r>
      <w:r>
        <w:rPr>
          <w:rFonts w:cs="Arial"/>
        </w:rPr>
        <w:t xml:space="preserve">arket also </w:t>
      </w:r>
      <w:r w:rsidR="00311EBF">
        <w:rPr>
          <w:rFonts w:cs="Arial"/>
        </w:rPr>
        <w:t>apply to the Energy Imbalance Market (EIM)</w:t>
      </w:r>
      <w:r>
        <w:rPr>
          <w:rFonts w:cs="Arial"/>
        </w:rPr>
        <w:t xml:space="preserve">.  </w:t>
      </w:r>
      <w:r w:rsidR="00FD34EB">
        <w:rPr>
          <w:rFonts w:cs="Arial"/>
        </w:rPr>
        <w:t>This business pra</w:t>
      </w:r>
      <w:r w:rsidR="00311EBF">
        <w:rPr>
          <w:rFonts w:cs="Arial"/>
        </w:rPr>
        <w:t xml:space="preserve">ctice manual is a guideline for EIM </w:t>
      </w:r>
      <w:r w:rsidR="00FD34EB">
        <w:rPr>
          <w:rFonts w:cs="Arial"/>
        </w:rPr>
        <w:t>participants and will outline the processes in the EIM</w:t>
      </w:r>
      <w:r>
        <w:rPr>
          <w:rFonts w:cs="Arial"/>
        </w:rPr>
        <w:t>, including references to existing Business Practice Manuals</w:t>
      </w:r>
      <w:r w:rsidR="00FD34EB">
        <w:rPr>
          <w:rFonts w:cs="Arial"/>
        </w:rPr>
        <w:t xml:space="preserve">.  Revision requests for the BPMs may be submitted by stakeholders or an internal </w:t>
      </w:r>
      <w:r w:rsidR="00D415ED">
        <w:rPr>
          <w:rFonts w:cs="Arial"/>
        </w:rPr>
        <w:t>CA</w:t>
      </w:r>
      <w:r w:rsidR="00FD34EB">
        <w:rPr>
          <w:rFonts w:cs="Arial"/>
        </w:rPr>
        <w:t xml:space="preserve">ISO department.  </w:t>
      </w:r>
    </w:p>
    <w:p w14:paraId="395CCCAD" w14:textId="77777777" w:rsidR="00D00182" w:rsidRPr="00C03513" w:rsidRDefault="00D00182" w:rsidP="000F52BB">
      <w:pPr>
        <w:pStyle w:val="ParaText"/>
        <w:rPr>
          <w:rFonts w:cs="Arial"/>
        </w:rPr>
      </w:pPr>
      <w:r w:rsidRPr="00C03513">
        <w:rPr>
          <w:rFonts w:cs="Arial"/>
        </w:rPr>
        <w:t>If a Market Participant detects an inconsistency between BPMs, it should report the inconsistency to CAISO before relying on either provision.</w:t>
      </w:r>
    </w:p>
    <w:p w14:paraId="3824C936" w14:textId="77777777" w:rsidR="00D00182" w:rsidRPr="00C03513" w:rsidRDefault="00D00182" w:rsidP="00B06DE4">
      <w:pPr>
        <w:pStyle w:val="ParaText"/>
        <w:rPr>
          <w:rFonts w:cs="Arial"/>
          <w:bCs/>
        </w:rPr>
      </w:pPr>
      <w:r w:rsidRPr="00C03513">
        <w:rPr>
          <w:rFonts w:cs="Arial"/>
        </w:rPr>
        <w:t xml:space="preserve">The provisions of this BPM are intended to be consistent with the CAISO Tariff.  If </w:t>
      </w:r>
      <w:r w:rsidRPr="00C03513">
        <w:rPr>
          <w:rFonts w:cs="Arial"/>
          <w:bCs/>
        </w:rPr>
        <w:t xml:space="preserve">the provisions of this BPM </w:t>
      </w:r>
      <w:r w:rsidRPr="00C03513">
        <w:rPr>
          <w:rFonts w:cs="Arial"/>
        </w:rPr>
        <w:t xml:space="preserve">nevertheless conflict with </w:t>
      </w:r>
      <w:r w:rsidR="00AD59C2">
        <w:rPr>
          <w:rFonts w:cs="Arial"/>
          <w:bCs/>
        </w:rPr>
        <w:t xml:space="preserve">the CAISO Tariff, </w:t>
      </w:r>
      <w:r w:rsidRPr="00C03513">
        <w:rPr>
          <w:rFonts w:cs="Arial"/>
        </w:rPr>
        <w:t xml:space="preserve">CAISO is bound to operate in accordance with </w:t>
      </w:r>
      <w:r w:rsidRPr="00C03513">
        <w:rPr>
          <w:rFonts w:cs="Arial"/>
          <w:bCs/>
        </w:rPr>
        <w:t>the CAISO Tariff.  Any provision of the CAISO Tariff that may have been summarized or repeated in this BPM is only to aid understanding.  Even though e</w:t>
      </w:r>
      <w:r w:rsidR="00AD59C2">
        <w:rPr>
          <w:rFonts w:cs="Arial"/>
          <w:bCs/>
        </w:rPr>
        <w:t xml:space="preserve">very effort will be made by </w:t>
      </w:r>
      <w:r w:rsidRPr="00C03513">
        <w:rPr>
          <w:rFonts w:cs="Arial"/>
          <w:bCs/>
        </w:rPr>
        <w:t>CAISO to update the information contained in</w:t>
      </w:r>
      <w:r w:rsidR="001D146C">
        <w:rPr>
          <w:rFonts w:cs="Arial"/>
          <w:bCs/>
        </w:rPr>
        <w:t xml:space="preserve"> this BPM and to notify Market P</w:t>
      </w:r>
      <w:r w:rsidRPr="00C03513">
        <w:rPr>
          <w:rFonts w:cs="Arial"/>
          <w:bCs/>
        </w:rPr>
        <w:t xml:space="preserve">articipants of changes, it is the responsibility of each </w:t>
      </w:r>
      <w:r w:rsidRPr="00C03513">
        <w:rPr>
          <w:rFonts w:cs="Arial"/>
          <w:bCs/>
        </w:rPr>
        <w:lastRenderedPageBreak/>
        <w:t>Market Participant to ensure that he or she is using the most recent version of this BPM and to comply with all applicable provisions of the CAISO Tariff.</w:t>
      </w:r>
    </w:p>
    <w:p w14:paraId="7647F794" w14:textId="77777777" w:rsidR="00D00182" w:rsidRPr="00C03513" w:rsidRDefault="00D00182" w:rsidP="00E16E49">
      <w:pPr>
        <w:pStyle w:val="ParaText"/>
        <w:rPr>
          <w:rFonts w:cs="Arial"/>
          <w:bCs/>
        </w:rPr>
      </w:pPr>
      <w:r w:rsidRPr="00C03513">
        <w:rPr>
          <w:rFonts w:cs="Arial"/>
          <w:bCs/>
        </w:rPr>
        <w:t xml:space="preserve">A reference in this BPM to the CAISO Tariff, a given agreement, any other BPM or instrument, </w:t>
      </w:r>
      <w:r w:rsidRPr="00C03513">
        <w:rPr>
          <w:rFonts w:cs="Arial"/>
        </w:rPr>
        <w:t xml:space="preserve">is intended to </w:t>
      </w:r>
      <w:r w:rsidRPr="00C03513">
        <w:rPr>
          <w:rFonts w:cs="Arial"/>
          <w:bCs/>
        </w:rPr>
        <w:t>refer to the CAISO Tariff, that agreement, BPM</w:t>
      </w:r>
      <w:r w:rsidR="001D146C">
        <w:rPr>
          <w:rFonts w:cs="Arial"/>
          <w:bCs/>
        </w:rPr>
        <w:t>,</w:t>
      </w:r>
      <w:r w:rsidRPr="00C03513">
        <w:rPr>
          <w:rFonts w:cs="Arial"/>
          <w:bCs/>
        </w:rPr>
        <w:t xml:space="preserve"> or instrument as modified, amended, supplemented</w:t>
      </w:r>
      <w:r w:rsidR="001D146C">
        <w:rPr>
          <w:rFonts w:cs="Arial"/>
          <w:bCs/>
        </w:rPr>
        <w:t>,</w:t>
      </w:r>
      <w:r w:rsidRPr="00C03513">
        <w:rPr>
          <w:rFonts w:cs="Arial"/>
          <w:bCs/>
        </w:rPr>
        <w:t xml:space="preserve"> or restated.</w:t>
      </w:r>
    </w:p>
    <w:p w14:paraId="41F1D63C" w14:textId="77777777" w:rsidR="00D00182" w:rsidRPr="00C03513" w:rsidRDefault="00D00182" w:rsidP="00606233">
      <w:pPr>
        <w:pStyle w:val="Heading2"/>
        <w:numPr>
          <w:ilvl w:val="1"/>
          <w:numId w:val="7"/>
        </w:numPr>
        <w:rPr>
          <w:rFonts w:cs="Arial"/>
        </w:rPr>
      </w:pPr>
      <w:bookmarkStart w:id="13" w:name="_Toc389662562"/>
      <w:bookmarkStart w:id="14" w:name="_Toc390946247"/>
      <w:bookmarkStart w:id="15" w:name="_Toc391969812"/>
      <w:bookmarkStart w:id="16" w:name="_Toc20384068"/>
      <w:r w:rsidRPr="00C03513">
        <w:rPr>
          <w:rFonts w:cs="Arial"/>
        </w:rPr>
        <w:t>References</w:t>
      </w:r>
      <w:bookmarkEnd w:id="13"/>
      <w:bookmarkEnd w:id="14"/>
      <w:bookmarkEnd w:id="15"/>
      <w:bookmarkEnd w:id="16"/>
    </w:p>
    <w:p w14:paraId="75B4A42B" w14:textId="77777777" w:rsidR="00D00182" w:rsidRPr="00C03513" w:rsidRDefault="00DA22FB" w:rsidP="00D00182">
      <w:pPr>
        <w:pStyle w:val="ParaText"/>
        <w:rPr>
          <w:rFonts w:cs="Arial"/>
        </w:rPr>
      </w:pPr>
      <w:r>
        <w:rPr>
          <w:rFonts w:cs="Arial"/>
        </w:rPr>
        <w:t>R</w:t>
      </w:r>
      <w:r w:rsidR="00D00182" w:rsidRPr="00C03513">
        <w:rPr>
          <w:rFonts w:cs="Arial"/>
        </w:rPr>
        <w:t>eference information related to this BPM includes:</w:t>
      </w:r>
    </w:p>
    <w:p w14:paraId="2E0B06CD" w14:textId="77777777" w:rsidR="00D00182" w:rsidRDefault="00D00182" w:rsidP="00D00182">
      <w:pPr>
        <w:pStyle w:val="Bullet1"/>
        <w:rPr>
          <w:rFonts w:cs="Arial"/>
        </w:rPr>
      </w:pPr>
      <w:r w:rsidRPr="00C03513">
        <w:rPr>
          <w:rFonts w:cs="Arial"/>
        </w:rPr>
        <w:t>Other CAISO BPMs</w:t>
      </w:r>
    </w:p>
    <w:p w14:paraId="78109FA4" w14:textId="77777777" w:rsidR="00305625" w:rsidRDefault="00305625" w:rsidP="00D00182">
      <w:pPr>
        <w:pStyle w:val="Bullet1"/>
        <w:rPr>
          <w:rFonts w:cs="Arial"/>
        </w:rPr>
      </w:pPr>
      <w:r w:rsidRPr="00C03513">
        <w:rPr>
          <w:rFonts w:cs="Arial"/>
        </w:rPr>
        <w:t>CAISO Tariff</w:t>
      </w:r>
    </w:p>
    <w:p w14:paraId="30C9471F" w14:textId="77777777" w:rsidR="00305625" w:rsidRDefault="00305625" w:rsidP="00D00182">
      <w:pPr>
        <w:pStyle w:val="Bullet1"/>
        <w:rPr>
          <w:rFonts w:cs="Arial"/>
        </w:rPr>
      </w:pPr>
      <w:r w:rsidRPr="00562195">
        <w:rPr>
          <w:rFonts w:cs="Arial"/>
        </w:rPr>
        <w:t>EIM Final Proposal, September 23, 2013</w:t>
      </w:r>
    </w:p>
    <w:p w14:paraId="34BA4382" w14:textId="77777777" w:rsidR="00305625" w:rsidRPr="00C03513" w:rsidRDefault="00305625" w:rsidP="00E62C48">
      <w:pPr>
        <w:pStyle w:val="Bullet1"/>
        <w:numPr>
          <w:ilvl w:val="0"/>
          <w:numId w:val="0"/>
        </w:numPr>
        <w:ind w:left="720"/>
        <w:rPr>
          <w:rFonts w:cs="Arial"/>
        </w:rPr>
      </w:pPr>
    </w:p>
    <w:p w14:paraId="68BCA47F" w14:textId="77777777" w:rsidR="003A0BB4" w:rsidRPr="00C03513" w:rsidRDefault="003A0BB4">
      <w:pPr>
        <w:pStyle w:val="Bullet1HRt"/>
        <w:numPr>
          <w:ilvl w:val="0"/>
          <w:numId w:val="0"/>
        </w:numPr>
      </w:pPr>
      <w:r w:rsidRPr="00C03513">
        <w:t>CAISO posts current versions of these documents</w:t>
      </w:r>
      <w:r w:rsidR="000F52BB">
        <w:t xml:space="preserve"> on its website</w:t>
      </w:r>
      <w:r w:rsidRPr="00C03513">
        <w:t>.</w:t>
      </w:r>
    </w:p>
    <w:p w14:paraId="27FF86E9" w14:textId="77777777" w:rsidR="003A0BB4" w:rsidRPr="00C03513" w:rsidRDefault="003A0BB4" w:rsidP="003A0BB4">
      <w:pPr>
        <w:pStyle w:val="Bullet1HRt"/>
        <w:numPr>
          <w:ilvl w:val="0"/>
          <w:numId w:val="0"/>
        </w:numPr>
      </w:pPr>
      <w:r w:rsidRPr="00C03513">
        <w:t>Whenever this BPM refers to the</w:t>
      </w:r>
      <w:r w:rsidR="00552869" w:rsidRPr="00C03513">
        <w:t xml:space="preserve"> Tariff</w:t>
      </w:r>
      <w:r w:rsidRPr="00C03513">
        <w:t xml:space="preserve">, a given agreement (such as </w:t>
      </w:r>
      <w:r w:rsidR="00963966">
        <w:t>EIM Entity Agreement</w:t>
      </w:r>
      <w:r w:rsidR="00552869" w:rsidRPr="00C03513">
        <w:t>),</w:t>
      </w:r>
      <w:r w:rsidRPr="00C03513">
        <w:t xml:space="preserve"> or any other BPM or instrument, the intent is to refer to the</w:t>
      </w:r>
      <w:r w:rsidR="00552869" w:rsidRPr="00C03513">
        <w:t xml:space="preserve"> Tariff</w:t>
      </w:r>
      <w:r w:rsidRPr="00C03513">
        <w:t xml:space="preserve">, that agreement, </w:t>
      </w:r>
      <w:r w:rsidR="00957872">
        <w:t xml:space="preserve">any </w:t>
      </w:r>
      <w:r w:rsidRPr="00C03513">
        <w:t>other BPM or instrument as it may have been modified, amended, supplemented</w:t>
      </w:r>
      <w:r w:rsidR="009A0B75">
        <w:t>,</w:t>
      </w:r>
      <w:r w:rsidRPr="00C03513">
        <w:t xml:space="preserve"> or restated from the release date of this </w:t>
      </w:r>
      <w:r w:rsidR="00552869" w:rsidRPr="00C03513">
        <w:t xml:space="preserve"> </w:t>
      </w:r>
      <w:r w:rsidRPr="00C03513">
        <w:t>BPM</w:t>
      </w:r>
      <w:r w:rsidR="001D146C">
        <w:t xml:space="preserve"> for the Energy Imbalance Market</w:t>
      </w:r>
      <w:r w:rsidRPr="00C03513">
        <w:t>.</w:t>
      </w:r>
    </w:p>
    <w:p w14:paraId="10E76C45" w14:textId="77777777" w:rsidR="004430AC" w:rsidRDefault="003A0BB4" w:rsidP="005242BC">
      <w:pPr>
        <w:pStyle w:val="Bullet1HRt"/>
        <w:numPr>
          <w:ilvl w:val="0"/>
          <w:numId w:val="0"/>
        </w:numPr>
      </w:pPr>
      <w:r w:rsidRPr="00C03513">
        <w:t xml:space="preserve">The captions and headings in this BPM </w:t>
      </w:r>
      <w:r w:rsidR="00963966">
        <w:t xml:space="preserve">are </w:t>
      </w:r>
      <w:r w:rsidRPr="00C03513">
        <w:t>intend</w:t>
      </w:r>
      <w:r w:rsidR="00963966">
        <w:t>ed</w:t>
      </w:r>
      <w:r w:rsidRPr="00C03513">
        <w:t xml:space="preserve"> solely to facilitate reference and not to have any bearing on the meaning of any of the terms and conditions of this BPM.</w:t>
      </w:r>
    </w:p>
    <w:p w14:paraId="19313B75" w14:textId="77777777" w:rsidR="007B1C43" w:rsidRPr="00BF03A5" w:rsidRDefault="007B1C43" w:rsidP="005242BC">
      <w:pPr>
        <w:pStyle w:val="Bullet1HRt"/>
        <w:numPr>
          <w:ilvl w:val="0"/>
          <w:numId w:val="0"/>
        </w:numPr>
      </w:pPr>
    </w:p>
    <w:p w14:paraId="10C2A750" w14:textId="77777777" w:rsidR="00D00182" w:rsidRDefault="00CF6A5D" w:rsidP="008E1C96">
      <w:pPr>
        <w:pStyle w:val="Heading1"/>
      </w:pPr>
      <w:r w:rsidRPr="008E1C96">
        <w:t xml:space="preserve"> </w:t>
      </w:r>
      <w:bookmarkStart w:id="17" w:name="_Toc389662563"/>
      <w:bookmarkStart w:id="18" w:name="_Toc390946248"/>
      <w:bookmarkStart w:id="19" w:name="_Toc391969813"/>
      <w:bookmarkStart w:id="20" w:name="_Toc20384069"/>
      <w:r w:rsidR="008E1C96" w:rsidRPr="008E1C96">
        <w:t>BACKGROUND</w:t>
      </w:r>
      <w:bookmarkEnd w:id="17"/>
      <w:bookmarkEnd w:id="18"/>
      <w:bookmarkEnd w:id="19"/>
      <w:bookmarkEnd w:id="20"/>
    </w:p>
    <w:p w14:paraId="16995732" w14:textId="77777777" w:rsidR="00A04358" w:rsidRDefault="00A04358" w:rsidP="00877DDB">
      <w:pPr>
        <w:pStyle w:val="Bullet1HRt"/>
        <w:numPr>
          <w:ilvl w:val="0"/>
          <w:numId w:val="0"/>
        </w:numPr>
      </w:pPr>
      <w:r>
        <w:t xml:space="preserve">Welcome to the </w:t>
      </w:r>
      <w:r w:rsidRPr="00877DDB">
        <w:t>Background</w:t>
      </w:r>
      <w:r>
        <w:t xml:space="preserve"> section of the CAISO </w:t>
      </w:r>
      <w:r w:rsidRPr="00877DDB">
        <w:t>BPM for the Energy Imbalance Market</w:t>
      </w:r>
      <w:r>
        <w:t xml:space="preserve">.  </w:t>
      </w:r>
      <w:r w:rsidR="009D2609">
        <w:t>In this section</w:t>
      </w:r>
      <w:r>
        <w:t xml:space="preserve"> </w:t>
      </w:r>
      <w:r w:rsidR="009D2609">
        <w:t xml:space="preserve">you will find </w:t>
      </w:r>
      <w:r>
        <w:t xml:space="preserve">the following </w:t>
      </w:r>
      <w:r w:rsidR="009D2609">
        <w:t>information</w:t>
      </w:r>
      <w:r>
        <w:t>:</w:t>
      </w:r>
    </w:p>
    <w:p w14:paraId="13B2D64F" w14:textId="77777777" w:rsidR="00587E28" w:rsidRDefault="00587E28" w:rsidP="000F0531">
      <w:pPr>
        <w:pStyle w:val="Bullet1HRt"/>
        <w:numPr>
          <w:ilvl w:val="0"/>
          <w:numId w:val="70"/>
        </w:numPr>
      </w:pPr>
      <w:r>
        <w:t>Summary of CAISO’s Energy Imbalance Market Processes</w:t>
      </w:r>
      <w:r w:rsidR="001B2475">
        <w:t>.</w:t>
      </w:r>
    </w:p>
    <w:p w14:paraId="4223A989" w14:textId="77777777" w:rsidR="00587E28" w:rsidRDefault="00587E28" w:rsidP="000F0531">
      <w:pPr>
        <w:pStyle w:val="Bullet1HRt"/>
        <w:numPr>
          <w:ilvl w:val="0"/>
          <w:numId w:val="70"/>
        </w:numPr>
      </w:pPr>
      <w:r>
        <w:t>Summary of distinctive EIM features.</w:t>
      </w:r>
    </w:p>
    <w:p w14:paraId="6D2BC4F5" w14:textId="77777777" w:rsidR="00246D43" w:rsidRPr="00B00E71" w:rsidRDefault="009D2609" w:rsidP="00877DDB">
      <w:pPr>
        <w:pStyle w:val="Bullet1HRt"/>
        <w:numPr>
          <w:ilvl w:val="0"/>
          <w:numId w:val="0"/>
        </w:numPr>
      </w:pPr>
      <w:r>
        <w:t xml:space="preserve"> </w:t>
      </w:r>
      <w:r w:rsidR="00FC30E3">
        <w:t>The EIM is a Real-Time M</w:t>
      </w:r>
      <w:r w:rsidR="0083749E" w:rsidRPr="00B00E71">
        <w:t>arket to dispatch econom</w:t>
      </w:r>
      <w:r w:rsidR="00C148A5">
        <w:t>ic bids voluntarily offered by Participating R</w:t>
      </w:r>
      <w:r w:rsidR="0083749E" w:rsidRPr="00B00E71">
        <w:t xml:space="preserve">esources to efficiently balance supply, transfers between balancing authority areas, and load across its footprint. </w:t>
      </w:r>
      <w:r w:rsidR="0083749E" w:rsidRPr="00BF03A5">
        <w:t xml:space="preserve"> </w:t>
      </w:r>
      <w:r w:rsidR="0083749E" w:rsidRPr="008C1485">
        <w:lastRenderedPageBreak/>
        <w:t xml:space="preserve">EIM processes will be </w:t>
      </w:r>
      <w:r w:rsidR="00AD59C2">
        <w:t xml:space="preserve">similar and integrated with </w:t>
      </w:r>
      <w:r w:rsidR="003C7E61">
        <w:t>CA</w:t>
      </w:r>
      <w:r w:rsidR="0083749E" w:rsidRPr="008C1485">
        <w:t xml:space="preserve">ISO’s existing market processes. </w:t>
      </w:r>
      <w:r w:rsidR="00963966">
        <w:t xml:space="preserve"> </w:t>
      </w:r>
      <w:r w:rsidR="0083749E" w:rsidRPr="00B00E71">
        <w:t>The primary difference is that the EIM only incl</w:t>
      </w:r>
      <w:r w:rsidR="00AD59C2">
        <w:t xml:space="preserve">udes </w:t>
      </w:r>
      <w:r w:rsidR="003C7E61">
        <w:t>CA</w:t>
      </w:r>
      <w:r w:rsidR="0083749E" w:rsidRPr="00B00E71">
        <w:t>ISO</w:t>
      </w:r>
      <w:r w:rsidR="00FC30E3">
        <w:t>’s Real-Time M</w:t>
      </w:r>
      <w:r w:rsidR="00AD59C2">
        <w:t xml:space="preserve">arket and not </w:t>
      </w:r>
      <w:r w:rsidR="00E4613C">
        <w:t>CAISO’s Day-Ahead M</w:t>
      </w:r>
      <w:r w:rsidR="0083749E" w:rsidRPr="00B00E71">
        <w:t>arket. The EIM will have some unique characteristics to reflect this difference</w:t>
      </w:r>
      <w:r w:rsidR="00BF675A">
        <w:t>.  The EIM includes design elements that</w:t>
      </w:r>
      <w:r w:rsidR="0083749E" w:rsidRPr="00B00E71">
        <w:t xml:space="preserve"> ensure EIM balancing authorities have sufficient generation resources av</w:t>
      </w:r>
      <w:r w:rsidR="00FC30E3">
        <w:t>ailable in the Real-Time M</w:t>
      </w:r>
      <w:r w:rsidR="00BF675A">
        <w:t>arket</w:t>
      </w:r>
      <w:r w:rsidR="00D42782">
        <w:t>,</w:t>
      </w:r>
      <w:r w:rsidR="00BF675A">
        <w:t xml:space="preserve"> and allocates costs</w:t>
      </w:r>
      <w:r w:rsidR="006418F6">
        <w:t xml:space="preserve"> </w:t>
      </w:r>
      <w:r w:rsidR="0083749E" w:rsidRPr="00B00E71">
        <w:t xml:space="preserve">between balancing authorities according to </w:t>
      </w:r>
      <w:r w:rsidR="003C7E61">
        <w:t>CA</w:t>
      </w:r>
      <w:r w:rsidR="00BF675A">
        <w:t>ISO guiding principles. The EIM also ensures that p</w:t>
      </w:r>
      <w:r w:rsidR="0083749E" w:rsidRPr="00B00E71">
        <w:t xml:space="preserve">rotections are in place so convergence bidding does not cause cost uplifts in EIM balancing authorities. </w:t>
      </w:r>
    </w:p>
    <w:p w14:paraId="432FE330" w14:textId="77777777" w:rsidR="0083749E" w:rsidRPr="00B97D31" w:rsidRDefault="00246D43" w:rsidP="00877DDB">
      <w:pPr>
        <w:pStyle w:val="Bullet1HRt"/>
        <w:numPr>
          <w:ilvl w:val="0"/>
          <w:numId w:val="0"/>
        </w:numPr>
      </w:pPr>
      <w:r w:rsidRPr="00B00E71">
        <w:t xml:space="preserve">This market </w:t>
      </w:r>
      <w:r w:rsidR="00AB2354">
        <w:t>structure</w:t>
      </w:r>
      <w:r w:rsidRPr="00B00E71">
        <w:t xml:space="preserve"> is reflected in the framework of this BPM, which is the same framework as applied to the EIM tariff provisions.  Matters that are unique to the EIM will be addressed in this BPM.  Matters that a</w:t>
      </w:r>
      <w:r w:rsidR="00FC30E3">
        <w:t>re generally applicable to the Real-Time M</w:t>
      </w:r>
      <w:r w:rsidRPr="00B00E71">
        <w:t xml:space="preserve">arket and </w:t>
      </w:r>
      <w:r w:rsidR="006A582E">
        <w:t>CA</w:t>
      </w:r>
      <w:r w:rsidRPr="00B00E71">
        <w:t>ISO market participants will be addressed in existing BPMs.  Matt</w:t>
      </w:r>
      <w:r w:rsidR="00FC30E3">
        <w:t>ers applicable to both current Real-Time M</w:t>
      </w:r>
      <w:r w:rsidRPr="00B00E71">
        <w:t>arket participants and EIM participants, particularly cost allocatio</w:t>
      </w:r>
      <w:r w:rsidR="00FC30E3">
        <w:t>n of charges applicable to the Real-Time M</w:t>
      </w:r>
      <w:r w:rsidRPr="00B00E71">
        <w:t>arket, will be addressed in the existing BP</w:t>
      </w:r>
      <w:r w:rsidR="001C2A48" w:rsidRPr="00B00E71">
        <w:t>M</w:t>
      </w:r>
      <w:r w:rsidRPr="00B00E71">
        <w:t>s.</w:t>
      </w:r>
      <w:r w:rsidR="001C2A48" w:rsidRPr="00B00E71">
        <w:t xml:space="preserve">  This framework integrates this BPM with other BPMs and establishes this BPM as a guide for EIM participants.  Existing market participants may continue to find practices applicable to their business in the current BPMs</w:t>
      </w:r>
      <w:r w:rsidR="00CE52FC">
        <w:t>, available on the CAISO website</w:t>
      </w:r>
      <w:r w:rsidR="001C2A48" w:rsidRPr="00B00E71">
        <w:t xml:space="preserve">. </w:t>
      </w:r>
      <w:r w:rsidRPr="00B00E71">
        <w:t xml:space="preserve">    </w:t>
      </w:r>
    </w:p>
    <w:p w14:paraId="1F2B8FC4" w14:textId="77777777" w:rsidR="00246D43" w:rsidRDefault="00CD3846" w:rsidP="008C1485">
      <w:pPr>
        <w:pStyle w:val="Heading2"/>
      </w:pPr>
      <w:bookmarkStart w:id="21" w:name="_Toc389662564"/>
      <w:bookmarkStart w:id="22" w:name="_Toc390946249"/>
      <w:bookmarkStart w:id="23" w:name="_Toc391969814"/>
      <w:bookmarkStart w:id="24" w:name="_Toc20384070"/>
      <w:r>
        <w:t>Energy Imbalance Market</w:t>
      </w:r>
      <w:r w:rsidR="00EA285F">
        <w:t xml:space="preserve"> Overview</w:t>
      </w:r>
      <w:bookmarkStart w:id="25" w:name="_Toc390765914"/>
      <w:bookmarkStart w:id="26" w:name="_Toc390778381"/>
      <w:bookmarkStart w:id="27" w:name="_Toc390779359"/>
      <w:bookmarkStart w:id="28" w:name="_Toc390782172"/>
      <w:bookmarkStart w:id="29" w:name="_Toc390871644"/>
      <w:bookmarkStart w:id="30" w:name="_Toc390871701"/>
      <w:bookmarkStart w:id="31" w:name="_Toc390871758"/>
      <w:bookmarkEnd w:id="21"/>
      <w:bookmarkEnd w:id="22"/>
      <w:bookmarkEnd w:id="23"/>
      <w:bookmarkEnd w:id="25"/>
      <w:bookmarkEnd w:id="26"/>
      <w:bookmarkEnd w:id="27"/>
      <w:bookmarkEnd w:id="28"/>
      <w:bookmarkEnd w:id="29"/>
      <w:bookmarkEnd w:id="30"/>
      <w:bookmarkEnd w:id="31"/>
      <w:bookmarkEnd w:id="24"/>
    </w:p>
    <w:p w14:paraId="6537182F" w14:textId="77777777" w:rsidR="00246D43" w:rsidRPr="00B00E71" w:rsidRDefault="003C7E61" w:rsidP="00B00E71">
      <w:pPr>
        <w:pStyle w:val="Bullet1HRt"/>
        <w:numPr>
          <w:ilvl w:val="0"/>
          <w:numId w:val="0"/>
        </w:numPr>
      </w:pPr>
      <w:r>
        <w:t>CA</w:t>
      </w:r>
      <w:r w:rsidR="00FC30E3">
        <w:t>ISO has based the EIM on the Real-Time M</w:t>
      </w:r>
      <w:r w:rsidR="00246D43" w:rsidRPr="00B00E71">
        <w:t xml:space="preserve">arket design, which was developed in part to comply with FERC Order No. 764, </w:t>
      </w:r>
      <w:r>
        <w:t xml:space="preserve">and </w:t>
      </w:r>
      <w:r w:rsidR="00246D43" w:rsidRPr="00B00E71">
        <w:t>consists of a 15-minute market and a 5-minute dispatch. Each of these market runs will produce schedules and locational marginal prices for resources. The EIM will also commit short-start generation units in</w:t>
      </w:r>
      <w:r w:rsidR="00CE52FC">
        <w:t xml:space="preserve"> the 15-minute market. Like </w:t>
      </w:r>
      <w:r>
        <w:t>CA</w:t>
      </w:r>
      <w:r w:rsidR="00FC30E3">
        <w:t>ISO’s current Real-Time</w:t>
      </w:r>
      <w:r w:rsidR="00303EEF">
        <w:t xml:space="preserve"> M</w:t>
      </w:r>
      <w:r w:rsidR="00246D43" w:rsidRPr="00B00E71">
        <w:t xml:space="preserve">arket, the EIM will enforce a flexible ramping constraint to commit and position resources to meet future load and supply variability and uncertainty. </w:t>
      </w:r>
    </w:p>
    <w:p w14:paraId="0DA7B5F1" w14:textId="77777777" w:rsidR="00924ADE" w:rsidRPr="00CE52FC" w:rsidRDefault="00303EEF" w:rsidP="00B00E71">
      <w:pPr>
        <w:pStyle w:val="Bullet1HRt"/>
        <w:numPr>
          <w:ilvl w:val="0"/>
          <w:numId w:val="0"/>
        </w:numPr>
      </w:pPr>
      <w:r>
        <w:t>In the Day-A</w:t>
      </w:r>
      <w:r w:rsidR="001C2A48" w:rsidRPr="00B00E71">
        <w:t>head time</w:t>
      </w:r>
      <w:r w:rsidR="003C7E61">
        <w:t xml:space="preserve"> </w:t>
      </w:r>
      <w:r w:rsidR="001C2A48" w:rsidRPr="00B00E71">
        <w:t xml:space="preserve">frame, EIM balancing authorities </w:t>
      </w:r>
      <w:r w:rsidR="00963966">
        <w:t>participating in the EIM</w:t>
      </w:r>
      <w:r w:rsidR="001C2A48" w:rsidRPr="00B00E71">
        <w:t xml:space="preserve"> will submit load fore</w:t>
      </w:r>
      <w:r w:rsidR="000B6D3C">
        <w:t xml:space="preserve">casts </w:t>
      </w:r>
      <w:r w:rsidR="00181CB0">
        <w:t xml:space="preserve">or elect to use the </w:t>
      </w:r>
      <w:r w:rsidR="00CE52FC">
        <w:t>CA</w:t>
      </w:r>
      <w:r w:rsidR="00181CB0">
        <w:t>ISO</w:t>
      </w:r>
      <w:r w:rsidR="004430AC">
        <w:t>-</w:t>
      </w:r>
      <w:r w:rsidR="00181CB0">
        <w:t>created forecast</w:t>
      </w:r>
      <w:r w:rsidR="00CE52FC">
        <w:t xml:space="preserve"> for the EIM balancing</w:t>
      </w:r>
      <w:r w:rsidR="00181CB0">
        <w:t xml:space="preserve">, </w:t>
      </w:r>
      <w:r w:rsidR="000B6D3C">
        <w:t>and anticipated resource Base S</w:t>
      </w:r>
      <w:r w:rsidR="00CE52FC">
        <w:t xml:space="preserve">chedules to </w:t>
      </w:r>
      <w:r w:rsidR="006A582E">
        <w:t>CA</w:t>
      </w:r>
      <w:r w:rsidR="00CE52FC">
        <w:t>ISO</w:t>
      </w:r>
      <w:r w:rsidR="00924ADE" w:rsidRPr="00B00E71">
        <w:t>, while remaining responsible for reliability in their area</w:t>
      </w:r>
      <w:r w:rsidR="001C2A48" w:rsidRPr="00B00E71">
        <w:t xml:space="preserve">. </w:t>
      </w:r>
      <w:r w:rsidR="00924ADE" w:rsidRPr="00B00E71">
        <w:t xml:space="preserve"> </w:t>
      </w:r>
      <w:r w:rsidR="00CE52FC">
        <w:t xml:space="preserve">This information will allow </w:t>
      </w:r>
      <w:r w:rsidR="006A582E">
        <w:t>CA</w:t>
      </w:r>
      <w:r w:rsidR="001C2A48" w:rsidRPr="00B00E71">
        <w:t>ISO to identify infeasible schedules, such as those that might cause transmission overloads in the EIM footprint, and provide advisory information to EIM balancing auth</w:t>
      </w:r>
      <w:r w:rsidR="000B6D3C">
        <w:t>orities so they can revise the Base S</w:t>
      </w:r>
      <w:r w:rsidR="001C2A48" w:rsidRPr="00B00E71">
        <w:t xml:space="preserve">chedules to resolve </w:t>
      </w:r>
      <w:r w:rsidR="000B6D3C">
        <w:t>any infeasibilities. These EIM Base S</w:t>
      </w:r>
      <w:r w:rsidR="001C2A48" w:rsidRPr="00B00E71">
        <w:t>chedules will help to imp</w:t>
      </w:r>
      <w:r w:rsidR="009D507A">
        <w:t xml:space="preserve">rove the accuracy of </w:t>
      </w:r>
      <w:r w:rsidR="006A582E">
        <w:t>CA</w:t>
      </w:r>
      <w:r w:rsidR="00E4613C">
        <w:t>ISO’s Day-Ahead M</w:t>
      </w:r>
      <w:r w:rsidR="001C2A48" w:rsidRPr="00B00E71">
        <w:t>arket model</w:t>
      </w:r>
      <w:r w:rsidR="00CE52FC">
        <w:t>.</w:t>
      </w:r>
    </w:p>
    <w:p w14:paraId="75FBA37B" w14:textId="77777777" w:rsidR="00924ADE" w:rsidRPr="00B00E71" w:rsidRDefault="00FC30E3" w:rsidP="00B00E71">
      <w:pPr>
        <w:pStyle w:val="Bullet1HRt"/>
        <w:numPr>
          <w:ilvl w:val="0"/>
          <w:numId w:val="0"/>
        </w:numPr>
        <w:rPr>
          <w:rFonts w:cs="Arial"/>
        </w:rPr>
      </w:pPr>
      <w:r>
        <w:rPr>
          <w:rFonts w:cs="Arial"/>
        </w:rPr>
        <w:t>In Real-Time</w:t>
      </w:r>
      <w:r w:rsidR="00CE52FC">
        <w:rPr>
          <w:rFonts w:cs="Arial"/>
        </w:rPr>
        <w:t xml:space="preserve">, </w:t>
      </w:r>
      <w:r w:rsidR="006A582E">
        <w:rPr>
          <w:rFonts w:cs="Arial"/>
        </w:rPr>
        <w:t>CA</w:t>
      </w:r>
      <w:r w:rsidR="00924ADE" w:rsidRPr="00B06DE4">
        <w:rPr>
          <w:rFonts w:cs="Arial"/>
        </w:rPr>
        <w:t>I</w:t>
      </w:r>
      <w:r w:rsidR="003C7E61">
        <w:rPr>
          <w:rFonts w:cs="Arial"/>
        </w:rPr>
        <w:t xml:space="preserve">SO will financially settle the </w:t>
      </w:r>
      <w:r w:rsidR="00924ADE" w:rsidRPr="00B06DE4">
        <w:rPr>
          <w:rFonts w:cs="Arial"/>
        </w:rPr>
        <w:t>Energy Imbalance Market in a manner that appropriately recognizes the costs attributable to each participating balancing au</w:t>
      </w:r>
      <w:r w:rsidR="00CE52FC">
        <w:rPr>
          <w:rFonts w:cs="Arial"/>
        </w:rPr>
        <w:t xml:space="preserve">thority area.  For example, </w:t>
      </w:r>
      <w:r w:rsidR="006A582E">
        <w:rPr>
          <w:rFonts w:cs="Arial"/>
        </w:rPr>
        <w:t>CA</w:t>
      </w:r>
      <w:r w:rsidR="00924ADE" w:rsidRPr="00B06DE4">
        <w:rPr>
          <w:rFonts w:cs="Arial"/>
        </w:rPr>
        <w:t>ISO will allocate bid cost recovery payme</w:t>
      </w:r>
      <w:r w:rsidR="00924ADE" w:rsidRPr="00BB070F">
        <w:rPr>
          <w:rFonts w:cs="Arial"/>
        </w:rPr>
        <w:t>nts to resources, as well as neutrality amounts that track differences between payments received from load and payments to generation to each participating balancing</w:t>
      </w:r>
      <w:r w:rsidR="00CE52FC">
        <w:rPr>
          <w:rFonts w:cs="Arial"/>
        </w:rPr>
        <w:t xml:space="preserve"> </w:t>
      </w:r>
      <w:r w:rsidR="00CE52FC">
        <w:rPr>
          <w:rFonts w:cs="Arial"/>
        </w:rPr>
        <w:lastRenderedPageBreak/>
        <w:t xml:space="preserve">authority, consistent with </w:t>
      </w:r>
      <w:r w:rsidR="006A582E">
        <w:rPr>
          <w:rFonts w:cs="Arial"/>
        </w:rPr>
        <w:t>CA</w:t>
      </w:r>
      <w:r w:rsidR="00924ADE" w:rsidRPr="00BB070F">
        <w:rPr>
          <w:rFonts w:cs="Arial"/>
        </w:rPr>
        <w:t>ISO</w:t>
      </w:r>
      <w:r w:rsidR="00CE52FC">
        <w:rPr>
          <w:rFonts w:cs="Arial"/>
        </w:rPr>
        <w:t>’s cost allocation pr</w:t>
      </w:r>
      <w:r w:rsidR="004C2528">
        <w:rPr>
          <w:rFonts w:cs="Arial"/>
        </w:rPr>
        <w:t xml:space="preserve">inciples.  </w:t>
      </w:r>
      <w:r w:rsidR="00924ADE" w:rsidRPr="00BB070F">
        <w:rPr>
          <w:rFonts w:cs="Arial"/>
        </w:rPr>
        <w:t>The participating balancing authorities will be responsible for allocating these amounts according to their respective open ac</w:t>
      </w:r>
      <w:r w:rsidR="00CE52FC">
        <w:rPr>
          <w:rFonts w:cs="Arial"/>
        </w:rPr>
        <w:t xml:space="preserve">cess transmission tariffs.  </w:t>
      </w:r>
      <w:r w:rsidR="006A582E">
        <w:rPr>
          <w:rFonts w:cs="Arial"/>
        </w:rPr>
        <w:t>CA</w:t>
      </w:r>
      <w:r w:rsidR="00924ADE" w:rsidRPr="00BB070F">
        <w:rPr>
          <w:rFonts w:cs="Arial"/>
        </w:rPr>
        <w:t>ISO will use a process based on its existing local market power mitigation approach to mitigate market power in each balan</w:t>
      </w:r>
      <w:r w:rsidR="00924ADE" w:rsidRPr="003D6985">
        <w:rPr>
          <w:rFonts w:cs="Arial"/>
        </w:rPr>
        <w:t>cing</w:t>
      </w:r>
      <w:r w:rsidR="00924ADE" w:rsidRPr="005F06B1">
        <w:rPr>
          <w:rFonts w:cs="Arial"/>
        </w:rPr>
        <w:t xml:space="preserve"> authority </w:t>
      </w:r>
      <w:r w:rsidR="00924ADE">
        <w:rPr>
          <w:rFonts w:cs="Arial"/>
        </w:rPr>
        <w:t>area participating in t</w:t>
      </w:r>
      <w:r w:rsidR="00CE52FC">
        <w:rPr>
          <w:rFonts w:cs="Arial"/>
        </w:rPr>
        <w:t>he EIM</w:t>
      </w:r>
      <w:r w:rsidR="00924ADE">
        <w:rPr>
          <w:rFonts w:cs="Arial"/>
        </w:rPr>
        <w:t>, and will monitor and assess the application of market power mitigation before and after implementation.</w:t>
      </w:r>
    </w:p>
    <w:p w14:paraId="51BBAA15" w14:textId="77777777" w:rsidR="00924ADE" w:rsidRPr="00B00E71" w:rsidRDefault="00924ADE" w:rsidP="00B00E71">
      <w:pPr>
        <w:pStyle w:val="Bullet1HRt"/>
        <w:numPr>
          <w:ilvl w:val="0"/>
          <w:numId w:val="0"/>
        </w:numPr>
        <w:rPr>
          <w:rFonts w:cs="Arial"/>
        </w:rPr>
      </w:pPr>
      <w:r>
        <w:rPr>
          <w:rFonts w:cs="Arial"/>
        </w:rPr>
        <w:t>The prop</w:t>
      </w:r>
      <w:r w:rsidR="00A11DAB">
        <w:rPr>
          <w:rFonts w:cs="Arial"/>
        </w:rPr>
        <w:t>osed tariff revisions recognize</w:t>
      </w:r>
      <w:r>
        <w:rPr>
          <w:rFonts w:cs="Arial"/>
        </w:rPr>
        <w:t xml:space="preserve"> the need for re</w:t>
      </w:r>
      <w:r w:rsidR="00270C54">
        <w:rPr>
          <w:rFonts w:cs="Arial"/>
        </w:rPr>
        <w:t>sources that serve load in the CA</w:t>
      </w:r>
      <w:r>
        <w:rPr>
          <w:rFonts w:cs="Arial"/>
        </w:rPr>
        <w:t>ISO balancing authority area through the</w:t>
      </w:r>
      <w:r w:rsidRPr="00270C54">
        <w:t xml:space="preserve"> </w:t>
      </w:r>
      <w:r w:rsidR="00357601">
        <w:rPr>
          <w:rFonts w:cs="Arial"/>
        </w:rPr>
        <w:t>EIM</w:t>
      </w:r>
      <w:r>
        <w:rPr>
          <w:rFonts w:cs="Arial"/>
        </w:rPr>
        <w:t xml:space="preserve"> to comply with </w:t>
      </w:r>
      <w:r w:rsidRPr="005F06B1">
        <w:rPr>
          <w:rFonts w:cs="Arial"/>
        </w:rPr>
        <w:t>California’s greenhouse gas cap and trade regulation</w:t>
      </w:r>
      <w:r>
        <w:rPr>
          <w:rFonts w:cs="Arial"/>
        </w:rPr>
        <w:t xml:space="preserve">s.  As it currently does for </w:t>
      </w:r>
      <w:r w:rsidR="00FC30E3">
        <w:rPr>
          <w:rFonts w:cs="Arial"/>
        </w:rPr>
        <w:t>resources participating in its Real-Time M</w:t>
      </w:r>
      <w:r>
        <w:rPr>
          <w:rFonts w:cs="Arial"/>
        </w:rPr>
        <w:t>arket</w:t>
      </w:r>
      <w:r w:rsidR="00357601">
        <w:rPr>
          <w:rFonts w:cs="Arial"/>
        </w:rPr>
        <w:t xml:space="preserve">, </w:t>
      </w:r>
      <w:r w:rsidR="006A582E">
        <w:rPr>
          <w:rFonts w:cs="Arial"/>
        </w:rPr>
        <w:t>CA</w:t>
      </w:r>
      <w:r w:rsidRPr="005F06B1">
        <w:rPr>
          <w:rFonts w:cs="Arial"/>
        </w:rPr>
        <w:t xml:space="preserve">ISO will allow </w:t>
      </w:r>
      <w:r>
        <w:rPr>
          <w:rFonts w:cs="Arial"/>
        </w:rPr>
        <w:t>E</w:t>
      </w:r>
      <w:r w:rsidR="00963966">
        <w:rPr>
          <w:rFonts w:cs="Arial"/>
        </w:rPr>
        <w:t>IM</w:t>
      </w:r>
      <w:r>
        <w:rPr>
          <w:rFonts w:cs="Arial"/>
        </w:rPr>
        <w:t xml:space="preserve"> </w:t>
      </w:r>
      <w:r w:rsidR="00963966">
        <w:rPr>
          <w:rFonts w:cs="Arial"/>
        </w:rPr>
        <w:t>participating</w:t>
      </w:r>
      <w:r w:rsidRPr="00B00E71">
        <w:t xml:space="preserve"> </w:t>
      </w:r>
      <w:r w:rsidRPr="005F06B1">
        <w:rPr>
          <w:rFonts w:cs="Arial"/>
        </w:rPr>
        <w:t>resources to include the costs of compl</w:t>
      </w:r>
      <w:r>
        <w:rPr>
          <w:rFonts w:cs="Arial"/>
        </w:rPr>
        <w:t xml:space="preserve">iance in </w:t>
      </w:r>
      <w:r w:rsidR="00562195">
        <w:rPr>
          <w:rFonts w:cs="Arial"/>
        </w:rPr>
        <w:t>a</w:t>
      </w:r>
      <w:r w:rsidR="00587E28">
        <w:rPr>
          <w:rFonts w:cs="Arial"/>
        </w:rPr>
        <w:t>n</w:t>
      </w:r>
      <w:r w:rsidR="00562195">
        <w:rPr>
          <w:rFonts w:cs="Arial"/>
        </w:rPr>
        <w:t xml:space="preserve"> EIM bid </w:t>
      </w:r>
      <w:r w:rsidR="00A20ED4">
        <w:rPr>
          <w:rFonts w:cs="Arial"/>
        </w:rPr>
        <w:t>a</w:t>
      </w:r>
      <w:r w:rsidR="00562195">
        <w:rPr>
          <w:rFonts w:cs="Arial"/>
        </w:rPr>
        <w:t xml:space="preserve">dder </w:t>
      </w:r>
      <w:r>
        <w:rPr>
          <w:rFonts w:cs="Arial"/>
        </w:rPr>
        <w:t xml:space="preserve">and </w:t>
      </w:r>
      <w:r w:rsidRPr="005F06B1">
        <w:rPr>
          <w:rFonts w:cs="Arial"/>
        </w:rPr>
        <w:t xml:space="preserve">will incorporate this cost into its dispatch of generation </w:t>
      </w:r>
      <w:r w:rsidR="00C40C29">
        <w:rPr>
          <w:rFonts w:cs="Arial"/>
        </w:rPr>
        <w:t xml:space="preserve">as appropriate.  </w:t>
      </w:r>
      <w:r w:rsidR="006A582E">
        <w:rPr>
          <w:rFonts w:cs="Arial"/>
        </w:rPr>
        <w:t>CA</w:t>
      </w:r>
      <w:r>
        <w:rPr>
          <w:rFonts w:cs="Arial"/>
        </w:rPr>
        <w:t xml:space="preserve">ISO </w:t>
      </w:r>
      <w:r w:rsidRPr="005F06B1">
        <w:rPr>
          <w:rFonts w:cs="Arial"/>
        </w:rPr>
        <w:t xml:space="preserve">will not consider this cost when it dispatches this generation </w:t>
      </w:r>
      <w:r>
        <w:rPr>
          <w:rFonts w:cs="Arial"/>
        </w:rPr>
        <w:t xml:space="preserve">that is attributable </w:t>
      </w:r>
      <w:r w:rsidRPr="005F06B1">
        <w:rPr>
          <w:rFonts w:cs="Arial"/>
        </w:rPr>
        <w:t>to serv</w:t>
      </w:r>
      <w:r>
        <w:rPr>
          <w:rFonts w:cs="Arial"/>
        </w:rPr>
        <w:t>ing</w:t>
      </w:r>
      <w:r w:rsidR="00C40C29">
        <w:rPr>
          <w:rFonts w:cs="Arial"/>
        </w:rPr>
        <w:t xml:space="preserve"> load outside </w:t>
      </w:r>
      <w:r w:rsidR="006A582E">
        <w:rPr>
          <w:rFonts w:cs="Arial"/>
        </w:rPr>
        <w:t>CA</w:t>
      </w:r>
      <w:r w:rsidRPr="005F06B1">
        <w:rPr>
          <w:rFonts w:cs="Arial"/>
        </w:rPr>
        <w:t>ISO</w:t>
      </w:r>
      <w:r w:rsidR="004C2528">
        <w:rPr>
          <w:rFonts w:cs="Arial"/>
        </w:rPr>
        <w:t xml:space="preserve">, and </w:t>
      </w:r>
      <w:r>
        <w:rPr>
          <w:rFonts w:cs="Arial"/>
        </w:rPr>
        <w:t>therefore, g</w:t>
      </w:r>
      <w:r w:rsidRPr="005F06B1">
        <w:rPr>
          <w:rFonts w:cs="Arial"/>
        </w:rPr>
        <w:t xml:space="preserve">reenhouse gas regulation compliance costs will not affect </w:t>
      </w:r>
      <w:r>
        <w:rPr>
          <w:rFonts w:cs="Arial"/>
        </w:rPr>
        <w:t xml:space="preserve">locational prices outside the </w:t>
      </w:r>
      <w:r w:rsidR="006A582E">
        <w:rPr>
          <w:rFonts w:cs="Arial"/>
        </w:rPr>
        <w:t>CA</w:t>
      </w:r>
      <w:r>
        <w:rPr>
          <w:rFonts w:cs="Arial"/>
        </w:rPr>
        <w:t>ISO balancing authority area</w:t>
      </w:r>
      <w:r w:rsidRPr="005F06B1">
        <w:rPr>
          <w:rFonts w:cs="Arial"/>
        </w:rPr>
        <w:t>.</w:t>
      </w:r>
      <w:r>
        <w:rPr>
          <w:rFonts w:cs="Arial"/>
        </w:rPr>
        <w:t xml:space="preserve"> </w:t>
      </w:r>
    </w:p>
    <w:p w14:paraId="2778BFF9" w14:textId="77777777" w:rsidR="00846CAB" w:rsidRDefault="00924ADE" w:rsidP="00DF0BA1">
      <w:pPr>
        <w:pStyle w:val="Bullet1HRt"/>
        <w:numPr>
          <w:ilvl w:val="0"/>
          <w:numId w:val="0"/>
        </w:numPr>
        <w:rPr>
          <w:rFonts w:cs="Arial"/>
        </w:rPr>
      </w:pPr>
      <w:r>
        <w:rPr>
          <w:rFonts w:cs="Arial"/>
        </w:rPr>
        <w:t>Transmission access to the E</w:t>
      </w:r>
      <w:r w:rsidR="00963966">
        <w:rPr>
          <w:rFonts w:cs="Arial"/>
        </w:rPr>
        <w:t>IM</w:t>
      </w:r>
      <w:r w:rsidR="00E76673">
        <w:rPr>
          <w:rFonts w:cs="Arial"/>
        </w:rPr>
        <w:t xml:space="preserve"> </w:t>
      </w:r>
      <w:r>
        <w:rPr>
          <w:rFonts w:cs="Arial"/>
        </w:rPr>
        <w:t>will be provided under the applicable transmission service provider tariffs.  As par</w:t>
      </w:r>
      <w:r w:rsidR="00E76673">
        <w:rPr>
          <w:rFonts w:cs="Arial"/>
        </w:rPr>
        <w:t xml:space="preserve">t of a reciprocal arrangement, </w:t>
      </w:r>
      <w:r w:rsidR="006A582E">
        <w:rPr>
          <w:rFonts w:cs="Arial"/>
        </w:rPr>
        <w:t>CA</w:t>
      </w:r>
      <w:r w:rsidRPr="005F06B1">
        <w:rPr>
          <w:rFonts w:cs="Arial"/>
        </w:rPr>
        <w:t xml:space="preserve">ISO </w:t>
      </w:r>
      <w:r>
        <w:rPr>
          <w:rFonts w:cs="Arial"/>
        </w:rPr>
        <w:t xml:space="preserve">has proposed </w:t>
      </w:r>
      <w:r w:rsidRPr="005F06B1">
        <w:rPr>
          <w:rFonts w:cs="Arial"/>
        </w:rPr>
        <w:t xml:space="preserve">that there be no </w:t>
      </w:r>
      <w:r>
        <w:rPr>
          <w:rFonts w:cs="Arial"/>
        </w:rPr>
        <w:t xml:space="preserve">incremental transmission </w:t>
      </w:r>
      <w:r w:rsidRPr="005F06B1">
        <w:rPr>
          <w:rFonts w:cs="Arial"/>
        </w:rPr>
        <w:t>charge for the use of transmission to support E</w:t>
      </w:r>
      <w:r w:rsidR="00963966">
        <w:rPr>
          <w:rFonts w:cs="Arial"/>
        </w:rPr>
        <w:t>IM</w:t>
      </w:r>
      <w:r w:rsidR="00E76673">
        <w:rPr>
          <w:rFonts w:cs="Arial"/>
        </w:rPr>
        <w:t xml:space="preserve"> </w:t>
      </w:r>
      <w:r w:rsidRPr="005F06B1">
        <w:rPr>
          <w:rFonts w:cs="Arial"/>
        </w:rPr>
        <w:t>transfers</w:t>
      </w:r>
      <w:r>
        <w:rPr>
          <w:rFonts w:cs="Arial"/>
        </w:rPr>
        <w:t xml:space="preserve"> between participating balancing authority areas</w:t>
      </w:r>
      <w:r w:rsidRPr="005F06B1">
        <w:rPr>
          <w:rFonts w:cs="Arial"/>
        </w:rPr>
        <w:t xml:space="preserve">.  </w:t>
      </w:r>
      <w:r>
        <w:rPr>
          <w:rFonts w:cs="Arial"/>
        </w:rPr>
        <w:t>Within the first year of op</w:t>
      </w:r>
      <w:r w:rsidR="00E76673">
        <w:rPr>
          <w:rFonts w:cs="Arial"/>
        </w:rPr>
        <w:t xml:space="preserve">eration, </w:t>
      </w:r>
      <w:r w:rsidR="006A582E">
        <w:rPr>
          <w:rFonts w:cs="Arial"/>
        </w:rPr>
        <w:t>CA</w:t>
      </w:r>
      <w:r>
        <w:rPr>
          <w:rFonts w:cs="Arial"/>
        </w:rPr>
        <w:t xml:space="preserve">ISO will consider in consultation with </w:t>
      </w:r>
      <w:r w:rsidRPr="005F06B1">
        <w:rPr>
          <w:rFonts w:cs="Arial"/>
        </w:rPr>
        <w:t>stakeholders</w:t>
      </w:r>
      <w:r>
        <w:rPr>
          <w:rFonts w:cs="Arial"/>
        </w:rPr>
        <w:t xml:space="preserve"> whether to continue this arrangement or to modify it, and this BPM will be updated </w:t>
      </w:r>
      <w:r w:rsidR="00F73DA7">
        <w:rPr>
          <w:rFonts w:cs="Arial"/>
        </w:rPr>
        <w:t>accordingly</w:t>
      </w:r>
      <w:r>
        <w:rPr>
          <w:rFonts w:cs="Arial"/>
        </w:rPr>
        <w:t>.</w:t>
      </w:r>
    </w:p>
    <w:p w14:paraId="5E696CDA" w14:textId="77777777" w:rsidR="00DF0BA1" w:rsidRPr="00DF0BA1" w:rsidRDefault="00DF0BA1" w:rsidP="00DF0BA1">
      <w:pPr>
        <w:pStyle w:val="Bullet1HRt"/>
        <w:numPr>
          <w:ilvl w:val="0"/>
          <w:numId w:val="0"/>
        </w:numPr>
        <w:rPr>
          <w:rFonts w:cs="Arial"/>
        </w:rPr>
      </w:pPr>
    </w:p>
    <w:p w14:paraId="0D81C648" w14:textId="77777777" w:rsidR="00B84E9F" w:rsidRDefault="009D5C89" w:rsidP="00B84E9F">
      <w:pPr>
        <w:pStyle w:val="Heading1"/>
      </w:pPr>
      <w:bookmarkStart w:id="32" w:name="_Toc389662565"/>
      <w:bookmarkStart w:id="33" w:name="_Toc390946250"/>
      <w:bookmarkStart w:id="34" w:name="_Toc391969815"/>
      <w:bookmarkStart w:id="35" w:name="_Toc20384071"/>
      <w:r>
        <w:t>ROLES AND</w:t>
      </w:r>
      <w:r w:rsidR="00B84E9F">
        <w:t xml:space="preserve"> RESPONSIBILITIES</w:t>
      </w:r>
      <w:bookmarkEnd w:id="32"/>
      <w:bookmarkEnd w:id="33"/>
      <w:bookmarkEnd w:id="34"/>
      <w:bookmarkEnd w:id="35"/>
      <w:r w:rsidR="00E26236">
        <w:t xml:space="preserve"> </w:t>
      </w:r>
    </w:p>
    <w:p w14:paraId="46A07EE3" w14:textId="77777777" w:rsidR="001B2475" w:rsidRDefault="001B2475" w:rsidP="00B00E71">
      <w:pPr>
        <w:spacing w:after="240" w:line="300" w:lineRule="auto"/>
        <w:rPr>
          <w:rFonts w:cs="Arial"/>
        </w:rPr>
      </w:pPr>
      <w:r>
        <w:rPr>
          <w:rFonts w:cs="Arial"/>
        </w:rPr>
        <w:t xml:space="preserve">Welcome to the </w:t>
      </w:r>
      <w:r w:rsidRPr="00FA595A">
        <w:rPr>
          <w:rFonts w:cs="Arial"/>
          <w:i/>
        </w:rPr>
        <w:t>Roles and Responsibilities</w:t>
      </w:r>
      <w:r>
        <w:rPr>
          <w:rFonts w:cs="Arial"/>
        </w:rPr>
        <w:t xml:space="preserve"> section of the CAISO </w:t>
      </w:r>
      <w:r w:rsidRPr="00FA595A">
        <w:rPr>
          <w:rFonts w:cs="Arial"/>
          <w:i/>
        </w:rPr>
        <w:t>BPM for the Energy Imbalance Market</w:t>
      </w:r>
      <w:r>
        <w:rPr>
          <w:rFonts w:cs="Arial"/>
        </w:rPr>
        <w:t>.  In this section you will find the following information:</w:t>
      </w:r>
    </w:p>
    <w:p w14:paraId="1630B64A" w14:textId="77777777" w:rsidR="001B2475" w:rsidRPr="00FA595A" w:rsidRDefault="008960C5" w:rsidP="000F0531">
      <w:pPr>
        <w:pStyle w:val="ListParagraph"/>
        <w:numPr>
          <w:ilvl w:val="0"/>
          <w:numId w:val="42"/>
        </w:numPr>
        <w:spacing w:after="240" w:line="300" w:lineRule="auto"/>
      </w:pPr>
      <w:r w:rsidRPr="00FA595A">
        <w:rPr>
          <w:rFonts w:cs="Arial"/>
        </w:rPr>
        <w:t xml:space="preserve">This </w:t>
      </w:r>
      <w:r w:rsidR="007B20C1" w:rsidRPr="00FA595A">
        <w:rPr>
          <w:rFonts w:cs="Arial"/>
        </w:rPr>
        <w:t>section identifies and describes t</w:t>
      </w:r>
      <w:r w:rsidR="009D5C89" w:rsidRPr="00FA595A">
        <w:rPr>
          <w:rFonts w:cs="Arial"/>
        </w:rPr>
        <w:t xml:space="preserve">he basic </w:t>
      </w:r>
      <w:r w:rsidR="009D5C89" w:rsidRPr="00FA595A">
        <w:rPr>
          <w:rFonts w:cs="Arial"/>
          <w:i/>
        </w:rPr>
        <w:t>Roles and R</w:t>
      </w:r>
      <w:r w:rsidR="007B20C1" w:rsidRPr="00FA595A">
        <w:rPr>
          <w:rFonts w:cs="Arial"/>
          <w:i/>
        </w:rPr>
        <w:t>esponsibilities</w:t>
      </w:r>
      <w:r w:rsidR="007B20C1" w:rsidRPr="00FA595A">
        <w:rPr>
          <w:rFonts w:cs="Arial"/>
        </w:rPr>
        <w:t xml:space="preserve"> of the entities that participate in the CAISO Markets.</w:t>
      </w:r>
      <w:r w:rsidR="00924ADE" w:rsidRPr="00FA595A">
        <w:rPr>
          <w:rFonts w:cs="Arial"/>
        </w:rPr>
        <w:t xml:space="preserve">  </w:t>
      </w:r>
    </w:p>
    <w:p w14:paraId="65CDF6F8" w14:textId="77777777" w:rsidR="00924ADE" w:rsidRDefault="006566B0" w:rsidP="000F0531">
      <w:pPr>
        <w:pStyle w:val="ListParagraph"/>
        <w:numPr>
          <w:ilvl w:val="0"/>
          <w:numId w:val="42"/>
        </w:numPr>
        <w:spacing w:after="240" w:line="300" w:lineRule="auto"/>
      </w:pPr>
      <w:r>
        <w:t>This section introduces</w:t>
      </w:r>
      <w:r w:rsidR="001B2475">
        <w:t xml:space="preserve"> </w:t>
      </w:r>
      <w:r w:rsidR="00924ADE" w:rsidRPr="00A23926">
        <w:t xml:space="preserve">four new types of </w:t>
      </w:r>
      <w:r w:rsidR="00924ADE">
        <w:t>p</w:t>
      </w:r>
      <w:r w:rsidR="00924ADE" w:rsidRPr="00A23926">
        <w:t>articipants</w:t>
      </w:r>
      <w:r w:rsidR="00FC30E3">
        <w:t xml:space="preserve"> in the Real-Time M</w:t>
      </w:r>
      <w:r w:rsidR="00924ADE">
        <w:t>arket</w:t>
      </w:r>
      <w:r w:rsidR="00924ADE" w:rsidRPr="00A23926">
        <w:t xml:space="preserve">, which are collectively known as EIM </w:t>
      </w:r>
      <w:r w:rsidR="00924ADE">
        <w:t>M</w:t>
      </w:r>
      <w:r w:rsidR="00924ADE" w:rsidRPr="00A23926">
        <w:t xml:space="preserve">arket </w:t>
      </w:r>
      <w:r w:rsidR="00924ADE">
        <w:t>P</w:t>
      </w:r>
      <w:r w:rsidR="00924ADE" w:rsidRPr="00A23926">
        <w:t xml:space="preserve">articipants.  </w:t>
      </w:r>
    </w:p>
    <w:p w14:paraId="298869E0" w14:textId="77777777" w:rsidR="001D24E5" w:rsidRDefault="00924ADE" w:rsidP="00B00E71">
      <w:pPr>
        <w:tabs>
          <w:tab w:val="left" w:pos="720"/>
        </w:tabs>
        <w:spacing w:after="240" w:line="300" w:lineRule="auto"/>
      </w:pPr>
      <w:r w:rsidRPr="0005695E">
        <w:rPr>
          <w:b/>
        </w:rPr>
        <w:t xml:space="preserve">EIM </w:t>
      </w:r>
      <w:r>
        <w:rPr>
          <w:b/>
        </w:rPr>
        <w:t>E</w:t>
      </w:r>
      <w:r w:rsidRPr="0005695E">
        <w:rPr>
          <w:b/>
        </w:rPr>
        <w:t>ntity</w:t>
      </w:r>
      <w:r w:rsidRPr="003D447F">
        <w:rPr>
          <w:b/>
        </w:rPr>
        <w:t>:</w:t>
      </w:r>
      <w:r>
        <w:t xml:space="preserve">  The EIM Entity </w:t>
      </w:r>
      <w:r w:rsidRPr="00A23926">
        <w:t xml:space="preserve">is a balancing authority that </w:t>
      </w:r>
      <w:r>
        <w:t xml:space="preserve">elects to participate in </w:t>
      </w:r>
      <w:r w:rsidRPr="00A23926">
        <w:t xml:space="preserve">the Energy Imbalance Market.  As an EIM </w:t>
      </w:r>
      <w:r>
        <w:t>M</w:t>
      </w:r>
      <w:r w:rsidRPr="00A23926">
        <w:t xml:space="preserve">arket </w:t>
      </w:r>
      <w:r>
        <w:t>P</w:t>
      </w:r>
      <w:r w:rsidRPr="00A23926">
        <w:t xml:space="preserve">articipant, the EIM </w:t>
      </w:r>
      <w:r>
        <w:t>E</w:t>
      </w:r>
      <w:r w:rsidRPr="00A23926">
        <w:t>ntity is responsible</w:t>
      </w:r>
      <w:r w:rsidR="008C6848">
        <w:t>: (1) f</w:t>
      </w:r>
      <w:r w:rsidRPr="00A23926">
        <w:t xml:space="preserve">or </w:t>
      </w:r>
      <w:r>
        <w:t>identifying</w:t>
      </w:r>
      <w:r w:rsidRPr="00A23926">
        <w:t xml:space="preserve"> </w:t>
      </w:r>
      <w:r>
        <w:t xml:space="preserve">available </w:t>
      </w:r>
      <w:r w:rsidRPr="00A23926">
        <w:t xml:space="preserve">transmission </w:t>
      </w:r>
      <w:r>
        <w:t>intertie</w:t>
      </w:r>
      <w:r w:rsidRPr="00A23926">
        <w:t xml:space="preserve"> capacity in its balanci</w:t>
      </w:r>
      <w:r w:rsidR="008C6848">
        <w:t xml:space="preserve">ng authority area for use in </w:t>
      </w:r>
      <w:r w:rsidRPr="00A23926">
        <w:t xml:space="preserve"> </w:t>
      </w:r>
      <w:r w:rsidR="006A582E">
        <w:t>CA</w:t>
      </w:r>
      <w:r w:rsidR="00FC30E3">
        <w:t>ISO’s Real-Time M</w:t>
      </w:r>
      <w:r w:rsidRPr="00A23926">
        <w:t xml:space="preserve">arket and, (2) through its EIM </w:t>
      </w:r>
      <w:r>
        <w:t>Entity S</w:t>
      </w:r>
      <w:r w:rsidRPr="00A23926">
        <w:t xml:space="preserve">cheduling </w:t>
      </w:r>
      <w:r>
        <w:t>C</w:t>
      </w:r>
      <w:r w:rsidRPr="00A23926">
        <w:t xml:space="preserve">oordinator, for scheduling all load and resources in </w:t>
      </w:r>
      <w:r>
        <w:t xml:space="preserve">its balancing </w:t>
      </w:r>
      <w:r>
        <w:lastRenderedPageBreak/>
        <w:t>authority a</w:t>
      </w:r>
      <w:r w:rsidRPr="00A23926">
        <w:t xml:space="preserve">rea that do not participate in the </w:t>
      </w:r>
      <w:r w:rsidR="00FC30E3">
        <w:t>Real-Time</w:t>
      </w:r>
      <w:r w:rsidR="00303EEF">
        <w:t xml:space="preserve"> M</w:t>
      </w:r>
      <w:r w:rsidRPr="00A23926">
        <w:t xml:space="preserve">arket (known as </w:t>
      </w:r>
      <w:r w:rsidR="00C148A5">
        <w:t>non-participating load and non-p</w:t>
      </w:r>
      <w:r w:rsidRPr="00A23926">
        <w:t xml:space="preserve">articipating resources) and for </w:t>
      </w:r>
      <w:r>
        <w:t>settling</w:t>
      </w:r>
      <w:r w:rsidRPr="00A23926">
        <w:t xml:space="preserve"> charges </w:t>
      </w:r>
      <w:r>
        <w:t xml:space="preserve">and payments </w:t>
      </w:r>
      <w:r w:rsidRPr="00A23926">
        <w:t>related to non-participating load and non-participating resources.</w:t>
      </w:r>
    </w:p>
    <w:p w14:paraId="715291C9" w14:textId="77777777" w:rsidR="001D24E5" w:rsidRDefault="00924ADE" w:rsidP="00B00E71">
      <w:pPr>
        <w:tabs>
          <w:tab w:val="left" w:pos="720"/>
        </w:tabs>
        <w:spacing w:after="240" w:line="300" w:lineRule="auto"/>
      </w:pPr>
      <w:r>
        <w:rPr>
          <w:b/>
        </w:rPr>
        <w:t xml:space="preserve">EIM Entity Scheduling Coordinator:  </w:t>
      </w:r>
      <w:r w:rsidRPr="00A23926">
        <w:t xml:space="preserve">The EIM </w:t>
      </w:r>
      <w:r>
        <w:t>E</w:t>
      </w:r>
      <w:r w:rsidRPr="00A23926">
        <w:t xml:space="preserve">ntity </w:t>
      </w:r>
      <w:r>
        <w:t>S</w:t>
      </w:r>
      <w:r w:rsidRPr="00A23926">
        <w:t xml:space="preserve">cheduling </w:t>
      </w:r>
      <w:r>
        <w:t>C</w:t>
      </w:r>
      <w:r w:rsidRPr="00A23926">
        <w:t xml:space="preserve">oordinator is the entity through which the EIM </w:t>
      </w:r>
      <w:r>
        <w:t>E</w:t>
      </w:r>
      <w:r w:rsidRPr="00A23926">
        <w:t xml:space="preserve">ntity participates in the </w:t>
      </w:r>
      <w:r w:rsidR="00FC30E3">
        <w:t>Real-Time</w:t>
      </w:r>
      <w:r w:rsidR="00303EEF">
        <w:t xml:space="preserve"> M</w:t>
      </w:r>
      <w:r w:rsidRPr="00A23926">
        <w:t xml:space="preserve">arket.  In order to prevent the </w:t>
      </w:r>
      <w:r>
        <w:t xml:space="preserve">inappropriate </w:t>
      </w:r>
      <w:r w:rsidRPr="00A23926">
        <w:t xml:space="preserve">sharing of information regarding transmission and generation, an EIM </w:t>
      </w:r>
      <w:r>
        <w:t>E</w:t>
      </w:r>
      <w:r w:rsidRPr="00A23926">
        <w:t xml:space="preserve">ntity </w:t>
      </w:r>
      <w:r>
        <w:t>S</w:t>
      </w:r>
      <w:r w:rsidRPr="00A23926">
        <w:t xml:space="preserve">cheduling </w:t>
      </w:r>
      <w:r>
        <w:t>C</w:t>
      </w:r>
      <w:r w:rsidRPr="00A23926">
        <w:t xml:space="preserve">oordinator cannot be a </w:t>
      </w:r>
      <w:r>
        <w:t>s</w:t>
      </w:r>
      <w:r w:rsidRPr="00A23926">
        <w:t xml:space="preserve">cheduling </w:t>
      </w:r>
      <w:r>
        <w:t>c</w:t>
      </w:r>
      <w:r w:rsidRPr="00A23926">
        <w:t xml:space="preserve">oordinator for </w:t>
      </w:r>
      <w:r>
        <w:t xml:space="preserve">a </w:t>
      </w:r>
      <w:r w:rsidRPr="00A23926">
        <w:t xml:space="preserve">supply </w:t>
      </w:r>
      <w:r>
        <w:t xml:space="preserve">resource </w:t>
      </w:r>
      <w:r w:rsidRPr="00A23926">
        <w:t xml:space="preserve">unless it is a transmission provider subject to the Commission’s standards of conduct </w:t>
      </w:r>
      <w:r>
        <w:t xml:space="preserve">set forth </w:t>
      </w:r>
      <w:r w:rsidRPr="00A23926">
        <w:t>in 18 C.F.R. § 358.</w:t>
      </w:r>
    </w:p>
    <w:p w14:paraId="07AFBCF1" w14:textId="77777777" w:rsidR="001D24E5" w:rsidRDefault="00924ADE" w:rsidP="00B00E71">
      <w:pPr>
        <w:tabs>
          <w:tab w:val="left" w:pos="720"/>
        </w:tabs>
        <w:spacing w:after="240" w:line="300" w:lineRule="auto"/>
      </w:pPr>
      <w:r>
        <w:rPr>
          <w:b/>
        </w:rPr>
        <w:t xml:space="preserve">EIM Participating Resources:  </w:t>
      </w:r>
      <w:r w:rsidRPr="00A23926">
        <w:t xml:space="preserve">The EIM </w:t>
      </w:r>
      <w:r w:rsidR="00220498">
        <w:t>P</w:t>
      </w:r>
      <w:r w:rsidRPr="00A23926">
        <w:t xml:space="preserve">articipating </w:t>
      </w:r>
      <w:r w:rsidR="00220498">
        <w:t>R</w:t>
      </w:r>
      <w:r w:rsidRPr="00A23926">
        <w:t xml:space="preserve">esources are </w:t>
      </w:r>
      <w:r>
        <w:t xml:space="preserve">the owners or operators of EIM </w:t>
      </w:r>
      <w:r w:rsidRPr="00A23926">
        <w:t xml:space="preserve">resources that wish to bid supply into the </w:t>
      </w:r>
      <w:r w:rsidR="00FC30E3">
        <w:t>Real-Time</w:t>
      </w:r>
      <w:r w:rsidR="00303EEF">
        <w:t xml:space="preserve"> M</w:t>
      </w:r>
      <w:r w:rsidRPr="00A23926">
        <w:t xml:space="preserve">arket.  EIM </w:t>
      </w:r>
      <w:r>
        <w:t xml:space="preserve">resources </w:t>
      </w:r>
      <w:r w:rsidRPr="00A23926">
        <w:t>can be generating unit</w:t>
      </w:r>
      <w:r>
        <w:t>s</w:t>
      </w:r>
      <w:r w:rsidRPr="00A23926">
        <w:t>, participating load, demand resource provider</w:t>
      </w:r>
      <w:r>
        <w:t>s, or other resources qualified to deliver energy or similar services, such as non-generation resources</w:t>
      </w:r>
      <w:r w:rsidRPr="00A23926">
        <w:t>.</w:t>
      </w:r>
      <w:r>
        <w:t xml:space="preserve">  Each type of resource that is eligible to participate in the current </w:t>
      </w:r>
      <w:r w:rsidR="006A582E">
        <w:t>CA</w:t>
      </w:r>
      <w:r>
        <w:t xml:space="preserve">ISO </w:t>
      </w:r>
      <w:r w:rsidR="00FC30E3">
        <w:t>Real-Time M</w:t>
      </w:r>
      <w:r>
        <w:t xml:space="preserve">arket is eligible to participate through the Energy Imbalance Market, but only if the EIM Entity supports participation by that type of resource and the resource meets the technical requirements for such participation pursuant to the terms and conditions of the </w:t>
      </w:r>
      <w:r w:rsidR="006A582E">
        <w:t>CA</w:t>
      </w:r>
      <w:r>
        <w:t>ISO tariff and the EIM Entity’s open access transmission tariff.</w:t>
      </w:r>
      <w:r w:rsidRPr="00A23926">
        <w:t xml:space="preserve">  </w:t>
      </w:r>
    </w:p>
    <w:p w14:paraId="7BF012D5" w14:textId="77777777" w:rsidR="00924ADE" w:rsidRDefault="00924ADE" w:rsidP="00B00E71">
      <w:pPr>
        <w:tabs>
          <w:tab w:val="left" w:pos="720"/>
        </w:tabs>
        <w:spacing w:after="240" w:line="300" w:lineRule="auto"/>
      </w:pPr>
      <w:r>
        <w:rPr>
          <w:b/>
        </w:rPr>
        <w:t xml:space="preserve">EIM Participating Resource Scheduling Coordinator:  </w:t>
      </w:r>
      <w:r w:rsidRPr="00A23926">
        <w:t xml:space="preserve">The EIM </w:t>
      </w:r>
      <w:r>
        <w:t>Participating Resource S</w:t>
      </w:r>
      <w:r w:rsidRPr="00A23926">
        <w:t xml:space="preserve">cheduling </w:t>
      </w:r>
      <w:r>
        <w:t>C</w:t>
      </w:r>
      <w:r w:rsidRPr="00A23926">
        <w:t xml:space="preserve">oordinator is the entity through which the EIM </w:t>
      </w:r>
      <w:r>
        <w:t xml:space="preserve">Participating Resource </w:t>
      </w:r>
      <w:r w:rsidRPr="00A23926">
        <w:t xml:space="preserve">participates in the </w:t>
      </w:r>
      <w:r w:rsidR="00FC30E3">
        <w:t>Real-Time M</w:t>
      </w:r>
      <w:r w:rsidRPr="00A23926">
        <w:t xml:space="preserve">arket.  </w:t>
      </w:r>
      <w:r>
        <w:t>T</w:t>
      </w:r>
      <w:r w:rsidRPr="00A23926">
        <w:t xml:space="preserve">o prevent the </w:t>
      </w:r>
      <w:r>
        <w:t xml:space="preserve">inappropriate </w:t>
      </w:r>
      <w:r w:rsidRPr="00A23926">
        <w:t xml:space="preserve">sharing of information regarding transmission and generation, an EIM </w:t>
      </w:r>
      <w:r>
        <w:t>Participating Resource S</w:t>
      </w:r>
      <w:r w:rsidRPr="00A23926">
        <w:t xml:space="preserve">cheduling </w:t>
      </w:r>
      <w:r>
        <w:t>C</w:t>
      </w:r>
      <w:r w:rsidRPr="00A23926">
        <w:t>oordinator cannot be a</w:t>
      </w:r>
      <w:r>
        <w:t>n EIM Entity</w:t>
      </w:r>
      <w:r w:rsidRPr="00A23926">
        <w:t xml:space="preserve"> </w:t>
      </w:r>
      <w:r>
        <w:t>S</w:t>
      </w:r>
      <w:r w:rsidRPr="00A23926">
        <w:t xml:space="preserve">cheduling </w:t>
      </w:r>
      <w:r>
        <w:t>C</w:t>
      </w:r>
      <w:r w:rsidRPr="00A23926">
        <w:t xml:space="preserve">oordinator unless it is a transmission provider subject to the Commission’s standards of conduct </w:t>
      </w:r>
      <w:r>
        <w:t xml:space="preserve">set forth </w:t>
      </w:r>
      <w:r w:rsidRPr="00A23926">
        <w:t>in 18 C.F.R. § 358.</w:t>
      </w:r>
    </w:p>
    <w:p w14:paraId="440F78CE" w14:textId="77777777" w:rsidR="00924ADE" w:rsidRDefault="00924ADE" w:rsidP="00924ADE">
      <w:pPr>
        <w:spacing w:after="240" w:line="300" w:lineRule="auto"/>
      </w:pPr>
      <w:r>
        <w:t xml:space="preserve">To participate in the </w:t>
      </w:r>
      <w:r w:rsidR="00FC30E3">
        <w:t>Real-Time M</w:t>
      </w:r>
      <w:r>
        <w:t xml:space="preserve">arket through the Energy Imbalance Market, an </w:t>
      </w:r>
      <w:r w:rsidRPr="00A23926">
        <w:t xml:space="preserve">entity must enter </w:t>
      </w:r>
      <w:r>
        <w:t xml:space="preserve">into </w:t>
      </w:r>
      <w:r w:rsidR="001D24E5">
        <w:t xml:space="preserve">a </w:t>
      </w:r>
      <w:r w:rsidRPr="00B31177">
        <w:rPr>
          <w:i/>
        </w:rPr>
        <w:t>pro forma</w:t>
      </w:r>
      <w:r w:rsidR="009D507A">
        <w:t xml:space="preserve"> agreement with </w:t>
      </w:r>
      <w:r w:rsidR="006A582E">
        <w:t>CA</w:t>
      </w:r>
      <w:r w:rsidRPr="00A23926">
        <w:t>ISO that sets out the parties</w:t>
      </w:r>
      <w:r>
        <w:t>’</w:t>
      </w:r>
      <w:r w:rsidRPr="00A23926">
        <w:t xml:space="preserve"> respective obligations</w:t>
      </w:r>
      <w:r>
        <w:t xml:space="preserve"> with respect to the entity’s role.</w:t>
      </w:r>
      <w:r w:rsidR="001D24E5">
        <w:t xml:space="preserve">  The </w:t>
      </w:r>
      <w:r w:rsidR="001D24E5">
        <w:rPr>
          <w:i/>
        </w:rPr>
        <w:t xml:space="preserve">pro forma </w:t>
      </w:r>
      <w:r w:rsidR="001D24E5">
        <w:t>agreements are included in</w:t>
      </w:r>
      <w:r w:rsidR="00DF0BA1">
        <w:t xml:space="preserve"> Appendix B of the tariff</w:t>
      </w:r>
      <w:r w:rsidR="008F782A">
        <w:t>.</w:t>
      </w:r>
    </w:p>
    <w:p w14:paraId="209A4164" w14:textId="77777777" w:rsidR="00424480" w:rsidRPr="00424480" w:rsidRDefault="003F271C" w:rsidP="005F6CDE">
      <w:pPr>
        <w:pStyle w:val="Heading2"/>
      </w:pPr>
      <w:bookmarkStart w:id="36" w:name="_Toc20384072"/>
      <w:r>
        <w:t xml:space="preserve">Implementing and Terminating the </w:t>
      </w:r>
      <w:r w:rsidR="00424480" w:rsidRPr="00424480">
        <w:t>EIM Entit</w:t>
      </w:r>
      <w:r>
        <w:t>y Participation</w:t>
      </w:r>
      <w:bookmarkEnd w:id="36"/>
    </w:p>
    <w:p w14:paraId="58CB68E7" w14:textId="77777777" w:rsidR="00486B53" w:rsidRPr="00486B53" w:rsidRDefault="00963966" w:rsidP="00FA595A">
      <w:pPr>
        <w:spacing w:after="240" w:line="300" w:lineRule="auto"/>
        <w:rPr>
          <w:rFonts w:cs="Arial"/>
          <w:b/>
        </w:rPr>
      </w:pPr>
      <w:r>
        <w:rPr>
          <w:rFonts w:cs="Arial"/>
        </w:rPr>
        <w:t xml:space="preserve">Prior to becoming an EIM Entity, an interested balancing authority must enter into an </w:t>
      </w:r>
      <w:r w:rsidR="00AB2354">
        <w:rPr>
          <w:rFonts w:cs="Arial"/>
        </w:rPr>
        <w:t>implementation</w:t>
      </w:r>
      <w:r>
        <w:rPr>
          <w:rFonts w:cs="Arial"/>
        </w:rPr>
        <w:t xml:space="preserve"> agreeme</w:t>
      </w:r>
      <w:r w:rsidR="00B5293B">
        <w:rPr>
          <w:rFonts w:cs="Arial"/>
        </w:rPr>
        <w:t xml:space="preserve">nt with </w:t>
      </w:r>
      <w:r w:rsidR="006A582E">
        <w:rPr>
          <w:rFonts w:cs="Arial"/>
        </w:rPr>
        <w:t>CA</w:t>
      </w:r>
      <w:r>
        <w:rPr>
          <w:rFonts w:cs="Arial"/>
        </w:rPr>
        <w:t xml:space="preserve">ISO.  </w:t>
      </w:r>
      <w:r w:rsidR="00AD5840">
        <w:rPr>
          <w:rFonts w:cs="Arial"/>
        </w:rPr>
        <w:t>See Tariff S</w:t>
      </w:r>
      <w:r w:rsidR="00450F1E" w:rsidRPr="00424480">
        <w:rPr>
          <w:rFonts w:cs="Arial"/>
        </w:rPr>
        <w:t>ection 29.2(b).</w:t>
      </w:r>
      <w:r w:rsidR="00450F1E">
        <w:rPr>
          <w:rFonts w:cs="Arial"/>
        </w:rPr>
        <w:t xml:space="preserve">  </w:t>
      </w:r>
      <w:r>
        <w:rPr>
          <w:rFonts w:cs="Arial"/>
        </w:rPr>
        <w:t xml:space="preserve">Each </w:t>
      </w:r>
      <w:r w:rsidR="00450F1E">
        <w:rPr>
          <w:rFonts w:cs="Arial"/>
        </w:rPr>
        <w:t>ne</w:t>
      </w:r>
      <w:r w:rsidR="00424480" w:rsidRPr="00424480">
        <w:rPr>
          <w:rFonts w:cs="Arial"/>
        </w:rPr>
        <w:t>w EIM entit</w:t>
      </w:r>
      <w:r w:rsidR="00450F1E">
        <w:rPr>
          <w:rFonts w:cs="Arial"/>
        </w:rPr>
        <w:t>y</w:t>
      </w:r>
      <w:r w:rsidR="00424480" w:rsidRPr="00424480">
        <w:rPr>
          <w:rFonts w:cs="Arial"/>
        </w:rPr>
        <w:t xml:space="preserve"> will be </w:t>
      </w:r>
      <w:r w:rsidR="00450F1E">
        <w:rPr>
          <w:rFonts w:cs="Arial"/>
        </w:rPr>
        <w:t>made public through</w:t>
      </w:r>
      <w:r w:rsidR="00B5293B">
        <w:rPr>
          <w:rFonts w:cs="Arial"/>
        </w:rPr>
        <w:t xml:space="preserve"> the filing of </w:t>
      </w:r>
      <w:r w:rsidR="00424480" w:rsidRPr="00B5293B">
        <w:rPr>
          <w:rFonts w:cs="Arial"/>
          <w:i/>
        </w:rPr>
        <w:t>New EIM Entities</w:t>
      </w:r>
      <w:bookmarkStart w:id="37" w:name="_Toc389662566"/>
      <w:r w:rsidR="00B5293B">
        <w:rPr>
          <w:rFonts w:cs="Arial"/>
        </w:rPr>
        <w:t>.</w:t>
      </w:r>
    </w:p>
    <w:p w14:paraId="0E843C04" w14:textId="77777777" w:rsidR="008F782A" w:rsidRPr="0028031A" w:rsidRDefault="008F782A" w:rsidP="00FA595A">
      <w:pPr>
        <w:spacing w:after="240" w:line="300" w:lineRule="auto"/>
        <w:rPr>
          <w:rFonts w:cs="Arial"/>
          <w:b/>
        </w:rPr>
      </w:pPr>
      <w:r w:rsidRPr="008F782A">
        <w:lastRenderedPageBreak/>
        <w:t>An EIM Entity may terminate participation in the EIM by pr</w:t>
      </w:r>
      <w:r w:rsidR="00B5293B">
        <w:t xml:space="preserve">oviding 180 days’ notice to </w:t>
      </w:r>
      <w:r w:rsidR="006A582E">
        <w:t>CA</w:t>
      </w:r>
      <w:r w:rsidRPr="008F782A">
        <w:t>ISO.  In addition, the EIM Entity may suspend operation of the EIM in its balancin</w:t>
      </w:r>
      <w:r w:rsidR="0003458D">
        <w:t>g authority area during the 180-</w:t>
      </w:r>
      <w:r w:rsidRPr="008F782A">
        <w:t>day notic</w:t>
      </w:r>
      <w:r w:rsidR="00AD5840">
        <w:t>e provision in accordance with S</w:t>
      </w:r>
      <w:r w:rsidRPr="008F782A">
        <w:t>ection 1</w:t>
      </w:r>
      <w:r w:rsidR="00BF675A">
        <w:t>0.5</w:t>
      </w:r>
      <w:r w:rsidRPr="008F782A">
        <w:t xml:space="preserve"> of this BPM.</w:t>
      </w:r>
    </w:p>
    <w:p w14:paraId="01FF0D9E" w14:textId="77777777" w:rsidR="0028031A" w:rsidRPr="00486B53" w:rsidRDefault="0028031A" w:rsidP="0028031A">
      <w:pPr>
        <w:spacing w:after="240" w:line="300" w:lineRule="auto"/>
        <w:ind w:left="1080"/>
        <w:rPr>
          <w:rFonts w:cs="Arial"/>
          <w:b/>
        </w:rPr>
      </w:pPr>
    </w:p>
    <w:p w14:paraId="30BA27AA" w14:textId="77777777" w:rsidR="006C2CAC" w:rsidRDefault="0033195C" w:rsidP="008F782A">
      <w:pPr>
        <w:pStyle w:val="Heading1"/>
      </w:pPr>
      <w:bookmarkStart w:id="38" w:name="_Toc389662570"/>
      <w:bookmarkStart w:id="39" w:name="_Toc390946255"/>
      <w:bookmarkStart w:id="40" w:name="_Toc391969816"/>
      <w:bookmarkStart w:id="41" w:name="_Toc20384073"/>
      <w:bookmarkEnd w:id="37"/>
      <w:r>
        <w:t>SCHEDULING COORDINATOR CERTIFICATION</w:t>
      </w:r>
      <w:bookmarkEnd w:id="38"/>
      <w:bookmarkEnd w:id="39"/>
      <w:bookmarkEnd w:id="40"/>
      <w:bookmarkEnd w:id="41"/>
      <w:r w:rsidR="0039613C" w:rsidRPr="008F782A">
        <w:t xml:space="preserve"> </w:t>
      </w:r>
    </w:p>
    <w:p w14:paraId="70906040" w14:textId="77777777" w:rsidR="00EC4CBC" w:rsidRDefault="007D543C" w:rsidP="006F6DD6">
      <w:pPr>
        <w:spacing w:after="240" w:line="300" w:lineRule="auto"/>
        <w:ind w:left="-90"/>
      </w:pPr>
      <w:r>
        <w:t xml:space="preserve">Welcome to </w:t>
      </w:r>
      <w:r w:rsidR="00EC4CBC">
        <w:t xml:space="preserve">the </w:t>
      </w:r>
      <w:r w:rsidR="00EC4CBC" w:rsidRPr="00EC4CBC">
        <w:rPr>
          <w:i/>
        </w:rPr>
        <w:t>Scheduling Coordinator Certification</w:t>
      </w:r>
      <w:r w:rsidR="00EC4CBC">
        <w:t xml:space="preserve"> section of th</w:t>
      </w:r>
      <w:r>
        <w:t>e</w:t>
      </w:r>
      <w:r w:rsidR="00EC4CBC">
        <w:t xml:space="preserve"> </w:t>
      </w:r>
      <w:r>
        <w:t xml:space="preserve">CAISO </w:t>
      </w:r>
      <w:r w:rsidR="00EC4CBC" w:rsidRPr="007D543C">
        <w:rPr>
          <w:i/>
        </w:rPr>
        <w:t>BPM</w:t>
      </w:r>
      <w:r w:rsidRPr="007D543C">
        <w:rPr>
          <w:i/>
        </w:rPr>
        <w:t xml:space="preserve"> for the Energy Imbalance Market</w:t>
      </w:r>
      <w:r>
        <w:t>.  In this section</w:t>
      </w:r>
      <w:r w:rsidR="00775CF7">
        <w:t xml:space="preserve"> </w:t>
      </w:r>
      <w:r w:rsidR="00EC4CBC">
        <w:t>you will find the following information:</w:t>
      </w:r>
    </w:p>
    <w:p w14:paraId="6DC970A2" w14:textId="77777777" w:rsidR="006A26A7" w:rsidRDefault="00EC4CBC" w:rsidP="000F0531">
      <w:pPr>
        <w:numPr>
          <w:ilvl w:val="0"/>
          <w:numId w:val="36"/>
        </w:numPr>
        <w:spacing w:after="240" w:line="300" w:lineRule="auto"/>
      </w:pPr>
      <w:r>
        <w:t>An overview of how p</w:t>
      </w:r>
      <w:r w:rsidR="002E46E9" w:rsidRPr="00E60EED">
        <w:t>articipants in the EIM</w:t>
      </w:r>
      <w:r w:rsidR="009D507A">
        <w:t xml:space="preserve"> transact with </w:t>
      </w:r>
      <w:r w:rsidR="002E46E9" w:rsidRPr="00B06DE4">
        <w:t>CAISO through a Scheduling Coordinator</w:t>
      </w:r>
      <w:r w:rsidR="005F0DEA" w:rsidRPr="00B06DE4">
        <w:t xml:space="preserve"> (SC)</w:t>
      </w:r>
      <w:r w:rsidR="002E46E9" w:rsidRPr="00BB070F">
        <w:t>.</w:t>
      </w:r>
      <w:r w:rsidR="006A26A7">
        <w:t xml:space="preserve"> </w:t>
      </w:r>
    </w:p>
    <w:p w14:paraId="63F2DA94" w14:textId="77777777" w:rsidR="00EC4CBC" w:rsidRDefault="006A26A7" w:rsidP="000F0531">
      <w:pPr>
        <w:numPr>
          <w:ilvl w:val="0"/>
          <w:numId w:val="36"/>
        </w:numPr>
        <w:spacing w:after="240" w:line="300" w:lineRule="auto"/>
      </w:pPr>
      <w:r>
        <w:t>An overview of the process used for Scheduling Coordinator Certification</w:t>
      </w:r>
      <w:r w:rsidR="00CA517E">
        <w:t>.</w:t>
      </w:r>
      <w:r>
        <w:t xml:space="preserve">  </w:t>
      </w:r>
      <w:r w:rsidR="002E46E9" w:rsidRPr="00BB070F">
        <w:t xml:space="preserve">  </w:t>
      </w:r>
    </w:p>
    <w:p w14:paraId="76B856F9" w14:textId="77777777" w:rsidR="00E77E45" w:rsidRPr="00480065" w:rsidRDefault="002E46E9" w:rsidP="006F6DD6">
      <w:pPr>
        <w:spacing w:after="240" w:line="300" w:lineRule="auto"/>
        <w:ind w:left="-90"/>
      </w:pPr>
      <w:r w:rsidRPr="00BB070F">
        <w:t>There are two types of Scheduling Coordinators</w:t>
      </w:r>
      <w:r w:rsidR="006362F9" w:rsidRPr="003D6985">
        <w:t xml:space="preserve"> </w:t>
      </w:r>
      <w:r w:rsidRPr="003D6985">
        <w:t>specific t</w:t>
      </w:r>
      <w:r w:rsidR="006362F9" w:rsidRPr="003D6985">
        <w:t xml:space="preserve">o participation in the EIM that </w:t>
      </w:r>
      <w:r w:rsidRPr="003D6985">
        <w:t>are d</w:t>
      </w:r>
      <w:r w:rsidR="00FF4643" w:rsidRPr="003D6985">
        <w:t>ifferent from the</w:t>
      </w:r>
      <w:r w:rsidRPr="00480065">
        <w:t xml:space="preserve"> Scheduling Coordinators listed in the </w:t>
      </w:r>
      <w:hyperlink r:id="rId111" w:history="1">
        <w:r w:rsidRPr="00480065">
          <w:rPr>
            <w:rStyle w:val="Hyperlink"/>
            <w:b/>
          </w:rPr>
          <w:t>BPM for Scheduling Coordinator Certification and Termination</w:t>
        </w:r>
      </w:hyperlink>
      <w:r w:rsidRPr="00480065">
        <w:t xml:space="preserve">.  The two types of Scheduling Coordinators that may transact in the EIM are:  </w:t>
      </w:r>
    </w:p>
    <w:p w14:paraId="18ED8E4A" w14:textId="77777777" w:rsidR="00E77E45" w:rsidRPr="00BA2E6E" w:rsidRDefault="00F849F7" w:rsidP="00BA2E6E">
      <w:pPr>
        <w:numPr>
          <w:ilvl w:val="0"/>
          <w:numId w:val="9"/>
        </w:numPr>
        <w:spacing w:after="240" w:line="300" w:lineRule="auto"/>
      </w:pPr>
      <w:r w:rsidRPr="00F95AB3">
        <w:rPr>
          <w:b/>
        </w:rPr>
        <w:t xml:space="preserve">EIM </w:t>
      </w:r>
      <w:r w:rsidR="00CA517E" w:rsidRPr="00F95AB3">
        <w:rPr>
          <w:b/>
        </w:rPr>
        <w:t>Entity Scheduling Coordinators:</w:t>
      </w:r>
      <w:r w:rsidR="00CA517E">
        <w:t xml:space="preserve">  </w:t>
      </w:r>
      <w:r w:rsidRPr="00480065">
        <w:t xml:space="preserve">Represent non-participating load and non-participating resources within the EIM.   An EIM Entity Scheduling Coordinator may represent multiple EIM Entities if it has informed each EIM Entity of the multiple </w:t>
      </w:r>
      <w:r w:rsidR="009C0EE3" w:rsidRPr="00480065">
        <w:t>representations</w:t>
      </w:r>
      <w:r w:rsidRPr="00480065">
        <w:t xml:space="preserve">, </w:t>
      </w:r>
      <w:r w:rsidR="009C0EE3" w:rsidRPr="00480065">
        <w:t>and has</w:t>
      </w:r>
      <w:r w:rsidRPr="00480065">
        <w:t xml:space="preserve"> completed an EIM Entity Schedulin</w:t>
      </w:r>
      <w:r w:rsidR="00F429F2">
        <w:t xml:space="preserve">g </w:t>
      </w:r>
      <w:r w:rsidRPr="00480065">
        <w:t>Coordinator Representation Form and submitted it to</w:t>
      </w:r>
      <w:r w:rsidR="009D507A">
        <w:t xml:space="preserve"> </w:t>
      </w:r>
      <w:r w:rsidR="00577BCD">
        <w:t>CAISO in the manner noted o</w:t>
      </w:r>
      <w:r w:rsidRPr="00480065">
        <w:t xml:space="preserve">n the form. </w:t>
      </w:r>
    </w:p>
    <w:p w14:paraId="6C785BDC" w14:textId="77777777" w:rsidR="002E46E9" w:rsidRPr="00BB070F" w:rsidRDefault="002E46E9" w:rsidP="000879D6">
      <w:pPr>
        <w:numPr>
          <w:ilvl w:val="0"/>
          <w:numId w:val="9"/>
        </w:numPr>
        <w:spacing w:after="240" w:line="300" w:lineRule="auto"/>
      </w:pPr>
      <w:r w:rsidRPr="00F95AB3">
        <w:rPr>
          <w:b/>
        </w:rPr>
        <w:t>EIM Participating Resource Scheduling Coordinators</w:t>
      </w:r>
      <w:r w:rsidR="00E77E45" w:rsidRPr="00F95AB3">
        <w:rPr>
          <w:b/>
        </w:rPr>
        <w:t>:</w:t>
      </w:r>
      <w:r w:rsidR="00F429F2">
        <w:t xml:space="preserve">  </w:t>
      </w:r>
      <w:r w:rsidR="00E77E45" w:rsidRPr="00B06DE4">
        <w:t>Only represent resources that plan to participate in the EIM and may not be the EIM Entity Scheduling Coordinator.</w:t>
      </w:r>
    </w:p>
    <w:p w14:paraId="606902DA" w14:textId="77777777" w:rsidR="00842CCC" w:rsidRPr="00B06DE4" w:rsidRDefault="002E46E9" w:rsidP="006F6DD6">
      <w:pPr>
        <w:spacing w:after="240" w:line="300" w:lineRule="auto"/>
      </w:pPr>
      <w:r w:rsidRPr="003D6985">
        <w:t xml:space="preserve">The </w:t>
      </w:r>
      <w:hyperlink r:id="rId112" w:history="1">
        <w:r w:rsidR="00A21E2E" w:rsidRPr="00B06DE4">
          <w:rPr>
            <w:rStyle w:val="Hyperlink"/>
            <w:b/>
          </w:rPr>
          <w:t>BPM for Scheduling Coordinator Certification and Termination</w:t>
        </w:r>
      </w:hyperlink>
      <w:r w:rsidR="005F0DEA" w:rsidRPr="00B06DE4">
        <w:rPr>
          <w:b/>
        </w:rPr>
        <w:t xml:space="preserve"> </w:t>
      </w:r>
      <w:r w:rsidRPr="00B06DE4">
        <w:t>outlines the processes and approximate associated timelines, including the training, testi</w:t>
      </w:r>
      <w:r w:rsidRPr="00BB070F">
        <w:t>ng</w:t>
      </w:r>
      <w:r w:rsidR="00D144D0" w:rsidRPr="003D6985">
        <w:t xml:space="preserve">, and informational submissions </w:t>
      </w:r>
      <w:r w:rsidRPr="00480065">
        <w:t>that an applicant must complete in order to become a</w:t>
      </w:r>
      <w:r w:rsidR="005F0DEA" w:rsidRPr="00480065">
        <w:t>n eligible</w:t>
      </w:r>
      <w:r w:rsidRPr="00480065">
        <w:t xml:space="preserve"> certified Scheduling Coordinator (SC)</w:t>
      </w:r>
      <w:r w:rsidR="00577BCD">
        <w:t xml:space="preserve"> with </w:t>
      </w:r>
      <w:r w:rsidR="00842CCC" w:rsidRPr="00480065">
        <w:t xml:space="preserve">CAISO.  Both types of EIM </w:t>
      </w:r>
      <w:r w:rsidR="002556CA">
        <w:t xml:space="preserve">Entity </w:t>
      </w:r>
      <w:r w:rsidR="00842CCC" w:rsidRPr="00480065">
        <w:t>Scheduling Coordinators are also respo</w:t>
      </w:r>
      <w:r w:rsidR="00577BCD">
        <w:t xml:space="preserve">nsible for registering with </w:t>
      </w:r>
      <w:r w:rsidR="00842CCC" w:rsidRPr="00480065">
        <w:t xml:space="preserve">CAISO the resources that they will represent as noted in the </w:t>
      </w:r>
      <w:hyperlink w:anchor="_FULL_NETWORK_MODEL" w:history="1">
        <w:r w:rsidR="00842CCC" w:rsidRPr="00F95AB3">
          <w:rPr>
            <w:rStyle w:val="Hyperlink"/>
          </w:rPr>
          <w:t>Full Network Model section of this BPM</w:t>
        </w:r>
      </w:hyperlink>
      <w:r w:rsidR="00842CCC" w:rsidRPr="00480065">
        <w:t>.</w:t>
      </w:r>
    </w:p>
    <w:p w14:paraId="379F4FD2" w14:textId="77777777" w:rsidR="00E16545" w:rsidRDefault="00842CCC" w:rsidP="006F6DD6">
      <w:pPr>
        <w:spacing w:after="240" w:line="300" w:lineRule="auto"/>
      </w:pPr>
      <w:r w:rsidRPr="00B06DE4">
        <w:t xml:space="preserve">The </w:t>
      </w:r>
      <w:hyperlink r:id="rId113" w:history="1">
        <w:r w:rsidRPr="00B06DE4">
          <w:rPr>
            <w:rStyle w:val="Hyperlink"/>
            <w:b/>
          </w:rPr>
          <w:t>BPM for Scheduling Coordinator Certification and Termination</w:t>
        </w:r>
      </w:hyperlink>
      <w:r w:rsidR="005F0DEA" w:rsidRPr="00B06DE4">
        <w:rPr>
          <w:b/>
        </w:rPr>
        <w:t xml:space="preserve"> </w:t>
      </w:r>
      <w:r w:rsidR="002E46E9" w:rsidRPr="00B06DE4">
        <w:t xml:space="preserve">also addresses the </w:t>
      </w:r>
      <w:r w:rsidR="002E46E9" w:rsidRPr="003D6985">
        <w:t xml:space="preserve">responsibilities </w:t>
      </w:r>
      <w:r w:rsidR="005F0DEA" w:rsidRPr="003D6985">
        <w:t xml:space="preserve">and status that an SC must maintain in order to participate in the markets </w:t>
      </w:r>
      <w:r w:rsidR="00577BCD">
        <w:t xml:space="preserve">operated by </w:t>
      </w:r>
      <w:r w:rsidR="005F0DEA" w:rsidRPr="00480065">
        <w:t>CAISO.</w:t>
      </w:r>
      <w:r w:rsidR="005F0DEA" w:rsidRPr="00480065" w:rsidDel="005F0DEA">
        <w:t xml:space="preserve"> </w:t>
      </w:r>
      <w:r w:rsidR="002E46E9" w:rsidRPr="00480065">
        <w:t>To particip</w:t>
      </w:r>
      <w:r w:rsidR="00D144D0" w:rsidRPr="00480065">
        <w:t>ate in the EIM, entities must</w:t>
      </w:r>
      <w:r w:rsidR="002E46E9" w:rsidRPr="00480065">
        <w:t xml:space="preserve"> request access to a variety of applications as noted in Section 5.3.4 of the </w:t>
      </w:r>
      <w:hyperlink r:id="rId114" w:history="1">
        <w:r w:rsidR="00A21E2E" w:rsidRPr="00B06DE4">
          <w:rPr>
            <w:rStyle w:val="Hyperlink"/>
            <w:b/>
          </w:rPr>
          <w:t>BPM for Scheduling Coordinator Certification and Termination</w:t>
        </w:r>
      </w:hyperlink>
      <w:r w:rsidR="002E46E9" w:rsidRPr="00B06DE4">
        <w:t xml:space="preserve">.  While registration as an EIM </w:t>
      </w:r>
      <w:r w:rsidR="002E46E9" w:rsidRPr="00B06DE4">
        <w:lastRenderedPageBreak/>
        <w:t>participant is part of the s</w:t>
      </w:r>
      <w:r w:rsidR="002E46E9" w:rsidRPr="00BB070F">
        <w:t>tandard process to</w:t>
      </w:r>
      <w:r w:rsidR="002E46E9" w:rsidRPr="002E46E9">
        <w:t xml:space="preserve"> become a</w:t>
      </w:r>
      <w:r w:rsidR="005F0DEA">
        <w:t>n</w:t>
      </w:r>
      <w:r w:rsidR="002E46E9" w:rsidRPr="002E46E9">
        <w:t xml:space="preserve"> SC, if additional SC_IDs are desired, an EIM participant should refer to Section 5.5 of the </w:t>
      </w:r>
      <w:hyperlink r:id="rId115" w:history="1">
        <w:r w:rsidR="00A21E2E" w:rsidRPr="00B84E9F">
          <w:rPr>
            <w:rStyle w:val="Hyperlink"/>
            <w:b/>
          </w:rPr>
          <w:t>BPM for Scheduling Coordinator Certification and Termination</w:t>
        </w:r>
      </w:hyperlink>
      <w:r w:rsidR="002E46E9" w:rsidRPr="002E46E9">
        <w:t xml:space="preserve"> for more information.  </w:t>
      </w:r>
    </w:p>
    <w:p w14:paraId="75C5F0F8" w14:textId="77777777" w:rsidR="006B2D5F" w:rsidRDefault="002E46E9" w:rsidP="006B2D5F">
      <w:pPr>
        <w:spacing w:after="240" w:line="300" w:lineRule="auto"/>
      </w:pPr>
      <w:r w:rsidRPr="002E46E9">
        <w:t>For EIM Entity Scheduling Coordinators and EIM Participating Resource Scheduling Coordinators, certain activities outlined in Section 3 of</w:t>
      </w:r>
      <w:r w:rsidR="00E16545">
        <w:t xml:space="preserve"> the</w:t>
      </w:r>
      <w:r w:rsidRPr="002E46E9">
        <w:t xml:space="preserve"> </w:t>
      </w:r>
      <w:hyperlink r:id="rId116" w:history="1">
        <w:r w:rsidR="00A21E2E" w:rsidRPr="00B84E9F">
          <w:rPr>
            <w:rStyle w:val="Hyperlink"/>
            <w:b/>
          </w:rPr>
          <w:t>BPM for Scheduling Coordinator Certification and Termination</w:t>
        </w:r>
      </w:hyperlink>
      <w:r w:rsidRPr="00E16545">
        <w:rPr>
          <w:b/>
        </w:rPr>
        <w:t xml:space="preserve"> </w:t>
      </w:r>
      <w:r w:rsidRPr="002E46E9">
        <w:t>do not apply</w:t>
      </w:r>
      <w:r w:rsidR="00967ECB">
        <w:t xml:space="preserve"> to participation in</w:t>
      </w:r>
      <w:r w:rsidR="005F0DEA">
        <w:t xml:space="preserve"> the</w:t>
      </w:r>
      <w:r w:rsidR="00967ECB">
        <w:t xml:space="preserve"> EIM</w:t>
      </w:r>
      <w:r w:rsidRPr="002E46E9">
        <w:t xml:space="preserve">.  </w:t>
      </w:r>
      <w:r w:rsidRPr="009C0623">
        <w:t>Specifically, those activities listed that reflect Inter-SC Trades, CAISO Balancing Authority Area Generating Units, CAISO Balancing Authority Area Load,</w:t>
      </w:r>
      <w:r w:rsidR="00967ECB" w:rsidRPr="009C0623">
        <w:t xml:space="preserve"> </w:t>
      </w:r>
      <w:r w:rsidRPr="009C0623">
        <w:t>and Convergence Bidding are not applicable to participation in the EIM.</w:t>
      </w:r>
      <w:bookmarkStart w:id="42" w:name="_Toc389662571"/>
      <w:bookmarkStart w:id="43" w:name="_Toc390946256"/>
    </w:p>
    <w:p w14:paraId="45BA5773" w14:textId="77777777" w:rsidR="007C7A35" w:rsidRDefault="007C7A35" w:rsidP="005F6CDE">
      <w:pPr>
        <w:pStyle w:val="Heading2"/>
      </w:pPr>
      <w:bookmarkStart w:id="44" w:name="_Toc20384074"/>
      <w:r w:rsidRPr="00423E1F">
        <w:t>Determination of SC Certification Requirements</w:t>
      </w:r>
      <w:bookmarkEnd w:id="44"/>
      <w:r w:rsidRPr="00423E1F">
        <w:t xml:space="preserve"> </w:t>
      </w:r>
    </w:p>
    <w:p w14:paraId="18B9AC46" w14:textId="77777777" w:rsidR="007A721E" w:rsidRDefault="007A721E">
      <w:r w:rsidRPr="00877DDB">
        <w:t xml:space="preserve">An existing Certified Scheduling Coordinator with a valid Scheduling Coordinator Agreement (SCA) in place for the corporate parent of the EIM Entity may qualify for certification requirements for EIM Participating Resource Scheduling Coordinator and/or EIM Entity Scheduling Coordinator certification requirements. Please review the provision set forth in tariff section 29.4 and section 3 of the EIM BPM for determination of SC certification requirements: </w:t>
      </w:r>
    </w:p>
    <w:p w14:paraId="2612B693" w14:textId="77777777" w:rsidR="00BE02D8" w:rsidRPr="00877DDB" w:rsidRDefault="00BE02D8" w:rsidP="007A721E">
      <w:r w:rsidRPr="00877DDB">
        <w:t xml:space="preserve"> </w:t>
      </w:r>
      <w:r w:rsidRPr="00877DDB">
        <w:br/>
      </w:r>
      <w:r w:rsidRPr="00877DDB">
        <w:rPr>
          <w:color w:val="000000" w:themeColor="text1"/>
        </w:rPr>
        <w:t>Tariff section 29.4 Roles and Responsibilities; (c) 3 (b). An EIM Entity Scheduling Coordinator may not also be an EIM Participating Resources Scheduling Coordinator or a Scheduling Coordinator for a Participating Generator, Participating Load or Demand Response Provider, unless the EIM Entity Scheduling Coordinator is a transmission provider subject to the standards of conduct set forth in 18 C.F.R § 358.</w:t>
      </w:r>
    </w:p>
    <w:p w14:paraId="36F2E145" w14:textId="77777777" w:rsidR="00BE02D8" w:rsidRDefault="00BE02D8" w:rsidP="00BE02D8">
      <w:pPr>
        <w:ind w:left="720"/>
      </w:pPr>
    </w:p>
    <w:p w14:paraId="1EB8F2EE" w14:textId="2C11AF7D" w:rsidR="007A721E" w:rsidRDefault="007A721E" w:rsidP="00BE02D8">
      <w:r>
        <w:t xml:space="preserve">The determination of requirements will depend on the corporate structure of the EIM Entity and EIM Participating Resources owned by the parent company.  Discussions between CAISO legal counsel and EIM Entity legal counsel will be required. If it is determined that the EIM Entity does not meet the stated exception, the EIM Entity SC must complete the entire SC certification process which can take a minimum of 120 days. Please refer to the BPM for the requirements for SC certification.  </w:t>
      </w:r>
    </w:p>
    <w:p w14:paraId="384C464A" w14:textId="77777777" w:rsidR="00BE02D8" w:rsidRDefault="00BE02D8" w:rsidP="00BE02D8"/>
    <w:p w14:paraId="613156B4" w14:textId="77777777" w:rsidR="00BE02D8" w:rsidRPr="00877DDB" w:rsidRDefault="00BE02D8" w:rsidP="00BE02D8">
      <w:r>
        <w:t xml:space="preserve">If it is determined that the EIM Entity does in fact  meet the stated exception, then the EIM entity SC will not need to complete the entire certification process. </w:t>
      </w:r>
    </w:p>
    <w:p w14:paraId="3CD81EB8" w14:textId="3D862B2C" w:rsidR="00BE02D8" w:rsidRPr="00877DDB" w:rsidRDefault="00BE02D8" w:rsidP="000F0531">
      <w:pPr>
        <w:pStyle w:val="ListParagraph"/>
        <w:numPr>
          <w:ilvl w:val="0"/>
          <w:numId w:val="55"/>
        </w:numPr>
      </w:pPr>
      <w:r w:rsidRPr="00877DDB">
        <w:t>Business Practice Manual (BPM) Library</w:t>
      </w:r>
      <w:r w:rsidR="005F71AB">
        <w:t>:</w:t>
      </w:r>
      <w:r w:rsidRPr="00877DDB">
        <w:t xml:space="preserve"> </w:t>
      </w:r>
      <w:hyperlink r:id="rId117" w:history="1">
        <w:r w:rsidRPr="00877DDB">
          <w:t>http://bpmcm.caiso.com/Pages/BPMLibrary.aspx</w:t>
        </w:r>
      </w:hyperlink>
      <w:r w:rsidRPr="00877DDB">
        <w:t xml:space="preserve"> </w:t>
      </w:r>
    </w:p>
    <w:p w14:paraId="4A1F3ED4" w14:textId="77777777" w:rsidR="00BE02D8" w:rsidRPr="00877DDB" w:rsidRDefault="00BE02D8" w:rsidP="00BE02D8">
      <w:pPr>
        <w:pStyle w:val="ListParagraph"/>
        <w:ind w:left="1080"/>
      </w:pPr>
      <w:r w:rsidRPr="00877DDB">
        <w:t>(Scheduling Coordinator Certification and Termination)</w:t>
      </w:r>
    </w:p>
    <w:p w14:paraId="2BBA1785" w14:textId="77777777" w:rsidR="00BE02D8" w:rsidRDefault="00BE02D8" w:rsidP="006B2D5F">
      <w:pPr>
        <w:spacing w:after="240" w:line="300" w:lineRule="auto"/>
      </w:pPr>
    </w:p>
    <w:p w14:paraId="1D250E41" w14:textId="77777777" w:rsidR="00AE404B" w:rsidRDefault="00AE404B" w:rsidP="00AE404B">
      <w:pPr>
        <w:pStyle w:val="Heading1"/>
      </w:pPr>
      <w:bookmarkStart w:id="45" w:name="_AGREEMENTS"/>
      <w:bookmarkStart w:id="46" w:name="_Toc20384075"/>
      <w:bookmarkEnd w:id="45"/>
      <w:r>
        <w:lastRenderedPageBreak/>
        <w:t>AGREEMENTS</w:t>
      </w:r>
      <w:bookmarkEnd w:id="46"/>
    </w:p>
    <w:p w14:paraId="31A08B49" w14:textId="77777777" w:rsidR="00BE02D8" w:rsidRPr="00BE02D8" w:rsidRDefault="00BE02D8" w:rsidP="00BE02D8">
      <w:r w:rsidRPr="00BE02D8">
        <w:t xml:space="preserve">For entities that have signed an EIM implementation agreement, the purpose of this document is to provide the specific steps and appropriate links to obtain all the applicable agreements to be completed and executed in order to participate in the energy imbalance market.  References made to the EIM BPM and CAISO tariff refer to the most current versions of these documents.  </w:t>
      </w:r>
      <w:r w:rsidRPr="00BE02D8">
        <w:br/>
      </w:r>
    </w:p>
    <w:p w14:paraId="2D2AC2D0" w14:textId="445B88DC" w:rsidR="00BE02D8" w:rsidRDefault="00BE02D8" w:rsidP="000F0531">
      <w:pPr>
        <w:pStyle w:val="ListParagraph"/>
        <w:numPr>
          <w:ilvl w:val="0"/>
          <w:numId w:val="55"/>
        </w:numPr>
      </w:pPr>
      <w:r w:rsidRPr="00BE02D8">
        <w:t>Business Practice Manual (BPM) library</w:t>
      </w:r>
      <w:r w:rsidR="005F71AB">
        <w:t>:</w:t>
      </w:r>
      <w:r w:rsidRPr="00BE02D8">
        <w:t xml:space="preserve"> </w:t>
      </w:r>
      <w:hyperlink r:id="rId118" w:history="1">
        <w:r w:rsidRPr="00BE02D8">
          <w:rPr>
            <w:color w:val="0000FF"/>
            <w:u w:val="single"/>
          </w:rPr>
          <w:t>http://bpmcm.caiso.com/Pages/BPMLibrary.aspx</w:t>
        </w:r>
      </w:hyperlink>
      <w:r w:rsidRPr="00BE02D8">
        <w:t xml:space="preserve"> </w:t>
      </w:r>
      <w:r w:rsidR="005F71AB">
        <w:t xml:space="preserve">under </w:t>
      </w:r>
      <w:r w:rsidRPr="00BE02D8">
        <w:t>Energy Imbalance Market</w:t>
      </w:r>
    </w:p>
    <w:p w14:paraId="1F74F5F4" w14:textId="7354DC8F" w:rsidR="00BE02D8" w:rsidRPr="00BE02D8" w:rsidRDefault="00BE02D8" w:rsidP="00BE02D8">
      <w:pPr>
        <w:pStyle w:val="ListParagraph"/>
        <w:ind w:left="1080"/>
      </w:pPr>
      <w:r>
        <w:t>CAISO</w:t>
      </w:r>
      <w:r w:rsidRPr="00BE02D8">
        <w:t xml:space="preserve"> Conformed Tariff </w:t>
      </w:r>
      <w:r w:rsidR="005F71AB">
        <w:t xml:space="preserve"> </w:t>
      </w:r>
    </w:p>
    <w:p w14:paraId="650C4258" w14:textId="77777777" w:rsidR="00BE02D8" w:rsidRPr="00BE02D8" w:rsidRDefault="00BE02D8" w:rsidP="00BE02D8">
      <w:r w:rsidRPr="00BE02D8">
        <w:t xml:space="preserve">The addition of a new balancing area to the EIM will typically involve the agreements listed below.  The schedule for completion of these agreements will be developed during the initial project planning phases.  It is recommended that the Implementation Agreement be executed 8-9 months prior to initial participation in order to begin the process for completing and executing the below agreements: </w:t>
      </w:r>
    </w:p>
    <w:p w14:paraId="225A065C" w14:textId="77777777" w:rsidR="00BE02D8" w:rsidRPr="00BE02D8" w:rsidRDefault="00BE02D8" w:rsidP="000F0531">
      <w:pPr>
        <w:numPr>
          <w:ilvl w:val="0"/>
          <w:numId w:val="54"/>
        </w:numPr>
      </w:pPr>
      <w:r w:rsidRPr="00BE02D8">
        <w:t>EIM Entity Agreement</w:t>
      </w:r>
    </w:p>
    <w:p w14:paraId="72B2A979" w14:textId="77777777" w:rsidR="00BE02D8" w:rsidRPr="00BE02D8" w:rsidRDefault="00BE02D8" w:rsidP="000F0531">
      <w:pPr>
        <w:numPr>
          <w:ilvl w:val="0"/>
          <w:numId w:val="54"/>
        </w:numPr>
      </w:pPr>
      <w:r w:rsidRPr="00BE02D8">
        <w:t xml:space="preserve">EIM Entity Scheduling Coordinator Agreement </w:t>
      </w:r>
    </w:p>
    <w:p w14:paraId="4B1C6DAF" w14:textId="77777777" w:rsidR="00BE02D8" w:rsidRPr="00BE02D8" w:rsidRDefault="00BE02D8" w:rsidP="000F0531">
      <w:pPr>
        <w:numPr>
          <w:ilvl w:val="1"/>
          <w:numId w:val="54"/>
        </w:numPr>
      </w:pPr>
      <w:r w:rsidRPr="00BE02D8">
        <w:t>Meter Service Agreement for Scheduling Coordinators</w:t>
      </w:r>
    </w:p>
    <w:p w14:paraId="1CA8AD9D" w14:textId="77777777" w:rsidR="00BE02D8" w:rsidRPr="00BE02D8" w:rsidRDefault="00BE02D8" w:rsidP="000F0531">
      <w:pPr>
        <w:numPr>
          <w:ilvl w:val="0"/>
          <w:numId w:val="54"/>
        </w:numPr>
      </w:pPr>
      <w:r w:rsidRPr="00BE02D8">
        <w:t>EIM Participating Resource Scheduling Coordinator Agreements</w:t>
      </w:r>
    </w:p>
    <w:p w14:paraId="0E192E1D" w14:textId="77777777" w:rsidR="00BE02D8" w:rsidRPr="00BE02D8" w:rsidRDefault="00BE02D8" w:rsidP="000F0531">
      <w:pPr>
        <w:numPr>
          <w:ilvl w:val="1"/>
          <w:numId w:val="54"/>
        </w:numPr>
      </w:pPr>
      <w:r w:rsidRPr="00BE02D8">
        <w:t>Meter Service Agreement for Scheduling Coordinators</w:t>
      </w:r>
    </w:p>
    <w:p w14:paraId="770ACC59" w14:textId="77777777" w:rsidR="00BE02D8" w:rsidRPr="00BE02D8" w:rsidRDefault="00BE02D8" w:rsidP="000F0531">
      <w:pPr>
        <w:numPr>
          <w:ilvl w:val="0"/>
          <w:numId w:val="54"/>
        </w:numPr>
      </w:pPr>
      <w:r w:rsidRPr="00BE02D8">
        <w:t>EIM Participating Resource Agreement</w:t>
      </w:r>
    </w:p>
    <w:p w14:paraId="744E6CE9" w14:textId="77777777" w:rsidR="00BE02D8" w:rsidRDefault="00BE02D8" w:rsidP="000F0531">
      <w:pPr>
        <w:numPr>
          <w:ilvl w:val="1"/>
          <w:numId w:val="54"/>
        </w:numPr>
      </w:pPr>
      <w:r w:rsidRPr="00BE02D8">
        <w:t xml:space="preserve">(optional) Meter Service Agreement for </w:t>
      </w:r>
      <w:r>
        <w:t>CA</w:t>
      </w:r>
      <w:r w:rsidRPr="00BE02D8">
        <w:t>ISO Metered Entities</w:t>
      </w:r>
    </w:p>
    <w:p w14:paraId="7FB52D23" w14:textId="77777777" w:rsidR="00BE02D8" w:rsidRDefault="00BE02D8" w:rsidP="00BE02D8"/>
    <w:p w14:paraId="649199B7" w14:textId="77777777" w:rsidR="00BE02D8" w:rsidRDefault="00BE02D8" w:rsidP="00BE02D8">
      <w:pPr>
        <w:outlineLvl w:val="0"/>
        <w:rPr>
          <w:color w:val="244061"/>
        </w:rPr>
      </w:pPr>
    </w:p>
    <w:p w14:paraId="40C2E104" w14:textId="77777777" w:rsidR="00BE02D8" w:rsidRPr="00BA7F31" w:rsidRDefault="00BE02D8" w:rsidP="00D46AE0">
      <w:pPr>
        <w:pStyle w:val="Heading2"/>
      </w:pPr>
      <w:bookmarkStart w:id="47" w:name="_Toc20384076"/>
      <w:r w:rsidRPr="00BA7F31">
        <w:t>EIM Entity Agreement</w:t>
      </w:r>
      <w:bookmarkEnd w:id="47"/>
    </w:p>
    <w:p w14:paraId="0F3F20A3" w14:textId="77777777" w:rsidR="00BE02D8" w:rsidRPr="00877DDB" w:rsidRDefault="00BE02D8" w:rsidP="000F0531">
      <w:pPr>
        <w:pStyle w:val="ListParagraph"/>
        <w:numPr>
          <w:ilvl w:val="0"/>
          <w:numId w:val="60"/>
        </w:numPr>
        <w:rPr>
          <w:b/>
        </w:rPr>
      </w:pPr>
      <w:r w:rsidRPr="00877DDB">
        <w:t>Submit the Information Request Sheet for EIM Entity Agreement</w:t>
      </w:r>
    </w:p>
    <w:p w14:paraId="03D3B9F3" w14:textId="77777777" w:rsidR="005F71AB" w:rsidRDefault="007818F5" w:rsidP="00545134">
      <w:pPr>
        <w:ind w:left="720"/>
        <w:rPr>
          <w:color w:val="1F497D"/>
        </w:rPr>
      </w:pPr>
      <w:hyperlink r:id="rId119" w:history="1">
        <w:r w:rsidR="00BE02D8" w:rsidRPr="00BE02D8">
          <w:rPr>
            <w:rStyle w:val="Hyperlink"/>
          </w:rPr>
          <w:t>http://www.caiso.com/Documents/EnergyImbalanceMarketEntityAgreementInformationRequestSheet.doc</w:t>
        </w:r>
      </w:hyperlink>
      <w:r w:rsidR="00BE02D8" w:rsidRPr="00172552">
        <w:rPr>
          <w:color w:val="1F497D"/>
        </w:rPr>
        <w:t xml:space="preserve"> </w:t>
      </w:r>
    </w:p>
    <w:p w14:paraId="6C91639C" w14:textId="199E43E7" w:rsidR="00BE02D8" w:rsidRDefault="005F71AB" w:rsidP="00545134">
      <w:pPr>
        <w:ind w:left="720"/>
        <w:rPr>
          <w:color w:val="1F497D"/>
        </w:rPr>
      </w:pPr>
      <w:r w:rsidRPr="00877DDB">
        <w:t xml:space="preserve">Send submissions </w:t>
      </w:r>
      <w:r w:rsidR="00BE02D8" w:rsidRPr="00877DDB">
        <w:t xml:space="preserve">to: </w:t>
      </w:r>
      <w:hyperlink r:id="rId120" w:history="1">
        <w:r w:rsidR="00BE02D8" w:rsidRPr="009743F6">
          <w:rPr>
            <w:rStyle w:val="Hyperlink"/>
          </w:rPr>
          <w:t>RegulatoryContracts@caiso.com</w:t>
        </w:r>
      </w:hyperlink>
      <w:r w:rsidR="00BE02D8">
        <w:rPr>
          <w:color w:val="1F497D"/>
        </w:rPr>
        <w:t xml:space="preserve"> </w:t>
      </w:r>
    </w:p>
    <w:p w14:paraId="20A74AB0" w14:textId="77777777" w:rsidR="00BE02D8" w:rsidRPr="00172552" w:rsidRDefault="00BE02D8" w:rsidP="00BE02D8">
      <w:pPr>
        <w:rPr>
          <w:color w:val="1F497D"/>
        </w:rPr>
      </w:pPr>
    </w:p>
    <w:p w14:paraId="4CE914E2" w14:textId="77777777" w:rsidR="00BE02D8" w:rsidRDefault="00BE02D8" w:rsidP="00D46AE0">
      <w:pPr>
        <w:pStyle w:val="Heading2"/>
      </w:pPr>
      <w:bookmarkStart w:id="48" w:name="_Toc20384077"/>
      <w:r w:rsidRPr="00BA7F31">
        <w:lastRenderedPageBreak/>
        <w:t>EIM Entity Scheduling Coordinator (Entity SC)</w:t>
      </w:r>
      <w:bookmarkEnd w:id="48"/>
      <w:r>
        <w:t xml:space="preserve"> </w:t>
      </w:r>
    </w:p>
    <w:p w14:paraId="24D2FEDD" w14:textId="77777777" w:rsidR="007A721E" w:rsidRDefault="007A721E"/>
    <w:p w14:paraId="4D88392E" w14:textId="77777777" w:rsidR="00BE02D8" w:rsidRDefault="00BE02D8" w:rsidP="00BE02D8">
      <w:pPr>
        <w:outlineLvl w:val="0"/>
        <w:rPr>
          <w:color w:val="1F497D"/>
        </w:rPr>
      </w:pPr>
      <w:bookmarkStart w:id="49" w:name="_Toc20384078"/>
      <w:r w:rsidRPr="00877DDB">
        <w:t>The submittals listed below should be sent to:</w:t>
      </w:r>
      <w:r w:rsidRPr="00877DDB">
        <w:rPr>
          <w:b/>
        </w:rPr>
        <w:t xml:space="preserve"> </w:t>
      </w:r>
      <w:hyperlink r:id="rId121" w:history="1">
        <w:r w:rsidRPr="00172552">
          <w:rPr>
            <w:rStyle w:val="Hyperlink"/>
          </w:rPr>
          <w:t>SCRequests@caiso.com</w:t>
        </w:r>
        <w:bookmarkEnd w:id="49"/>
      </w:hyperlink>
    </w:p>
    <w:p w14:paraId="7E066BD4" w14:textId="77777777" w:rsidR="00BE02D8" w:rsidRDefault="00BE02D8" w:rsidP="00BE02D8">
      <w:pPr>
        <w:outlineLvl w:val="0"/>
        <w:rPr>
          <w:color w:val="1F497D"/>
        </w:rPr>
      </w:pPr>
    </w:p>
    <w:p w14:paraId="5763A737" w14:textId="679FA266" w:rsidR="00BE02D8" w:rsidRDefault="00BE02D8" w:rsidP="000F0531">
      <w:pPr>
        <w:pStyle w:val="ListParagraph"/>
        <w:numPr>
          <w:ilvl w:val="0"/>
          <w:numId w:val="61"/>
        </w:numPr>
      </w:pPr>
      <w:r>
        <w:t>EIM Entity will work with the CAISO to determine the SCID naming options. In addition to the SCID, there will be various other IDs that need to be set up for the EIM Entity and the EIM Entity SC. The CAISO will work with the EIM Entity to have these IDs set up in the MAPStage testing environment.</w:t>
      </w:r>
    </w:p>
    <w:p w14:paraId="2512C4EB" w14:textId="77777777" w:rsidR="00BE02D8" w:rsidRPr="00BE02D8" w:rsidRDefault="00BE02D8" w:rsidP="000F0531">
      <w:pPr>
        <w:pStyle w:val="ListParagraph"/>
        <w:numPr>
          <w:ilvl w:val="0"/>
          <w:numId w:val="61"/>
        </w:numPr>
      </w:pPr>
      <w:r w:rsidRPr="00640A94">
        <w:t>Submit the EIM entity SC application with the EIM entity (balancing authority) box checked per example below</w:t>
      </w:r>
    </w:p>
    <w:p w14:paraId="5C194057" w14:textId="77777777" w:rsidR="00BE02D8" w:rsidRPr="00640A94" w:rsidRDefault="00BE02D8" w:rsidP="009540DF">
      <w:r>
        <w:br/>
      </w:r>
    </w:p>
    <w:p w14:paraId="4FC622B2" w14:textId="77777777" w:rsidR="00BE02D8" w:rsidRPr="006E2D91" w:rsidRDefault="007818F5" w:rsidP="00D46AE0">
      <w:hyperlink r:id="rId122" w:history="1">
        <w:r w:rsidR="00BE02D8" w:rsidRPr="00BE02D8">
          <w:rPr>
            <w:rStyle w:val="Hyperlink"/>
          </w:rPr>
          <w:t>http://www.caiso.com/Documents/SchedulingCoordinatorApplicationFormEIM-SelectionOptions.doc</w:t>
        </w:r>
      </w:hyperlink>
      <w:r w:rsidR="00BE02D8" w:rsidRPr="006E2D91">
        <w:t xml:space="preserve"> </w:t>
      </w:r>
    </w:p>
    <w:p w14:paraId="7F2DDF60" w14:textId="77777777" w:rsidR="00BE02D8" w:rsidRPr="006E2D91" w:rsidRDefault="00BE02D8" w:rsidP="00D46AE0">
      <w:r w:rsidRPr="006E2D91">
        <w:t>Indicate designated SCID on page 1</w:t>
      </w:r>
    </w:p>
    <w:p w14:paraId="1DDF687A" w14:textId="77777777" w:rsidR="00BE02D8" w:rsidRPr="006E2D91" w:rsidRDefault="00BE02D8" w:rsidP="00BE02D8">
      <w:pPr>
        <w:ind w:firstLine="450"/>
        <w:rPr>
          <w:color w:val="1F497D"/>
        </w:rPr>
      </w:pPr>
    </w:p>
    <w:p w14:paraId="1EB7DAE0" w14:textId="77777777" w:rsidR="00BE02D8" w:rsidRPr="006E2D91" w:rsidRDefault="00BE02D8" w:rsidP="00BE02D8">
      <w:pPr>
        <w:ind w:firstLine="450"/>
        <w:rPr>
          <w:color w:val="1F497D"/>
        </w:rPr>
      </w:pPr>
      <w:r w:rsidRPr="00F55A81">
        <w:rPr>
          <w:noProof/>
          <w:color w:val="1F497D"/>
        </w:rPr>
        <w:drawing>
          <wp:inline distT="0" distB="0" distL="0" distR="0" wp14:anchorId="056D4506" wp14:editId="4BFDBB70">
            <wp:extent cx="61436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143625" cy="1447800"/>
                    </a:xfrm>
                    <a:prstGeom prst="rect">
                      <a:avLst/>
                    </a:prstGeom>
                    <a:noFill/>
                    <a:ln>
                      <a:noFill/>
                    </a:ln>
                  </pic:spPr>
                </pic:pic>
              </a:graphicData>
            </a:graphic>
          </wp:inline>
        </w:drawing>
      </w:r>
    </w:p>
    <w:p w14:paraId="0E5492F4" w14:textId="77777777" w:rsidR="00BE02D8" w:rsidRPr="006E2D91" w:rsidRDefault="00BE02D8" w:rsidP="00BE02D8">
      <w:pPr>
        <w:ind w:firstLine="450"/>
        <w:rPr>
          <w:color w:val="1F497D"/>
        </w:rPr>
      </w:pPr>
    </w:p>
    <w:p w14:paraId="5D964A5E" w14:textId="77777777" w:rsidR="00BE02D8" w:rsidRPr="00877DDB" w:rsidRDefault="00BE02D8" w:rsidP="000F0531">
      <w:pPr>
        <w:pStyle w:val="ListParagraph"/>
        <w:numPr>
          <w:ilvl w:val="0"/>
          <w:numId w:val="56"/>
        </w:numPr>
        <w:rPr>
          <w:b/>
        </w:rPr>
      </w:pPr>
      <w:r w:rsidRPr="00877DDB">
        <w:t xml:space="preserve">Submit the Information Request Sheet for EIM Entity SC </w:t>
      </w:r>
    </w:p>
    <w:p w14:paraId="69AFED09" w14:textId="77777777" w:rsidR="00BE02D8" w:rsidRPr="006E2D91" w:rsidRDefault="007818F5" w:rsidP="00BE02D8">
      <w:pPr>
        <w:ind w:left="450"/>
        <w:rPr>
          <w:color w:val="1F497D"/>
        </w:rPr>
      </w:pPr>
      <w:hyperlink r:id="rId124" w:history="1">
        <w:r w:rsidR="00BE02D8" w:rsidRPr="00BE02D8">
          <w:rPr>
            <w:rStyle w:val="Hyperlink"/>
          </w:rPr>
          <w:t>http://www.caiso.com/Documents/EnergyImbalanceMarketEntitySchedulingCoordinatorAgreementInformationRequestSheet.doc</w:t>
        </w:r>
      </w:hyperlink>
      <w:r w:rsidR="00BE02D8" w:rsidRPr="006E2D91">
        <w:rPr>
          <w:color w:val="1F497D"/>
        </w:rPr>
        <w:t xml:space="preserve"> </w:t>
      </w:r>
    </w:p>
    <w:p w14:paraId="1D2559E6" w14:textId="77777777" w:rsidR="00BE02D8" w:rsidRPr="006E2D91" w:rsidRDefault="00BE02D8" w:rsidP="00BE02D8">
      <w:pPr>
        <w:ind w:firstLine="450"/>
        <w:rPr>
          <w:color w:val="1F497D"/>
        </w:rPr>
      </w:pPr>
    </w:p>
    <w:p w14:paraId="3CF6880C" w14:textId="77777777" w:rsidR="00BE02D8" w:rsidRPr="00877DDB" w:rsidRDefault="00BE02D8" w:rsidP="000F0531">
      <w:pPr>
        <w:pStyle w:val="ListParagraph"/>
        <w:numPr>
          <w:ilvl w:val="0"/>
          <w:numId w:val="56"/>
        </w:numPr>
      </w:pPr>
      <w:r w:rsidRPr="00877DDB">
        <w:t>Download the template from the CAISO website for the MSA/SC agreement for the EIM entity (balancing area). Submit the MSA/SC Information Request Sheet – (Specific verbiage will be provided by the CAISO for the Schedule 3)</w:t>
      </w:r>
    </w:p>
    <w:p w14:paraId="58CE16BD" w14:textId="77777777" w:rsidR="00BE02D8" w:rsidRPr="00877DDB" w:rsidRDefault="00BE02D8" w:rsidP="00BE02D8">
      <w:r w:rsidRPr="00877DDB">
        <w:t>After all the requirements have been met by the EIM entity SC, agreements are issued.</w:t>
      </w:r>
    </w:p>
    <w:p w14:paraId="754B3D74" w14:textId="77777777" w:rsidR="00BE02D8" w:rsidRPr="00877DDB" w:rsidRDefault="007C7A35" w:rsidP="00BE02D8">
      <w:pPr>
        <w:rPr>
          <w:b/>
        </w:rPr>
      </w:pPr>
      <w:r w:rsidRPr="00877DDB">
        <w:lastRenderedPageBreak/>
        <w:t xml:space="preserve">The following requirements </w:t>
      </w:r>
      <w:r w:rsidR="00BE02D8" w:rsidRPr="00877DDB">
        <w:t xml:space="preserve">to be met no later than 30 days prior to parallel operations. </w:t>
      </w:r>
      <w:r w:rsidR="00BE02D8" w:rsidRPr="00877DDB">
        <w:br/>
      </w:r>
    </w:p>
    <w:p w14:paraId="62818173" w14:textId="77777777" w:rsidR="007C7A35" w:rsidRPr="00877DDB" w:rsidRDefault="00BE02D8" w:rsidP="000F0531">
      <w:pPr>
        <w:pStyle w:val="ListParagraph"/>
        <w:numPr>
          <w:ilvl w:val="0"/>
          <w:numId w:val="56"/>
        </w:numPr>
      </w:pPr>
      <w:r w:rsidRPr="00877DDB">
        <w:t>Submit the updated Affiliate Form -</w:t>
      </w:r>
      <w:r w:rsidR="007C7A35" w:rsidRPr="00877DDB">
        <w:t xml:space="preserve"> (all SCs must have an up-to-date Affialiate form on file with the CAISO as affiliates change)</w:t>
      </w:r>
    </w:p>
    <w:p w14:paraId="1D5011CA" w14:textId="77777777" w:rsidR="00BE02D8" w:rsidRDefault="007818F5" w:rsidP="00BE02D8">
      <w:pPr>
        <w:ind w:left="720"/>
        <w:rPr>
          <w:color w:val="1F497D"/>
        </w:rPr>
      </w:pPr>
      <w:hyperlink r:id="rId125" w:history="1">
        <w:r w:rsidR="00BE02D8" w:rsidRPr="00BE02D8">
          <w:rPr>
            <w:rStyle w:val="Hyperlink"/>
          </w:rPr>
          <w:t>http://www.caiso.com/Documents/ISOAffiliationResourceControlAgreementDisclosureForm.xls</w:t>
        </w:r>
      </w:hyperlink>
    </w:p>
    <w:p w14:paraId="23C73346" w14:textId="77777777" w:rsidR="00BE02D8" w:rsidRDefault="00BE02D8" w:rsidP="00BE02D8">
      <w:pPr>
        <w:rPr>
          <w:b/>
          <w:color w:val="FF0000"/>
        </w:rPr>
      </w:pPr>
    </w:p>
    <w:p w14:paraId="2C06C372" w14:textId="77777777" w:rsidR="007C7A35" w:rsidRPr="00877DDB" w:rsidRDefault="00BE02D8" w:rsidP="000F0531">
      <w:pPr>
        <w:pStyle w:val="ListParagraph"/>
        <w:numPr>
          <w:ilvl w:val="0"/>
          <w:numId w:val="56"/>
        </w:numPr>
      </w:pPr>
      <w:r w:rsidRPr="00877DDB">
        <w:t xml:space="preserve">Submit the Electronic Funds Transfer form – </w:t>
      </w:r>
      <w:r w:rsidR="007C7A35" w:rsidRPr="00877DDB">
        <w:t>(if the EIM Entity SC plans on using a separate bank account different from the bank account currently on file with the CAISO)</w:t>
      </w:r>
    </w:p>
    <w:p w14:paraId="1A84BD0A" w14:textId="77777777" w:rsidR="00BE02D8" w:rsidRDefault="007818F5" w:rsidP="00BE02D8">
      <w:pPr>
        <w:ind w:firstLine="720"/>
        <w:rPr>
          <w:color w:val="1F497D"/>
        </w:rPr>
      </w:pPr>
      <w:hyperlink r:id="rId126" w:history="1">
        <w:r w:rsidR="00BE02D8" w:rsidRPr="009743F6">
          <w:rPr>
            <w:rStyle w:val="Hyperlink"/>
          </w:rPr>
          <w:t>http://www.caiso.com/Documents/ISO_PaymentSelectionInstructions-EFT-Form.doc</w:t>
        </w:r>
      </w:hyperlink>
      <w:r w:rsidR="00BE02D8">
        <w:rPr>
          <w:color w:val="1F497D"/>
        </w:rPr>
        <w:t xml:space="preserve"> </w:t>
      </w:r>
    </w:p>
    <w:p w14:paraId="7154ED31" w14:textId="77777777" w:rsidR="00BE02D8" w:rsidRPr="00877DDB" w:rsidRDefault="00BE02D8" w:rsidP="00BE02D8">
      <w:pPr>
        <w:ind w:firstLine="720"/>
      </w:pPr>
      <w:r w:rsidRPr="00877DDB">
        <w:t>Required if EIM entity SC will be using a separate bank account from the EIM PR SC.</w:t>
      </w:r>
    </w:p>
    <w:p w14:paraId="621C525B" w14:textId="77777777" w:rsidR="00BE02D8" w:rsidRPr="006E2D91" w:rsidRDefault="00BE02D8" w:rsidP="00BE02D8">
      <w:pPr>
        <w:ind w:firstLine="450"/>
        <w:rPr>
          <w:color w:val="1F497D"/>
        </w:rPr>
      </w:pPr>
    </w:p>
    <w:p w14:paraId="73905A14" w14:textId="77777777" w:rsidR="00BE02D8" w:rsidRPr="00877DDB" w:rsidRDefault="00BE02D8" w:rsidP="000F0531">
      <w:pPr>
        <w:pStyle w:val="ListParagraph"/>
        <w:numPr>
          <w:ilvl w:val="0"/>
          <w:numId w:val="56"/>
        </w:numPr>
      </w:pPr>
      <w:r w:rsidRPr="00877DDB">
        <w:t xml:space="preserve">Submit an Emergency Plan </w:t>
      </w:r>
      <w:r w:rsidR="007C7A35" w:rsidRPr="00877DDB">
        <w:t>–</w:t>
      </w:r>
      <w:r w:rsidRPr="00877DDB">
        <w:t xml:space="preserve"> </w:t>
      </w:r>
      <w:r w:rsidR="007C7A35" w:rsidRPr="00877DDB">
        <w:t>(If the EIM Entity SC plans on having a separate operations real time desk from what is currently on file with the CAISO)</w:t>
      </w:r>
    </w:p>
    <w:p w14:paraId="03DC9620" w14:textId="77777777" w:rsidR="00BE02D8" w:rsidRDefault="007818F5" w:rsidP="00D46AE0">
      <w:pPr>
        <w:ind w:firstLine="720"/>
        <w:rPr>
          <w:color w:val="1F497D"/>
        </w:rPr>
      </w:pPr>
      <w:hyperlink r:id="rId127" w:history="1">
        <w:r w:rsidR="00BE02D8" w:rsidRPr="009743F6">
          <w:rPr>
            <w:rStyle w:val="Hyperlink"/>
          </w:rPr>
          <w:t>http://www.caiso.com/Documents/EmergencyPlanForm.doc</w:t>
        </w:r>
      </w:hyperlink>
    </w:p>
    <w:p w14:paraId="4077E99F" w14:textId="77777777" w:rsidR="00BE02D8" w:rsidRDefault="00BE02D8" w:rsidP="00BE02D8">
      <w:pPr>
        <w:rPr>
          <w:color w:val="1F497D"/>
        </w:rPr>
      </w:pPr>
    </w:p>
    <w:p w14:paraId="534A41BE" w14:textId="77777777" w:rsidR="00BE02D8" w:rsidRPr="00877DDB" w:rsidRDefault="00BE02D8" w:rsidP="000F0531">
      <w:pPr>
        <w:pStyle w:val="ListParagraph"/>
        <w:numPr>
          <w:ilvl w:val="0"/>
          <w:numId w:val="56"/>
        </w:numPr>
      </w:pPr>
      <w:r w:rsidRPr="00877DDB">
        <w:t xml:space="preserve">Perform Real Time Grid Ops test. The real time test is a series of 5 calls from the CAISO real time desk to the 24 hour number provided in the submitted Emergency Plan at any time or any day over a   7-10 period. </w:t>
      </w:r>
      <w:r w:rsidR="007C7A35" w:rsidRPr="00877DDB">
        <w:t>(based on the submission of the Emergency Plan in #5)</w:t>
      </w:r>
    </w:p>
    <w:p w14:paraId="62C8ECB7" w14:textId="77777777" w:rsidR="00BE02D8" w:rsidRDefault="00BE02D8" w:rsidP="00BE02D8">
      <w:pPr>
        <w:ind w:left="720"/>
        <w:rPr>
          <w:color w:val="1F497D"/>
        </w:rPr>
      </w:pPr>
    </w:p>
    <w:p w14:paraId="512E0863" w14:textId="77777777" w:rsidR="00BE02D8" w:rsidRPr="00BA7F31" w:rsidRDefault="00BE02D8" w:rsidP="00D46AE0">
      <w:pPr>
        <w:pStyle w:val="Heading2"/>
      </w:pPr>
      <w:bookmarkStart w:id="50" w:name="_Toc20384079"/>
      <w:r w:rsidRPr="00BA7F31">
        <w:t>EIM Participating Resource Scheduling Coordinator (EIM PR SC)</w:t>
      </w:r>
      <w:bookmarkEnd w:id="50"/>
      <w:r w:rsidRPr="00BA7F31">
        <w:t xml:space="preserve"> </w:t>
      </w:r>
    </w:p>
    <w:p w14:paraId="6E04AAFC" w14:textId="77777777" w:rsidR="007A721E" w:rsidRDefault="007A721E" w:rsidP="00BE02D8">
      <w:pPr>
        <w:rPr>
          <w:b/>
          <w:color w:val="1F497D"/>
        </w:rPr>
      </w:pPr>
      <w:r w:rsidRPr="00877DDB">
        <w:t>All of the following submittals should be sent to</w:t>
      </w:r>
      <w:r w:rsidRPr="00877DDB">
        <w:rPr>
          <w:b/>
        </w:rPr>
        <w:t xml:space="preserve"> </w:t>
      </w:r>
      <w:hyperlink r:id="rId128" w:history="1">
        <w:r w:rsidRPr="008D6FD4">
          <w:rPr>
            <w:rStyle w:val="Hyperlink"/>
            <w:b/>
          </w:rPr>
          <w:t>SCRequests@caiso.com</w:t>
        </w:r>
      </w:hyperlink>
    </w:p>
    <w:p w14:paraId="44206A67" w14:textId="77777777" w:rsidR="007A721E" w:rsidRPr="00642F1C" w:rsidRDefault="007A721E" w:rsidP="00BE02D8">
      <w:pPr>
        <w:spacing w:after="200" w:line="276" w:lineRule="auto"/>
        <w:rPr>
          <w:rFonts w:cs="Arial"/>
        </w:rPr>
      </w:pPr>
      <w:r w:rsidRPr="00877DDB">
        <w:rPr>
          <w:rFonts w:cs="Arial"/>
        </w:rPr>
        <w:t>Special Note: For other EIM PR SCs not part of the EIM entity, there are steps and requirements. Refer to documentation posted on the CAISO web site:</w:t>
      </w:r>
    </w:p>
    <w:p w14:paraId="2A9EB7C7" w14:textId="77777777" w:rsidR="007A721E" w:rsidRDefault="007A721E"/>
    <w:p w14:paraId="25FD1646" w14:textId="77777777" w:rsidR="00BE02D8" w:rsidRPr="00BE02D8" w:rsidRDefault="00BE02D8" w:rsidP="000F0531">
      <w:pPr>
        <w:pStyle w:val="ListParagraph"/>
        <w:numPr>
          <w:ilvl w:val="0"/>
          <w:numId w:val="57"/>
        </w:numPr>
        <w:rPr>
          <w:rFonts w:cs="Arial"/>
          <w:color w:val="1F497D"/>
        </w:rPr>
      </w:pPr>
      <w:r w:rsidRPr="00877DDB">
        <w:rPr>
          <w:rFonts w:eastAsia="Calibri" w:cs="Arial"/>
        </w:rPr>
        <w:t>Submit</w:t>
      </w:r>
      <w:r w:rsidRPr="00877DDB">
        <w:rPr>
          <w:rFonts w:ascii="Calibri" w:eastAsia="Calibri" w:hAnsi="Calibri"/>
        </w:rPr>
        <w:t xml:space="preserve"> </w:t>
      </w:r>
      <w:r w:rsidRPr="00877DDB">
        <w:rPr>
          <w:rFonts w:eastAsia="Calibri" w:cs="Arial"/>
        </w:rPr>
        <w:t xml:space="preserve">a request (email) for an additional SCID to </w:t>
      </w:r>
      <w:hyperlink r:id="rId129" w:history="1">
        <w:r w:rsidRPr="00BE02D8">
          <w:rPr>
            <w:rStyle w:val="Hyperlink"/>
            <w:rFonts w:eastAsia="Calibri" w:cs="Arial"/>
          </w:rPr>
          <w:t>SCRequests@caiso.com</w:t>
        </w:r>
      </w:hyperlink>
      <w:r w:rsidRPr="00BE02D8">
        <w:rPr>
          <w:rFonts w:eastAsia="Calibri" w:cs="Arial"/>
          <w:color w:val="1F497D"/>
        </w:rPr>
        <w:t xml:space="preserve"> </w:t>
      </w:r>
      <w:r w:rsidRPr="00877DDB">
        <w:rPr>
          <w:rFonts w:eastAsia="Calibri" w:cs="Arial"/>
        </w:rPr>
        <w:t>(indicating this is for EIM)</w:t>
      </w:r>
    </w:p>
    <w:p w14:paraId="794C521E" w14:textId="722606B5" w:rsidR="00BE02D8" w:rsidRPr="00877DDB" w:rsidRDefault="00BE02D8" w:rsidP="00BE02D8">
      <w:pPr>
        <w:ind w:left="630"/>
      </w:pPr>
      <w:r w:rsidRPr="00BE02D8">
        <w:rPr>
          <w:b/>
          <w:color w:val="943634"/>
        </w:rPr>
        <w:t>Optional</w:t>
      </w:r>
      <w:r w:rsidR="005F71AB">
        <w:rPr>
          <w:b/>
          <w:color w:val="943634"/>
        </w:rPr>
        <w:t>:</w:t>
      </w:r>
      <w:r w:rsidRPr="00BE02D8">
        <w:rPr>
          <w:color w:val="1F497D"/>
        </w:rPr>
        <w:t xml:space="preserve"> </w:t>
      </w:r>
      <w:r w:rsidRPr="00877DDB">
        <w:t>A separate SCID for the EIM participating resource SC is not required, but it is recommended to have a dedicate</w:t>
      </w:r>
      <w:r w:rsidR="007C7A35" w:rsidRPr="00877DDB">
        <w:t>d SCID due to the fact the EIM E</w:t>
      </w:r>
      <w:r w:rsidRPr="00877DDB">
        <w:t>ntity SC will have visibility to the resource data templates for all resources associated with the specified SCID.</w:t>
      </w:r>
    </w:p>
    <w:p w14:paraId="7FF74F2B" w14:textId="77777777" w:rsidR="00BE02D8" w:rsidRPr="00877DDB" w:rsidRDefault="00BE02D8" w:rsidP="00BE02D8">
      <w:pPr>
        <w:pStyle w:val="ListParagraph"/>
        <w:rPr>
          <w:rFonts w:cs="Arial"/>
        </w:rPr>
      </w:pPr>
      <w:r w:rsidRPr="00877DDB">
        <w:rPr>
          <w:rFonts w:cs="Arial"/>
        </w:rPr>
        <w:tab/>
      </w:r>
    </w:p>
    <w:p w14:paraId="4DA511A4" w14:textId="77777777" w:rsidR="00BE02D8" w:rsidRPr="00BE02D8" w:rsidRDefault="00BE02D8" w:rsidP="000F0531">
      <w:pPr>
        <w:pStyle w:val="ListParagraph"/>
        <w:numPr>
          <w:ilvl w:val="0"/>
          <w:numId w:val="57"/>
        </w:numPr>
        <w:rPr>
          <w:rFonts w:ascii="Calibri" w:eastAsia="Calibri" w:hAnsi="Calibri"/>
          <w:color w:val="1F497D"/>
        </w:rPr>
      </w:pPr>
      <w:r w:rsidRPr="00877DDB">
        <w:lastRenderedPageBreak/>
        <w:t>The PR SC will be notified of approval of the requested SCID and will be instructed to submit the SCID request letter</w:t>
      </w:r>
    </w:p>
    <w:p w14:paraId="50A2A581" w14:textId="77777777" w:rsidR="00BE02D8" w:rsidRPr="009E4DB2" w:rsidRDefault="007818F5" w:rsidP="00BE02D8">
      <w:pPr>
        <w:ind w:left="630"/>
        <w:rPr>
          <w:color w:val="1F497D"/>
        </w:rPr>
      </w:pPr>
      <w:hyperlink r:id="rId130" w:history="1">
        <w:r w:rsidR="00BE02D8">
          <w:rPr>
            <w:rStyle w:val="Hyperlink"/>
          </w:rPr>
          <w:t>http://www.caiso.com/Documents/ExistingSchedulingCoordinatorRequestsAdditionalSCID.doc</w:t>
        </w:r>
      </w:hyperlink>
    </w:p>
    <w:p w14:paraId="0AB43968" w14:textId="77777777" w:rsidR="00BE02D8" w:rsidRDefault="00BE02D8" w:rsidP="00BE02D8">
      <w:pPr>
        <w:rPr>
          <w:color w:val="1F497D"/>
        </w:rPr>
      </w:pPr>
    </w:p>
    <w:p w14:paraId="3F0B01B4" w14:textId="77777777" w:rsidR="00BE02D8" w:rsidRPr="00877DDB" w:rsidRDefault="00BE02D8" w:rsidP="000F0531">
      <w:pPr>
        <w:pStyle w:val="ListParagraph"/>
        <w:numPr>
          <w:ilvl w:val="0"/>
          <w:numId w:val="57"/>
        </w:numPr>
      </w:pPr>
      <w:r w:rsidRPr="00877DDB">
        <w:t>Submit Base Schedule Coordinator (BSC) ID request form -- CAISO will provide the BSCID based on a specific naming convention. This form should be submitted along with the Additional SCID request letter to have the same effective start date. The BSC ID is used for the submission of base schedules into the BSAP (base schedule application)</w:t>
      </w:r>
    </w:p>
    <w:p w14:paraId="244D35B4" w14:textId="77777777" w:rsidR="00BE02D8" w:rsidRPr="00877DDB" w:rsidRDefault="00BE02D8" w:rsidP="000F0531">
      <w:pPr>
        <w:pStyle w:val="ListParagraph"/>
        <w:numPr>
          <w:ilvl w:val="0"/>
          <w:numId w:val="55"/>
        </w:numPr>
      </w:pPr>
      <w:r w:rsidRPr="00877DDB">
        <w:t xml:space="preserve">The master file is updated with an effective start date for the SCID and BSCID per this submission. </w:t>
      </w:r>
    </w:p>
    <w:p w14:paraId="4111EFAA" w14:textId="77777777" w:rsidR="00BE02D8" w:rsidRPr="00877DDB" w:rsidRDefault="00BE02D8" w:rsidP="00BE02D8"/>
    <w:p w14:paraId="4EC1238E" w14:textId="37DC3DEC" w:rsidR="005F71AB" w:rsidRPr="00877DDB" w:rsidRDefault="00BE02D8" w:rsidP="000F0531">
      <w:pPr>
        <w:pStyle w:val="ListParagraph"/>
        <w:numPr>
          <w:ilvl w:val="0"/>
          <w:numId w:val="57"/>
        </w:numPr>
      </w:pPr>
      <w:r w:rsidRPr="00877DDB">
        <w:t>Submit the PR SC application with the EIM participating Resource box checked per example below.</w:t>
      </w:r>
      <w:r w:rsidR="005F71AB">
        <w:t xml:space="preserve"> </w:t>
      </w:r>
    </w:p>
    <w:p w14:paraId="627DD5CD" w14:textId="77777777" w:rsidR="00BE02D8" w:rsidRPr="00642F1C" w:rsidRDefault="007818F5" w:rsidP="00877DDB">
      <w:pPr>
        <w:pStyle w:val="ListParagraph"/>
        <w:rPr>
          <w:color w:val="1F497D"/>
        </w:rPr>
      </w:pPr>
      <w:hyperlink r:id="rId131" w:history="1">
        <w:r w:rsidR="00BE02D8" w:rsidRPr="00BE02D8">
          <w:rPr>
            <w:rStyle w:val="Hyperlink"/>
          </w:rPr>
          <w:t>http://www.caiso.com/Documents/SchedulingCoordinatorApplicationFormEIM-SelectionOptions.doc</w:t>
        </w:r>
      </w:hyperlink>
      <w:r w:rsidR="00BE02D8" w:rsidRPr="00642F1C">
        <w:rPr>
          <w:color w:val="1F497D"/>
        </w:rPr>
        <w:t xml:space="preserve"> </w:t>
      </w:r>
      <w:r w:rsidR="00BE02D8" w:rsidRPr="00642F1C">
        <w:rPr>
          <w:color w:val="1F497D"/>
        </w:rPr>
        <w:br/>
      </w:r>
    </w:p>
    <w:p w14:paraId="108003CD" w14:textId="77777777" w:rsidR="00BE02D8" w:rsidRDefault="00BE02D8" w:rsidP="00BE02D8">
      <w:pPr>
        <w:ind w:left="720"/>
        <w:rPr>
          <w:color w:val="1F497D"/>
        </w:rPr>
      </w:pPr>
    </w:p>
    <w:p w14:paraId="1A1E7949" w14:textId="77777777" w:rsidR="00BE02D8" w:rsidRDefault="00BE02D8" w:rsidP="00BE02D8">
      <w:pPr>
        <w:ind w:left="720"/>
        <w:rPr>
          <w:color w:val="1F497D"/>
        </w:rPr>
      </w:pPr>
      <w:r w:rsidRPr="00F55A81">
        <w:rPr>
          <w:noProof/>
          <w:color w:val="1F497D"/>
        </w:rPr>
        <w:drawing>
          <wp:inline distT="0" distB="0" distL="0" distR="0" wp14:anchorId="600CA3BC" wp14:editId="5FF23A49">
            <wp:extent cx="5391150" cy="1200150"/>
            <wp:effectExtent l="0" t="0" r="0" b="0"/>
            <wp:docPr id="36" name="Picture 36" descr="PR 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 SC"/>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391150" cy="1200150"/>
                    </a:xfrm>
                    <a:prstGeom prst="rect">
                      <a:avLst/>
                    </a:prstGeom>
                    <a:noFill/>
                    <a:ln>
                      <a:noFill/>
                    </a:ln>
                  </pic:spPr>
                </pic:pic>
              </a:graphicData>
            </a:graphic>
          </wp:inline>
        </w:drawing>
      </w:r>
    </w:p>
    <w:p w14:paraId="1E1FA6A2" w14:textId="77777777" w:rsidR="00BE02D8" w:rsidRDefault="00BE02D8" w:rsidP="00BE02D8">
      <w:pPr>
        <w:ind w:left="720"/>
        <w:rPr>
          <w:color w:val="1F497D"/>
        </w:rPr>
      </w:pPr>
    </w:p>
    <w:p w14:paraId="3F4868C6" w14:textId="77777777" w:rsidR="00BE02D8" w:rsidRPr="00877DDB" w:rsidRDefault="00BE02D8" w:rsidP="00BE02D8">
      <w:pPr>
        <w:ind w:left="720"/>
      </w:pPr>
    </w:p>
    <w:p w14:paraId="57E83830" w14:textId="77777777" w:rsidR="00BE02D8" w:rsidRPr="00877DDB" w:rsidRDefault="00BE02D8" w:rsidP="000F0531">
      <w:pPr>
        <w:pStyle w:val="ListParagraph"/>
        <w:numPr>
          <w:ilvl w:val="0"/>
          <w:numId w:val="57"/>
        </w:numPr>
        <w:rPr>
          <w:b/>
        </w:rPr>
      </w:pPr>
      <w:r w:rsidRPr="00877DDB">
        <w:t xml:space="preserve">Submit the Information Request Sheet for EIM PR SC </w:t>
      </w:r>
    </w:p>
    <w:p w14:paraId="02C0757D" w14:textId="77777777" w:rsidR="00BE02D8" w:rsidRDefault="007818F5" w:rsidP="00BE02D8">
      <w:pPr>
        <w:ind w:left="720"/>
        <w:rPr>
          <w:color w:val="1F497D"/>
        </w:rPr>
      </w:pPr>
      <w:hyperlink r:id="rId133" w:history="1">
        <w:r w:rsidR="00BE02D8" w:rsidRPr="008D6FD4">
          <w:rPr>
            <w:rStyle w:val="Hyperlink"/>
          </w:rPr>
          <w:t>http://www.caiso.com/Documents/EnergyImbalanceMarketParticipatingResourceSchedulingCoordinatorAgreementInformationRequestSheet.doc</w:t>
        </w:r>
      </w:hyperlink>
      <w:r w:rsidR="00BE02D8">
        <w:rPr>
          <w:color w:val="1F497D"/>
        </w:rPr>
        <w:t xml:space="preserve"> </w:t>
      </w:r>
    </w:p>
    <w:p w14:paraId="2C67ED0A" w14:textId="77777777" w:rsidR="00BE02D8" w:rsidRDefault="00BE02D8" w:rsidP="00BE02D8">
      <w:pPr>
        <w:ind w:left="720"/>
        <w:rPr>
          <w:color w:val="1F497D"/>
        </w:rPr>
      </w:pPr>
    </w:p>
    <w:p w14:paraId="29FD6E0E" w14:textId="77777777" w:rsidR="00BE02D8" w:rsidRPr="00877DDB" w:rsidRDefault="00BE02D8" w:rsidP="000F0531">
      <w:pPr>
        <w:pStyle w:val="ListParagraph"/>
        <w:numPr>
          <w:ilvl w:val="0"/>
          <w:numId w:val="57"/>
        </w:numPr>
      </w:pPr>
      <w:r w:rsidRPr="00877DDB">
        <w:t xml:space="preserve">Download the template from the </w:t>
      </w:r>
      <w:r w:rsidR="006B6F17" w:rsidRPr="00877DDB">
        <w:t>CA</w:t>
      </w:r>
      <w:r w:rsidRPr="00877DDB">
        <w:t>ISO website for th</w:t>
      </w:r>
      <w:r w:rsidR="007C7A35" w:rsidRPr="00877DDB">
        <w:t>e MSA/SC agreement for the EIM E</w:t>
      </w:r>
      <w:r w:rsidRPr="00877DDB">
        <w:t>ntity (balancing area)</w:t>
      </w:r>
    </w:p>
    <w:p w14:paraId="7A73DC42" w14:textId="77777777" w:rsidR="00BE02D8" w:rsidRPr="00877DDB" w:rsidRDefault="00BE02D8" w:rsidP="00BE02D8">
      <w:pPr>
        <w:ind w:left="720"/>
      </w:pPr>
      <w:r w:rsidRPr="00877DDB">
        <w:t xml:space="preserve">Submit the MSA/SC Information Request Sheet – (Specific verbiage will be provided by the </w:t>
      </w:r>
      <w:r w:rsidR="000D72C0" w:rsidRPr="00877DDB">
        <w:t>CA</w:t>
      </w:r>
      <w:r w:rsidRPr="00877DDB">
        <w:t>ISO for the Schedule 3)</w:t>
      </w:r>
    </w:p>
    <w:p w14:paraId="49D5D3A0" w14:textId="77777777" w:rsidR="00BE02D8" w:rsidRPr="00877DDB" w:rsidRDefault="00BE02D8" w:rsidP="000F0531">
      <w:pPr>
        <w:pStyle w:val="ListParagraph"/>
        <w:numPr>
          <w:ilvl w:val="0"/>
          <w:numId w:val="55"/>
        </w:numPr>
      </w:pPr>
      <w:r w:rsidRPr="00877DDB">
        <w:lastRenderedPageBreak/>
        <w:t>After all the requirements have been met by the EIM PR SC, agreements are issued.</w:t>
      </w:r>
    </w:p>
    <w:p w14:paraId="2B248083" w14:textId="77777777" w:rsidR="00BE02D8" w:rsidRDefault="00BE02D8" w:rsidP="00BE02D8">
      <w:pPr>
        <w:rPr>
          <w:b/>
          <w:color w:val="1F497D"/>
        </w:rPr>
      </w:pPr>
    </w:p>
    <w:p w14:paraId="3262DDD5" w14:textId="77777777" w:rsidR="00BE02D8" w:rsidRPr="00877DDB" w:rsidRDefault="00BE02D8" w:rsidP="00BE02D8">
      <w:pPr>
        <w:rPr>
          <w:b/>
        </w:rPr>
      </w:pPr>
      <w:r w:rsidRPr="00877DDB">
        <w:rPr>
          <w:b/>
        </w:rPr>
        <w:t>The following requirements need to be met no later than 30 days prior to parallel operations.</w:t>
      </w:r>
      <w:r w:rsidRPr="00877DDB">
        <w:rPr>
          <w:b/>
        </w:rPr>
        <w:br/>
      </w:r>
    </w:p>
    <w:p w14:paraId="15E50FB8" w14:textId="77777777" w:rsidR="00BE02D8" w:rsidRPr="00877DDB" w:rsidRDefault="00BE02D8" w:rsidP="000F0531">
      <w:pPr>
        <w:pStyle w:val="ListParagraph"/>
        <w:numPr>
          <w:ilvl w:val="0"/>
          <w:numId w:val="57"/>
        </w:numPr>
      </w:pPr>
      <w:r w:rsidRPr="00877DDB">
        <w:t>Submit an updated Affiliate Form</w:t>
      </w:r>
      <w:r w:rsidR="007C7A35" w:rsidRPr="00877DDB">
        <w:t xml:space="preserve"> - (all SCs must have an up-to-date </w:t>
      </w:r>
      <w:r w:rsidR="003F0008" w:rsidRPr="00877DDB">
        <w:t>Affiliate</w:t>
      </w:r>
      <w:r w:rsidR="007C7A35" w:rsidRPr="00877DDB">
        <w:t xml:space="preserve"> form on file with the </w:t>
      </w:r>
      <w:r w:rsidR="000D72C0" w:rsidRPr="00877DDB">
        <w:t>CA</w:t>
      </w:r>
      <w:r w:rsidR="007C7A35" w:rsidRPr="00877DDB">
        <w:t>ISO as affiliates change)</w:t>
      </w:r>
    </w:p>
    <w:p w14:paraId="0F98C96F" w14:textId="77777777" w:rsidR="00BE02D8" w:rsidRDefault="007818F5" w:rsidP="00D46AE0">
      <w:pPr>
        <w:ind w:left="720"/>
        <w:rPr>
          <w:color w:val="1F497D"/>
        </w:rPr>
      </w:pPr>
      <w:hyperlink r:id="rId134" w:history="1">
        <w:r w:rsidR="00C82C40" w:rsidRPr="00C82C40">
          <w:rPr>
            <w:rStyle w:val="Hyperlink"/>
          </w:rPr>
          <w:t>http://www.caiso.com/Documents/ISOAffiliationResourceControlAgreementDisclosureForm.xls</w:t>
        </w:r>
      </w:hyperlink>
      <w:r w:rsidR="00BE02D8">
        <w:rPr>
          <w:color w:val="1F497D"/>
        </w:rPr>
        <w:t xml:space="preserve"> </w:t>
      </w:r>
    </w:p>
    <w:p w14:paraId="737454A7" w14:textId="77777777" w:rsidR="00BE02D8" w:rsidRDefault="00BE02D8" w:rsidP="00BE02D8">
      <w:pPr>
        <w:rPr>
          <w:color w:val="1F497D"/>
        </w:rPr>
      </w:pPr>
    </w:p>
    <w:p w14:paraId="50E086C0" w14:textId="77777777" w:rsidR="00BE02D8" w:rsidRPr="00877DDB" w:rsidRDefault="00BE02D8" w:rsidP="000F0531">
      <w:pPr>
        <w:pStyle w:val="ListParagraph"/>
        <w:numPr>
          <w:ilvl w:val="0"/>
          <w:numId w:val="57"/>
        </w:numPr>
      </w:pPr>
      <w:r w:rsidRPr="00877DDB">
        <w:t>Submit the SC Acceptance letter – This is submitted to indicate agreement to be the SC for specified EIM participating resources.</w:t>
      </w:r>
    </w:p>
    <w:p w14:paraId="509E45CC" w14:textId="77777777" w:rsidR="00BE02D8" w:rsidRPr="00BE02D8" w:rsidRDefault="007818F5" w:rsidP="00BE02D8">
      <w:pPr>
        <w:pStyle w:val="ListParagraph"/>
        <w:rPr>
          <w:color w:val="1F497D"/>
        </w:rPr>
      </w:pPr>
      <w:hyperlink r:id="rId135" w:history="1">
        <w:r w:rsidR="00BE02D8" w:rsidRPr="009743F6">
          <w:rPr>
            <w:rStyle w:val="Hyperlink"/>
          </w:rPr>
          <w:t>http://www.caiso.com/Documents/NewSCAcceptanceLetter_Sept2014.doc</w:t>
        </w:r>
      </w:hyperlink>
    </w:p>
    <w:p w14:paraId="62E878FA" w14:textId="77777777" w:rsidR="00BE02D8" w:rsidRDefault="00BE02D8" w:rsidP="00BE02D8">
      <w:pPr>
        <w:ind w:firstLine="720"/>
        <w:rPr>
          <w:color w:val="1F497D"/>
        </w:rPr>
      </w:pPr>
    </w:p>
    <w:p w14:paraId="0B75EECF" w14:textId="77777777" w:rsidR="00BE02D8" w:rsidRPr="00877DDB" w:rsidRDefault="00BE02D8" w:rsidP="000F0531">
      <w:pPr>
        <w:pStyle w:val="ListParagraph"/>
        <w:numPr>
          <w:ilvl w:val="0"/>
          <w:numId w:val="57"/>
        </w:numPr>
      </w:pPr>
      <w:r w:rsidRPr="00877DDB">
        <w:t>Submit the RDT (resource data template) with the SC Acceptance letter</w:t>
      </w:r>
    </w:p>
    <w:p w14:paraId="46572276" w14:textId="77777777" w:rsidR="00BE02D8" w:rsidRDefault="00BE02D8" w:rsidP="00BE02D8">
      <w:pPr>
        <w:rPr>
          <w:color w:val="1F497D"/>
        </w:rPr>
      </w:pPr>
    </w:p>
    <w:p w14:paraId="17D1E99A" w14:textId="77777777" w:rsidR="00BE02D8" w:rsidRDefault="00BE02D8" w:rsidP="00D46AE0">
      <w:pPr>
        <w:pStyle w:val="Heading2"/>
      </w:pPr>
      <w:bookmarkStart w:id="51" w:name="_Toc20384080"/>
      <w:r w:rsidRPr="00BA7F31">
        <w:t>EIM Participating Resource (PR)</w:t>
      </w:r>
      <w:bookmarkEnd w:id="51"/>
    </w:p>
    <w:p w14:paraId="6AFB7F87" w14:textId="17405D6E" w:rsidR="00BE02D8" w:rsidRPr="00E80540" w:rsidRDefault="00BE02D8" w:rsidP="00BE02D8">
      <w:r w:rsidRPr="00877DDB">
        <w:t>All of the following submittals should be sent to:</w:t>
      </w:r>
      <w:r w:rsidRPr="00877DDB">
        <w:rPr>
          <w:b/>
          <w:sz w:val="28"/>
          <w:szCs w:val="28"/>
        </w:rPr>
        <w:t xml:space="preserve"> </w:t>
      </w:r>
      <w:hyperlink r:id="rId136" w:history="1">
        <w:r w:rsidRPr="00BE02D8">
          <w:rPr>
            <w:rStyle w:val="Hyperlink"/>
          </w:rPr>
          <w:t>SCRequests@caiso.com</w:t>
        </w:r>
      </w:hyperlink>
    </w:p>
    <w:p w14:paraId="4D583BED" w14:textId="77777777" w:rsidR="00BE02D8" w:rsidRPr="00877DDB" w:rsidRDefault="00BE02D8" w:rsidP="00BE02D8">
      <w:r w:rsidRPr="00877DDB">
        <w:t>IMPORTANT: The PR needs to submit an application to the EIM entity and meet</w:t>
      </w:r>
      <w:r w:rsidR="00C82C40" w:rsidRPr="00877DDB">
        <w:t xml:space="preserve"> the requirements for that EIM E</w:t>
      </w:r>
      <w:r w:rsidRPr="00877DDB">
        <w:t>ntity.</w:t>
      </w:r>
    </w:p>
    <w:p w14:paraId="4CFFE3DD" w14:textId="77777777" w:rsidR="00BE02D8" w:rsidRPr="00877DDB" w:rsidRDefault="00BE02D8" w:rsidP="000F0531">
      <w:pPr>
        <w:pStyle w:val="ListParagraph"/>
        <w:numPr>
          <w:ilvl w:val="0"/>
          <w:numId w:val="55"/>
        </w:numPr>
      </w:pPr>
      <w:r w:rsidRPr="00877DDB">
        <w:t xml:space="preserve">The EIM </w:t>
      </w:r>
      <w:r w:rsidR="00C82C40" w:rsidRPr="00877DDB">
        <w:t>E</w:t>
      </w:r>
      <w:r w:rsidRPr="00877DDB">
        <w:t>ntity notifies the CAISO that the resource(s) have met the entities requirements and requests confirmation from the CAISO that the resource(s) have also met CAISO requirements.</w:t>
      </w:r>
    </w:p>
    <w:p w14:paraId="0FD57D4A" w14:textId="77777777" w:rsidR="00BE02D8" w:rsidRPr="00877DDB" w:rsidRDefault="00BE02D8" w:rsidP="000F0531">
      <w:pPr>
        <w:pStyle w:val="ListParagraph"/>
        <w:numPr>
          <w:ilvl w:val="0"/>
          <w:numId w:val="55"/>
        </w:numPr>
      </w:pPr>
      <w:r w:rsidRPr="00877DDB">
        <w:t xml:space="preserve">The PR needs to follow the steps below while working with the EIM </w:t>
      </w:r>
      <w:r w:rsidR="00C82C40" w:rsidRPr="00877DDB">
        <w:t>E</w:t>
      </w:r>
      <w:r w:rsidRPr="00877DDB">
        <w:t>ntity</w:t>
      </w:r>
    </w:p>
    <w:p w14:paraId="0C3437DC" w14:textId="77777777" w:rsidR="00BE02D8" w:rsidRPr="00877DDB" w:rsidRDefault="00BE02D8" w:rsidP="00BE02D8"/>
    <w:p w14:paraId="4A4F9A55" w14:textId="77777777" w:rsidR="00BE02D8" w:rsidRPr="00877DDB" w:rsidRDefault="00BE02D8" w:rsidP="000F0531">
      <w:pPr>
        <w:pStyle w:val="ListParagraph"/>
        <w:numPr>
          <w:ilvl w:val="0"/>
          <w:numId w:val="58"/>
        </w:numPr>
      </w:pPr>
      <w:r w:rsidRPr="00877DDB">
        <w:t>Submit EIM Participating Resource Agreement Information Request sheet</w:t>
      </w:r>
    </w:p>
    <w:p w14:paraId="6AE09D8C" w14:textId="77777777" w:rsidR="00BE02D8" w:rsidRDefault="007818F5" w:rsidP="00BE02D8">
      <w:pPr>
        <w:ind w:left="720"/>
        <w:rPr>
          <w:color w:val="1F497D"/>
        </w:rPr>
      </w:pPr>
      <w:hyperlink r:id="rId137" w:history="1">
        <w:r w:rsidR="00BE02D8" w:rsidRPr="00406430">
          <w:rPr>
            <w:rStyle w:val="Hyperlink"/>
          </w:rPr>
          <w:t>http://www.caiso.com/Documents/EnergyImbalanceMarketParticipatingResourceAgreementInformationRequestSheet.doc</w:t>
        </w:r>
      </w:hyperlink>
      <w:r w:rsidR="00BE02D8">
        <w:rPr>
          <w:color w:val="1F497D"/>
        </w:rPr>
        <w:t xml:space="preserve"> </w:t>
      </w:r>
      <w:r w:rsidR="00BE02D8">
        <w:rPr>
          <w:color w:val="1F497D"/>
        </w:rPr>
        <w:br/>
      </w:r>
    </w:p>
    <w:p w14:paraId="4608E890" w14:textId="77777777" w:rsidR="00BE02D8" w:rsidRPr="00877DDB" w:rsidRDefault="00BE02D8" w:rsidP="000F0531">
      <w:pPr>
        <w:pStyle w:val="ListParagraph"/>
        <w:numPr>
          <w:ilvl w:val="0"/>
          <w:numId w:val="58"/>
        </w:numPr>
      </w:pPr>
      <w:r w:rsidRPr="00877DDB">
        <w:t>Submit the Schedule 1 (the schedule 1 needs to match the RDT submitted by the EIM PR SC for the resource)</w:t>
      </w:r>
    </w:p>
    <w:p w14:paraId="5ECEBAF2" w14:textId="77777777" w:rsidR="00BE02D8" w:rsidRDefault="007818F5" w:rsidP="00BE02D8">
      <w:pPr>
        <w:ind w:left="720"/>
        <w:rPr>
          <w:color w:val="1F497D"/>
        </w:rPr>
      </w:pPr>
      <w:hyperlink r:id="rId138" w:history="1">
        <w:r w:rsidR="00BE02D8" w:rsidRPr="00BE02D8">
          <w:rPr>
            <w:rStyle w:val="Hyperlink"/>
          </w:rPr>
          <w:t>http://www.caiso.com/Documents/EnergyImbalanceMarketParticipatingResourceAgreementSchedule1.xls</w:t>
        </w:r>
      </w:hyperlink>
      <w:r w:rsidR="00BE02D8">
        <w:rPr>
          <w:color w:val="1F497D"/>
        </w:rPr>
        <w:t xml:space="preserve"> </w:t>
      </w:r>
      <w:r w:rsidR="00BE02D8">
        <w:rPr>
          <w:color w:val="1F497D"/>
        </w:rPr>
        <w:br/>
      </w:r>
    </w:p>
    <w:p w14:paraId="1E4FD580" w14:textId="73CC87E2" w:rsidR="00BE02D8" w:rsidRPr="00877DDB" w:rsidRDefault="00BE02D8" w:rsidP="00BE02D8">
      <w:r w:rsidRPr="00877DDB">
        <w:rPr>
          <w:rFonts w:eastAsia="Calibri" w:cs="Arial"/>
        </w:rPr>
        <w:t>NOTE: After all the requirements have been met by the resource for the EIM entity and the CAISO, agreements are issued.</w:t>
      </w:r>
    </w:p>
    <w:p w14:paraId="77BE4F56" w14:textId="77777777" w:rsidR="00BE02D8" w:rsidRPr="00877DDB" w:rsidRDefault="00BE02D8" w:rsidP="000F0531">
      <w:pPr>
        <w:pStyle w:val="ListParagraph"/>
        <w:numPr>
          <w:ilvl w:val="0"/>
          <w:numId w:val="59"/>
        </w:numPr>
      </w:pPr>
      <w:r w:rsidRPr="00877DDB">
        <w:t>The EIM entity officially notifies the resource and the CAISO that the resource is an EIM participating resource.</w:t>
      </w:r>
    </w:p>
    <w:p w14:paraId="5AF68D27" w14:textId="77777777" w:rsidR="00BE02D8" w:rsidRDefault="00BE02D8" w:rsidP="00BE02D8">
      <w:pPr>
        <w:ind w:firstLine="720"/>
        <w:rPr>
          <w:color w:val="1F497D"/>
        </w:rPr>
      </w:pPr>
    </w:p>
    <w:p w14:paraId="3F91F533" w14:textId="77777777" w:rsidR="00BE02D8" w:rsidRPr="00877DDB" w:rsidRDefault="00BE02D8" w:rsidP="000F0531">
      <w:pPr>
        <w:pStyle w:val="ListParagraph"/>
        <w:numPr>
          <w:ilvl w:val="0"/>
          <w:numId w:val="58"/>
        </w:numPr>
      </w:pPr>
      <w:r w:rsidRPr="00877DDB">
        <w:t>Submit the Resource Owner SC Selection letter – This is submitted to indicate the selection of the SC that is to represent and schedule for the PR in the EIM.</w:t>
      </w:r>
    </w:p>
    <w:p w14:paraId="5D786BCF" w14:textId="77777777" w:rsidR="00BE02D8" w:rsidRDefault="007818F5" w:rsidP="00877DDB">
      <w:pPr>
        <w:ind w:firstLine="720"/>
        <w:rPr>
          <w:color w:val="1F497D"/>
        </w:rPr>
      </w:pPr>
      <w:hyperlink r:id="rId139" w:history="1">
        <w:r w:rsidR="00BE02D8" w:rsidRPr="009743F6">
          <w:rPr>
            <w:rStyle w:val="Hyperlink"/>
          </w:rPr>
          <w:t>http://www.caiso.com/Documents/ResourceOwnerLetter_Sept2014.doc</w:t>
        </w:r>
      </w:hyperlink>
      <w:r w:rsidR="00BE02D8">
        <w:rPr>
          <w:color w:val="1F497D"/>
        </w:rPr>
        <w:t xml:space="preserve"> </w:t>
      </w:r>
    </w:p>
    <w:p w14:paraId="1ED0FE38" w14:textId="77777777" w:rsidR="00AE404B" w:rsidRDefault="00AE404B" w:rsidP="006B2D5F">
      <w:pPr>
        <w:spacing w:after="240" w:line="300" w:lineRule="auto"/>
      </w:pPr>
    </w:p>
    <w:p w14:paraId="52B56383" w14:textId="77777777" w:rsidR="006B2D5F" w:rsidRPr="006B2D5F" w:rsidRDefault="006B2D5F" w:rsidP="006B2D5F">
      <w:pPr>
        <w:spacing w:after="240" w:line="300" w:lineRule="auto"/>
      </w:pPr>
    </w:p>
    <w:p w14:paraId="13B78923" w14:textId="77777777" w:rsidR="002E46E9" w:rsidRDefault="002E46E9" w:rsidP="002E46E9">
      <w:pPr>
        <w:pStyle w:val="Heading1"/>
      </w:pPr>
      <w:bookmarkStart w:id="52" w:name="_Toc391969817"/>
      <w:bookmarkStart w:id="53" w:name="_Toc20384081"/>
      <w:r>
        <w:t>CREDIT MANAGEMENT</w:t>
      </w:r>
      <w:bookmarkEnd w:id="42"/>
      <w:bookmarkEnd w:id="43"/>
      <w:bookmarkEnd w:id="52"/>
      <w:bookmarkEnd w:id="53"/>
    </w:p>
    <w:p w14:paraId="0314B073" w14:textId="77777777" w:rsidR="00590657" w:rsidRDefault="00023A66" w:rsidP="0021347B">
      <w:pPr>
        <w:spacing w:after="240" w:line="300" w:lineRule="auto"/>
      </w:pPr>
      <w:r>
        <w:t xml:space="preserve">Welcome to the </w:t>
      </w:r>
      <w:r w:rsidRPr="00590657">
        <w:rPr>
          <w:i/>
        </w:rPr>
        <w:t>Credit Management</w:t>
      </w:r>
      <w:r>
        <w:t xml:space="preserve"> </w:t>
      </w:r>
      <w:r w:rsidR="006A26A7">
        <w:t>section</w:t>
      </w:r>
      <w:r w:rsidR="00590657">
        <w:t xml:space="preserve"> of the CAISO </w:t>
      </w:r>
      <w:r w:rsidR="00590657" w:rsidRPr="00590657">
        <w:rPr>
          <w:i/>
        </w:rPr>
        <w:t>BPM for the Energy Imbalance Market</w:t>
      </w:r>
      <w:r w:rsidR="00590657">
        <w:t xml:space="preserve">. In this section </w:t>
      </w:r>
      <w:r w:rsidR="006A26A7">
        <w:t xml:space="preserve">you will find the </w:t>
      </w:r>
      <w:r w:rsidR="00590657">
        <w:t xml:space="preserve">following </w:t>
      </w:r>
      <w:r w:rsidR="006A26A7">
        <w:t>information</w:t>
      </w:r>
      <w:r w:rsidR="00590657">
        <w:t>:</w:t>
      </w:r>
    </w:p>
    <w:p w14:paraId="4BC1F01D" w14:textId="77777777" w:rsidR="00590657" w:rsidRDefault="00590657" w:rsidP="000F0531">
      <w:pPr>
        <w:pStyle w:val="ListParagraph"/>
        <w:numPr>
          <w:ilvl w:val="0"/>
          <w:numId w:val="38"/>
        </w:numPr>
        <w:spacing w:after="240" w:line="300" w:lineRule="auto"/>
      </w:pPr>
      <w:r>
        <w:t>Summary of CAISO’s Credit Management policies and processes within the context of the EIM.</w:t>
      </w:r>
    </w:p>
    <w:p w14:paraId="6A255530" w14:textId="77777777" w:rsidR="002E46E9" w:rsidRDefault="00590657" w:rsidP="00E62C48">
      <w:pPr>
        <w:spacing w:after="240" w:line="300" w:lineRule="auto"/>
      </w:pPr>
      <w:r>
        <w:t xml:space="preserve">EIM </w:t>
      </w:r>
      <w:r w:rsidR="002E46E9" w:rsidRPr="002E46E9">
        <w:t>Participants must comply wit</w:t>
      </w:r>
      <w:r w:rsidR="00577BCD">
        <w:t xml:space="preserve">h all applicable aspects of </w:t>
      </w:r>
      <w:r w:rsidR="002E46E9" w:rsidRPr="002E46E9">
        <w:t xml:space="preserve">CAISO’s Credit Management Policy. </w:t>
      </w:r>
      <w:r w:rsidR="00E26236">
        <w:t xml:space="preserve">The </w:t>
      </w:r>
      <w:hyperlink r:id="rId140" w:history="1">
        <w:r w:rsidR="00E26236" w:rsidRPr="00590657">
          <w:rPr>
            <w:rStyle w:val="Hyperlink"/>
            <w:b/>
          </w:rPr>
          <w:t>BPM for Credit Management</w:t>
        </w:r>
      </w:hyperlink>
      <w:r w:rsidR="002E46E9" w:rsidRPr="002E46E9">
        <w:t xml:space="preserve"> describes the credit-related pol</w:t>
      </w:r>
      <w:r w:rsidR="00577BCD">
        <w:t xml:space="preserve">icies and processes used at </w:t>
      </w:r>
      <w:r w:rsidR="002E46E9" w:rsidRPr="002E46E9">
        <w:t>CAISO to protect the financial integrity and effectiveness of the CAISO markets.  For EIM participants, since Virtual Bidding, Reliability Must Run contracts</w:t>
      </w:r>
      <w:r w:rsidR="008C6B50">
        <w:t>,</w:t>
      </w:r>
      <w:r w:rsidR="002E46E9" w:rsidRPr="002E46E9">
        <w:t xml:space="preserve"> and Congestion Revenue Right</w:t>
      </w:r>
      <w:r w:rsidR="008C6B50">
        <w:t>s are not applicable to the EIM,</w:t>
      </w:r>
      <w:r w:rsidR="002E46E9" w:rsidRPr="002E46E9">
        <w:t xml:space="preserve"> these portions of the Financial Responsibilities outlined in the </w:t>
      </w:r>
      <w:hyperlink r:id="rId141" w:history="1">
        <w:r w:rsidR="00A21E2E" w:rsidRPr="00590657">
          <w:rPr>
            <w:rStyle w:val="Hyperlink"/>
            <w:b/>
          </w:rPr>
          <w:t>BPM for Credit Management</w:t>
        </w:r>
      </w:hyperlink>
      <w:r w:rsidR="00A21E2E">
        <w:t xml:space="preserve"> </w:t>
      </w:r>
      <w:r w:rsidR="002E46E9" w:rsidRPr="002E46E9">
        <w:t>are not applicable.</w:t>
      </w:r>
    </w:p>
    <w:p w14:paraId="3541FC50" w14:textId="77777777" w:rsidR="0021347B" w:rsidRPr="0021347B" w:rsidRDefault="0021347B" w:rsidP="0021347B">
      <w:pPr>
        <w:spacing w:after="240" w:line="300" w:lineRule="auto"/>
      </w:pPr>
    </w:p>
    <w:p w14:paraId="3F7955CA" w14:textId="77777777" w:rsidR="002E46E9" w:rsidRDefault="002E46E9" w:rsidP="002E46E9">
      <w:pPr>
        <w:pStyle w:val="Heading1"/>
      </w:pPr>
      <w:bookmarkStart w:id="54" w:name="_FULL_NETWORK_MODEL"/>
      <w:bookmarkStart w:id="55" w:name="_Toc389662572"/>
      <w:bookmarkStart w:id="56" w:name="_Toc390946257"/>
      <w:bookmarkStart w:id="57" w:name="_Toc391969818"/>
      <w:bookmarkStart w:id="58" w:name="_Toc20384082"/>
      <w:bookmarkEnd w:id="54"/>
      <w:r>
        <w:t>FULL NETWORK MODEL</w:t>
      </w:r>
      <w:bookmarkEnd w:id="55"/>
      <w:bookmarkEnd w:id="56"/>
      <w:bookmarkEnd w:id="57"/>
      <w:bookmarkEnd w:id="58"/>
    </w:p>
    <w:p w14:paraId="2CDD0039" w14:textId="4D22841A" w:rsidR="00590657" w:rsidRDefault="000B3BB4" w:rsidP="006F6DD6">
      <w:pPr>
        <w:spacing w:after="240" w:line="300" w:lineRule="auto"/>
        <w:rPr>
          <w:rFonts w:cs="Arial"/>
        </w:rPr>
      </w:pPr>
      <w:r>
        <w:rPr>
          <w:rFonts w:cs="Arial"/>
        </w:rPr>
        <w:t>W</w:t>
      </w:r>
      <w:r w:rsidR="00590657">
        <w:rPr>
          <w:rFonts w:cs="Arial"/>
        </w:rPr>
        <w:t>elcome to</w:t>
      </w:r>
      <w:r>
        <w:rPr>
          <w:rFonts w:cs="Arial"/>
        </w:rPr>
        <w:t xml:space="preserve"> the </w:t>
      </w:r>
      <w:r w:rsidRPr="00C8620C">
        <w:rPr>
          <w:rFonts w:cs="Arial"/>
          <w:i/>
        </w:rPr>
        <w:t>Full Network Model</w:t>
      </w:r>
      <w:r>
        <w:rPr>
          <w:rFonts w:cs="Arial"/>
        </w:rPr>
        <w:t xml:space="preserve"> section</w:t>
      </w:r>
      <w:r w:rsidR="00590657">
        <w:rPr>
          <w:rFonts w:cs="Arial"/>
        </w:rPr>
        <w:t xml:space="preserve"> of the CAISO </w:t>
      </w:r>
      <w:r w:rsidR="00590657" w:rsidRPr="00590657">
        <w:rPr>
          <w:rFonts w:cs="Arial"/>
          <w:i/>
        </w:rPr>
        <w:t>BPM for the Energy Imbalance Market</w:t>
      </w:r>
      <w:r w:rsidR="00590657">
        <w:rPr>
          <w:rFonts w:cs="Arial"/>
        </w:rPr>
        <w:t xml:space="preserve">.  In this section </w:t>
      </w:r>
      <w:r>
        <w:rPr>
          <w:rFonts w:cs="Arial"/>
        </w:rPr>
        <w:t xml:space="preserve">you will find </w:t>
      </w:r>
      <w:r w:rsidR="00590657">
        <w:rPr>
          <w:rFonts w:cs="Arial"/>
        </w:rPr>
        <w:t xml:space="preserve">the following </w:t>
      </w:r>
      <w:r>
        <w:rPr>
          <w:rFonts w:cs="Arial"/>
        </w:rPr>
        <w:t>information</w:t>
      </w:r>
      <w:r w:rsidR="00590657">
        <w:rPr>
          <w:rFonts w:cs="Arial"/>
        </w:rPr>
        <w:t>:</w:t>
      </w:r>
    </w:p>
    <w:p w14:paraId="355E5C61" w14:textId="77777777" w:rsidR="00590657" w:rsidRPr="00590657" w:rsidRDefault="00590657" w:rsidP="000F0531">
      <w:pPr>
        <w:pStyle w:val="ListParagraph"/>
        <w:numPr>
          <w:ilvl w:val="0"/>
          <w:numId w:val="38"/>
        </w:numPr>
        <w:spacing w:after="240" w:line="300" w:lineRule="auto"/>
        <w:rPr>
          <w:rFonts w:cs="Arial"/>
        </w:rPr>
      </w:pPr>
      <w:r>
        <w:rPr>
          <w:rFonts w:cs="Arial"/>
        </w:rPr>
        <w:t>Summary of the Full Network Model in the EIM.</w:t>
      </w:r>
    </w:p>
    <w:p w14:paraId="000ACEA2" w14:textId="77777777" w:rsidR="00C8620C" w:rsidRPr="00590657" w:rsidRDefault="00590657" w:rsidP="000F0531">
      <w:pPr>
        <w:pStyle w:val="ListParagraph"/>
        <w:numPr>
          <w:ilvl w:val="0"/>
          <w:numId w:val="38"/>
        </w:numPr>
        <w:spacing w:after="240" w:line="300" w:lineRule="auto"/>
        <w:rPr>
          <w:rFonts w:cs="Arial"/>
        </w:rPr>
      </w:pPr>
      <w:r>
        <w:rPr>
          <w:rFonts w:cs="Arial"/>
        </w:rPr>
        <w:lastRenderedPageBreak/>
        <w:t>Information</w:t>
      </w:r>
      <w:r w:rsidR="00775CF7">
        <w:rPr>
          <w:rFonts w:cs="Arial"/>
        </w:rPr>
        <w:t xml:space="preserve"> </w:t>
      </w:r>
      <w:r w:rsidR="000B3BB4" w:rsidRPr="00590657">
        <w:rPr>
          <w:rFonts w:cs="Arial"/>
        </w:rPr>
        <w:t>that describes the</w:t>
      </w:r>
      <w:r w:rsidR="009D507A" w:rsidRPr="00590657">
        <w:rPr>
          <w:rFonts w:cs="Arial"/>
        </w:rPr>
        <w:t xml:space="preserve"> business processes used by </w:t>
      </w:r>
      <w:r w:rsidR="000B3BB4" w:rsidRPr="00590657">
        <w:rPr>
          <w:rFonts w:cs="Arial"/>
        </w:rPr>
        <w:t>CAISO to maintain the Full Net</w:t>
      </w:r>
      <w:r w:rsidR="00C8620C" w:rsidRPr="00590657">
        <w:rPr>
          <w:rFonts w:cs="Arial"/>
        </w:rPr>
        <w:t>work Model in</w:t>
      </w:r>
      <w:r w:rsidR="000B3BB4" w:rsidRPr="00590657">
        <w:rPr>
          <w:rFonts w:cs="Arial"/>
        </w:rPr>
        <w:t xml:space="preserve"> the EIM.</w:t>
      </w:r>
    </w:p>
    <w:p w14:paraId="39A5C4B7" w14:textId="77777777" w:rsidR="00595077" w:rsidRPr="0014307A" w:rsidRDefault="00595077" w:rsidP="00FA595A">
      <w:pPr>
        <w:spacing w:after="80" w:line="300" w:lineRule="auto"/>
      </w:pPr>
      <w:r w:rsidRPr="00B06DE4">
        <w:rPr>
          <w:rFonts w:cs="Arial"/>
        </w:rPr>
        <w:t>CAISO maintains a Network Model for use by the CAISO market</w:t>
      </w:r>
      <w:r w:rsidRPr="00BB070F">
        <w:rPr>
          <w:rFonts w:cs="Arial"/>
        </w:rPr>
        <w:t>s.  The</w:t>
      </w:r>
      <w:r w:rsidRPr="003D6985">
        <w:rPr>
          <w:rFonts w:cs="Arial"/>
          <w:color w:val="0070C0"/>
        </w:rPr>
        <w:t xml:space="preserve"> </w:t>
      </w:r>
      <w:hyperlink r:id="rId142" w:history="1">
        <w:r w:rsidRPr="00480065">
          <w:rPr>
            <w:rStyle w:val="Hyperlink"/>
            <w:b/>
          </w:rPr>
          <w:t>BPM for Managing Full Network Model</w:t>
        </w:r>
      </w:hyperlink>
      <w:r w:rsidRPr="00B06DE4">
        <w:rPr>
          <w:b/>
        </w:rPr>
        <w:t xml:space="preserve"> </w:t>
      </w:r>
      <w:r w:rsidRPr="00BB070F">
        <w:rPr>
          <w:rFonts w:cs="Arial"/>
        </w:rPr>
        <w:t>explains how the Full Network Model and its associated processes are used to support market oper</w:t>
      </w:r>
      <w:r w:rsidRPr="003D6985">
        <w:rPr>
          <w:rFonts w:cs="Arial"/>
        </w:rPr>
        <w:t>ations</w:t>
      </w:r>
      <w:r w:rsidR="0014307A">
        <w:rPr>
          <w:rFonts w:cs="Arial"/>
        </w:rPr>
        <w:t xml:space="preserve">.  </w:t>
      </w:r>
      <w:hyperlink r:id="rId143" w:history="1">
        <w:r w:rsidR="0014307A" w:rsidRPr="0014307A">
          <w:rPr>
            <w:rStyle w:val="Hyperlink"/>
            <w:rFonts w:cs="Arial"/>
            <w:b/>
          </w:rPr>
          <w:t>The BPM for Managing Full Network Model</w:t>
        </w:r>
      </w:hyperlink>
      <w:r w:rsidR="0014307A">
        <w:rPr>
          <w:rFonts w:cs="Arial"/>
          <w:b/>
        </w:rPr>
        <w:t xml:space="preserve"> </w:t>
      </w:r>
      <w:r w:rsidR="0014307A">
        <w:rPr>
          <w:rFonts w:cs="Arial"/>
        </w:rPr>
        <w:t xml:space="preserve">also </w:t>
      </w:r>
      <w:r w:rsidRPr="003D6985">
        <w:rPr>
          <w:rFonts w:cs="Arial"/>
        </w:rPr>
        <w:t>describes the process Market Participants follow in providing data used to support the model and in gaining access to model data.  The CAISO Network Model contains some, but not all</w:t>
      </w:r>
      <w:r w:rsidR="00F12963" w:rsidRPr="00480065">
        <w:rPr>
          <w:rFonts w:cs="Arial"/>
        </w:rPr>
        <w:t>,</w:t>
      </w:r>
      <w:r w:rsidRPr="00480065">
        <w:rPr>
          <w:rFonts w:cs="Arial"/>
        </w:rPr>
        <w:t xml:space="preserve"> of the related information for neighboring Balancing Authority Areas within WECC.  </w:t>
      </w:r>
    </w:p>
    <w:p w14:paraId="27786C3C" w14:textId="77777777" w:rsidR="00595077" w:rsidRPr="00480065" w:rsidRDefault="00595077" w:rsidP="00FA595A">
      <w:pPr>
        <w:spacing w:after="80" w:line="300" w:lineRule="auto"/>
        <w:rPr>
          <w:rFonts w:cs="Arial"/>
        </w:rPr>
      </w:pPr>
      <w:r w:rsidRPr="00480065">
        <w:rPr>
          <w:rFonts w:cs="Arial"/>
        </w:rPr>
        <w:t>Balancing Authority Areas participating in the EIM will maintain their own Network Model processes with resources within their BAA, and will</w:t>
      </w:r>
      <w:r w:rsidR="00577BCD">
        <w:rPr>
          <w:rFonts w:cs="Arial"/>
        </w:rPr>
        <w:t xml:space="preserve"> export that information to </w:t>
      </w:r>
      <w:r w:rsidRPr="00480065">
        <w:rPr>
          <w:rFonts w:cs="Arial"/>
        </w:rPr>
        <w:t>CAISO on a regul</w:t>
      </w:r>
      <w:r w:rsidR="00577BCD">
        <w:rPr>
          <w:rFonts w:cs="Arial"/>
        </w:rPr>
        <w:t xml:space="preserve">ar basis for promotion into </w:t>
      </w:r>
      <w:r w:rsidRPr="00480065">
        <w:rPr>
          <w:rFonts w:cs="Arial"/>
        </w:rPr>
        <w:t>CAISO’s Full Network Model and subsequent use by the EIM.  Any issues identif</w:t>
      </w:r>
      <w:r w:rsidR="00577BCD">
        <w:rPr>
          <w:rFonts w:cs="Arial"/>
        </w:rPr>
        <w:t xml:space="preserve">ied by </w:t>
      </w:r>
      <w:r w:rsidRPr="00480065">
        <w:rPr>
          <w:rFonts w:cs="Arial"/>
        </w:rPr>
        <w:t xml:space="preserve">CAISO in the EIM </w:t>
      </w:r>
      <w:r w:rsidR="005C7A4A">
        <w:rPr>
          <w:rFonts w:cs="Arial"/>
        </w:rPr>
        <w:t xml:space="preserve">Entity </w:t>
      </w:r>
      <w:r w:rsidRPr="00480065">
        <w:rPr>
          <w:rFonts w:cs="Arial"/>
        </w:rPr>
        <w:t>BAA’s model information will be resolved before promoting the information into a model used by the CAISO markets.</w:t>
      </w:r>
      <w:r w:rsidR="00074C0D">
        <w:rPr>
          <w:rFonts w:cs="Arial"/>
        </w:rPr>
        <w:t xml:space="preserve">  EIM Entities are responsible for coordinating their network model updates with other impacted parties, including neighboring Balancing Authorities and WECC as appropriate.</w:t>
      </w:r>
    </w:p>
    <w:p w14:paraId="51DD1369" w14:textId="77777777" w:rsidR="00F344FC" w:rsidRPr="00480065" w:rsidRDefault="00F344FC" w:rsidP="00F344FC">
      <w:pPr>
        <w:spacing w:after="240" w:line="300" w:lineRule="auto"/>
        <w:rPr>
          <w:rFonts w:cs="Arial"/>
        </w:rPr>
      </w:pPr>
      <w:r w:rsidRPr="00480065">
        <w:rPr>
          <w:rFonts w:cs="Arial"/>
        </w:rPr>
        <w:t xml:space="preserve">The CAISO Full Network </w:t>
      </w:r>
      <w:r w:rsidR="00AD5840">
        <w:rPr>
          <w:rFonts w:cs="Arial"/>
        </w:rPr>
        <w:t>Model timeline can be found in S</w:t>
      </w:r>
      <w:r w:rsidRPr="00480065">
        <w:rPr>
          <w:rFonts w:cs="Arial"/>
        </w:rPr>
        <w:t xml:space="preserve">ection 5.1 of the </w:t>
      </w:r>
      <w:hyperlink r:id="rId144" w:history="1">
        <w:r w:rsidRPr="00480065">
          <w:rPr>
            <w:rStyle w:val="Hyperlink"/>
            <w:b/>
          </w:rPr>
          <w:t>BPM for Managing Full Network Model</w:t>
        </w:r>
      </w:hyperlink>
      <w:r w:rsidRPr="00B06DE4">
        <w:rPr>
          <w:rFonts w:cs="Arial"/>
        </w:rPr>
        <w:t xml:space="preserve">.  Before every network model update, an EIM Entity will complete and provide a </w:t>
      </w:r>
      <w:r w:rsidR="00F06893">
        <w:rPr>
          <w:rFonts w:cs="Arial"/>
        </w:rPr>
        <w:t>n</w:t>
      </w:r>
      <w:r w:rsidRPr="00B06DE4">
        <w:rPr>
          <w:rFonts w:cs="Arial"/>
        </w:rPr>
        <w:t>e</w:t>
      </w:r>
      <w:r w:rsidR="00F06893">
        <w:rPr>
          <w:rFonts w:cs="Arial"/>
        </w:rPr>
        <w:t>twork model u</w:t>
      </w:r>
      <w:r w:rsidRPr="00BB070F">
        <w:rPr>
          <w:rFonts w:cs="Arial"/>
        </w:rPr>
        <w:t xml:space="preserve">pdate template to CAISO.  The document will contain a detailed description of the updates for communication between CAISO and the EIM Entity network model teams, and to the </w:t>
      </w:r>
      <w:r w:rsidR="00FC30E3">
        <w:rPr>
          <w:rFonts w:cs="Arial"/>
        </w:rPr>
        <w:t>Real-Time</w:t>
      </w:r>
      <w:r w:rsidRPr="00BB070F">
        <w:rPr>
          <w:rFonts w:cs="Arial"/>
        </w:rPr>
        <w:t xml:space="preserve"> operators. The document is posted on the Network and Resour</w:t>
      </w:r>
      <w:r w:rsidRPr="003D6985">
        <w:rPr>
          <w:rFonts w:cs="Arial"/>
        </w:rPr>
        <w:t xml:space="preserve">ce Modeling section of the CAISO </w:t>
      </w:r>
      <w:r w:rsidR="00816DA7" w:rsidRPr="003D6985">
        <w:rPr>
          <w:rFonts w:cs="Arial"/>
        </w:rPr>
        <w:t>website and</w:t>
      </w:r>
      <w:r w:rsidRPr="003D6985">
        <w:rPr>
          <w:rFonts w:cs="Arial"/>
        </w:rPr>
        <w:t xml:space="preserve"> should contain any changes to the EIM Entity’s network model including, but not limited to, new equipment, equipment commissioning/decommissioning, date/time, new system configurations, display chang</w:t>
      </w:r>
      <w:r w:rsidRPr="00480065">
        <w:rPr>
          <w:rFonts w:cs="Arial"/>
        </w:rPr>
        <w:t>es, SCADA point changes, and interconnection changes.</w:t>
      </w:r>
    </w:p>
    <w:p w14:paraId="293E8647" w14:textId="77777777" w:rsidR="00F344FC" w:rsidRPr="00480065" w:rsidRDefault="00F344FC" w:rsidP="00FA595A">
      <w:pPr>
        <w:spacing w:after="80" w:line="300" w:lineRule="auto"/>
        <w:rPr>
          <w:rFonts w:cs="Arial"/>
        </w:rPr>
      </w:pPr>
      <w:r w:rsidRPr="00480065">
        <w:rPr>
          <w:rFonts w:cs="Arial"/>
        </w:rPr>
        <w:t xml:space="preserve">The EIM Entity shall make </w:t>
      </w:r>
      <w:r w:rsidR="003C2D59">
        <w:rPr>
          <w:rFonts w:cs="Arial"/>
        </w:rPr>
        <w:t>the Network Model Update</w:t>
      </w:r>
      <w:r w:rsidR="009D507A">
        <w:rPr>
          <w:rFonts w:cs="Arial"/>
        </w:rPr>
        <w:t xml:space="preserve"> document available to </w:t>
      </w:r>
      <w:r w:rsidRPr="00480065">
        <w:rPr>
          <w:rFonts w:cs="Arial"/>
        </w:rPr>
        <w:t xml:space="preserve">CAISO before </w:t>
      </w:r>
      <w:r w:rsidR="00B439D6">
        <w:rPr>
          <w:rFonts w:cs="Arial"/>
        </w:rPr>
        <w:t>the</w:t>
      </w:r>
      <w:r w:rsidRPr="00480065">
        <w:rPr>
          <w:rFonts w:cs="Arial"/>
        </w:rPr>
        <w:t xml:space="preserve"> commissioning/decommission</w:t>
      </w:r>
      <w:r w:rsidR="00B439D6">
        <w:rPr>
          <w:rFonts w:cs="Arial"/>
        </w:rPr>
        <w:t>ing</w:t>
      </w:r>
      <w:r w:rsidRPr="00480065">
        <w:rPr>
          <w:rFonts w:cs="Arial"/>
        </w:rPr>
        <w:t xml:space="preserve"> of transmission or generation equipment. This will help resolve and cross the gap between the different cycles of </w:t>
      </w:r>
      <w:r w:rsidR="005D4C7C">
        <w:rPr>
          <w:rFonts w:cs="Arial"/>
        </w:rPr>
        <w:t xml:space="preserve">network model updates among </w:t>
      </w:r>
      <w:r w:rsidRPr="00480065">
        <w:rPr>
          <w:rFonts w:cs="Arial"/>
        </w:rPr>
        <w:t>CAISO and the different EIM entities. The document is only used to synchronize the EMS network models between an EIM Entity and CAISO</w:t>
      </w:r>
      <w:r w:rsidR="00F2256A">
        <w:rPr>
          <w:rFonts w:cs="Arial"/>
        </w:rPr>
        <w:t xml:space="preserve">.  It </w:t>
      </w:r>
      <w:r w:rsidRPr="00480065">
        <w:rPr>
          <w:rFonts w:cs="Arial"/>
        </w:rPr>
        <w:t>does not replace the existing requirement or processes in place to register participating and non-participating resources in an EIM Entity balancing area in the CAISO Market registry system or Master</w:t>
      </w:r>
      <w:r w:rsidR="00F042BE" w:rsidRPr="00480065">
        <w:rPr>
          <w:rFonts w:cs="Arial"/>
        </w:rPr>
        <w:t xml:space="preserve"> </w:t>
      </w:r>
      <w:r w:rsidRPr="00480065">
        <w:rPr>
          <w:rFonts w:cs="Arial"/>
        </w:rPr>
        <w:t xml:space="preserve">File.  </w:t>
      </w:r>
    </w:p>
    <w:p w14:paraId="5EB2112E" w14:textId="77777777" w:rsidR="00F344FC" w:rsidRPr="00480065" w:rsidRDefault="00F344FC" w:rsidP="00FA595A">
      <w:pPr>
        <w:spacing w:after="80" w:line="300" w:lineRule="auto"/>
        <w:rPr>
          <w:rFonts w:cs="Arial"/>
        </w:rPr>
      </w:pPr>
      <w:r w:rsidRPr="00480065">
        <w:rPr>
          <w:rFonts w:cs="Arial"/>
        </w:rPr>
        <w:t>An EIM Entity will expo</w:t>
      </w:r>
      <w:r w:rsidR="005D4C7C">
        <w:rPr>
          <w:rFonts w:cs="Arial"/>
        </w:rPr>
        <w:t xml:space="preserve">rt its EMS network model to </w:t>
      </w:r>
      <w:r w:rsidRPr="00480065">
        <w:rPr>
          <w:rFonts w:cs="Arial"/>
        </w:rPr>
        <w:t>CAISO along with an associate</w:t>
      </w:r>
      <w:r w:rsidR="005D4C7C">
        <w:rPr>
          <w:rFonts w:cs="Arial"/>
        </w:rPr>
        <w:t xml:space="preserve">d limits file. In order for </w:t>
      </w:r>
      <w:r w:rsidRPr="00480065">
        <w:rPr>
          <w:rFonts w:cs="Arial"/>
        </w:rPr>
        <w:t>CAISO to implement</w:t>
      </w:r>
      <w:r w:rsidR="005D4C7C">
        <w:rPr>
          <w:rFonts w:cs="Arial"/>
        </w:rPr>
        <w:t xml:space="preserve"> an EIM Entity’s model into </w:t>
      </w:r>
      <w:r w:rsidRPr="00480065">
        <w:rPr>
          <w:rFonts w:cs="Arial"/>
        </w:rPr>
        <w:t xml:space="preserve">CAISO’s full network model in a timely manner, the EIM </w:t>
      </w:r>
      <w:r w:rsidR="00816DA7" w:rsidRPr="00480065">
        <w:rPr>
          <w:rFonts w:cs="Arial"/>
        </w:rPr>
        <w:t>Entity</w:t>
      </w:r>
      <w:r w:rsidRPr="00480065">
        <w:rPr>
          <w:rFonts w:cs="Arial"/>
        </w:rPr>
        <w:t xml:space="preserve"> will send </w:t>
      </w:r>
      <w:r w:rsidR="005D4C7C">
        <w:rPr>
          <w:rFonts w:cs="Arial"/>
        </w:rPr>
        <w:t xml:space="preserve">the required information to </w:t>
      </w:r>
      <w:r w:rsidRPr="00480065">
        <w:rPr>
          <w:rFonts w:cs="Arial"/>
        </w:rPr>
        <w:t xml:space="preserve">CAISO based on the </w:t>
      </w:r>
      <w:r w:rsidR="00AD5840">
        <w:rPr>
          <w:rFonts w:cs="Arial"/>
        </w:rPr>
        <w:t>full network model timeline in S</w:t>
      </w:r>
      <w:r w:rsidRPr="00480065">
        <w:rPr>
          <w:rFonts w:cs="Arial"/>
        </w:rPr>
        <w:t xml:space="preserve">ection 5.1 of the </w:t>
      </w:r>
      <w:hyperlink r:id="rId145" w:history="1">
        <w:r w:rsidRPr="00480065">
          <w:rPr>
            <w:rStyle w:val="Hyperlink"/>
            <w:b/>
          </w:rPr>
          <w:t>BPM for Managing Full Network Model</w:t>
        </w:r>
      </w:hyperlink>
      <w:r w:rsidRPr="00480065">
        <w:rPr>
          <w:rFonts w:cs="Arial"/>
        </w:rPr>
        <w:t>.</w:t>
      </w:r>
    </w:p>
    <w:p w14:paraId="704A052C" w14:textId="77777777" w:rsidR="00F344FC" w:rsidRPr="00480065" w:rsidRDefault="00F344FC" w:rsidP="00FA595A">
      <w:pPr>
        <w:spacing w:after="80" w:line="300" w:lineRule="auto"/>
        <w:rPr>
          <w:rFonts w:cs="Arial"/>
        </w:rPr>
      </w:pPr>
      <w:r w:rsidRPr="00480065">
        <w:rPr>
          <w:rFonts w:cs="Arial"/>
        </w:rPr>
        <w:lastRenderedPageBreak/>
        <w:t>While an EIM Entity’s model deplo</w:t>
      </w:r>
      <w:r w:rsidR="005D4C7C">
        <w:rPr>
          <w:rFonts w:cs="Arial"/>
        </w:rPr>
        <w:t xml:space="preserve">yment cycle may differ from </w:t>
      </w:r>
      <w:r w:rsidRPr="00480065">
        <w:rPr>
          <w:rFonts w:cs="Arial"/>
        </w:rPr>
        <w:t xml:space="preserve">CAISO’s network model update timeline, any EIM Entity market model changes should follow the effective timelines specified and maintained in </w:t>
      </w:r>
      <w:r w:rsidR="00AD5840">
        <w:rPr>
          <w:rFonts w:cs="Arial"/>
        </w:rPr>
        <w:t>the CAISO BPM S</w:t>
      </w:r>
      <w:r w:rsidRPr="00480065">
        <w:rPr>
          <w:rFonts w:cs="Arial"/>
        </w:rPr>
        <w:t xml:space="preserve">ection 5.1 of the </w:t>
      </w:r>
      <w:hyperlink r:id="rId146" w:history="1">
        <w:r w:rsidRPr="00480065">
          <w:rPr>
            <w:rStyle w:val="Hyperlink"/>
            <w:b/>
          </w:rPr>
          <w:t>BPM for Managing Full Network Model</w:t>
        </w:r>
      </w:hyperlink>
      <w:r w:rsidRPr="00480065">
        <w:rPr>
          <w:rFonts w:cs="Arial"/>
        </w:rPr>
        <w:t xml:space="preserve">.  New resources must complete the interconnection processes of their host Balancing Authority Area </w:t>
      </w:r>
      <w:r w:rsidR="003C2D59">
        <w:rPr>
          <w:rFonts w:cs="Arial"/>
        </w:rPr>
        <w:t>(BAA)</w:t>
      </w:r>
      <w:r w:rsidRPr="00480065">
        <w:rPr>
          <w:rFonts w:cs="Arial"/>
        </w:rPr>
        <w:t xml:space="preserve"> prior to being included in a Full Network Model build and participating in the EIM.</w:t>
      </w:r>
    </w:p>
    <w:p w14:paraId="62B565AA" w14:textId="77777777" w:rsidR="00F344FC" w:rsidRPr="00480065" w:rsidRDefault="00F344FC" w:rsidP="00F344FC">
      <w:pPr>
        <w:spacing w:after="240" w:line="300" w:lineRule="auto"/>
        <w:rPr>
          <w:rFonts w:cs="Arial"/>
        </w:rPr>
      </w:pPr>
      <w:r w:rsidRPr="00480065">
        <w:rPr>
          <w:rFonts w:cs="Arial"/>
        </w:rPr>
        <w:t>All resources within an EIM Entity must be included in the CAISO’s Full Network Model.  The New Resource Implementation guide posted on the CAISO website contains requirements for esta</w:t>
      </w:r>
      <w:r w:rsidR="005D4C7C">
        <w:rPr>
          <w:rFonts w:cs="Arial"/>
        </w:rPr>
        <w:t xml:space="preserve">blishing new resources with </w:t>
      </w:r>
      <w:r w:rsidRPr="00480065">
        <w:rPr>
          <w:rFonts w:cs="Arial"/>
        </w:rPr>
        <w:t>CAISO.  Resources participating in the EIM will be required to subm</w:t>
      </w:r>
      <w:r w:rsidR="005D4C7C">
        <w:rPr>
          <w:rFonts w:cs="Arial"/>
        </w:rPr>
        <w:t xml:space="preserve">it requisite information to </w:t>
      </w:r>
      <w:r w:rsidRPr="00480065">
        <w:rPr>
          <w:rFonts w:cs="Arial"/>
        </w:rPr>
        <w:t>CAISO via the Resource Data Templa</w:t>
      </w:r>
      <w:r w:rsidR="00AD5840">
        <w:rPr>
          <w:rFonts w:cs="Arial"/>
        </w:rPr>
        <w:t>te (RDT) process described in S</w:t>
      </w:r>
      <w:r w:rsidRPr="00480065">
        <w:rPr>
          <w:rFonts w:cs="Arial"/>
        </w:rPr>
        <w:t xml:space="preserve">ection 5.4 of the </w:t>
      </w:r>
      <w:hyperlink r:id="rId147" w:history="1">
        <w:r w:rsidRPr="00480065">
          <w:rPr>
            <w:rStyle w:val="Hyperlink"/>
            <w:b/>
          </w:rPr>
          <w:t>BPM for Managing Full Network Model</w:t>
        </w:r>
      </w:hyperlink>
      <w:r w:rsidRPr="00480065">
        <w:rPr>
          <w:rFonts w:cs="Arial"/>
        </w:rPr>
        <w:t xml:space="preserve">.  Additional information regarding the specific information contained in the RDT can be found in Attachment B of the </w:t>
      </w:r>
      <w:hyperlink r:id="rId148" w:history="1">
        <w:r w:rsidRPr="00480065">
          <w:rPr>
            <w:rStyle w:val="Hyperlink"/>
            <w:rFonts w:cs="Arial"/>
            <w:b/>
          </w:rPr>
          <w:t>BPM for Market Instruments</w:t>
        </w:r>
      </w:hyperlink>
      <w:r w:rsidRPr="00480065">
        <w:rPr>
          <w:rFonts w:cs="Arial"/>
        </w:rPr>
        <w:t xml:space="preserve">.  All EIM </w:t>
      </w:r>
      <w:r w:rsidR="00816DA7" w:rsidRPr="00480065">
        <w:rPr>
          <w:rFonts w:cs="Arial"/>
        </w:rPr>
        <w:t>Participating</w:t>
      </w:r>
      <w:r w:rsidRPr="00480065">
        <w:rPr>
          <w:rFonts w:cs="Arial"/>
        </w:rPr>
        <w:t xml:space="preserve"> Resource Scheduling Coordinators must register the resources that they shall represent using the RDT process, update the information on a timely basis</w:t>
      </w:r>
      <w:r w:rsidR="004D2AB4">
        <w:rPr>
          <w:rFonts w:cs="Arial"/>
        </w:rPr>
        <w:t>,</w:t>
      </w:r>
      <w:r w:rsidRPr="00480065">
        <w:rPr>
          <w:rFonts w:cs="Arial"/>
        </w:rPr>
        <w:t xml:space="preserve"> and share that information with the EIM Entity Scheduling Coord</w:t>
      </w:r>
      <w:r w:rsidR="004D2AB4">
        <w:rPr>
          <w:rFonts w:cs="Arial"/>
        </w:rPr>
        <w:t xml:space="preserve">inator in coordination with </w:t>
      </w:r>
      <w:r w:rsidRPr="00480065">
        <w:rPr>
          <w:rFonts w:cs="Arial"/>
        </w:rPr>
        <w:t xml:space="preserve">CAISO’s network model update timeline.  Also, an EIM Entity Scheduling </w:t>
      </w:r>
      <w:r w:rsidR="00816DA7" w:rsidRPr="00480065">
        <w:rPr>
          <w:rFonts w:cs="Arial"/>
        </w:rPr>
        <w:t>Coordinator</w:t>
      </w:r>
      <w:r w:rsidRPr="00480065">
        <w:rPr>
          <w:rFonts w:cs="Arial"/>
        </w:rPr>
        <w:t xml:space="preserve"> must register all non-participating resources</w:t>
      </w:r>
      <w:r w:rsidR="00000035">
        <w:rPr>
          <w:rFonts w:cs="Arial"/>
        </w:rPr>
        <w:t>,</w:t>
      </w:r>
      <w:r w:rsidRPr="00480065">
        <w:rPr>
          <w:rFonts w:cs="Arial"/>
        </w:rPr>
        <w:t xml:space="preserve"> specifying the EIM Entity within which </w:t>
      </w:r>
      <w:r w:rsidR="00000035">
        <w:rPr>
          <w:rFonts w:cs="Arial"/>
        </w:rPr>
        <w:t>the resources exist,</w:t>
      </w:r>
      <w:r w:rsidRPr="00480065">
        <w:rPr>
          <w:rFonts w:cs="Arial"/>
        </w:rPr>
        <w:t xml:space="preserve"> using the RDT process and update that in</w:t>
      </w:r>
      <w:r w:rsidR="009D507A">
        <w:rPr>
          <w:rFonts w:cs="Arial"/>
        </w:rPr>
        <w:t>formation in accordance with</w:t>
      </w:r>
      <w:r w:rsidRPr="00480065">
        <w:rPr>
          <w:rFonts w:cs="Arial"/>
        </w:rPr>
        <w:t xml:space="preserve"> CAISO’s network model build process.  </w:t>
      </w:r>
    </w:p>
    <w:p w14:paraId="640A0E30" w14:textId="77777777" w:rsidR="00F344FC" w:rsidRPr="00480065" w:rsidRDefault="00F344FC" w:rsidP="00F344FC">
      <w:pPr>
        <w:spacing w:after="240" w:line="300" w:lineRule="auto"/>
        <w:rPr>
          <w:rFonts w:cs="Arial"/>
        </w:rPr>
      </w:pPr>
      <w:r w:rsidRPr="00480065">
        <w:t>An EIM Entity shall update the EIM Transmission Service Information no less frequently than the timelines for updates to the Full Network Model as outlined in</w:t>
      </w:r>
      <w:r w:rsidR="00AD5840">
        <w:rPr>
          <w:rFonts w:cs="Arial"/>
        </w:rPr>
        <w:t xml:space="preserve"> S</w:t>
      </w:r>
      <w:r w:rsidRPr="00480065">
        <w:rPr>
          <w:rFonts w:cs="Arial"/>
        </w:rPr>
        <w:t xml:space="preserve">ection 5.1 of the </w:t>
      </w:r>
      <w:hyperlink r:id="rId149" w:history="1">
        <w:r w:rsidRPr="00480065">
          <w:rPr>
            <w:rStyle w:val="Hyperlink"/>
            <w:b/>
          </w:rPr>
          <w:t>BPM for Managing Full Network Model</w:t>
        </w:r>
      </w:hyperlink>
      <w:r w:rsidRPr="00480065">
        <w:rPr>
          <w:rFonts w:cs="Arial"/>
        </w:rPr>
        <w:t xml:space="preserve">.  Also, upon entering into an EIM Implementation Agreement, an EIM Entity shall establish and inform </w:t>
      </w:r>
      <w:r w:rsidRPr="00480065">
        <w:t>CAISO of the maximum EIM Transfer limit at least ninety days prior to the EIM Entity Implementation Date via the Full Network Model update process.</w:t>
      </w:r>
    </w:p>
    <w:p w14:paraId="70CF22B3" w14:textId="77777777" w:rsidR="00595077" w:rsidRPr="00480065" w:rsidRDefault="00595077" w:rsidP="006F6DD6">
      <w:pPr>
        <w:spacing w:after="240" w:line="300" w:lineRule="auto"/>
        <w:rPr>
          <w:rFonts w:cs="Arial"/>
        </w:rPr>
      </w:pPr>
      <w:r w:rsidRPr="00480065">
        <w:rPr>
          <w:rFonts w:cs="Arial"/>
        </w:rPr>
        <w:t xml:space="preserve">As </w:t>
      </w:r>
      <w:r w:rsidR="00D5695C" w:rsidRPr="00480065">
        <w:rPr>
          <w:rFonts w:cs="Arial"/>
        </w:rPr>
        <w:t>previously described</w:t>
      </w:r>
      <w:r w:rsidRPr="00480065">
        <w:rPr>
          <w:rFonts w:cs="Arial"/>
        </w:rPr>
        <w:t xml:space="preserve">, the </w:t>
      </w:r>
      <w:hyperlink r:id="rId150" w:history="1">
        <w:r w:rsidR="00A21E2E" w:rsidRPr="00480065">
          <w:rPr>
            <w:rStyle w:val="Hyperlink"/>
            <w:b/>
          </w:rPr>
          <w:t>BPM for Managing Full Network Model</w:t>
        </w:r>
      </w:hyperlink>
      <w:r w:rsidR="00A21E2E" w:rsidRPr="00480065">
        <w:rPr>
          <w:b/>
        </w:rPr>
        <w:t xml:space="preserve"> </w:t>
      </w:r>
      <w:r w:rsidRPr="00480065">
        <w:rPr>
          <w:rFonts w:cs="Arial"/>
        </w:rPr>
        <w:t xml:space="preserve">explains how the Full Network Model and its associated processes are used to support market operations.  For EIM participants, references to the IFM, Use Limited Resources, CRR Systems, Participating Transmission Ownership, Metered Sub-Systems, Utility Distribution Companies, Trading Hubs, </w:t>
      </w:r>
      <w:r w:rsidR="00BB16D7" w:rsidRPr="00480065">
        <w:rPr>
          <w:rFonts w:cs="Arial"/>
        </w:rPr>
        <w:t>and RUC</w:t>
      </w:r>
      <w:r w:rsidRPr="00480065">
        <w:rPr>
          <w:rFonts w:cs="Arial"/>
        </w:rPr>
        <w:t xml:space="preserve"> Zones are not applicable to</w:t>
      </w:r>
      <w:r w:rsidR="004C1432">
        <w:rPr>
          <w:rFonts w:cs="Arial"/>
        </w:rPr>
        <w:t xml:space="preserve"> the</w:t>
      </w:r>
      <w:r w:rsidRPr="00480065">
        <w:rPr>
          <w:rFonts w:cs="Arial"/>
        </w:rPr>
        <w:t xml:space="preserve"> EIM.</w:t>
      </w:r>
    </w:p>
    <w:p w14:paraId="55731002" w14:textId="77777777" w:rsidR="00326CC6" w:rsidRDefault="00595077" w:rsidP="00BA2E6E">
      <w:pPr>
        <w:spacing w:after="240" w:line="300" w:lineRule="auto"/>
        <w:rPr>
          <w:rFonts w:cs="Arial"/>
        </w:rPr>
      </w:pPr>
      <w:r w:rsidRPr="00480065">
        <w:rPr>
          <w:rFonts w:cs="Arial"/>
        </w:rPr>
        <w:t xml:space="preserve">The section of the </w:t>
      </w:r>
      <w:hyperlink r:id="rId151" w:history="1">
        <w:r w:rsidR="00A21E2E" w:rsidRPr="00480065">
          <w:rPr>
            <w:rStyle w:val="Hyperlink"/>
            <w:b/>
          </w:rPr>
          <w:t>BPM for Managing Full Network Model</w:t>
        </w:r>
      </w:hyperlink>
      <w:r w:rsidR="00A21E2E" w:rsidRPr="00480065">
        <w:rPr>
          <w:b/>
        </w:rPr>
        <w:t xml:space="preserve"> </w:t>
      </w:r>
      <w:r w:rsidRPr="00480065">
        <w:rPr>
          <w:rFonts w:cs="Arial"/>
        </w:rPr>
        <w:t xml:space="preserve">relating to maintenance of the Full Network Model depicts the existing process, but is currently being evaluated for revisions necessary to appropriately incorporate updates from EIM </w:t>
      </w:r>
      <w:r w:rsidR="00450F1E">
        <w:rPr>
          <w:rFonts w:cs="Arial"/>
        </w:rPr>
        <w:t>Entity</w:t>
      </w:r>
      <w:r w:rsidRPr="00480065">
        <w:rPr>
          <w:rFonts w:cs="Arial"/>
        </w:rPr>
        <w:t xml:space="preserve"> BAAs.</w:t>
      </w:r>
    </w:p>
    <w:p w14:paraId="3A39F49E" w14:textId="77777777" w:rsidR="003932F5" w:rsidRPr="00480065" w:rsidRDefault="00595077" w:rsidP="00BA2E6E">
      <w:pPr>
        <w:spacing w:after="240" w:line="300" w:lineRule="auto"/>
        <w:rPr>
          <w:rFonts w:cs="Arial"/>
        </w:rPr>
      </w:pPr>
      <w:r w:rsidRPr="00480065">
        <w:rPr>
          <w:rFonts w:cs="Arial"/>
        </w:rPr>
        <w:t xml:space="preserve">  </w:t>
      </w:r>
    </w:p>
    <w:p w14:paraId="5C6A2DB5" w14:textId="77777777" w:rsidR="002E46E9" w:rsidRDefault="002E46E9" w:rsidP="002E46E9">
      <w:pPr>
        <w:pStyle w:val="Heading1"/>
      </w:pPr>
      <w:bookmarkStart w:id="59" w:name="_Toc389662573"/>
      <w:bookmarkStart w:id="60" w:name="_Toc390946258"/>
      <w:bookmarkStart w:id="61" w:name="_Toc391969819"/>
      <w:bookmarkStart w:id="62" w:name="_Toc20384083"/>
      <w:r>
        <w:lastRenderedPageBreak/>
        <w:t>METERING</w:t>
      </w:r>
      <w:bookmarkEnd w:id="59"/>
      <w:bookmarkEnd w:id="60"/>
      <w:bookmarkEnd w:id="61"/>
      <w:bookmarkEnd w:id="62"/>
    </w:p>
    <w:p w14:paraId="70687090" w14:textId="4032BE4D" w:rsidR="00772AC4" w:rsidRDefault="00BD1EBB" w:rsidP="006F6DD6">
      <w:pPr>
        <w:spacing w:after="240" w:line="300" w:lineRule="auto"/>
        <w:rPr>
          <w:rFonts w:cs="Arial"/>
        </w:rPr>
      </w:pPr>
      <w:r>
        <w:rPr>
          <w:rFonts w:cs="Arial"/>
        </w:rPr>
        <w:t>W</w:t>
      </w:r>
      <w:r w:rsidR="00772AC4">
        <w:rPr>
          <w:rFonts w:cs="Arial"/>
        </w:rPr>
        <w:t>elcome to</w:t>
      </w:r>
      <w:r>
        <w:rPr>
          <w:rFonts w:cs="Arial"/>
        </w:rPr>
        <w:t xml:space="preserve"> the </w:t>
      </w:r>
      <w:r w:rsidRPr="00BD1EBB">
        <w:rPr>
          <w:rFonts w:cs="Arial"/>
          <w:i/>
        </w:rPr>
        <w:t>Metering</w:t>
      </w:r>
      <w:r>
        <w:rPr>
          <w:rFonts w:cs="Arial"/>
        </w:rPr>
        <w:t xml:space="preserve"> section of th</w:t>
      </w:r>
      <w:r w:rsidR="00772AC4">
        <w:rPr>
          <w:rFonts w:cs="Arial"/>
        </w:rPr>
        <w:t>e</w:t>
      </w:r>
      <w:r w:rsidR="00775CF7">
        <w:rPr>
          <w:rFonts w:cs="Arial"/>
        </w:rPr>
        <w:t xml:space="preserve"> </w:t>
      </w:r>
      <w:r w:rsidR="00772AC4">
        <w:rPr>
          <w:rFonts w:cs="Arial"/>
        </w:rPr>
        <w:t>CAISO</w:t>
      </w:r>
      <w:r>
        <w:rPr>
          <w:rFonts w:cs="Arial"/>
        </w:rPr>
        <w:t xml:space="preserve"> </w:t>
      </w:r>
      <w:r w:rsidRPr="00772AC4">
        <w:rPr>
          <w:rFonts w:cs="Arial"/>
          <w:i/>
        </w:rPr>
        <w:t>BPM</w:t>
      </w:r>
      <w:r w:rsidR="00772AC4" w:rsidRPr="00772AC4">
        <w:rPr>
          <w:rFonts w:cs="Arial"/>
          <w:i/>
        </w:rPr>
        <w:t xml:space="preserve"> for the Energy Imbalance Market</w:t>
      </w:r>
      <w:r w:rsidR="00772AC4">
        <w:rPr>
          <w:rFonts w:cs="Arial"/>
        </w:rPr>
        <w:t>. In this section</w:t>
      </w:r>
      <w:r w:rsidR="00775CF7">
        <w:rPr>
          <w:rFonts w:cs="Arial"/>
        </w:rPr>
        <w:t xml:space="preserve"> </w:t>
      </w:r>
      <w:r>
        <w:rPr>
          <w:rFonts w:cs="Arial"/>
        </w:rPr>
        <w:t>you will</w:t>
      </w:r>
      <w:r w:rsidR="006B378A">
        <w:rPr>
          <w:rFonts w:cs="Arial"/>
        </w:rPr>
        <w:t xml:space="preserve"> find </w:t>
      </w:r>
      <w:r w:rsidR="00772AC4">
        <w:rPr>
          <w:rFonts w:cs="Arial"/>
        </w:rPr>
        <w:t xml:space="preserve">the following </w:t>
      </w:r>
      <w:r w:rsidR="006B378A">
        <w:rPr>
          <w:rFonts w:cs="Arial"/>
        </w:rPr>
        <w:t>information</w:t>
      </w:r>
      <w:r w:rsidR="00772AC4">
        <w:rPr>
          <w:rFonts w:cs="Arial"/>
        </w:rPr>
        <w:t>:</w:t>
      </w:r>
    </w:p>
    <w:p w14:paraId="71B32F28" w14:textId="77777777" w:rsidR="00BD1EBB" w:rsidRPr="00772AC4" w:rsidRDefault="00772AC4" w:rsidP="000F0531">
      <w:pPr>
        <w:pStyle w:val="ListParagraph"/>
        <w:numPr>
          <w:ilvl w:val="0"/>
          <w:numId w:val="39"/>
        </w:numPr>
        <w:ind w:left="778"/>
        <w:rPr>
          <w:rFonts w:cs="Arial"/>
        </w:rPr>
      </w:pPr>
      <w:r>
        <w:rPr>
          <w:rFonts w:cs="Arial"/>
        </w:rPr>
        <w:t>Description of</w:t>
      </w:r>
      <w:r w:rsidR="00775CF7">
        <w:rPr>
          <w:rFonts w:cs="Arial"/>
        </w:rPr>
        <w:t xml:space="preserve"> </w:t>
      </w:r>
      <w:r w:rsidR="00BD1EBB" w:rsidRPr="00772AC4">
        <w:rPr>
          <w:rFonts w:cs="Arial"/>
        </w:rPr>
        <w:t>the pro</w:t>
      </w:r>
      <w:r w:rsidR="004C1432" w:rsidRPr="00772AC4">
        <w:rPr>
          <w:rFonts w:cs="Arial"/>
        </w:rPr>
        <w:t xml:space="preserve">cess and procedures used by </w:t>
      </w:r>
      <w:r w:rsidR="00BD1EBB" w:rsidRPr="00772AC4">
        <w:rPr>
          <w:rFonts w:cs="Arial"/>
        </w:rPr>
        <w:t xml:space="preserve">CAISO, CAISO Metered Entities, and Scheduling Coordinators for </w:t>
      </w:r>
      <w:r w:rsidR="004813C9" w:rsidRPr="00772AC4">
        <w:rPr>
          <w:rFonts w:cs="Arial"/>
        </w:rPr>
        <w:t>Scheduling</w:t>
      </w:r>
      <w:r w:rsidR="00AB79A0" w:rsidRPr="00772AC4">
        <w:rPr>
          <w:rFonts w:cs="Arial"/>
        </w:rPr>
        <w:t xml:space="preserve"> Coordinator Metered E</w:t>
      </w:r>
      <w:r w:rsidR="00BD1EBB" w:rsidRPr="00772AC4">
        <w:rPr>
          <w:rFonts w:cs="Arial"/>
        </w:rPr>
        <w:t>ntities to obtain</w:t>
      </w:r>
      <w:r w:rsidR="004C1432" w:rsidRPr="00772AC4">
        <w:rPr>
          <w:rFonts w:cs="Arial"/>
        </w:rPr>
        <w:t xml:space="preserve"> Settlement Quality Meter Data</w:t>
      </w:r>
      <w:r w:rsidR="00BD1EBB" w:rsidRPr="00772AC4">
        <w:rPr>
          <w:rFonts w:cs="Arial"/>
        </w:rPr>
        <w:t xml:space="preserve"> </w:t>
      </w:r>
      <w:r w:rsidR="004C1432" w:rsidRPr="00772AC4">
        <w:rPr>
          <w:rFonts w:cs="Arial"/>
        </w:rPr>
        <w:t>(</w:t>
      </w:r>
      <w:r w:rsidR="00BD1EBB" w:rsidRPr="00772AC4">
        <w:rPr>
          <w:rFonts w:cs="Arial"/>
        </w:rPr>
        <w:t>SQMD</w:t>
      </w:r>
      <w:r w:rsidR="004C1432" w:rsidRPr="00772AC4">
        <w:rPr>
          <w:rFonts w:cs="Arial"/>
        </w:rPr>
        <w:t>)</w:t>
      </w:r>
      <w:r w:rsidR="00BD1EBB" w:rsidRPr="00772AC4">
        <w:rPr>
          <w:rFonts w:cs="Arial"/>
        </w:rPr>
        <w:t xml:space="preserve"> used f</w:t>
      </w:r>
      <w:r w:rsidR="00FC30E3" w:rsidRPr="00772AC4">
        <w:rPr>
          <w:rFonts w:cs="Arial"/>
        </w:rPr>
        <w:t>or the Settlement of the CAISO m</w:t>
      </w:r>
      <w:r w:rsidR="00BD1EBB" w:rsidRPr="00772AC4">
        <w:rPr>
          <w:rFonts w:cs="Arial"/>
        </w:rPr>
        <w:t>arkets</w:t>
      </w:r>
      <w:r w:rsidR="006B378A" w:rsidRPr="00772AC4">
        <w:rPr>
          <w:rFonts w:cs="Arial"/>
        </w:rPr>
        <w:t xml:space="preserve"> within the EIM</w:t>
      </w:r>
      <w:r w:rsidR="00BD1EBB" w:rsidRPr="00772AC4">
        <w:rPr>
          <w:rFonts w:cs="Arial"/>
        </w:rPr>
        <w:t xml:space="preserve">.  </w:t>
      </w:r>
    </w:p>
    <w:p w14:paraId="022512A3" w14:textId="77777777" w:rsidR="00772AC4" w:rsidRDefault="00BD1EBB" w:rsidP="006F6DD6">
      <w:pPr>
        <w:spacing w:after="240" w:line="300" w:lineRule="auto"/>
        <w:rPr>
          <w:rFonts w:cs="Arial"/>
        </w:rPr>
      </w:pPr>
      <w:r>
        <w:rPr>
          <w:rFonts w:cs="Arial"/>
        </w:rPr>
        <w:t xml:space="preserve"> </w:t>
      </w:r>
      <w:r w:rsidR="00697F70" w:rsidRPr="009C0623">
        <w:rPr>
          <w:rFonts w:cs="Arial"/>
        </w:rPr>
        <w:t xml:space="preserve">The </w:t>
      </w:r>
      <w:hyperlink r:id="rId152" w:history="1">
        <w:r w:rsidR="00697F70" w:rsidRPr="009C0623">
          <w:rPr>
            <w:rStyle w:val="Hyperlink"/>
            <w:rFonts w:cs="Arial"/>
            <w:b/>
            <w:bCs/>
          </w:rPr>
          <w:t>BPM for Metering</w:t>
        </w:r>
      </w:hyperlink>
      <w:r w:rsidR="00697F70" w:rsidRPr="009C0623">
        <w:rPr>
          <w:rFonts w:cs="Arial"/>
        </w:rPr>
        <w:t xml:space="preserve"> covers the me</w:t>
      </w:r>
      <w:r w:rsidR="004C1432">
        <w:rPr>
          <w:rFonts w:cs="Arial"/>
        </w:rPr>
        <w:t xml:space="preserve">tering responsibilities for </w:t>
      </w:r>
      <w:r w:rsidR="00697F70" w:rsidRPr="009C0623">
        <w:rPr>
          <w:rFonts w:cs="Arial"/>
        </w:rPr>
        <w:t>CAISO, CAISO Metered Entities, Scheduling Coordinator (SC) Metered Entities, and Scheduling Coordinators representing Metered Entities for the meter installation, certification</w:t>
      </w:r>
      <w:r w:rsidR="00AE5C0A">
        <w:rPr>
          <w:rFonts w:cs="Arial"/>
        </w:rPr>
        <w:t>,</w:t>
      </w:r>
      <w:r w:rsidR="00697F70" w:rsidRPr="009C0623">
        <w:rPr>
          <w:rFonts w:cs="Arial"/>
        </w:rPr>
        <w:t xml:space="preserve"> and maintenance in addition to th</w:t>
      </w:r>
      <w:r w:rsidR="004C1432">
        <w:rPr>
          <w:rFonts w:cs="Arial"/>
        </w:rPr>
        <w:t>e creation of SQMD</w:t>
      </w:r>
      <w:r w:rsidR="00AE5C0A" w:rsidRPr="00BB16D7">
        <w:rPr>
          <w:rFonts w:cs="Arial"/>
        </w:rPr>
        <w:t xml:space="preserve">.  </w:t>
      </w:r>
      <w:r w:rsidR="00471DB7">
        <w:rPr>
          <w:rFonts w:cs="Arial"/>
        </w:rPr>
        <w:t>T</w:t>
      </w:r>
      <w:r w:rsidR="00697F70" w:rsidRPr="009C0623">
        <w:rPr>
          <w:rFonts w:cs="Arial"/>
        </w:rPr>
        <w:t xml:space="preserve">he </w:t>
      </w:r>
      <w:hyperlink r:id="rId153" w:history="1">
        <w:r w:rsidR="00A21E2E" w:rsidRPr="009C0623">
          <w:rPr>
            <w:rStyle w:val="Hyperlink"/>
            <w:rFonts w:cs="Arial"/>
            <w:b/>
            <w:bCs/>
          </w:rPr>
          <w:t>BPM for Metering</w:t>
        </w:r>
      </w:hyperlink>
      <w:r w:rsidR="00A21E2E">
        <w:rPr>
          <w:rFonts w:cs="Arial"/>
          <w:b/>
          <w:bCs/>
        </w:rPr>
        <w:t xml:space="preserve"> </w:t>
      </w:r>
      <w:r w:rsidR="00471DB7">
        <w:rPr>
          <w:rFonts w:cs="Arial"/>
          <w:bCs/>
        </w:rPr>
        <w:t xml:space="preserve">also </w:t>
      </w:r>
      <w:r w:rsidR="00697F70" w:rsidRPr="009C0623">
        <w:rPr>
          <w:rFonts w:cs="Arial"/>
        </w:rPr>
        <w:t>describes the process a</w:t>
      </w:r>
      <w:r w:rsidR="00471DB7">
        <w:rPr>
          <w:rFonts w:cs="Arial"/>
        </w:rPr>
        <w:t xml:space="preserve">nd procedures used by </w:t>
      </w:r>
      <w:r w:rsidR="00697F70" w:rsidRPr="009C0623">
        <w:rPr>
          <w:rFonts w:cs="Arial"/>
        </w:rPr>
        <w:t>CAISO, CAISO Metered Entities, and Scheduling Coordinators for Scheduling Coordinator Metered Entities to obtain SQMD used f</w:t>
      </w:r>
      <w:r w:rsidR="004538FE">
        <w:rPr>
          <w:rFonts w:cs="Arial"/>
        </w:rPr>
        <w:t>or the settlement of the CAISO m</w:t>
      </w:r>
      <w:r w:rsidR="00697F70" w:rsidRPr="009C0623">
        <w:rPr>
          <w:rFonts w:cs="Arial"/>
        </w:rPr>
        <w:t>arkets.  SQMD is used for billab</w:t>
      </w:r>
      <w:r w:rsidR="00AE5C0A" w:rsidRPr="00BB16D7">
        <w:rPr>
          <w:rFonts w:cs="Arial"/>
        </w:rPr>
        <w:t xml:space="preserve">le quantities to represent the </w:t>
      </w:r>
      <w:r w:rsidR="00AE5C0A">
        <w:rPr>
          <w:rFonts w:cs="Arial"/>
        </w:rPr>
        <w:t>e</w:t>
      </w:r>
      <w:r w:rsidR="00697F70" w:rsidRPr="009C0623">
        <w:rPr>
          <w:rFonts w:cs="Arial"/>
        </w:rPr>
        <w:t xml:space="preserve">nergy generated or consumed during a Settlement Interval.  </w:t>
      </w:r>
    </w:p>
    <w:p w14:paraId="6348A97D" w14:textId="77777777" w:rsidR="00772AC4" w:rsidRDefault="00697F70" w:rsidP="006F6DD6">
      <w:pPr>
        <w:spacing w:after="240" w:line="300" w:lineRule="auto"/>
        <w:rPr>
          <w:rFonts w:cs="Arial"/>
        </w:rPr>
      </w:pPr>
      <w:r w:rsidRPr="009C0623">
        <w:rPr>
          <w:rFonts w:cs="Arial"/>
        </w:rPr>
        <w:t xml:space="preserve">SQMD is obtained from two different sources: </w:t>
      </w:r>
    </w:p>
    <w:p w14:paraId="759B1C0B" w14:textId="77777777" w:rsidR="00772AC4" w:rsidRDefault="00697F70" w:rsidP="000F0531">
      <w:pPr>
        <w:pStyle w:val="ListParagraph"/>
        <w:numPr>
          <w:ilvl w:val="0"/>
          <w:numId w:val="40"/>
        </w:numPr>
        <w:spacing w:after="240" w:line="300" w:lineRule="auto"/>
        <w:rPr>
          <w:rFonts w:cs="Arial"/>
        </w:rPr>
      </w:pPr>
      <w:r w:rsidRPr="00772AC4">
        <w:rPr>
          <w:rFonts w:cs="Arial"/>
          <w:b/>
        </w:rPr>
        <w:t>CAISO Metered Entities</w:t>
      </w:r>
      <w:r w:rsidR="00772AC4" w:rsidRPr="00772AC4">
        <w:rPr>
          <w:rFonts w:cs="Arial"/>
          <w:b/>
        </w:rPr>
        <w:t>:</w:t>
      </w:r>
      <w:r w:rsidRPr="00772AC4">
        <w:rPr>
          <w:rFonts w:cs="Arial"/>
        </w:rPr>
        <w:t xml:space="preserve"> Meter Data directly polled by CAISO </w:t>
      </w:r>
    </w:p>
    <w:p w14:paraId="5A8FB799" w14:textId="77777777" w:rsidR="00697F70" w:rsidRPr="00772AC4" w:rsidRDefault="00697F70" w:rsidP="000F0531">
      <w:pPr>
        <w:pStyle w:val="ListParagraph"/>
        <w:numPr>
          <w:ilvl w:val="0"/>
          <w:numId w:val="40"/>
        </w:numPr>
        <w:rPr>
          <w:rFonts w:cs="Arial"/>
        </w:rPr>
      </w:pPr>
      <w:r w:rsidRPr="00772AC4">
        <w:rPr>
          <w:rFonts w:cs="Arial"/>
          <w:b/>
        </w:rPr>
        <w:t>Scheduling Coordinator Metered Entities</w:t>
      </w:r>
      <w:r w:rsidR="00772AC4" w:rsidRPr="00772AC4">
        <w:rPr>
          <w:rFonts w:cs="Arial"/>
          <w:b/>
        </w:rPr>
        <w:t>:</w:t>
      </w:r>
      <w:r w:rsidRPr="00772AC4">
        <w:rPr>
          <w:rFonts w:cs="Arial"/>
        </w:rPr>
        <w:t xml:space="preserve"> Meter Data submitted to CAISO by Scheduling Coordinators  </w:t>
      </w:r>
    </w:p>
    <w:p w14:paraId="56834E1C" w14:textId="6E52473F" w:rsidR="00697F70" w:rsidRDefault="00697F70" w:rsidP="006F6DD6">
      <w:pPr>
        <w:spacing w:after="240" w:line="300" w:lineRule="auto"/>
        <w:rPr>
          <w:rFonts w:cs="Arial"/>
        </w:rPr>
      </w:pPr>
      <w:r w:rsidRPr="009C0623">
        <w:rPr>
          <w:rFonts w:cs="Arial"/>
        </w:rPr>
        <w:t>Entities participating in the EIM may opt to be CAISO Metered Entities or Scheduling Coordinator Metered Entities.  A determination must be made for each resource in an EIM</w:t>
      </w:r>
      <w:r w:rsidR="005C7A4A">
        <w:rPr>
          <w:rFonts w:cs="Arial"/>
        </w:rPr>
        <w:t xml:space="preserve"> Entity </w:t>
      </w:r>
      <w:r w:rsidRPr="009C0623">
        <w:rPr>
          <w:rFonts w:cs="Arial"/>
        </w:rPr>
        <w:t xml:space="preserve">BAA, and the requisite requirements </w:t>
      </w:r>
      <w:r w:rsidR="00AD5840">
        <w:rPr>
          <w:rFonts w:cs="Arial"/>
        </w:rPr>
        <w:t>of S</w:t>
      </w:r>
      <w:r w:rsidR="000822F4">
        <w:rPr>
          <w:rFonts w:cs="Arial"/>
        </w:rPr>
        <w:t xml:space="preserve">ection </w:t>
      </w:r>
      <w:r w:rsidR="006D124E">
        <w:rPr>
          <w:rFonts w:cs="Arial"/>
        </w:rPr>
        <w:t xml:space="preserve">29.10 of the </w:t>
      </w:r>
      <w:r w:rsidR="00E16431">
        <w:rPr>
          <w:rFonts w:cs="Arial"/>
        </w:rPr>
        <w:t>CAISO T</w:t>
      </w:r>
      <w:r w:rsidR="006D124E">
        <w:rPr>
          <w:rFonts w:cs="Arial"/>
        </w:rPr>
        <w:t xml:space="preserve">ariff </w:t>
      </w:r>
      <w:r w:rsidRPr="009C0623">
        <w:rPr>
          <w:rFonts w:cs="Arial"/>
        </w:rPr>
        <w:t>met, prior to that BAA participating in</w:t>
      </w:r>
      <w:r w:rsidR="00D5695C">
        <w:rPr>
          <w:rFonts w:cs="Arial"/>
        </w:rPr>
        <w:t xml:space="preserve"> the</w:t>
      </w:r>
      <w:r w:rsidR="00C148A5">
        <w:rPr>
          <w:rFonts w:cs="Arial"/>
        </w:rPr>
        <w:t xml:space="preserve"> EIM.  If an EIM Participating R</w:t>
      </w:r>
      <w:r w:rsidRPr="009C0623">
        <w:rPr>
          <w:rFonts w:cs="Arial"/>
        </w:rPr>
        <w:t>esource chooses to switch from one type t</w:t>
      </w:r>
      <w:r w:rsidR="009D507A">
        <w:rPr>
          <w:rFonts w:cs="Arial"/>
        </w:rPr>
        <w:t xml:space="preserve">o another, they must notify </w:t>
      </w:r>
      <w:r w:rsidRPr="009C0623">
        <w:rPr>
          <w:rFonts w:cs="Arial"/>
        </w:rPr>
        <w:t>CAISO and complete the associated pieces of</w:t>
      </w:r>
      <w:r w:rsidR="00C52AC7">
        <w:rPr>
          <w:rFonts w:cs="Arial"/>
        </w:rPr>
        <w:t xml:space="preserve"> the</w:t>
      </w:r>
      <w:r w:rsidRPr="009C0623">
        <w:rPr>
          <w:rFonts w:cs="Arial"/>
        </w:rPr>
        <w:t xml:space="preserve"> </w:t>
      </w:r>
      <w:r w:rsidRPr="00C52AC7">
        <w:rPr>
          <w:rFonts w:cs="Arial"/>
          <w:i/>
        </w:rPr>
        <w:t>New Resource Interconnection Process</w:t>
      </w:r>
      <w:r w:rsidRPr="009C0623">
        <w:rPr>
          <w:rFonts w:cs="Arial"/>
        </w:rPr>
        <w:t>.</w:t>
      </w:r>
      <w:r w:rsidR="00D211BF">
        <w:rPr>
          <w:rFonts w:cs="Arial"/>
        </w:rPr>
        <w:t xml:space="preserve"> </w:t>
      </w:r>
    </w:p>
    <w:p w14:paraId="0E1EA80B" w14:textId="734496E3" w:rsidR="00D211BF" w:rsidRPr="00CC2A05" w:rsidRDefault="00D211BF" w:rsidP="00D211BF">
      <w:pPr>
        <w:spacing w:line="480" w:lineRule="auto"/>
        <w:rPr>
          <w:rFonts w:cs="Arial"/>
        </w:rPr>
      </w:pPr>
      <w:r w:rsidRPr="00CC2A05">
        <w:rPr>
          <w:rFonts w:cs="Arial"/>
        </w:rPr>
        <w:t xml:space="preserve">For Scheduling Coordinator Metered Entities that were not participating as such before </w:t>
      </w:r>
      <w:r w:rsidR="00D1116E">
        <w:rPr>
          <w:rFonts w:cs="Arial"/>
        </w:rPr>
        <w:t>April 10, 2017</w:t>
      </w:r>
      <w:r w:rsidRPr="00CC2A05">
        <w:rPr>
          <w:rFonts w:cs="Arial"/>
        </w:rPr>
        <w:t xml:space="preserve">, or that repower, modify their Meter Data interval, or add generating capacity after </w:t>
      </w:r>
      <w:r w:rsidR="00D1116E">
        <w:rPr>
          <w:rFonts w:cs="Arial"/>
        </w:rPr>
        <w:t>April 10</w:t>
      </w:r>
      <w:r w:rsidR="00D1116E" w:rsidRPr="00D1116E">
        <w:rPr>
          <w:rFonts w:cs="Arial"/>
          <w:color w:val="000000" w:themeColor="text1"/>
        </w:rPr>
        <w:t>, 2017,</w:t>
      </w:r>
      <w:r w:rsidRPr="00D1116E">
        <w:rPr>
          <w:rFonts w:cs="Arial"/>
          <w:color w:val="000000" w:themeColor="text1"/>
        </w:rPr>
        <w:t xml:space="preserve"> </w:t>
      </w:r>
      <w:r w:rsidRPr="00CC2A05">
        <w:rPr>
          <w:rFonts w:cs="Arial"/>
        </w:rPr>
        <w:t xml:space="preserve">Scheduling Coordinators must submit an SQMD Plan to ensure that the Scheduling Coordinator will submit and maintain the integrity of Meter Data submitted to the CAISO for that Scheduling Coordinator Metered Entity.  The SQMD Plan will describe how the Scheduling Coordinator will collect, maintain, aggregate, and submit Settlement Quality Meter Data in accordance with CAISO Tariff and, where </w:t>
      </w:r>
      <w:r w:rsidRPr="00CC2A05">
        <w:rPr>
          <w:rFonts w:cs="Arial"/>
        </w:rPr>
        <w:lastRenderedPageBreak/>
        <w:t>applicable, Local Regulatory Authority metering and settlement standards.  SQMD Plans will include detailed descriptions of the following, as applicable, for each Scheduling Coordinator Metered Entity or Scheduling Coordinator Metered Entity aggregation or calculation:</w:t>
      </w:r>
    </w:p>
    <w:p w14:paraId="49216033"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The type, programming, and configuration of all associated metering devices;</w:t>
      </w:r>
    </w:p>
    <w:p w14:paraId="207452D4"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How the Scheduling Coordinator or its agent will collect, validate, aggregate, and submit associated Meter Data;</w:t>
      </w:r>
    </w:p>
    <w:p w14:paraId="299A61BD"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Single-line diagrams with professional engineer stamps (or equivalent) depicting the physical elements and relationships among the metering device(s);</w:t>
      </w:r>
    </w:p>
    <w:p w14:paraId="22A45785"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 xml:space="preserve">Any calculation or algorithm to derive Settlement Quality Meter Data from the metering device(s); </w:t>
      </w:r>
    </w:p>
    <w:p w14:paraId="15BE4437"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Processes for aggregating individual Scheduling Coordinator Metered Entities and Resource IDs; and</w:t>
      </w:r>
    </w:p>
    <w:p w14:paraId="3F4B9C9D" w14:textId="77777777" w:rsidR="00D211BF" w:rsidRPr="00CC2A05" w:rsidRDefault="00D211BF" w:rsidP="000F0531">
      <w:pPr>
        <w:pStyle w:val="ListParagraph"/>
        <w:numPr>
          <w:ilvl w:val="0"/>
          <w:numId w:val="75"/>
        </w:numPr>
        <w:spacing w:after="0" w:line="480" w:lineRule="auto"/>
        <w:rPr>
          <w:rFonts w:cs="Arial"/>
        </w:rPr>
      </w:pPr>
      <w:r w:rsidRPr="00CC2A05">
        <w:rPr>
          <w:rFonts w:cs="Arial"/>
        </w:rPr>
        <w:t>Plans and schedules to perform regular tests of the metering devices and audit the associated Meter Data pursuant to CAISO Tariff requirements.</w:t>
      </w:r>
    </w:p>
    <w:p w14:paraId="52C41A6F" w14:textId="77777777" w:rsidR="00D211BF" w:rsidRDefault="00D211BF" w:rsidP="00D211BF">
      <w:pPr>
        <w:spacing w:line="480" w:lineRule="auto"/>
        <w:rPr>
          <w:rFonts w:cs="Arial"/>
        </w:rPr>
      </w:pPr>
      <w:r w:rsidRPr="00CC2A05">
        <w:rPr>
          <w:rFonts w:cs="Arial"/>
        </w:rPr>
        <w:t>Proxy Demand Resources and Reliability Demand Response Resources may satisfy their SQMD Plan requirements through the demand response registration process.</w:t>
      </w:r>
    </w:p>
    <w:p w14:paraId="065866BC" w14:textId="180572CE" w:rsidR="00AE5C0A" w:rsidRDefault="00697F70" w:rsidP="00B8115B">
      <w:pPr>
        <w:spacing w:after="240" w:line="300" w:lineRule="auto"/>
        <w:rPr>
          <w:rFonts w:cs="Arial"/>
        </w:rPr>
      </w:pPr>
      <w:r w:rsidRPr="009C0623">
        <w:rPr>
          <w:rFonts w:cs="Arial"/>
        </w:rPr>
        <w:t xml:space="preserve">With the exception of </w:t>
      </w:r>
      <w:r w:rsidR="00AD5840">
        <w:rPr>
          <w:rFonts w:cs="Arial"/>
        </w:rPr>
        <w:t>S</w:t>
      </w:r>
      <w:r w:rsidRPr="009C0623">
        <w:rPr>
          <w:rFonts w:cs="Arial"/>
        </w:rPr>
        <w:t xml:space="preserve">ection 9.2, no other portion of the metering configurations listed in </w:t>
      </w:r>
      <w:r w:rsidR="00011A8A">
        <w:rPr>
          <w:rFonts w:cs="Arial"/>
        </w:rPr>
        <w:t>S</w:t>
      </w:r>
      <w:r w:rsidRPr="009C0623">
        <w:rPr>
          <w:rFonts w:cs="Arial"/>
        </w:rPr>
        <w:t>ections 9, 10,</w:t>
      </w:r>
      <w:r w:rsidR="0081599F">
        <w:rPr>
          <w:rFonts w:cs="Arial"/>
        </w:rPr>
        <w:t xml:space="preserve"> or</w:t>
      </w:r>
      <w:r w:rsidRPr="009C0623">
        <w:rPr>
          <w:rFonts w:cs="Arial"/>
        </w:rPr>
        <w:t xml:space="preserve"> 11</w:t>
      </w:r>
      <w:r w:rsidR="00F07A6B">
        <w:rPr>
          <w:rFonts w:cs="Arial"/>
        </w:rPr>
        <w:t>,</w:t>
      </w:r>
      <w:r w:rsidRPr="009C0623">
        <w:rPr>
          <w:rFonts w:cs="Arial"/>
        </w:rPr>
        <w:t xml:space="preserve"> of the </w:t>
      </w:r>
      <w:hyperlink r:id="rId154" w:history="1">
        <w:r w:rsidR="00A21E2E" w:rsidRPr="009C0623">
          <w:rPr>
            <w:rStyle w:val="Hyperlink"/>
            <w:rFonts w:cs="Arial"/>
            <w:b/>
            <w:bCs/>
          </w:rPr>
          <w:t>BPM for Metering</w:t>
        </w:r>
      </w:hyperlink>
      <w:r w:rsidR="00A21E2E">
        <w:rPr>
          <w:rFonts w:cs="Arial"/>
          <w:b/>
          <w:bCs/>
        </w:rPr>
        <w:t xml:space="preserve"> </w:t>
      </w:r>
      <w:r w:rsidRPr="009C0623">
        <w:rPr>
          <w:rFonts w:cs="Arial"/>
        </w:rPr>
        <w:t>is currently available to EIM participants.</w:t>
      </w:r>
    </w:p>
    <w:p w14:paraId="0869F69E" w14:textId="62CF864D" w:rsidR="003124A9" w:rsidRPr="00877DDB" w:rsidRDefault="003124A9" w:rsidP="003124A9">
      <w:pPr>
        <w:pStyle w:val="Default"/>
        <w:spacing w:after="240" w:line="300" w:lineRule="auto"/>
        <w:jc w:val="both"/>
        <w:rPr>
          <w:rFonts w:asciiTheme="minorHAnsi" w:eastAsiaTheme="minorHAnsi" w:hAnsiTheme="minorHAnsi"/>
          <w:color w:val="auto"/>
          <w:sz w:val="22"/>
          <w:szCs w:val="22"/>
        </w:rPr>
      </w:pPr>
      <w:r w:rsidRPr="00877DDB">
        <w:rPr>
          <w:rFonts w:asciiTheme="minorHAnsi" w:eastAsiaTheme="minorHAnsi" w:hAnsiTheme="minorHAnsi"/>
          <w:color w:val="auto"/>
          <w:sz w:val="22"/>
          <w:szCs w:val="22"/>
        </w:rPr>
        <w:t>All Scheduling Coordinators and other entities submitting meter data related to EIM resources for either generation not associated with Ancillary Services, interties, or load, m</w:t>
      </w:r>
      <w:r w:rsidR="00D211BF">
        <w:rPr>
          <w:rFonts w:asciiTheme="minorHAnsi" w:eastAsiaTheme="minorHAnsi" w:hAnsiTheme="minorHAnsi"/>
          <w:color w:val="auto"/>
          <w:sz w:val="22"/>
          <w:szCs w:val="22"/>
        </w:rPr>
        <w:t>ust</w:t>
      </w:r>
      <w:r w:rsidRPr="00877DDB">
        <w:rPr>
          <w:rFonts w:asciiTheme="minorHAnsi" w:eastAsiaTheme="minorHAnsi" w:hAnsiTheme="minorHAnsi"/>
          <w:color w:val="auto"/>
          <w:sz w:val="22"/>
          <w:szCs w:val="22"/>
        </w:rPr>
        <w:t xml:space="preserve"> submit meter data in the following granularity levels </w:t>
      </w:r>
      <w:r w:rsidR="00D211BF">
        <w:rPr>
          <w:rFonts w:asciiTheme="minorHAnsi" w:eastAsiaTheme="minorHAnsi" w:hAnsiTheme="minorHAnsi"/>
          <w:color w:val="auto"/>
          <w:sz w:val="22"/>
          <w:szCs w:val="22"/>
        </w:rPr>
        <w:t>as</w:t>
      </w:r>
      <w:r w:rsidRPr="00877DDB">
        <w:rPr>
          <w:rFonts w:asciiTheme="minorHAnsi" w:eastAsiaTheme="minorHAnsi" w:hAnsiTheme="minorHAnsi"/>
          <w:color w:val="auto"/>
          <w:sz w:val="22"/>
          <w:szCs w:val="22"/>
        </w:rPr>
        <w:t xml:space="preserve"> stated in section 10.3.2.2 of the CAISO Tariff: </w:t>
      </w:r>
    </w:p>
    <w:p w14:paraId="6426C757" w14:textId="147047A9" w:rsidR="003124A9" w:rsidRPr="00877DDB" w:rsidRDefault="003124A9" w:rsidP="000F0531">
      <w:pPr>
        <w:pStyle w:val="Default"/>
        <w:numPr>
          <w:ilvl w:val="0"/>
          <w:numId w:val="53"/>
        </w:numPr>
        <w:spacing w:after="240" w:line="300" w:lineRule="auto"/>
        <w:jc w:val="both"/>
        <w:rPr>
          <w:rFonts w:asciiTheme="minorHAnsi" w:eastAsiaTheme="minorHAnsi" w:hAnsiTheme="minorHAnsi"/>
          <w:color w:val="auto"/>
          <w:sz w:val="22"/>
          <w:szCs w:val="22"/>
        </w:rPr>
      </w:pPr>
      <w:r w:rsidRPr="00877DDB">
        <w:rPr>
          <w:rFonts w:asciiTheme="minorHAnsi" w:eastAsiaTheme="minorHAnsi" w:hAnsiTheme="minorHAnsi"/>
          <w:color w:val="auto"/>
          <w:sz w:val="22"/>
          <w:szCs w:val="22"/>
        </w:rPr>
        <w:t>Generation for participating generators at 5</w:t>
      </w:r>
      <w:r w:rsidR="00AE23C6">
        <w:rPr>
          <w:rFonts w:asciiTheme="minorHAnsi" w:eastAsiaTheme="minorHAnsi" w:hAnsiTheme="minorHAnsi"/>
          <w:color w:val="auto"/>
          <w:sz w:val="22"/>
          <w:szCs w:val="22"/>
        </w:rPr>
        <w:t xml:space="preserve"> or 15</w:t>
      </w:r>
      <w:r w:rsidRPr="00877DDB">
        <w:rPr>
          <w:rFonts w:asciiTheme="minorHAnsi" w:eastAsiaTheme="minorHAnsi" w:hAnsiTheme="minorHAnsi"/>
          <w:color w:val="auto"/>
          <w:sz w:val="22"/>
          <w:szCs w:val="22"/>
        </w:rPr>
        <w:t xml:space="preserve">-minute intervals; non-participating generators at 5, 15 or 60-minute intervals. </w:t>
      </w:r>
    </w:p>
    <w:p w14:paraId="3EBA3A6F" w14:textId="77777777" w:rsidR="003124A9" w:rsidRPr="00877DDB" w:rsidRDefault="003124A9" w:rsidP="000F0531">
      <w:pPr>
        <w:pStyle w:val="Default"/>
        <w:numPr>
          <w:ilvl w:val="0"/>
          <w:numId w:val="53"/>
        </w:numPr>
        <w:spacing w:after="240" w:line="300" w:lineRule="auto"/>
        <w:jc w:val="both"/>
        <w:rPr>
          <w:rFonts w:asciiTheme="minorHAnsi" w:eastAsiaTheme="minorHAnsi" w:hAnsiTheme="minorHAnsi"/>
          <w:color w:val="auto"/>
          <w:sz w:val="22"/>
          <w:szCs w:val="22"/>
        </w:rPr>
      </w:pPr>
      <w:r w:rsidRPr="00877DDB">
        <w:rPr>
          <w:rFonts w:asciiTheme="minorHAnsi" w:eastAsiaTheme="minorHAnsi" w:hAnsiTheme="minorHAnsi"/>
          <w:color w:val="auto"/>
          <w:sz w:val="22"/>
          <w:szCs w:val="22"/>
        </w:rPr>
        <w:t>Interties at 5-minute intervals.</w:t>
      </w:r>
    </w:p>
    <w:p w14:paraId="09608866" w14:textId="77777777" w:rsidR="003124A9" w:rsidRDefault="003124A9" w:rsidP="000F0531">
      <w:pPr>
        <w:pStyle w:val="Default"/>
        <w:numPr>
          <w:ilvl w:val="0"/>
          <w:numId w:val="53"/>
        </w:numPr>
        <w:spacing w:after="240" w:line="300" w:lineRule="auto"/>
        <w:jc w:val="both"/>
        <w:rPr>
          <w:color w:val="000000" w:themeColor="text1"/>
          <w:sz w:val="22"/>
          <w:szCs w:val="22"/>
        </w:rPr>
      </w:pPr>
      <w:r w:rsidRPr="00877DDB">
        <w:rPr>
          <w:rFonts w:asciiTheme="minorHAnsi" w:eastAsiaTheme="minorHAnsi" w:hAnsiTheme="minorHAnsi"/>
          <w:color w:val="auto"/>
          <w:sz w:val="22"/>
          <w:szCs w:val="22"/>
        </w:rPr>
        <w:lastRenderedPageBreak/>
        <w:t xml:space="preserve">Load at 5, 15 or 60-minute intervals. </w:t>
      </w:r>
      <w:r>
        <w:rPr>
          <w:color w:val="000000" w:themeColor="text1"/>
          <w:sz w:val="22"/>
          <w:szCs w:val="22"/>
        </w:rPr>
        <w:t xml:space="preserve"> </w:t>
      </w:r>
    </w:p>
    <w:p w14:paraId="575D5CE3" w14:textId="77777777" w:rsidR="00326CC6" w:rsidRPr="00B8115B" w:rsidRDefault="00326CC6" w:rsidP="00B8115B">
      <w:pPr>
        <w:spacing w:after="240" w:line="300" w:lineRule="auto"/>
        <w:rPr>
          <w:rFonts w:cs="Arial"/>
        </w:rPr>
      </w:pPr>
    </w:p>
    <w:p w14:paraId="33C15445" w14:textId="77777777" w:rsidR="002E46E9" w:rsidRDefault="002E46E9" w:rsidP="002E46E9">
      <w:pPr>
        <w:pStyle w:val="Heading1"/>
      </w:pPr>
      <w:bookmarkStart w:id="63" w:name="_Toc388005948"/>
      <w:bookmarkStart w:id="64" w:name="_Toc388006295"/>
      <w:bookmarkStart w:id="65" w:name="_Toc388019347"/>
      <w:bookmarkStart w:id="66" w:name="_Toc388019838"/>
      <w:bookmarkStart w:id="67" w:name="_Toc389662574"/>
      <w:bookmarkStart w:id="68" w:name="_Toc390946259"/>
      <w:bookmarkStart w:id="69" w:name="_Toc391969820"/>
      <w:bookmarkStart w:id="70" w:name="_Toc20384084"/>
      <w:bookmarkEnd w:id="63"/>
      <w:bookmarkEnd w:id="64"/>
      <w:bookmarkEnd w:id="65"/>
      <w:bookmarkEnd w:id="66"/>
      <w:r>
        <w:t>TELEMETRY</w:t>
      </w:r>
      <w:bookmarkEnd w:id="67"/>
      <w:bookmarkEnd w:id="68"/>
      <w:bookmarkEnd w:id="69"/>
      <w:bookmarkEnd w:id="70"/>
    </w:p>
    <w:p w14:paraId="1ACAB2CF" w14:textId="77777777" w:rsidR="003124A9" w:rsidRDefault="003124A9" w:rsidP="003124A9">
      <w:pPr>
        <w:spacing w:after="240" w:line="300" w:lineRule="auto"/>
      </w:pPr>
      <w:r>
        <w:t xml:space="preserve">Welcome to the </w:t>
      </w:r>
      <w:r w:rsidRPr="00080EC0">
        <w:rPr>
          <w:i/>
        </w:rPr>
        <w:t>Telemetry</w:t>
      </w:r>
      <w:r>
        <w:t xml:space="preserve"> section of the CAISO </w:t>
      </w:r>
      <w:r w:rsidRPr="00FA595A">
        <w:rPr>
          <w:i/>
        </w:rPr>
        <w:t>BPM for the Energy Imbalance Market.</w:t>
      </w:r>
      <w:r>
        <w:t xml:space="preserve"> In this section you will find the following information:</w:t>
      </w:r>
    </w:p>
    <w:p w14:paraId="6D3A7D92" w14:textId="77777777" w:rsidR="003124A9" w:rsidRDefault="003124A9" w:rsidP="000F0531">
      <w:pPr>
        <w:pStyle w:val="ListParagraph"/>
        <w:numPr>
          <w:ilvl w:val="0"/>
          <w:numId w:val="39"/>
        </w:numPr>
        <w:ind w:left="778"/>
      </w:pPr>
      <w:r>
        <w:t xml:space="preserve">Summary of telemetry requirements and the transfer of telemetry information for the CAISO markets as it relates to the EIM.  </w:t>
      </w:r>
    </w:p>
    <w:p w14:paraId="77F04A17" w14:textId="75BB562D" w:rsidR="003124A9" w:rsidRDefault="003124A9" w:rsidP="003124A9">
      <w:pPr>
        <w:spacing w:after="240" w:line="300" w:lineRule="auto"/>
      </w:pPr>
      <w:r>
        <w:t xml:space="preserve">CAISO has specific requirements regarding the transfer of telemetry information for the CAISO markets. EIM entity is required to send </w:t>
      </w:r>
      <w:r w:rsidR="00BE02D8">
        <w:t>CA</w:t>
      </w:r>
      <w:r>
        <w:t xml:space="preserve">ISO </w:t>
      </w:r>
      <w:r w:rsidR="004716B4">
        <w:rPr>
          <w:rFonts w:eastAsia="Calibri"/>
        </w:rPr>
        <w:t>Common Information Model (CIM)</w:t>
      </w:r>
      <w:r>
        <w:t xml:space="preserve"> 15 compliant full network model with associated SCADA measurements. EIM entity will send real time telemetry using ICCP (</w:t>
      </w:r>
      <w:r w:rsidRPr="00B06DE4">
        <w:t xml:space="preserve">Inter-Control Center Communications </w:t>
      </w:r>
      <w:r>
        <w:t xml:space="preserve">Protocol) to run power flow, state estimation and market applications. </w:t>
      </w:r>
      <w:r w:rsidR="00BE02D8">
        <w:t>CA</w:t>
      </w:r>
      <w:r>
        <w:t>ISO may require other SCADA measurements that are not related to network model using ICCP such as flow gate limits or aggregate generation.</w:t>
      </w:r>
    </w:p>
    <w:p w14:paraId="58573E87" w14:textId="77777777" w:rsidR="003124A9" w:rsidRDefault="003124A9" w:rsidP="003124A9">
      <w:pPr>
        <w:spacing w:after="240" w:line="300" w:lineRule="auto"/>
      </w:pPr>
      <w:r>
        <w:t xml:space="preserve">ICCP is </w:t>
      </w:r>
      <w:r w:rsidRPr="00B06DE4">
        <w:t>industry standardized communication protocol but does not eliminate the need for a direct Energy Communication Network</w:t>
      </w:r>
      <w:r w:rsidRPr="00D80D9E">
        <w:t xml:space="preserve"> (</w:t>
      </w:r>
      <w:r w:rsidRPr="00B06DE4">
        <w:t>ECN) connectivity</w:t>
      </w:r>
      <w:r>
        <w:t>.</w:t>
      </w:r>
    </w:p>
    <w:p w14:paraId="2606A9B8" w14:textId="77777777" w:rsidR="003124A9" w:rsidRDefault="003124A9" w:rsidP="003124A9">
      <w:pPr>
        <w:spacing w:after="240" w:line="300" w:lineRule="auto"/>
      </w:pPr>
      <w:r w:rsidRPr="00B06DE4">
        <w:t xml:space="preserve">All other information security requirements remain effective as set forth in </w:t>
      </w:r>
      <w:r w:rsidRPr="00A30810">
        <w:rPr>
          <w:i/>
        </w:rPr>
        <w:t>CAISO Information Security Requirements for the ECN</w:t>
      </w:r>
    </w:p>
    <w:p w14:paraId="68A9C82A" w14:textId="77777777" w:rsidR="003124A9" w:rsidRDefault="003124A9" w:rsidP="003124A9">
      <w:pPr>
        <w:spacing w:after="80" w:line="300" w:lineRule="auto"/>
      </w:pPr>
      <w:r>
        <w:t xml:space="preserve">If additional requirements are required and agreed to between CAISO and an EIM Entity, a schedule of implementation of the additional requirements will be agreed to as well.  </w:t>
      </w:r>
    </w:p>
    <w:p w14:paraId="5470E8AB" w14:textId="77777777" w:rsidR="00326CC6" w:rsidRPr="00D915AB" w:rsidRDefault="00326CC6" w:rsidP="00B46B90">
      <w:pPr>
        <w:spacing w:after="240" w:line="300" w:lineRule="auto"/>
        <w:rPr>
          <w:rFonts w:cs="Arial"/>
        </w:rPr>
      </w:pPr>
    </w:p>
    <w:p w14:paraId="0A9ADA2A" w14:textId="77777777" w:rsidR="002E46E9" w:rsidRDefault="002E46E9" w:rsidP="002E46E9">
      <w:pPr>
        <w:pStyle w:val="Heading1"/>
      </w:pPr>
      <w:bookmarkStart w:id="71" w:name="_Toc389662575"/>
      <w:bookmarkStart w:id="72" w:name="_Toc390946261"/>
      <w:bookmarkStart w:id="73" w:name="_Toc391969822"/>
      <w:bookmarkStart w:id="74" w:name="_Toc20384085"/>
      <w:r>
        <w:t>OUTAGE MANAGEMENT</w:t>
      </w:r>
      <w:bookmarkEnd w:id="71"/>
      <w:bookmarkEnd w:id="72"/>
      <w:bookmarkEnd w:id="73"/>
      <w:bookmarkEnd w:id="74"/>
    </w:p>
    <w:p w14:paraId="71B04244" w14:textId="77777777" w:rsidR="00A14EC4" w:rsidRDefault="00A14EC4" w:rsidP="009044EA">
      <w:pPr>
        <w:pStyle w:val="ParaText"/>
      </w:pPr>
      <w:r>
        <w:t xml:space="preserve">Welcome to </w:t>
      </w:r>
      <w:r w:rsidR="00904B33">
        <w:t>t</w:t>
      </w:r>
      <w:r w:rsidR="0034497A">
        <w:t xml:space="preserve">he </w:t>
      </w:r>
      <w:r w:rsidR="0034497A" w:rsidRPr="00644ACB">
        <w:rPr>
          <w:i/>
        </w:rPr>
        <w:t>Outage Management</w:t>
      </w:r>
      <w:r w:rsidR="0034497A">
        <w:t xml:space="preserve"> section</w:t>
      </w:r>
      <w:r w:rsidR="00904B33">
        <w:t xml:space="preserve"> of th</w:t>
      </w:r>
      <w:r>
        <w:t>e CAISO</w:t>
      </w:r>
      <w:r w:rsidR="00904B33">
        <w:t xml:space="preserve"> BPM</w:t>
      </w:r>
      <w:r>
        <w:t xml:space="preserve"> for the Energy Imbalance Market.</w:t>
      </w:r>
      <w:r w:rsidR="00904B33">
        <w:t xml:space="preserve"> </w:t>
      </w:r>
      <w:r>
        <w:t xml:space="preserve">In this section </w:t>
      </w:r>
      <w:r w:rsidR="00904B33">
        <w:t xml:space="preserve">you will find </w:t>
      </w:r>
      <w:r>
        <w:t xml:space="preserve">the following </w:t>
      </w:r>
      <w:r w:rsidR="00904B33">
        <w:t>information</w:t>
      </w:r>
      <w:r>
        <w:t>:</w:t>
      </w:r>
    </w:p>
    <w:p w14:paraId="11EB0FB6" w14:textId="77777777" w:rsidR="0034497A" w:rsidRDefault="00A14EC4" w:rsidP="000F0531">
      <w:pPr>
        <w:pStyle w:val="ParaText"/>
        <w:numPr>
          <w:ilvl w:val="0"/>
          <w:numId w:val="39"/>
        </w:numPr>
        <w:spacing w:after="160" w:line="259" w:lineRule="auto"/>
        <w:ind w:left="778"/>
      </w:pPr>
      <w:r>
        <w:t>Summary</w:t>
      </w:r>
      <w:r w:rsidR="009A0DB0">
        <w:t xml:space="preserve"> of </w:t>
      </w:r>
      <w:r w:rsidR="00904B33">
        <w:t>the</w:t>
      </w:r>
      <w:r w:rsidR="00644ACB">
        <w:t xml:space="preserve"> Outage Management</w:t>
      </w:r>
      <w:r w:rsidR="00904B33">
        <w:t xml:space="preserve"> process</w:t>
      </w:r>
      <w:r w:rsidR="00172436">
        <w:t xml:space="preserve"> within the framework of the Energy Imbalance Market</w:t>
      </w:r>
      <w:r w:rsidR="00644ACB">
        <w:t xml:space="preserve">.  </w:t>
      </w:r>
    </w:p>
    <w:p w14:paraId="01C666E7" w14:textId="23D6B78A" w:rsidR="009044EA" w:rsidRDefault="00705653" w:rsidP="00FA595A">
      <w:pPr>
        <w:pStyle w:val="ParaText"/>
        <w:spacing w:after="80"/>
      </w:pPr>
      <w:r>
        <w:t xml:space="preserve"> </w:t>
      </w:r>
      <w:r w:rsidR="0034497A">
        <w:t>CAISO will implement transmission and Generation Outages approved by the EIM Entity through the Day-Ahead Market process</w:t>
      </w:r>
      <w:r w:rsidR="009A0DB0">
        <w:t xml:space="preserve">. </w:t>
      </w:r>
      <w:r w:rsidR="0034497A">
        <w:t xml:space="preserve"> </w:t>
      </w:r>
      <w:r w:rsidR="009A0DB0">
        <w:t>CAISO</w:t>
      </w:r>
      <w:r w:rsidR="0034497A">
        <w:t xml:space="preserve"> will </w:t>
      </w:r>
      <w:r w:rsidR="009A0DB0">
        <w:t xml:space="preserve">also </w:t>
      </w:r>
      <w:r w:rsidR="0034497A">
        <w:t xml:space="preserve">inform the EIM Entity Scheduling Coordinator of any anticipated overloads.  The EIM Entity shall be responsible for performing engineering studies, </w:t>
      </w:r>
      <w:r w:rsidR="0034497A">
        <w:lastRenderedPageBreak/>
        <w:t xml:space="preserve">modeling, and approving Outages on transmission and generation facilities within the EIM Entity Balancing Authority Area.  The EIM Entity will then submit the approved outages into the CAISO </w:t>
      </w:r>
      <w:r w:rsidR="00B722C6">
        <w:t>o</w:t>
      </w:r>
      <w:r w:rsidR="0034497A">
        <w:t xml:space="preserve">utage </w:t>
      </w:r>
      <w:r w:rsidR="00B722C6">
        <w:t>m</w:t>
      </w:r>
      <w:r w:rsidR="0034497A">
        <w:t xml:space="preserve">anagement </w:t>
      </w:r>
      <w:r w:rsidR="00B722C6">
        <w:t>s</w:t>
      </w:r>
      <w:r w:rsidR="0034497A">
        <w:t xml:space="preserve">ystem. </w:t>
      </w:r>
      <w:r w:rsidR="00FB45EB">
        <w:t xml:space="preserve"> </w:t>
      </w:r>
      <w:r w:rsidR="007A5EFD">
        <w:t>CAISO will not evaluate or approve any outages submitted by the EIM Entity.</w:t>
      </w:r>
      <w:r w:rsidR="0034497A">
        <w:t xml:space="preserve"> </w:t>
      </w:r>
    </w:p>
    <w:p w14:paraId="33665EB8" w14:textId="77777777" w:rsidR="005869D0" w:rsidRPr="009044EA" w:rsidRDefault="005869D0" w:rsidP="00FA595A">
      <w:pPr>
        <w:pStyle w:val="ParaText"/>
        <w:spacing w:after="80"/>
      </w:pPr>
    </w:p>
    <w:p w14:paraId="794C9887" w14:textId="77777777" w:rsidR="0090317F" w:rsidRPr="0090317F" w:rsidRDefault="0090317F" w:rsidP="00FA595A">
      <w:pPr>
        <w:pStyle w:val="Heading2"/>
        <w:spacing w:after="80" w:line="300" w:lineRule="auto"/>
      </w:pPr>
      <w:bookmarkStart w:id="75" w:name="_Toc389662576"/>
      <w:bookmarkStart w:id="76" w:name="_Toc390946262"/>
      <w:bookmarkStart w:id="77" w:name="_Toc391969823"/>
      <w:bookmarkStart w:id="78" w:name="_Toc20384086"/>
      <w:r>
        <w:t>Objectives, Roles, Scope, and Participants</w:t>
      </w:r>
      <w:bookmarkEnd w:id="75"/>
      <w:bookmarkEnd w:id="76"/>
      <w:bookmarkEnd w:id="77"/>
      <w:bookmarkEnd w:id="78"/>
    </w:p>
    <w:p w14:paraId="0A84622A" w14:textId="77777777" w:rsidR="006C077D" w:rsidRPr="006C077D" w:rsidRDefault="006C077D" w:rsidP="00FA595A">
      <w:pPr>
        <w:pStyle w:val="Heading3"/>
        <w:spacing w:after="80" w:line="300" w:lineRule="auto"/>
      </w:pPr>
      <w:bookmarkStart w:id="79" w:name="_Toc389662577"/>
      <w:bookmarkStart w:id="80" w:name="_Toc390946263"/>
      <w:bookmarkStart w:id="81" w:name="_Toc391969824"/>
      <w:bookmarkStart w:id="82" w:name="_Toc20384087"/>
      <w:r>
        <w:t>Outage Management Objective</w:t>
      </w:r>
      <w:bookmarkEnd w:id="79"/>
      <w:bookmarkEnd w:id="80"/>
      <w:bookmarkEnd w:id="81"/>
      <w:bookmarkEnd w:id="82"/>
    </w:p>
    <w:p w14:paraId="13B6A71F" w14:textId="77777777" w:rsidR="006C077D" w:rsidRDefault="006C077D" w:rsidP="00FA595A">
      <w:pPr>
        <w:spacing w:after="80" w:line="300" w:lineRule="auto"/>
      </w:pPr>
      <w:r>
        <w:t xml:space="preserve">The objective of the CAISO business processes related to Outage Management for EIM </w:t>
      </w:r>
      <w:r w:rsidR="00450F1E">
        <w:t>E</w:t>
      </w:r>
      <w:r>
        <w:t xml:space="preserve">ntities is to reflect outage information in the CAISO </w:t>
      </w:r>
      <w:r w:rsidR="00881292">
        <w:t>m</w:t>
      </w:r>
      <w:r>
        <w:t>arkets as soon as possible</w:t>
      </w:r>
      <w:r w:rsidR="00D5695C">
        <w:t xml:space="preserve"> in order</w:t>
      </w:r>
      <w:r>
        <w:t xml:space="preserve"> to allow </w:t>
      </w:r>
      <w:r w:rsidR="00D5695C">
        <w:t xml:space="preserve">the </w:t>
      </w:r>
      <w:r>
        <w:t xml:space="preserve">EIM to </w:t>
      </w:r>
      <w:r w:rsidR="00450F1E">
        <w:t>accurately reflect their operations in</w:t>
      </w:r>
      <w:r>
        <w:t xml:space="preserve"> the market results. </w:t>
      </w:r>
      <w:r w:rsidR="000127CC">
        <w:t xml:space="preserve"> EIM E</w:t>
      </w:r>
      <w:r w:rsidR="002D59D5">
        <w:t>ntity approved O</w:t>
      </w:r>
      <w:r w:rsidR="00D50B78">
        <w:t xml:space="preserve">utages must be consistent with the Full Network Model. </w:t>
      </w:r>
    </w:p>
    <w:p w14:paraId="61361D23" w14:textId="77777777" w:rsidR="005869D0" w:rsidRDefault="005869D0" w:rsidP="00FA595A">
      <w:pPr>
        <w:spacing w:after="80" w:line="300" w:lineRule="auto"/>
      </w:pPr>
    </w:p>
    <w:p w14:paraId="7408AF7D" w14:textId="77777777" w:rsidR="00793BA2" w:rsidRDefault="006C077D" w:rsidP="00FA595A">
      <w:pPr>
        <w:pStyle w:val="Heading3"/>
        <w:spacing w:after="80" w:line="300" w:lineRule="auto"/>
      </w:pPr>
      <w:bookmarkStart w:id="83" w:name="_Toc389662578"/>
      <w:bookmarkStart w:id="84" w:name="_Toc390946264"/>
      <w:bookmarkStart w:id="85" w:name="_Toc391969825"/>
      <w:bookmarkStart w:id="86" w:name="_Toc20384088"/>
      <w:r>
        <w:t>CAISO Role</w:t>
      </w:r>
      <w:bookmarkEnd w:id="83"/>
      <w:bookmarkEnd w:id="84"/>
      <w:bookmarkEnd w:id="85"/>
      <w:bookmarkEnd w:id="86"/>
      <w:r>
        <w:t xml:space="preserve">  </w:t>
      </w:r>
    </w:p>
    <w:p w14:paraId="0C413E35" w14:textId="32ECB517" w:rsidR="006566B0" w:rsidRDefault="006C077D" w:rsidP="00FA595A">
      <w:pPr>
        <w:spacing w:after="80" w:line="300" w:lineRule="auto"/>
      </w:pPr>
      <w:r>
        <w:t>CAISO’s role in the Outage Management business pr</w:t>
      </w:r>
      <w:r w:rsidR="008B53E8">
        <w:t xml:space="preserve">ocess for EIM is to provide an </w:t>
      </w:r>
      <w:r w:rsidR="00B722C6">
        <w:t>o</w:t>
      </w:r>
      <w:r w:rsidR="008B53E8">
        <w:t xml:space="preserve">utage </w:t>
      </w:r>
      <w:r w:rsidR="00B722C6">
        <w:t>m</w:t>
      </w:r>
      <w:r w:rsidR="008B53E8">
        <w:t xml:space="preserve">anagement </w:t>
      </w:r>
      <w:r w:rsidR="00B722C6">
        <w:t>s</w:t>
      </w:r>
      <w:r>
        <w:t xml:space="preserve">ystem to allow </w:t>
      </w:r>
      <w:r w:rsidR="00A2065D">
        <w:t>t</w:t>
      </w:r>
      <w:r w:rsidR="00A2065D" w:rsidRPr="00DD49CC">
        <w:t xml:space="preserve">he EIM Entity Scheduling Coordinator </w:t>
      </w:r>
      <w:r w:rsidR="00A2065D">
        <w:t>to</w:t>
      </w:r>
      <w:r w:rsidR="00A2065D" w:rsidRPr="00DD49CC">
        <w:t xml:space="preserve"> submit notice of</w:t>
      </w:r>
      <w:r w:rsidR="007A5EFD">
        <w:t xml:space="preserve"> EIM Entity</w:t>
      </w:r>
      <w:r w:rsidR="00A2065D">
        <w:t xml:space="preserve"> approved</w:t>
      </w:r>
      <w:r w:rsidR="00A2065D" w:rsidRPr="00DD49CC">
        <w:t xml:space="preserve"> transmission</w:t>
      </w:r>
      <w:r w:rsidR="00A2065D">
        <w:t xml:space="preserve"> and generation</w:t>
      </w:r>
      <w:r w:rsidR="00A2065D" w:rsidRPr="00DD49CC">
        <w:t xml:space="preserve"> </w:t>
      </w:r>
      <w:r w:rsidR="008B53E8">
        <w:t>O</w:t>
      </w:r>
      <w:r w:rsidR="00A2065D" w:rsidRPr="00DD49CC">
        <w:t>utages</w:t>
      </w:r>
      <w:r w:rsidR="00A2065D">
        <w:t xml:space="preserve"> for </w:t>
      </w:r>
      <w:r w:rsidR="00450F1E">
        <w:t>the</w:t>
      </w:r>
      <w:r w:rsidR="00563036">
        <w:t xml:space="preserve"> EIM E</w:t>
      </w:r>
      <w:r>
        <w:t xml:space="preserve">ntity </w:t>
      </w:r>
      <w:r w:rsidR="00450F1E">
        <w:t>BAA</w:t>
      </w:r>
      <w:r>
        <w:t>.  This section describes the processes CAISO uses to perform this role.</w:t>
      </w:r>
    </w:p>
    <w:p w14:paraId="3DFC2B08" w14:textId="77777777" w:rsidR="005869D0" w:rsidRDefault="005869D0" w:rsidP="00FA595A">
      <w:pPr>
        <w:spacing w:after="80" w:line="300" w:lineRule="auto"/>
      </w:pPr>
    </w:p>
    <w:p w14:paraId="0E0B9917" w14:textId="77777777" w:rsidR="006C077D" w:rsidRDefault="006C077D" w:rsidP="00FA595A">
      <w:pPr>
        <w:pStyle w:val="Heading3"/>
        <w:spacing w:after="80" w:line="300" w:lineRule="auto"/>
      </w:pPr>
      <w:bookmarkStart w:id="87" w:name="_Toc389662579"/>
      <w:bookmarkStart w:id="88" w:name="_Toc390946265"/>
      <w:bookmarkStart w:id="89" w:name="_Toc391969826"/>
      <w:bookmarkStart w:id="90" w:name="_Toc20384089"/>
      <w:r>
        <w:t>Facility Owner Role</w:t>
      </w:r>
      <w:bookmarkEnd w:id="87"/>
      <w:bookmarkEnd w:id="88"/>
      <w:bookmarkEnd w:id="89"/>
      <w:bookmarkEnd w:id="90"/>
    </w:p>
    <w:p w14:paraId="6DFCD042" w14:textId="77777777" w:rsidR="00D008FF" w:rsidRPr="00480065" w:rsidRDefault="006B1168" w:rsidP="00FA595A">
      <w:pPr>
        <w:pStyle w:val="ParaText"/>
        <w:spacing w:after="80"/>
      </w:pPr>
      <w:r>
        <w:t xml:space="preserve">The EIM Entity, </w:t>
      </w:r>
      <w:r w:rsidR="006C077D" w:rsidRPr="00480065">
        <w:t xml:space="preserve">EIM </w:t>
      </w:r>
      <w:r w:rsidR="00450F1E">
        <w:t>P</w:t>
      </w:r>
      <w:r w:rsidR="006C077D" w:rsidRPr="00480065">
        <w:t xml:space="preserve">articipating </w:t>
      </w:r>
      <w:r w:rsidR="00450F1E">
        <w:t>Resources</w:t>
      </w:r>
      <w:r>
        <w:t>,</w:t>
      </w:r>
      <w:r w:rsidR="00450F1E">
        <w:t xml:space="preserve"> and</w:t>
      </w:r>
      <w:r>
        <w:t xml:space="preserve"> EIM Transmission Service Providers </w:t>
      </w:r>
      <w:r w:rsidR="006C077D" w:rsidRPr="00480065">
        <w:t xml:space="preserve">remain </w:t>
      </w:r>
      <w:r w:rsidR="00C33986" w:rsidRPr="00480065">
        <w:t>solely</w:t>
      </w:r>
      <w:r w:rsidR="006C077D" w:rsidRPr="00480065">
        <w:t xml:space="preserve"> and directly responsible for the performance of all maintenance work, whether on energized or de-energized facilities, including all activities related to providing a safe working environment</w:t>
      </w:r>
      <w:r>
        <w:t xml:space="preserve"> in coordination with the EIM Entity</w:t>
      </w:r>
      <w:r w:rsidR="006C077D" w:rsidRPr="00480065">
        <w:t xml:space="preserve">.  The EIM Entity </w:t>
      </w:r>
      <w:r w:rsidR="001D642A" w:rsidRPr="00480065">
        <w:t xml:space="preserve">is responsible for ensuring </w:t>
      </w:r>
      <w:r>
        <w:t>O</w:t>
      </w:r>
      <w:r w:rsidR="001D642A" w:rsidRPr="00480065">
        <w:t>utages have been studied</w:t>
      </w:r>
      <w:r w:rsidR="00A2065D" w:rsidRPr="00480065">
        <w:t>, modeled</w:t>
      </w:r>
      <w:r w:rsidR="00A30810">
        <w:t>,</w:t>
      </w:r>
      <w:r w:rsidR="001D642A" w:rsidRPr="00480065">
        <w:t xml:space="preserve"> and approved </w:t>
      </w:r>
      <w:r w:rsidR="00450F1E">
        <w:t xml:space="preserve">prior to submission </w:t>
      </w:r>
      <w:r w:rsidR="001D642A" w:rsidRPr="00480065">
        <w:t>to</w:t>
      </w:r>
      <w:r w:rsidR="00FB45EB">
        <w:t xml:space="preserve"> </w:t>
      </w:r>
      <w:r w:rsidR="001D642A" w:rsidRPr="00480065">
        <w:t xml:space="preserve">CAISO.  </w:t>
      </w:r>
    </w:p>
    <w:p w14:paraId="16CE6A11" w14:textId="77777777" w:rsidR="00977CC3" w:rsidRPr="009C0623" w:rsidRDefault="006B1168" w:rsidP="00FA595A">
      <w:pPr>
        <w:pStyle w:val="ParaText"/>
        <w:spacing w:after="80"/>
      </w:pPr>
      <w:r>
        <w:t xml:space="preserve">The EIM Entity, </w:t>
      </w:r>
      <w:r w:rsidRPr="00480065">
        <w:t xml:space="preserve">EIM </w:t>
      </w:r>
      <w:r>
        <w:t>P</w:t>
      </w:r>
      <w:r w:rsidRPr="00480065">
        <w:t xml:space="preserve">articipating </w:t>
      </w:r>
      <w:r>
        <w:t>Resources, and EIM Transmission Service Providers</w:t>
      </w:r>
      <w:r w:rsidR="00977CC3">
        <w:t xml:space="preserve"> may elect to have an agent perform some or all of the activities required to meet their responsibilities related to Outage Management; however, the </w:t>
      </w:r>
      <w:r>
        <w:t xml:space="preserve">EIM Entity </w:t>
      </w:r>
      <w:r w:rsidR="00977CC3">
        <w:t>remains responsible for the successful completion of these activities.  See Section 6</w:t>
      </w:r>
      <w:r w:rsidR="00046CCB">
        <w:t>,</w:t>
      </w:r>
      <w:r w:rsidR="00977CC3">
        <w:rPr>
          <w:color w:val="FF0000"/>
        </w:rPr>
        <w:t xml:space="preserve"> </w:t>
      </w:r>
      <w:r w:rsidR="00977CC3" w:rsidRPr="009C0623">
        <w:rPr>
          <w:i/>
        </w:rPr>
        <w:t xml:space="preserve">Communication of Outage Maintenance Information, </w:t>
      </w:r>
      <w:r w:rsidR="00977CC3" w:rsidRPr="009C0623">
        <w:t xml:space="preserve">of </w:t>
      </w:r>
      <w:r w:rsidR="00E96A39" w:rsidRPr="009C0623">
        <w:t xml:space="preserve">the </w:t>
      </w:r>
      <w:hyperlink r:id="rId155" w:history="1">
        <w:r w:rsidR="00046CCB" w:rsidRPr="00D67EB8">
          <w:rPr>
            <w:rStyle w:val="Hyperlink"/>
            <w:b/>
          </w:rPr>
          <w:t>BPM for Outage Management</w:t>
        </w:r>
      </w:hyperlink>
      <w:r w:rsidR="00046CCB" w:rsidRPr="009C0623">
        <w:t xml:space="preserve"> </w:t>
      </w:r>
      <w:r w:rsidR="00977CC3" w:rsidRPr="009C0623">
        <w:t>for a discussion of the requirement for</w:t>
      </w:r>
      <w:r>
        <w:t xml:space="preserve"> an EIM Entity </w:t>
      </w:r>
      <w:r w:rsidR="00977CC3" w:rsidRPr="009C0623">
        <w:t>to establish a single point of contact</w:t>
      </w:r>
      <w:r w:rsidR="003E35A5">
        <w:t xml:space="preserve">, </w:t>
      </w:r>
      <w:r w:rsidR="003E35A5" w:rsidRPr="00B06DE4">
        <w:t>such as</w:t>
      </w:r>
      <w:r w:rsidR="00757A4E" w:rsidRPr="00B46B90">
        <w:t xml:space="preserve"> an</w:t>
      </w:r>
      <w:r w:rsidR="003E35A5" w:rsidRPr="00B06DE4">
        <w:t xml:space="preserve"> EIM Entity SC</w:t>
      </w:r>
      <w:r w:rsidR="00977CC3" w:rsidRPr="00BB070F">
        <w:t>.</w:t>
      </w:r>
      <w:r w:rsidR="00977CC3" w:rsidRPr="009C0623">
        <w:t xml:space="preserve">  </w:t>
      </w:r>
    </w:p>
    <w:p w14:paraId="07C7CBD8" w14:textId="77777777" w:rsidR="00D96C46" w:rsidRPr="005D4C62" w:rsidRDefault="00D96C46" w:rsidP="00E62C48">
      <w:pPr>
        <w:pStyle w:val="Heading3"/>
      </w:pPr>
      <w:bookmarkStart w:id="91" w:name="_Toc389662581"/>
      <w:bookmarkStart w:id="92" w:name="_Toc390946266"/>
      <w:bookmarkStart w:id="93" w:name="_Toc391969827"/>
      <w:bookmarkStart w:id="94" w:name="_Toc20384090"/>
      <w:r w:rsidRPr="005D4C62">
        <w:t>Application to Parties</w:t>
      </w:r>
      <w:bookmarkEnd w:id="91"/>
      <w:bookmarkEnd w:id="92"/>
      <w:bookmarkEnd w:id="93"/>
      <w:bookmarkEnd w:id="94"/>
    </w:p>
    <w:p w14:paraId="16E3E3C1" w14:textId="77777777" w:rsidR="00D96C46" w:rsidRDefault="00D96C46" w:rsidP="003673A0">
      <w:pPr>
        <w:spacing w:line="300" w:lineRule="auto"/>
      </w:pPr>
      <w:r>
        <w:t xml:space="preserve">The </w:t>
      </w:r>
      <w:r w:rsidRPr="00D96C46">
        <w:rPr>
          <w:i/>
        </w:rPr>
        <w:t>BPM for Outage Management</w:t>
      </w:r>
      <w:r>
        <w:rPr>
          <w:i/>
        </w:rPr>
        <w:t xml:space="preserve"> </w:t>
      </w:r>
      <w:r>
        <w:t>applies to CAISO and the following EIM parties:</w:t>
      </w:r>
    </w:p>
    <w:p w14:paraId="3FA52520" w14:textId="77777777" w:rsidR="00D96C46" w:rsidRDefault="00D96C46" w:rsidP="000F0531">
      <w:pPr>
        <w:numPr>
          <w:ilvl w:val="0"/>
          <w:numId w:val="17"/>
        </w:numPr>
      </w:pPr>
      <w:r>
        <w:t>All  associated with the EIM Entity</w:t>
      </w:r>
    </w:p>
    <w:p w14:paraId="3D8E1770" w14:textId="77777777" w:rsidR="00D96C46" w:rsidRDefault="00D96C46" w:rsidP="000F0531">
      <w:pPr>
        <w:numPr>
          <w:ilvl w:val="0"/>
          <w:numId w:val="17"/>
        </w:numPr>
      </w:pPr>
      <w:r>
        <w:lastRenderedPageBreak/>
        <w:t>Connected Entities, to the extent</w:t>
      </w:r>
      <w:r w:rsidR="00E720E1">
        <w:t xml:space="preserve"> that</w:t>
      </w:r>
      <w:r>
        <w:t xml:space="preserve"> the agreement between the Connected Entity and</w:t>
      </w:r>
      <w:r w:rsidR="000B5108">
        <w:t xml:space="preserve"> </w:t>
      </w:r>
      <w:r>
        <w:t>CAISO so provides</w:t>
      </w:r>
    </w:p>
    <w:p w14:paraId="40566BE3" w14:textId="3DEC119E" w:rsidR="005869D0" w:rsidRPr="00B468C1" w:rsidRDefault="00D96C46" w:rsidP="000F0531">
      <w:pPr>
        <w:numPr>
          <w:ilvl w:val="0"/>
          <w:numId w:val="17"/>
        </w:numPr>
      </w:pPr>
      <w:r>
        <w:t xml:space="preserve">EIM </w:t>
      </w:r>
      <w:r w:rsidR="002556CA">
        <w:t xml:space="preserve">Entity </w:t>
      </w:r>
      <w:r>
        <w:t xml:space="preserve">Scheduling </w:t>
      </w:r>
      <w:r w:rsidRPr="00B468C1">
        <w:t xml:space="preserve">Coordinators for </w:t>
      </w:r>
      <w:r w:rsidR="00DE0D6C">
        <w:t xml:space="preserve">EIM </w:t>
      </w:r>
      <w:r w:rsidRPr="00B468C1">
        <w:t xml:space="preserve">Participating </w:t>
      </w:r>
      <w:r w:rsidR="00DE0D6C">
        <w:t>Resources</w:t>
      </w:r>
    </w:p>
    <w:p w14:paraId="4E75B68F" w14:textId="01A48502" w:rsidR="00D96C46" w:rsidRPr="00B468C1" w:rsidRDefault="009B5EA4" w:rsidP="000F0531">
      <w:pPr>
        <w:numPr>
          <w:ilvl w:val="1"/>
          <w:numId w:val="17"/>
        </w:numPr>
      </w:pPr>
      <w:r>
        <w:t>Notification of approved EIM</w:t>
      </w:r>
      <w:r w:rsidRPr="00B468C1">
        <w:t xml:space="preserve"> </w:t>
      </w:r>
      <w:r w:rsidR="00D96C46" w:rsidRPr="00B468C1">
        <w:t xml:space="preserve">Outages via the CAISO </w:t>
      </w:r>
      <w:r w:rsidR="00B722C6">
        <w:t>o</w:t>
      </w:r>
      <w:r w:rsidR="00D96C46" w:rsidRPr="00B468C1">
        <w:t xml:space="preserve">utage </w:t>
      </w:r>
      <w:r w:rsidR="00B722C6">
        <w:t>m</w:t>
      </w:r>
      <w:r w:rsidR="00D96C46" w:rsidRPr="00B468C1">
        <w:t xml:space="preserve">anagement </w:t>
      </w:r>
      <w:r w:rsidR="00B722C6">
        <w:t>s</w:t>
      </w:r>
      <w:r w:rsidR="00D96C46" w:rsidRPr="00B468C1">
        <w:t xml:space="preserve">ystem UI/API if the CAISO </w:t>
      </w:r>
      <w:r w:rsidR="00B722C6">
        <w:t>o</w:t>
      </w:r>
      <w:r w:rsidR="00D96C46" w:rsidRPr="00B468C1">
        <w:t xml:space="preserve">utage </w:t>
      </w:r>
      <w:r w:rsidR="00B722C6">
        <w:t>m</w:t>
      </w:r>
      <w:r w:rsidR="00D96C46" w:rsidRPr="00B468C1">
        <w:t xml:space="preserve">anagement </w:t>
      </w:r>
      <w:r w:rsidR="00B722C6">
        <w:t>s</w:t>
      </w:r>
      <w:r w:rsidR="00D96C46" w:rsidRPr="00B468C1">
        <w:t xml:space="preserve">ystem is unavailable </w:t>
      </w:r>
    </w:p>
    <w:p w14:paraId="14E976A6" w14:textId="77777777" w:rsidR="00D96C46" w:rsidRPr="00B468C1" w:rsidRDefault="00D96C46" w:rsidP="000F0531">
      <w:pPr>
        <w:numPr>
          <w:ilvl w:val="0"/>
          <w:numId w:val="18"/>
        </w:numPr>
      </w:pPr>
      <w:r w:rsidRPr="00B468C1">
        <w:t xml:space="preserve">EIM Entity for Transmission and </w:t>
      </w:r>
      <w:r w:rsidR="00DE0D6C">
        <w:t xml:space="preserve">EIM </w:t>
      </w:r>
      <w:r w:rsidRPr="00B468C1">
        <w:t xml:space="preserve">Non-Participating </w:t>
      </w:r>
      <w:r w:rsidR="00DE0D6C">
        <w:t>Resources</w:t>
      </w:r>
    </w:p>
    <w:p w14:paraId="5B798AF4" w14:textId="5AB3475F" w:rsidR="003673A0" w:rsidRDefault="009B5EA4" w:rsidP="000F0531">
      <w:pPr>
        <w:numPr>
          <w:ilvl w:val="1"/>
          <w:numId w:val="18"/>
        </w:numPr>
      </w:pPr>
      <w:r>
        <w:t>Notification of approved EIM</w:t>
      </w:r>
      <w:r w:rsidR="00D96C46" w:rsidRPr="00B468C1">
        <w:t xml:space="preserve"> Outages via the CAISO</w:t>
      </w:r>
      <w:r w:rsidR="00D96C46">
        <w:t xml:space="preserve"> </w:t>
      </w:r>
      <w:r w:rsidR="00B722C6">
        <w:t>o</w:t>
      </w:r>
      <w:r w:rsidR="00D96C46">
        <w:t xml:space="preserve">utage </w:t>
      </w:r>
      <w:r w:rsidR="00B722C6">
        <w:t>m</w:t>
      </w:r>
      <w:r w:rsidR="00D96C46">
        <w:t xml:space="preserve">anagement </w:t>
      </w:r>
      <w:r w:rsidR="00B722C6">
        <w:t>s</w:t>
      </w:r>
      <w:r w:rsidR="00D96C46">
        <w:t xml:space="preserve">ystem UI/API if the CAISO </w:t>
      </w:r>
      <w:r w:rsidR="00B722C6">
        <w:t>o</w:t>
      </w:r>
      <w:r w:rsidR="00D96C46">
        <w:t xml:space="preserve">utage </w:t>
      </w:r>
      <w:r w:rsidR="00B722C6">
        <w:t>m</w:t>
      </w:r>
      <w:r w:rsidR="00D96C46">
        <w:t xml:space="preserve">anagement </w:t>
      </w:r>
      <w:r w:rsidR="00B722C6">
        <w:t>s</w:t>
      </w:r>
      <w:r w:rsidR="00D96C46">
        <w:t>ystem is unavailable</w:t>
      </w:r>
    </w:p>
    <w:p w14:paraId="60D4ABDF" w14:textId="77777777" w:rsidR="00D96C46" w:rsidRDefault="00D96C46" w:rsidP="003673A0">
      <w:pPr>
        <w:spacing w:line="300" w:lineRule="auto"/>
        <w:ind w:left="1440"/>
      </w:pPr>
      <w:r>
        <w:t xml:space="preserve">  </w:t>
      </w:r>
    </w:p>
    <w:p w14:paraId="59D2862B" w14:textId="77777777" w:rsidR="005E1887" w:rsidRDefault="005E1887" w:rsidP="006F6DD6">
      <w:pPr>
        <w:pStyle w:val="Heading3"/>
        <w:spacing w:line="300" w:lineRule="auto"/>
      </w:pPr>
      <w:bookmarkStart w:id="95" w:name="_Toc389662582"/>
      <w:bookmarkStart w:id="96" w:name="_Toc390946267"/>
      <w:bookmarkStart w:id="97" w:name="_Toc391969828"/>
      <w:bookmarkStart w:id="98" w:name="_Toc20384091"/>
      <w:r>
        <w:t>CAISO Outage Coordination Office</w:t>
      </w:r>
      <w:bookmarkEnd w:id="95"/>
      <w:bookmarkEnd w:id="96"/>
      <w:bookmarkEnd w:id="97"/>
      <w:bookmarkEnd w:id="98"/>
    </w:p>
    <w:p w14:paraId="7C71F8A2" w14:textId="77777777" w:rsidR="005E1887" w:rsidRDefault="005E1887" w:rsidP="003673A0">
      <w:pPr>
        <w:pStyle w:val="ParaText"/>
      </w:pPr>
      <w:r>
        <w:t xml:space="preserve">The CAISO </w:t>
      </w:r>
      <w:r w:rsidR="00D008FF">
        <w:t>Outage Coordination Office (</w:t>
      </w:r>
      <w:r>
        <w:t>OCO</w:t>
      </w:r>
      <w:r w:rsidR="00D008FF">
        <w:t>)</w:t>
      </w:r>
      <w:r>
        <w:t xml:space="preserve"> operates Monday through Friday, except holidays.  OCO personnel are located in Folsom, California. The location, contact information, and areas of responsibility for this office are detailed in the most recent version of the applicable </w:t>
      </w:r>
      <w:r w:rsidRPr="000B5108">
        <w:t xml:space="preserve">CAISO </w:t>
      </w:r>
      <w:r w:rsidRPr="000B5108">
        <w:rPr>
          <w:i/>
        </w:rPr>
        <w:t>Operating Procedures</w:t>
      </w:r>
      <w:r w:rsidR="003B2A26">
        <w:t xml:space="preserve"> </w:t>
      </w:r>
      <w:r w:rsidRPr="00B46B90">
        <w:t>(Section 1.5, References</w:t>
      </w:r>
      <w:r w:rsidR="00465302" w:rsidRPr="00B46B90">
        <w:t>-3210F</w:t>
      </w:r>
      <w:r w:rsidRPr="00B46B90">
        <w:t>)</w:t>
      </w:r>
      <w:r w:rsidRPr="00B06DE4">
        <w:t>,</w:t>
      </w:r>
      <w:r w:rsidR="00F82281">
        <w:t xml:space="preserve"> </w:t>
      </w:r>
      <w:r>
        <w:t xml:space="preserve">available through the CAISO </w:t>
      </w:r>
      <w:r w:rsidR="00F73DA7">
        <w:t>website</w:t>
      </w:r>
      <w:r>
        <w:t>.</w:t>
      </w:r>
    </w:p>
    <w:p w14:paraId="3B5C56F6" w14:textId="77777777" w:rsidR="005E1887" w:rsidRDefault="005E1887" w:rsidP="006F6DD6">
      <w:pPr>
        <w:pStyle w:val="ParaText"/>
      </w:pPr>
      <w:r>
        <w:t>The OCO uses an electronic</w:t>
      </w:r>
      <w:r w:rsidR="001E6C27">
        <w:t xml:space="preserve"> </w:t>
      </w:r>
      <w:r w:rsidR="00B53E8D">
        <w:t xml:space="preserve">CAISO </w:t>
      </w:r>
      <w:r w:rsidR="00B53E8D" w:rsidRPr="00F51FA9">
        <w:t>outage management system</w:t>
      </w:r>
      <w:r w:rsidR="00B53E8D">
        <w:t xml:space="preserve"> </w:t>
      </w:r>
      <w:r>
        <w:t>app</w:t>
      </w:r>
      <w:r w:rsidR="000B5108">
        <w:t>lication to support the receipt and</w:t>
      </w:r>
      <w:r>
        <w:t xml:space="preserve"> processing</w:t>
      </w:r>
      <w:r w:rsidR="00E720E1">
        <w:t xml:space="preserve"> </w:t>
      </w:r>
      <w:r>
        <w:t>for new</w:t>
      </w:r>
      <w:r w:rsidR="009B5EA4" w:rsidRPr="00B46B90">
        <w:t xml:space="preserve"> </w:t>
      </w:r>
      <w:r w:rsidR="009B5EA4">
        <w:t>EIM approved</w:t>
      </w:r>
      <w:r>
        <w:t xml:space="preserve"> Outages</w:t>
      </w:r>
      <w:r w:rsidR="000B5108">
        <w:t>,</w:t>
      </w:r>
      <w:r>
        <w:t xml:space="preserve"> </w:t>
      </w:r>
      <w:r w:rsidR="008B53E8">
        <w:t>as well as updates to existing O</w:t>
      </w:r>
      <w:r>
        <w:t>utages. The ele</w:t>
      </w:r>
      <w:r w:rsidR="005A7A13">
        <w:t xml:space="preserve">ctronic application used by </w:t>
      </w:r>
      <w:r>
        <w:t>CAISO for Outage Management is referenced throughout this section of the BPM.</w:t>
      </w:r>
      <w:r w:rsidR="00AC21ED">
        <w:t xml:space="preserve"> CAISO does not approve outages in the EIM Entity areas as they retain the BAA functions for reliability.</w:t>
      </w:r>
    </w:p>
    <w:p w14:paraId="6080FBCC" w14:textId="75E505D2" w:rsidR="00F82281" w:rsidRDefault="005E1887" w:rsidP="00B46B90">
      <w:pPr>
        <w:pStyle w:val="ParaText"/>
      </w:pPr>
      <w:r>
        <w:t>The type</w:t>
      </w:r>
      <w:r w:rsidR="00725D1A">
        <w:t>s</w:t>
      </w:r>
      <w:r>
        <w:t xml:space="preserve"> of scheduled </w:t>
      </w:r>
      <w:r w:rsidR="00C80B72">
        <w:t xml:space="preserve">EIM </w:t>
      </w:r>
      <w:r w:rsidR="002D59D5">
        <w:t>E</w:t>
      </w:r>
      <w:r w:rsidR="00F73DA7">
        <w:t>ntity</w:t>
      </w:r>
      <w:r w:rsidR="00C80B72">
        <w:t xml:space="preserve"> approved</w:t>
      </w:r>
      <w:r w:rsidR="00E720E1">
        <w:t xml:space="preserve"> </w:t>
      </w:r>
      <w:r w:rsidR="00B722C6">
        <w:t>o</w:t>
      </w:r>
      <w:r>
        <w:t>utages</w:t>
      </w:r>
      <w:r w:rsidR="00E720E1">
        <w:t xml:space="preserve"> that</w:t>
      </w:r>
      <w:r w:rsidR="00C80B72" w:rsidRPr="00B46B90">
        <w:t xml:space="preserve"> </w:t>
      </w:r>
      <w:r w:rsidR="00C80B72">
        <w:t>are</w:t>
      </w:r>
      <w:r w:rsidR="00725D1A">
        <w:t xml:space="preserve"> accepted and </w:t>
      </w:r>
      <w:r w:rsidR="00C80B72">
        <w:t>processed</w:t>
      </w:r>
      <w:r w:rsidR="00725D1A">
        <w:t xml:space="preserve"> by</w:t>
      </w:r>
      <w:r w:rsidR="002D59D5">
        <w:t xml:space="preserve"> the OCO </w:t>
      </w:r>
      <w:r w:rsidR="00B722C6">
        <w:t>o</w:t>
      </w:r>
      <w:r w:rsidR="002D59D5">
        <w:t xml:space="preserve">utage </w:t>
      </w:r>
      <w:r w:rsidR="00B722C6">
        <w:t>m</w:t>
      </w:r>
      <w:r w:rsidR="002D59D5">
        <w:t xml:space="preserve">anagement </w:t>
      </w:r>
      <w:r w:rsidR="00B722C6">
        <w:t>s</w:t>
      </w:r>
      <w:r>
        <w:t>ystem</w:t>
      </w:r>
      <w:r w:rsidR="00725D1A">
        <w:t xml:space="preserve"> are as follows</w:t>
      </w:r>
      <w:r w:rsidR="00E720E1">
        <w:t xml:space="preserve"> (not an exhaustive list):</w:t>
      </w:r>
      <w:r w:rsidR="00121D83">
        <w:t xml:space="preserve">  </w:t>
      </w:r>
    </w:p>
    <w:p w14:paraId="4F48B88B" w14:textId="77777777" w:rsidR="005E1887" w:rsidRPr="005E1887" w:rsidRDefault="005E1887" w:rsidP="000F0531">
      <w:pPr>
        <w:pStyle w:val="ParaText"/>
        <w:numPr>
          <w:ilvl w:val="0"/>
          <w:numId w:val="18"/>
        </w:numPr>
        <w:spacing w:after="160" w:line="259" w:lineRule="auto"/>
      </w:pPr>
      <w:r w:rsidRPr="005E1887">
        <w:t>Balancing A</w:t>
      </w:r>
      <w:r>
        <w:t>uthority Area Interconnections w</w:t>
      </w:r>
      <w:r w:rsidRPr="005E1887">
        <w:t>ork</w:t>
      </w:r>
      <w:r>
        <w:t>:</w:t>
      </w:r>
    </w:p>
    <w:p w14:paraId="33DC9ADE" w14:textId="77777777" w:rsidR="005E1887" w:rsidRPr="005E1887" w:rsidRDefault="002D59D5" w:rsidP="000F0531">
      <w:pPr>
        <w:pStyle w:val="ParaText"/>
        <w:numPr>
          <w:ilvl w:val="1"/>
          <w:numId w:val="18"/>
        </w:numPr>
        <w:spacing w:after="160" w:line="259" w:lineRule="auto"/>
        <w:rPr>
          <w:b/>
        </w:rPr>
      </w:pPr>
      <w:r>
        <w:t>All O</w:t>
      </w:r>
      <w:r w:rsidR="005E1887">
        <w:t>utages that affect interconnected systems will be coordinated between Interconnected Transmission Operators</w:t>
      </w:r>
      <w:r w:rsidR="00E720E1">
        <w:t>.</w:t>
      </w:r>
      <w:r w:rsidR="005E1887">
        <w:t xml:space="preserve">  </w:t>
      </w:r>
    </w:p>
    <w:p w14:paraId="312DFF7B" w14:textId="77777777" w:rsidR="005E1887" w:rsidRPr="005E1887" w:rsidRDefault="005E1887" w:rsidP="000F0531">
      <w:pPr>
        <w:pStyle w:val="ParaText"/>
        <w:numPr>
          <w:ilvl w:val="0"/>
          <w:numId w:val="18"/>
        </w:numPr>
        <w:spacing w:after="160" w:line="259" w:lineRule="auto"/>
        <w:rPr>
          <w:b/>
        </w:rPr>
      </w:pPr>
      <w:r>
        <w:t xml:space="preserve">All work on facilities forming the EIM Entity Controlled Grid, including associated </w:t>
      </w:r>
      <w:r w:rsidR="000D2E43">
        <w:t>control or protective equipment:</w:t>
      </w:r>
    </w:p>
    <w:p w14:paraId="4CAEDA70" w14:textId="77777777" w:rsidR="005E1887" w:rsidRPr="000D2E43" w:rsidRDefault="002D59D5" w:rsidP="000F0531">
      <w:pPr>
        <w:pStyle w:val="ParaText"/>
        <w:numPr>
          <w:ilvl w:val="1"/>
          <w:numId w:val="18"/>
        </w:numPr>
        <w:spacing w:after="160" w:line="259" w:lineRule="auto"/>
        <w:rPr>
          <w:b/>
        </w:rPr>
      </w:pPr>
      <w:r>
        <w:t>This refers to all O</w:t>
      </w:r>
      <w:r w:rsidR="005E1887">
        <w:t xml:space="preserve">utages affecting EIM Entity equipment and Generators with an EIM </w:t>
      </w:r>
      <w:r w:rsidR="00220498">
        <w:t>P</w:t>
      </w:r>
      <w:r w:rsidR="005E1887">
        <w:t xml:space="preserve">articipating </w:t>
      </w:r>
      <w:r w:rsidR="00220498">
        <w:t>R</w:t>
      </w:r>
      <w:r w:rsidR="00DE0D6C">
        <w:t>esource</w:t>
      </w:r>
      <w:r w:rsidR="005E1887">
        <w:t xml:space="preserve"> agreement.  </w:t>
      </w:r>
    </w:p>
    <w:p w14:paraId="6AFEE2D6" w14:textId="77777777" w:rsidR="000D2E43" w:rsidRPr="000D2E43" w:rsidRDefault="000D2E43" w:rsidP="000F0531">
      <w:pPr>
        <w:pStyle w:val="ParaText"/>
        <w:numPr>
          <w:ilvl w:val="0"/>
          <w:numId w:val="18"/>
        </w:numPr>
        <w:spacing w:after="160" w:line="259" w:lineRule="auto"/>
        <w:rPr>
          <w:b/>
        </w:rPr>
      </w:pPr>
      <w:r>
        <w:t xml:space="preserve">All reportable Outages or partial curtailments of EIM </w:t>
      </w:r>
      <w:r w:rsidR="00220498">
        <w:t>P</w:t>
      </w:r>
      <w:r>
        <w:t xml:space="preserve">articipating </w:t>
      </w:r>
      <w:r w:rsidR="00755251">
        <w:t>Resources and</w:t>
      </w:r>
      <w:r w:rsidR="00312035">
        <w:t xml:space="preserve"> non-participating resources approved by and </w:t>
      </w:r>
      <w:r w:rsidR="006A101C">
        <w:t>consistent with the outage management procedures of the EIM Entity.</w:t>
      </w:r>
    </w:p>
    <w:p w14:paraId="4F511803" w14:textId="77777777" w:rsidR="000D2E43" w:rsidRPr="000D2E43" w:rsidRDefault="000D2E43" w:rsidP="000F0531">
      <w:pPr>
        <w:pStyle w:val="ParaText"/>
        <w:numPr>
          <w:ilvl w:val="0"/>
          <w:numId w:val="18"/>
        </w:numPr>
        <w:spacing w:after="160" w:line="259" w:lineRule="auto"/>
        <w:rPr>
          <w:b/>
        </w:rPr>
      </w:pPr>
      <w:r>
        <w:lastRenderedPageBreak/>
        <w:t>EMS work that disables any portion of the EIM Entity Grid monitoring, control, or protective equipment, including EMS equipment and communication circuits</w:t>
      </w:r>
    </w:p>
    <w:p w14:paraId="7513170F" w14:textId="77777777" w:rsidR="000D2E43" w:rsidRPr="000D2E43" w:rsidRDefault="000D2E43" w:rsidP="000F0531">
      <w:pPr>
        <w:pStyle w:val="ParaText"/>
        <w:numPr>
          <w:ilvl w:val="0"/>
          <w:numId w:val="18"/>
        </w:numPr>
        <w:spacing w:after="160" w:line="259" w:lineRule="auto"/>
        <w:rPr>
          <w:b/>
        </w:rPr>
      </w:pPr>
      <w:r>
        <w:t>EMS work that affects Generator AGC or RIG equipment or communication circuits</w:t>
      </w:r>
    </w:p>
    <w:p w14:paraId="786890D5" w14:textId="77777777" w:rsidR="000D2E43" w:rsidRPr="00B46B90" w:rsidRDefault="000D2E43" w:rsidP="000F0531">
      <w:pPr>
        <w:pStyle w:val="ParaText"/>
        <w:numPr>
          <w:ilvl w:val="0"/>
          <w:numId w:val="18"/>
        </w:numPr>
        <w:spacing w:after="160" w:line="259" w:lineRule="auto"/>
        <w:rPr>
          <w:b/>
        </w:rPr>
      </w:pPr>
      <w:r>
        <w:t>Interconnections with responsible entities outside the EIM Entity Balancing Authority Area</w:t>
      </w:r>
    </w:p>
    <w:p w14:paraId="5E893B48" w14:textId="77777777" w:rsidR="005E1887" w:rsidRPr="002C27BC" w:rsidRDefault="003A573C" w:rsidP="00B46B90">
      <w:pPr>
        <w:pStyle w:val="Heading2"/>
      </w:pPr>
      <w:bookmarkStart w:id="99" w:name="_Toc390946268"/>
      <w:bookmarkStart w:id="100" w:name="_Toc391969829"/>
      <w:bookmarkStart w:id="101" w:name="_Toc20384092"/>
      <w:r>
        <w:t>Requesting Maintenance Outages</w:t>
      </w:r>
      <w:bookmarkStart w:id="102" w:name="_Toc390267983"/>
      <w:bookmarkStart w:id="103" w:name="_Toc390268114"/>
      <w:bookmarkStart w:id="104" w:name="_Toc390352472"/>
      <w:bookmarkStart w:id="105" w:name="_Toc390353449"/>
      <w:bookmarkEnd w:id="99"/>
      <w:bookmarkEnd w:id="100"/>
      <w:bookmarkEnd w:id="102"/>
      <w:bookmarkEnd w:id="103"/>
      <w:bookmarkEnd w:id="104"/>
      <w:bookmarkEnd w:id="105"/>
      <w:bookmarkEnd w:id="101"/>
    </w:p>
    <w:p w14:paraId="51B41564" w14:textId="77777777" w:rsidR="00246BB9" w:rsidRPr="00F1046E" w:rsidRDefault="002C27BC" w:rsidP="00E84217">
      <w:pPr>
        <w:pStyle w:val="ParaText"/>
      </w:pPr>
      <w:r>
        <w:t xml:space="preserve">For additional information, see </w:t>
      </w:r>
      <w:hyperlink r:id="rId156" w:history="1">
        <w:r w:rsidRPr="00F1046E">
          <w:rPr>
            <w:rStyle w:val="Hyperlink"/>
          </w:rPr>
          <w:t xml:space="preserve">Tariff Section </w:t>
        </w:r>
        <w:r w:rsidR="00C16580" w:rsidRPr="00F1046E">
          <w:rPr>
            <w:rStyle w:val="Hyperlink"/>
          </w:rPr>
          <w:t>29.9</w:t>
        </w:r>
        <w:r w:rsidRPr="00F1046E">
          <w:rPr>
            <w:rStyle w:val="Hyperlink"/>
          </w:rPr>
          <w:t xml:space="preserve"> </w:t>
        </w:r>
        <w:r w:rsidR="00246BB9" w:rsidRPr="00F1046E">
          <w:rPr>
            <w:rStyle w:val="Hyperlink"/>
            <w:i/>
          </w:rPr>
          <w:t>Coordination of Outages and Maintenance</w:t>
        </w:r>
      </w:hyperlink>
      <w:r w:rsidRPr="00F1046E">
        <w:rPr>
          <w:i/>
        </w:rPr>
        <w:t>.</w:t>
      </w:r>
      <w:r w:rsidR="00246BB9" w:rsidRPr="00F1046E">
        <w:t xml:space="preserve"> </w:t>
      </w:r>
    </w:p>
    <w:p w14:paraId="04A58E2D" w14:textId="77777777" w:rsidR="00F21F40" w:rsidRDefault="00F21F40" w:rsidP="00F21F40">
      <w:pPr>
        <w:pStyle w:val="Heading3"/>
        <w:spacing w:line="300" w:lineRule="auto"/>
      </w:pPr>
      <w:bookmarkStart w:id="106" w:name="_Toc390267988"/>
      <w:bookmarkStart w:id="107" w:name="_Toc390268119"/>
      <w:bookmarkStart w:id="108" w:name="_Toc390352477"/>
      <w:bookmarkStart w:id="109" w:name="_Toc390353454"/>
      <w:bookmarkStart w:id="110" w:name="_Toc390355404"/>
      <w:bookmarkStart w:id="111" w:name="_Toc390436068"/>
      <w:bookmarkStart w:id="112" w:name="_Toc390673359"/>
      <w:bookmarkStart w:id="113" w:name="_Toc390689635"/>
      <w:bookmarkStart w:id="114" w:name="_Toc390696639"/>
      <w:bookmarkStart w:id="115" w:name="_Toc390759653"/>
      <w:bookmarkStart w:id="116" w:name="_Toc390764409"/>
      <w:bookmarkStart w:id="117" w:name="_Toc390765934"/>
      <w:bookmarkStart w:id="118" w:name="_Toc390778403"/>
      <w:bookmarkStart w:id="119" w:name="_Toc390779381"/>
      <w:bookmarkStart w:id="120" w:name="_Toc390782194"/>
      <w:bookmarkStart w:id="121" w:name="_Toc390871666"/>
      <w:bookmarkStart w:id="122" w:name="_Toc390871723"/>
      <w:bookmarkStart w:id="123" w:name="_Toc390871780"/>
      <w:bookmarkStart w:id="124" w:name="_Toc390946269"/>
      <w:bookmarkStart w:id="125" w:name="_Toc391969830"/>
      <w:bookmarkStart w:id="126" w:name="_Toc20384093"/>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EIM Entity </w:t>
      </w:r>
      <w:r w:rsidRPr="00F21F40">
        <w:t>and</w:t>
      </w:r>
      <w:r>
        <w:t xml:space="preserve"> EIM </w:t>
      </w:r>
      <w:r w:rsidR="00304DFF">
        <w:t xml:space="preserve">Entity </w:t>
      </w:r>
      <w:r>
        <w:t>Scheduling Coordinator</w:t>
      </w:r>
      <w:r w:rsidRPr="00F21F40">
        <w:t xml:space="preserve"> Outage Request Process</w:t>
      </w:r>
      <w:bookmarkEnd w:id="124"/>
      <w:bookmarkEnd w:id="125"/>
      <w:bookmarkEnd w:id="126"/>
    </w:p>
    <w:p w14:paraId="5E4BF697" w14:textId="77777777" w:rsidR="00246BB9" w:rsidRDefault="00246BB9" w:rsidP="00877DDB">
      <w:pPr>
        <w:spacing w:after="240" w:line="300" w:lineRule="auto"/>
      </w:pPr>
      <w:r w:rsidRPr="00807FB3">
        <w:t>T</w:t>
      </w:r>
      <w:r w:rsidR="00C16580" w:rsidRPr="00807FB3">
        <w:t>he EIM Entity Scheduling Coordinator shall submit notice of</w:t>
      </w:r>
      <w:r w:rsidR="0032275C" w:rsidRPr="00807FB3">
        <w:t xml:space="preserve"> approved</w:t>
      </w:r>
      <w:r w:rsidR="00C16580" w:rsidRPr="00807FB3">
        <w:t xml:space="preserve"> transmission and generation </w:t>
      </w:r>
      <w:r w:rsidR="002D59D5">
        <w:t>O</w:t>
      </w:r>
      <w:r w:rsidR="00C16580" w:rsidRPr="00807FB3">
        <w:t>utages</w:t>
      </w:r>
      <w:r w:rsidR="0032275C" w:rsidRPr="00807FB3">
        <w:t xml:space="preserve"> or rev</w:t>
      </w:r>
      <w:r w:rsidR="002D59D5">
        <w:t>isions to approved maintenance O</w:t>
      </w:r>
      <w:r w:rsidR="0032275C" w:rsidRPr="00807FB3">
        <w:t>utages</w:t>
      </w:r>
      <w:r w:rsidR="00AB3A96">
        <w:t xml:space="preserve"> to </w:t>
      </w:r>
      <w:r w:rsidR="00C16580" w:rsidRPr="00021E09">
        <w:t>CAISO</w:t>
      </w:r>
      <w:r w:rsidR="00C16580">
        <w:t>.</w:t>
      </w:r>
    </w:p>
    <w:p w14:paraId="233FD912" w14:textId="77777777" w:rsidR="00376ED9" w:rsidRDefault="00376ED9" w:rsidP="00A51421"/>
    <w:p w14:paraId="637755B0" w14:textId="77777777" w:rsidR="00246BB9" w:rsidRDefault="00F73DA7" w:rsidP="006F6DD6">
      <w:pPr>
        <w:pStyle w:val="Heading4"/>
        <w:spacing w:line="300" w:lineRule="auto"/>
      </w:pPr>
      <w:bookmarkStart w:id="127" w:name="_Toc386182103"/>
      <w:r>
        <w:t>Outage Scheduling</w:t>
      </w:r>
      <w:r w:rsidR="00246BB9">
        <w:t xml:space="preserve"> Requirements</w:t>
      </w:r>
      <w:bookmarkEnd w:id="127"/>
    </w:p>
    <w:p w14:paraId="741F2C15" w14:textId="77777777" w:rsidR="00246BB9" w:rsidRPr="00727CB3" w:rsidRDefault="00246BB9" w:rsidP="008C1485">
      <w:pPr>
        <w:rPr>
          <w:b/>
        </w:rPr>
      </w:pPr>
      <w:r w:rsidRPr="00727CB3">
        <w:rPr>
          <w:b/>
        </w:rPr>
        <w:t>Transmission Outage Scheduling</w:t>
      </w:r>
    </w:p>
    <w:p w14:paraId="6AEB1817" w14:textId="77777777" w:rsidR="001D0D39" w:rsidRDefault="00246BB9" w:rsidP="006F6DD6">
      <w:pPr>
        <w:pStyle w:val="ParaText"/>
      </w:pPr>
      <w:r>
        <w:t>The EIM Entity must submit a new</w:t>
      </w:r>
      <w:r w:rsidR="004B4ED2">
        <w:t xml:space="preserve"> a</w:t>
      </w:r>
      <w:r w:rsidR="00C16580">
        <w:t>pproved</w:t>
      </w:r>
      <w:r>
        <w:t xml:space="preserve"> Maintena</w:t>
      </w:r>
      <w:r w:rsidR="004B4ED2">
        <w:t>nce Outage or a revision to an a</w:t>
      </w:r>
      <w:r>
        <w:t>pproved Maintenance Outage to CA</w:t>
      </w:r>
      <w:r w:rsidR="002D59D5">
        <w:t xml:space="preserve">ISO via the </w:t>
      </w:r>
      <w:r w:rsidR="00B53E8D">
        <w:t xml:space="preserve">CAISO </w:t>
      </w:r>
      <w:r w:rsidR="00B53E8D" w:rsidRPr="00F51FA9">
        <w:t>outage management system</w:t>
      </w:r>
      <w:r>
        <w:t xml:space="preserve"> no later </w:t>
      </w:r>
      <w:r w:rsidR="006930FE">
        <w:t>than seven d</w:t>
      </w:r>
      <w:r>
        <w:t xml:space="preserve">ays prior to the start date of the proposed Outage for Transmission facilities, as specified in </w:t>
      </w:r>
      <w:r w:rsidR="00FB45EB">
        <w:t xml:space="preserve">the </w:t>
      </w:r>
      <w:r>
        <w:t>CAISO Tariff Section 9.3.6.3.1</w:t>
      </w:r>
      <w:r w:rsidR="00807FB3">
        <w:t>,</w:t>
      </w:r>
      <w:r w:rsidR="002D59D5">
        <w:t xml:space="preserve"> for the O</w:t>
      </w:r>
      <w:r>
        <w:t>uta</w:t>
      </w:r>
      <w:r w:rsidR="002D59D5">
        <w:t>ge to be a planned maintenance O</w:t>
      </w:r>
      <w:r>
        <w:t xml:space="preserve">utage. </w:t>
      </w:r>
    </w:p>
    <w:p w14:paraId="58080AF0" w14:textId="77777777" w:rsidR="00246BB9" w:rsidRDefault="00246BB9" w:rsidP="006F6DD6">
      <w:pPr>
        <w:pStyle w:val="ParaText"/>
      </w:pPr>
      <w:r w:rsidRPr="001D0D39">
        <w:rPr>
          <w:rFonts w:cs="Arial"/>
          <w:b/>
        </w:rPr>
        <w:t>Note:</w:t>
      </w:r>
      <w:r>
        <w:rPr>
          <w:rFonts w:cs="Arial"/>
        </w:rPr>
        <w:t xml:space="preserve"> The </w:t>
      </w:r>
      <w:r w:rsidR="006930FE">
        <w:rPr>
          <w:rFonts w:cs="Arial"/>
        </w:rPr>
        <w:t xml:space="preserve">determination of </w:t>
      </w:r>
      <w:r w:rsidR="00FB45EB">
        <w:rPr>
          <w:rFonts w:cs="Arial"/>
        </w:rPr>
        <w:t xml:space="preserve">a </w:t>
      </w:r>
      <w:r w:rsidR="006930FE">
        <w:rPr>
          <w:rFonts w:cs="Arial"/>
        </w:rPr>
        <w:t>seven</w:t>
      </w:r>
      <w:r w:rsidR="00807FB3">
        <w:rPr>
          <w:rFonts w:cs="Arial"/>
        </w:rPr>
        <w:t>-</w:t>
      </w:r>
      <w:r>
        <w:rPr>
          <w:rFonts w:cs="Arial"/>
        </w:rPr>
        <w:t xml:space="preserve">day prior notice excludes the date of submission and the date of the </w:t>
      </w:r>
      <w:r w:rsidR="00807FB3">
        <w:rPr>
          <w:rFonts w:cs="Arial"/>
        </w:rPr>
        <w:t>O</w:t>
      </w:r>
      <w:r w:rsidR="009C0EE3">
        <w:rPr>
          <w:rFonts w:cs="Arial"/>
        </w:rPr>
        <w:t>u</w:t>
      </w:r>
      <w:r w:rsidR="005F0022">
        <w:rPr>
          <w:rFonts w:cs="Arial"/>
        </w:rPr>
        <w:t>t</w:t>
      </w:r>
      <w:r w:rsidR="009C0EE3">
        <w:rPr>
          <w:rFonts w:cs="Arial"/>
        </w:rPr>
        <w:t>age</w:t>
      </w:r>
      <w:r>
        <w:rPr>
          <w:rFonts w:cs="Arial"/>
        </w:rPr>
        <w:t xml:space="preserve">. </w:t>
      </w:r>
      <w:r>
        <w:t xml:space="preserve"> </w:t>
      </w:r>
    </w:p>
    <w:p w14:paraId="47987845" w14:textId="77777777" w:rsidR="00246BB9" w:rsidRDefault="00C26CE0" w:rsidP="006F6DD6">
      <w:pPr>
        <w:pStyle w:val="ParaText"/>
      </w:pPr>
      <w:r>
        <w:t xml:space="preserve">Notification by </w:t>
      </w:r>
      <w:r w:rsidR="00807FB3">
        <w:t xml:space="preserve">the </w:t>
      </w:r>
      <w:r>
        <w:t xml:space="preserve">EIM </w:t>
      </w:r>
      <w:r w:rsidR="00F73DA7">
        <w:t>Entity</w:t>
      </w:r>
      <w:r w:rsidR="004B4ED2">
        <w:t xml:space="preserve"> Scheduling Coordinator of a</w:t>
      </w:r>
      <w:r>
        <w:t>pproved Transmission Outage</w:t>
      </w:r>
      <w:r w:rsidR="00246BB9">
        <w:t xml:space="preserve"> must specify the following:</w:t>
      </w:r>
    </w:p>
    <w:p w14:paraId="3F4ADC2A" w14:textId="77777777" w:rsidR="00246BB9" w:rsidRDefault="00246BB9" w:rsidP="000F0531">
      <w:pPr>
        <w:pStyle w:val="ParaText"/>
        <w:numPr>
          <w:ilvl w:val="0"/>
          <w:numId w:val="19"/>
        </w:numPr>
        <w:spacing w:after="160" w:line="259" w:lineRule="auto"/>
      </w:pPr>
      <w:r>
        <w:t>Identification and location of the transmission system element(s) to be maintained</w:t>
      </w:r>
    </w:p>
    <w:p w14:paraId="35ECFCB8" w14:textId="77777777" w:rsidR="00246BB9" w:rsidRDefault="00246BB9" w:rsidP="000F0531">
      <w:pPr>
        <w:pStyle w:val="ParaText"/>
        <w:numPr>
          <w:ilvl w:val="0"/>
          <w:numId w:val="19"/>
        </w:numPr>
        <w:spacing w:after="160" w:line="259" w:lineRule="auto"/>
      </w:pPr>
      <w:r>
        <w:t>Nature of the maintenance to be performed</w:t>
      </w:r>
    </w:p>
    <w:p w14:paraId="5FA7E0EE" w14:textId="77777777" w:rsidR="00246BB9" w:rsidRPr="006930FE" w:rsidRDefault="0008639E" w:rsidP="000F0531">
      <w:pPr>
        <w:pStyle w:val="ParaText"/>
        <w:numPr>
          <w:ilvl w:val="0"/>
          <w:numId w:val="19"/>
        </w:numPr>
        <w:spacing w:after="160" w:line="259" w:lineRule="auto"/>
      </w:pPr>
      <w:r>
        <w:rPr>
          <w:rFonts w:cs="Arial"/>
        </w:rPr>
        <w:t>Modeled</w:t>
      </w:r>
      <w:r w:rsidR="008B53E8">
        <w:rPr>
          <w:rFonts w:cs="Arial"/>
        </w:rPr>
        <w:t xml:space="preserve"> system O</w:t>
      </w:r>
      <w:r w:rsidR="00246BB9">
        <w:rPr>
          <w:rFonts w:cs="Arial"/>
        </w:rPr>
        <w:t xml:space="preserve">utage boundaries to </w:t>
      </w:r>
      <w:r w:rsidR="008B53E8">
        <w:rPr>
          <w:rFonts w:cs="Arial"/>
        </w:rPr>
        <w:t>facilitate the equipment O</w:t>
      </w:r>
      <w:r w:rsidR="006930FE">
        <w:rPr>
          <w:rFonts w:cs="Arial"/>
        </w:rPr>
        <w:t>utage</w:t>
      </w:r>
    </w:p>
    <w:p w14:paraId="466CEC3E" w14:textId="77777777" w:rsidR="00246BB9" w:rsidRDefault="00246BB9" w:rsidP="000F0531">
      <w:pPr>
        <w:pStyle w:val="ParaText"/>
        <w:numPr>
          <w:ilvl w:val="0"/>
          <w:numId w:val="19"/>
        </w:numPr>
        <w:spacing w:after="160" w:line="259" w:lineRule="auto"/>
      </w:pPr>
      <w:r>
        <w:t>Date and time the Maintenance Outage is to begin</w:t>
      </w:r>
    </w:p>
    <w:p w14:paraId="5BAFE1EF" w14:textId="77777777" w:rsidR="00246BB9" w:rsidRDefault="00246BB9" w:rsidP="000F0531">
      <w:pPr>
        <w:pStyle w:val="ParaText"/>
        <w:numPr>
          <w:ilvl w:val="0"/>
          <w:numId w:val="19"/>
        </w:numPr>
        <w:spacing w:after="160" w:line="259" w:lineRule="auto"/>
      </w:pPr>
      <w:r>
        <w:t>Date and time the Maintenance Outage is to be completed</w:t>
      </w:r>
    </w:p>
    <w:p w14:paraId="057B7EBF" w14:textId="77777777" w:rsidR="00246BB9" w:rsidRPr="00BA2E6E" w:rsidRDefault="00D06F42" w:rsidP="000F0531">
      <w:pPr>
        <w:pStyle w:val="ParaText"/>
        <w:numPr>
          <w:ilvl w:val="0"/>
          <w:numId w:val="19"/>
        </w:numPr>
        <w:spacing w:after="160" w:line="259" w:lineRule="auto"/>
      </w:pPr>
      <w:r>
        <w:lastRenderedPageBreak/>
        <w:t xml:space="preserve">Emergency Return Time – </w:t>
      </w:r>
      <w:r w:rsidR="00807FB3">
        <w:t>T</w:t>
      </w:r>
      <w:r>
        <w:t xml:space="preserve">he </w:t>
      </w:r>
      <w:r w:rsidR="009C0EE3">
        <w:t>time</w:t>
      </w:r>
      <w:r w:rsidR="00246BB9">
        <w:t xml:space="preserve"> required to terminate the maintenance and restore the transmission system to normal operation</w:t>
      </w:r>
      <w:r w:rsidR="00725D1A">
        <w:t>, if necessary</w:t>
      </w:r>
    </w:p>
    <w:p w14:paraId="6DBA0E98" w14:textId="77777777" w:rsidR="00246BB9" w:rsidRPr="005F0022" w:rsidRDefault="00246BB9" w:rsidP="005F0022">
      <w:pPr>
        <w:rPr>
          <w:b/>
        </w:rPr>
      </w:pPr>
      <w:r w:rsidRPr="005F0022">
        <w:rPr>
          <w:b/>
        </w:rPr>
        <w:t>Generation Outage S</w:t>
      </w:r>
      <w:r w:rsidR="004E5E7A">
        <w:rPr>
          <w:b/>
        </w:rPr>
        <w:t>ubmission</w:t>
      </w:r>
    </w:p>
    <w:p w14:paraId="15CED9AD" w14:textId="77777777" w:rsidR="00376ED9" w:rsidRDefault="00246BB9" w:rsidP="00480065">
      <w:pPr>
        <w:pStyle w:val="ParaText"/>
      </w:pPr>
      <w:r>
        <w:t xml:space="preserve">The EIM Entity or EIM </w:t>
      </w:r>
      <w:r w:rsidR="002556CA">
        <w:t xml:space="preserve">Entity </w:t>
      </w:r>
      <w:r>
        <w:t>Scheduling Coordinator must submit a new</w:t>
      </w:r>
      <w:r w:rsidR="004B4ED2">
        <w:t xml:space="preserve"> a</w:t>
      </w:r>
      <w:r w:rsidR="0008639E">
        <w:t>pproved</w:t>
      </w:r>
      <w:r>
        <w:t xml:space="preserve"> Maintena</w:t>
      </w:r>
      <w:r w:rsidR="004B4ED2">
        <w:t>nce Outage or a revision to an a</w:t>
      </w:r>
      <w:r>
        <w:t>pproved Maint</w:t>
      </w:r>
      <w:r w:rsidR="008B53E8">
        <w:t xml:space="preserve">enance Outage to CAISO via the </w:t>
      </w:r>
      <w:r w:rsidR="00B53E8D">
        <w:t xml:space="preserve">CAISO </w:t>
      </w:r>
      <w:r w:rsidR="00B53E8D" w:rsidRPr="00F51FA9">
        <w:t>outage management system</w:t>
      </w:r>
      <w:r w:rsidR="006930FE">
        <w:t xml:space="preserve"> no later than seven d</w:t>
      </w:r>
      <w:r>
        <w:t>ays prior to the start date of the proposed Outage as sp</w:t>
      </w:r>
      <w:r w:rsidR="00AB3A96">
        <w:t xml:space="preserve">ecified in CAISO Tariff Section </w:t>
      </w:r>
      <w:r>
        <w:t>9.3.6.3.1</w:t>
      </w:r>
      <w:r w:rsidR="00807FB3">
        <w:t xml:space="preserve"> in order</w:t>
      </w:r>
      <w:r w:rsidR="008B53E8">
        <w:t xml:space="preserve"> for the O</w:t>
      </w:r>
      <w:r>
        <w:t>uta</w:t>
      </w:r>
      <w:r w:rsidR="000D1AA1">
        <w:t>ge to be a planned M</w:t>
      </w:r>
      <w:r w:rsidR="008B53E8">
        <w:t>aintenance O</w:t>
      </w:r>
      <w:r>
        <w:t xml:space="preserve">utage. </w:t>
      </w:r>
    </w:p>
    <w:p w14:paraId="3B819073" w14:textId="77777777" w:rsidR="00BA2E6E" w:rsidRPr="00BA2E6E" w:rsidRDefault="00246BB9" w:rsidP="00480065">
      <w:pPr>
        <w:pStyle w:val="ParaText"/>
      </w:pPr>
      <w:r w:rsidRPr="00376ED9">
        <w:rPr>
          <w:rFonts w:cs="Arial"/>
          <w:b/>
        </w:rPr>
        <w:t>Note:</w:t>
      </w:r>
      <w:r>
        <w:rPr>
          <w:rFonts w:cs="Arial"/>
        </w:rPr>
        <w:t xml:space="preserve"> The determination of seven</w:t>
      </w:r>
      <w:r w:rsidR="00807FB3">
        <w:rPr>
          <w:rFonts w:cs="Arial"/>
        </w:rPr>
        <w:t>-</w:t>
      </w:r>
      <w:r>
        <w:rPr>
          <w:rFonts w:cs="Arial"/>
        </w:rPr>
        <w:t xml:space="preserve">day prior notice excludes the date of </w:t>
      </w:r>
      <w:r w:rsidR="008B53E8">
        <w:rPr>
          <w:rFonts w:cs="Arial"/>
        </w:rPr>
        <w:t>submission and the date of the O</w:t>
      </w:r>
      <w:r>
        <w:rPr>
          <w:rFonts w:cs="Arial"/>
        </w:rPr>
        <w:t xml:space="preserve">utage. </w:t>
      </w:r>
      <w:r>
        <w:t xml:space="preserve"> </w:t>
      </w:r>
    </w:p>
    <w:p w14:paraId="748F5401" w14:textId="77777777" w:rsidR="00246BB9" w:rsidRDefault="00246BB9" w:rsidP="006F6DD6">
      <w:pPr>
        <w:pStyle w:val="ParaText"/>
      </w:pPr>
      <w:r>
        <w:t>For Generators</w:t>
      </w:r>
      <w:r w:rsidR="002C27BC">
        <w:t>,</w:t>
      </w:r>
      <w:r>
        <w:t xml:space="preserve"> </w:t>
      </w:r>
      <w:r w:rsidR="00BD4BC7">
        <w:t xml:space="preserve">a </w:t>
      </w:r>
      <w:r>
        <w:t xml:space="preserve">request for an Outage must specify the following: </w:t>
      </w:r>
    </w:p>
    <w:p w14:paraId="3996AE76" w14:textId="77777777" w:rsidR="00246BB9" w:rsidRDefault="00246BB9" w:rsidP="000F0531">
      <w:pPr>
        <w:pStyle w:val="ParaText"/>
        <w:numPr>
          <w:ilvl w:val="0"/>
          <w:numId w:val="20"/>
        </w:numPr>
        <w:spacing w:after="160" w:line="259" w:lineRule="auto"/>
      </w:pPr>
      <w:r>
        <w:t>Generating Unit or System Unit name and Location Code</w:t>
      </w:r>
    </w:p>
    <w:p w14:paraId="64AFC7B2" w14:textId="77777777" w:rsidR="00246BB9" w:rsidRDefault="00246BB9" w:rsidP="000F0531">
      <w:pPr>
        <w:pStyle w:val="ParaText"/>
        <w:numPr>
          <w:ilvl w:val="0"/>
          <w:numId w:val="20"/>
        </w:numPr>
        <w:spacing w:after="160" w:line="259" w:lineRule="auto"/>
      </w:pPr>
      <w:r>
        <w:t>Nature of the maintenance to be performed</w:t>
      </w:r>
    </w:p>
    <w:p w14:paraId="468CE7E8" w14:textId="77777777" w:rsidR="00246BB9" w:rsidRDefault="00246BB9" w:rsidP="000F0531">
      <w:pPr>
        <w:pStyle w:val="ParaText"/>
        <w:numPr>
          <w:ilvl w:val="0"/>
          <w:numId w:val="20"/>
        </w:numPr>
        <w:spacing w:after="160" w:line="259" w:lineRule="auto"/>
      </w:pPr>
      <w:r>
        <w:t>Date and time the Outage is to begin</w:t>
      </w:r>
    </w:p>
    <w:p w14:paraId="26A98CDE" w14:textId="77777777" w:rsidR="00246BB9" w:rsidRDefault="00246BB9" w:rsidP="000F0531">
      <w:pPr>
        <w:pStyle w:val="ParaText"/>
        <w:numPr>
          <w:ilvl w:val="0"/>
          <w:numId w:val="20"/>
        </w:numPr>
        <w:spacing w:after="160" w:line="259" w:lineRule="auto"/>
      </w:pPr>
      <w:r>
        <w:t>Date and time the Outage is to be completed</w:t>
      </w:r>
    </w:p>
    <w:p w14:paraId="518DF577" w14:textId="77777777" w:rsidR="00246BB9" w:rsidRDefault="00D06F42" w:rsidP="000F0531">
      <w:pPr>
        <w:pStyle w:val="ParaText"/>
        <w:numPr>
          <w:ilvl w:val="0"/>
          <w:numId w:val="20"/>
        </w:numPr>
        <w:spacing w:after="160" w:line="259" w:lineRule="auto"/>
      </w:pPr>
      <w:r>
        <w:t xml:space="preserve">Emergency Return Time – </w:t>
      </w:r>
      <w:r w:rsidR="00807FB3">
        <w:t>T</w:t>
      </w:r>
      <w:r>
        <w:t>he t</w:t>
      </w:r>
      <w:r w:rsidR="00246BB9">
        <w:t xml:space="preserve">ime required to terminate the </w:t>
      </w:r>
      <w:r w:rsidR="00AB3A96">
        <w:t>O</w:t>
      </w:r>
      <w:r w:rsidR="00246BB9">
        <w:t>utage and restore the Generating Unit to normal capacity</w:t>
      </w:r>
      <w:r w:rsidR="00BD4BC7">
        <w:t>, if necessary</w:t>
      </w:r>
    </w:p>
    <w:p w14:paraId="4E0EC7BF" w14:textId="77777777" w:rsidR="00246BB9" w:rsidRDefault="00246BB9" w:rsidP="006F6DD6">
      <w:pPr>
        <w:pStyle w:val="Heading3"/>
        <w:spacing w:line="300" w:lineRule="auto"/>
      </w:pPr>
      <w:bookmarkStart w:id="128" w:name="_Toc386180504"/>
      <w:bookmarkStart w:id="129" w:name="_Toc386181197"/>
      <w:bookmarkStart w:id="130" w:name="_Toc386180505"/>
      <w:bookmarkStart w:id="131" w:name="_Toc386181198"/>
      <w:bookmarkStart w:id="132" w:name="_Toc386182105"/>
      <w:bookmarkStart w:id="133" w:name="_Toc389662586"/>
      <w:bookmarkStart w:id="134" w:name="_Toc390946270"/>
      <w:bookmarkStart w:id="135" w:name="_Toc391969831"/>
      <w:bookmarkStart w:id="136" w:name="_Toc20384094"/>
      <w:bookmarkEnd w:id="128"/>
      <w:bookmarkEnd w:id="129"/>
      <w:bookmarkEnd w:id="130"/>
      <w:bookmarkEnd w:id="131"/>
      <w:r>
        <w:t>Generation Resource Start</w:t>
      </w:r>
      <w:r w:rsidR="00807FB3">
        <w:t>-</w:t>
      </w:r>
      <w:r>
        <w:t>Up Time</w:t>
      </w:r>
      <w:bookmarkEnd w:id="132"/>
      <w:bookmarkEnd w:id="133"/>
      <w:bookmarkEnd w:id="134"/>
      <w:bookmarkEnd w:id="135"/>
      <w:bookmarkEnd w:id="136"/>
    </w:p>
    <w:p w14:paraId="2811CB59" w14:textId="77777777" w:rsidR="00246BB9" w:rsidRPr="002C27BC" w:rsidRDefault="00246BB9" w:rsidP="00B06DE4">
      <w:pPr>
        <w:pStyle w:val="ParaText"/>
      </w:pPr>
      <w:r>
        <w:t>Generation Maintenance Outages should not include start</w:t>
      </w:r>
      <w:r w:rsidR="00807FB3">
        <w:t>-</w:t>
      </w:r>
      <w:r>
        <w:t>up time. Each generator’s start</w:t>
      </w:r>
      <w:r w:rsidR="00807FB3">
        <w:t>-</w:t>
      </w:r>
      <w:r>
        <w:t xml:space="preserve">up time is documented in the Master File and is considered to begin once the generator has been called on by the </w:t>
      </w:r>
      <w:r w:rsidR="0008639E">
        <w:t xml:space="preserve">EIM </w:t>
      </w:r>
      <w:r w:rsidR="00F73DA7">
        <w:t>Entity</w:t>
      </w:r>
      <w:r>
        <w:t xml:space="preserve"> or for a scheduled start up. </w:t>
      </w:r>
    </w:p>
    <w:p w14:paraId="4DB2CA75" w14:textId="77777777" w:rsidR="00246BB9" w:rsidRDefault="00246BB9" w:rsidP="006F6DD6">
      <w:pPr>
        <w:pStyle w:val="Heading3"/>
        <w:spacing w:line="300" w:lineRule="auto"/>
      </w:pPr>
      <w:bookmarkStart w:id="137" w:name="_Toc386182106"/>
      <w:bookmarkStart w:id="138" w:name="_Toc389662587"/>
      <w:bookmarkStart w:id="139" w:name="_Toc390946271"/>
      <w:bookmarkStart w:id="140" w:name="_Toc391969832"/>
      <w:bookmarkStart w:id="141" w:name="_Toc20384095"/>
      <w:r>
        <w:t xml:space="preserve">Confirmation </w:t>
      </w:r>
      <w:r w:rsidR="003C4D17">
        <w:t xml:space="preserve">and Acknowledgement </w:t>
      </w:r>
      <w:r>
        <w:t>of Receipt of Outage Request</w:t>
      </w:r>
      <w:bookmarkEnd w:id="137"/>
      <w:bookmarkEnd w:id="138"/>
      <w:bookmarkEnd w:id="139"/>
      <w:bookmarkEnd w:id="140"/>
      <w:bookmarkEnd w:id="141"/>
      <w:r>
        <w:t xml:space="preserve"> </w:t>
      </w:r>
    </w:p>
    <w:p w14:paraId="5F0DBC06" w14:textId="77777777" w:rsidR="00246BB9" w:rsidRPr="002D59D5" w:rsidRDefault="00B53E8D" w:rsidP="002D59D5">
      <w:pPr>
        <w:spacing w:after="240" w:line="300" w:lineRule="auto"/>
      </w:pPr>
      <w:bookmarkStart w:id="142" w:name="_Toc386180508"/>
      <w:bookmarkStart w:id="143" w:name="_Toc386181201"/>
      <w:bookmarkStart w:id="144" w:name="_Toc386180509"/>
      <w:bookmarkStart w:id="145" w:name="_Toc386181202"/>
      <w:bookmarkStart w:id="146" w:name="_Toc386180510"/>
      <w:bookmarkStart w:id="147" w:name="_Toc386181203"/>
      <w:bookmarkStart w:id="148" w:name="_Toc386180511"/>
      <w:bookmarkStart w:id="149" w:name="_Toc386181204"/>
      <w:bookmarkStart w:id="150" w:name="_Toc386180512"/>
      <w:bookmarkStart w:id="151" w:name="_Toc386181205"/>
      <w:bookmarkStart w:id="152" w:name="_Toc386180513"/>
      <w:bookmarkStart w:id="153" w:name="_Toc386181206"/>
      <w:bookmarkStart w:id="154" w:name="_Toc386180514"/>
      <w:bookmarkStart w:id="155" w:name="_Toc386181207"/>
      <w:bookmarkStart w:id="156" w:name="_Toc386180515"/>
      <w:bookmarkStart w:id="157" w:name="_Toc386181208"/>
      <w:bookmarkStart w:id="158" w:name="_Toc386180516"/>
      <w:bookmarkStart w:id="159" w:name="_Toc386181209"/>
      <w:bookmarkStart w:id="160" w:name="_Toc386180517"/>
      <w:bookmarkStart w:id="161" w:name="_Toc386181210"/>
      <w:bookmarkStart w:id="162" w:name="_Toc386180518"/>
      <w:bookmarkStart w:id="163" w:name="_Toc386181211"/>
      <w:bookmarkStart w:id="164" w:name="_Toc386180519"/>
      <w:bookmarkStart w:id="165" w:name="_Toc386181212"/>
      <w:bookmarkStart w:id="166" w:name="_Toc386180520"/>
      <w:bookmarkStart w:id="167" w:name="_Toc386181213"/>
      <w:bookmarkStart w:id="168" w:name="_Toc386180521"/>
      <w:bookmarkStart w:id="169" w:name="_Toc386181214"/>
      <w:bookmarkStart w:id="170" w:name="_Toc386180522"/>
      <w:bookmarkStart w:id="171" w:name="_Toc386181215"/>
      <w:bookmarkStart w:id="172" w:name="_Toc386180523"/>
      <w:bookmarkStart w:id="173" w:name="_Toc386181216"/>
      <w:bookmarkStart w:id="174" w:name="_Toc386180524"/>
      <w:bookmarkStart w:id="175" w:name="_Toc38618121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t xml:space="preserve">CAISO </w:t>
      </w:r>
      <w:r w:rsidRPr="00F51FA9">
        <w:t>outage management system</w:t>
      </w:r>
      <w:r w:rsidR="002D59D5">
        <w:t xml:space="preserve"> acknowledges receipt of each new EIM Entity approved Outage request.  </w:t>
      </w:r>
      <w:r w:rsidR="00563036">
        <w:t>EIM E</w:t>
      </w:r>
      <w:r w:rsidR="00246BB9">
        <w:t xml:space="preserve">ntity and EIM </w:t>
      </w:r>
      <w:r w:rsidR="002556CA">
        <w:t xml:space="preserve">Entity </w:t>
      </w:r>
      <w:r w:rsidR="00246BB9">
        <w:t xml:space="preserve">Scheduling Coordinator </w:t>
      </w:r>
      <w:r w:rsidR="0008639E">
        <w:t>approved</w:t>
      </w:r>
      <w:r w:rsidR="0008639E" w:rsidRPr="005F0022">
        <w:t xml:space="preserve"> </w:t>
      </w:r>
      <w:r w:rsidR="008B53E8">
        <w:t>O</w:t>
      </w:r>
      <w:r w:rsidR="00246BB9">
        <w:t>utage requests and revisions must meet the minimum data requirements of th</w:t>
      </w:r>
      <w:r w:rsidR="00AB3A96">
        <w:t xml:space="preserve">e </w:t>
      </w:r>
      <w:r>
        <w:t xml:space="preserve">CAISO </w:t>
      </w:r>
      <w:r w:rsidRPr="00F51FA9">
        <w:t>outage management system</w:t>
      </w:r>
      <w:r w:rsidR="002D59D5">
        <w:t>.  If an O</w:t>
      </w:r>
      <w:r w:rsidR="00246BB9">
        <w:t>utage request or revisi</w:t>
      </w:r>
      <w:r w:rsidR="00AB3A96">
        <w:t>on passes that validation, the O</w:t>
      </w:r>
      <w:r w:rsidR="00246BB9">
        <w:t>utage will automatically</w:t>
      </w:r>
      <w:r w:rsidR="00C83D09">
        <w:t xml:space="preserve"> be</w:t>
      </w:r>
      <w:r w:rsidR="00246BB9">
        <w:t xml:space="preserve"> processed and passed to the market systems without </w:t>
      </w:r>
      <w:r w:rsidR="00807FB3">
        <w:t xml:space="preserve">the </w:t>
      </w:r>
      <w:r w:rsidR="00246BB9">
        <w:t xml:space="preserve">CAISO OCO review or revision.  </w:t>
      </w:r>
    </w:p>
    <w:p w14:paraId="2CF323FF" w14:textId="77777777" w:rsidR="00246BB9" w:rsidRDefault="00246BB9" w:rsidP="006F6DD6">
      <w:pPr>
        <w:pStyle w:val="Heading3"/>
        <w:spacing w:line="300" w:lineRule="auto"/>
      </w:pPr>
      <w:bookmarkStart w:id="176" w:name="_Toc386180526"/>
      <w:bookmarkStart w:id="177" w:name="_Toc386181219"/>
      <w:bookmarkStart w:id="178" w:name="_Toc386180527"/>
      <w:bookmarkStart w:id="179" w:name="_Toc386181220"/>
      <w:bookmarkStart w:id="180" w:name="_Toc386180528"/>
      <w:bookmarkStart w:id="181" w:name="_Toc386181221"/>
      <w:bookmarkStart w:id="182" w:name="_Toc386180529"/>
      <w:bookmarkStart w:id="183" w:name="_Toc386181222"/>
      <w:bookmarkStart w:id="184" w:name="_Toc386180530"/>
      <w:bookmarkStart w:id="185" w:name="_Toc386181223"/>
      <w:bookmarkStart w:id="186" w:name="_Toc386180531"/>
      <w:bookmarkStart w:id="187" w:name="_Toc386181224"/>
      <w:bookmarkStart w:id="188" w:name="_Toc386180532"/>
      <w:bookmarkStart w:id="189" w:name="_Toc386181225"/>
      <w:bookmarkStart w:id="190" w:name="_Toc386182113"/>
      <w:bookmarkStart w:id="191" w:name="_Toc389662589"/>
      <w:bookmarkStart w:id="192" w:name="_Toc390946272"/>
      <w:bookmarkStart w:id="193" w:name="_Toc391969833"/>
      <w:bookmarkStart w:id="194" w:name="_Toc20384096"/>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lastRenderedPageBreak/>
        <w:t>Withdrawal or Modification of Request</w:t>
      </w:r>
      <w:bookmarkEnd w:id="190"/>
      <w:bookmarkEnd w:id="191"/>
      <w:bookmarkEnd w:id="192"/>
      <w:bookmarkEnd w:id="193"/>
      <w:bookmarkEnd w:id="194"/>
    </w:p>
    <w:p w14:paraId="06B8C41C" w14:textId="13CC18D0" w:rsidR="00246BB9" w:rsidRDefault="00246BB9" w:rsidP="006F6DD6">
      <w:pPr>
        <w:pStyle w:val="ParaText"/>
      </w:pPr>
      <w:r>
        <w:t>Th</w:t>
      </w:r>
      <w:r w:rsidR="00563036">
        <w:t>e EIM E</w:t>
      </w:r>
      <w:r>
        <w:t xml:space="preserve">ntity and EIM </w:t>
      </w:r>
      <w:r w:rsidR="002556CA">
        <w:t xml:space="preserve">Entity </w:t>
      </w:r>
      <w:r>
        <w:t>Scheduling Coordinator may withdraw an Outage at any time prior to actual commencement of the Outage.  Outage modifications can be made via th</w:t>
      </w:r>
      <w:r w:rsidR="00AB3A96">
        <w:t xml:space="preserve">e CAISO </w:t>
      </w:r>
      <w:r w:rsidR="00B722C6">
        <w:t>o</w:t>
      </w:r>
      <w:r w:rsidR="000D1AA1">
        <w:t xml:space="preserve">utage </w:t>
      </w:r>
      <w:r w:rsidR="00B722C6">
        <w:t>m</w:t>
      </w:r>
      <w:r w:rsidR="000D1AA1">
        <w:t xml:space="preserve">anagement </w:t>
      </w:r>
      <w:r w:rsidR="00B722C6">
        <w:t>s</w:t>
      </w:r>
      <w:r w:rsidR="000D1AA1">
        <w:t>ystem</w:t>
      </w:r>
      <w:r>
        <w:t xml:space="preserve"> and will automatically</w:t>
      </w:r>
      <w:r w:rsidR="00C83D09">
        <w:t xml:space="preserve"> be</w:t>
      </w:r>
      <w:r>
        <w:t xml:space="preserve"> processed if all data entries are valid.  </w:t>
      </w:r>
    </w:p>
    <w:p w14:paraId="79480ACF" w14:textId="77777777" w:rsidR="00246BB9" w:rsidRDefault="00246BB9" w:rsidP="006F6DD6">
      <w:pPr>
        <w:pStyle w:val="Heading3"/>
        <w:spacing w:line="300" w:lineRule="auto"/>
      </w:pPr>
      <w:bookmarkStart w:id="195" w:name="_Toc386180534"/>
      <w:bookmarkStart w:id="196" w:name="_Toc386181227"/>
      <w:bookmarkStart w:id="197" w:name="_Toc386180535"/>
      <w:bookmarkStart w:id="198" w:name="_Toc386181228"/>
      <w:bookmarkStart w:id="199" w:name="_Toc386180536"/>
      <w:bookmarkStart w:id="200" w:name="_Toc386181229"/>
      <w:bookmarkStart w:id="201" w:name="_Toc386180537"/>
      <w:bookmarkStart w:id="202" w:name="_Toc386181230"/>
      <w:bookmarkStart w:id="203" w:name="_Toc386180538"/>
      <w:bookmarkStart w:id="204" w:name="_Toc386181231"/>
      <w:bookmarkStart w:id="205" w:name="_Toc386180539"/>
      <w:bookmarkStart w:id="206" w:name="_Toc386181232"/>
      <w:bookmarkStart w:id="207" w:name="_Toc386182116"/>
      <w:bookmarkStart w:id="208" w:name="_Toc389662590"/>
      <w:bookmarkStart w:id="209" w:name="_Toc390946273"/>
      <w:bookmarkStart w:id="210" w:name="_Toc391969834"/>
      <w:bookmarkStart w:id="211" w:name="_Toc20384097"/>
      <w:bookmarkEnd w:id="195"/>
      <w:bookmarkEnd w:id="196"/>
      <w:bookmarkEnd w:id="197"/>
      <w:bookmarkEnd w:id="198"/>
      <w:bookmarkEnd w:id="199"/>
      <w:bookmarkEnd w:id="200"/>
      <w:bookmarkEnd w:id="201"/>
      <w:bookmarkEnd w:id="202"/>
      <w:bookmarkEnd w:id="203"/>
      <w:bookmarkEnd w:id="204"/>
      <w:bookmarkEnd w:id="205"/>
      <w:bookmarkEnd w:id="206"/>
      <w:r>
        <w:t>Changes to Planned Maintenance Outages</w:t>
      </w:r>
      <w:bookmarkEnd w:id="207"/>
      <w:bookmarkEnd w:id="208"/>
      <w:bookmarkEnd w:id="209"/>
      <w:bookmarkEnd w:id="210"/>
      <w:bookmarkEnd w:id="211"/>
    </w:p>
    <w:p w14:paraId="5BD3A095" w14:textId="77777777" w:rsidR="007C3DB7" w:rsidRPr="007C3DB7" w:rsidRDefault="00246BB9" w:rsidP="00121D83">
      <w:pPr>
        <w:pStyle w:val="ParaText"/>
      </w:pPr>
      <w:r w:rsidRPr="00CA517E">
        <w:t xml:space="preserve">The </w:t>
      </w:r>
      <w:r w:rsidR="00563036" w:rsidRPr="00CA517E">
        <w:t>EIM E</w:t>
      </w:r>
      <w:r w:rsidRPr="00CA517E">
        <w:t xml:space="preserve">ntity or EIM </w:t>
      </w:r>
      <w:r w:rsidR="00304DFF">
        <w:t xml:space="preserve">Entity </w:t>
      </w:r>
      <w:r w:rsidRPr="00CA517E">
        <w:t xml:space="preserve">Scheduling Coordinator may cancel a previously approved planned Maintenance Outage or submit a request to change a previously approved planned Maintenance Outage at any time prior to the </w:t>
      </w:r>
      <w:r w:rsidR="00807FB3" w:rsidRPr="00CA517E">
        <w:t>O</w:t>
      </w:r>
      <w:r w:rsidRPr="00CA517E">
        <w:t xml:space="preserve">utage start. Requests for such changes must include the information required and be in accordance with </w:t>
      </w:r>
      <w:r w:rsidR="00807FB3" w:rsidRPr="00CA517E">
        <w:t xml:space="preserve">the </w:t>
      </w:r>
      <w:r w:rsidR="003470BD" w:rsidRPr="00CA517E">
        <w:t>E</w:t>
      </w:r>
      <w:r w:rsidR="008B53E8">
        <w:t>IM O</w:t>
      </w:r>
      <w:r w:rsidR="003470BD" w:rsidRPr="00CA517E">
        <w:t>utage request</w:t>
      </w:r>
      <w:r w:rsidR="00021E09" w:rsidRPr="00CA517E">
        <w:t xml:space="preserve"> </w:t>
      </w:r>
      <w:r w:rsidRPr="00CA517E">
        <w:t>timing requirements</w:t>
      </w:r>
      <w:r w:rsidR="002D2099">
        <w:t xml:space="preserve"> which are consistent with the CAISO </w:t>
      </w:r>
      <w:hyperlink r:id="rId157" w:history="1">
        <w:r w:rsidR="002D2099" w:rsidRPr="0028240E">
          <w:rPr>
            <w:rStyle w:val="Hyperlink"/>
            <w:b/>
          </w:rPr>
          <w:t>BPM for Outage Management</w:t>
        </w:r>
      </w:hyperlink>
      <w:r w:rsidR="003470BD" w:rsidRPr="00CA517E">
        <w:t>.</w:t>
      </w:r>
      <w:r w:rsidR="008B53E8">
        <w:t xml:space="preserve"> Requests to cancel an Outage after the O</w:t>
      </w:r>
      <w:r w:rsidRPr="00CA517E">
        <w:t>utage start date and time have passed are not al</w:t>
      </w:r>
      <w:r w:rsidR="008B53E8">
        <w:t>lowed.  In that situation, the O</w:t>
      </w:r>
      <w:r w:rsidRPr="00CA517E">
        <w:t>utage must be returned to</w:t>
      </w:r>
      <w:r w:rsidR="008B53E8">
        <w:t xml:space="preserve"> service even if no O</w:t>
      </w:r>
      <w:r w:rsidRPr="00CA517E">
        <w:t xml:space="preserve">utage activity actually occurred.  </w:t>
      </w:r>
    </w:p>
    <w:p w14:paraId="60C457DB" w14:textId="77777777" w:rsidR="00944D06" w:rsidRDefault="00944D06" w:rsidP="006F6DD6">
      <w:pPr>
        <w:pStyle w:val="Heading2"/>
        <w:spacing w:line="300" w:lineRule="auto"/>
      </w:pPr>
      <w:bookmarkStart w:id="212" w:name="_Toc389662591"/>
      <w:bookmarkStart w:id="213" w:name="_Toc390946274"/>
      <w:bookmarkStart w:id="214" w:name="_Toc391969835"/>
      <w:bookmarkStart w:id="215" w:name="_Toc20384098"/>
      <w:r>
        <w:t>Management of Forced Outages</w:t>
      </w:r>
      <w:bookmarkEnd w:id="212"/>
      <w:bookmarkEnd w:id="213"/>
      <w:bookmarkEnd w:id="214"/>
      <w:bookmarkEnd w:id="215"/>
    </w:p>
    <w:p w14:paraId="676B63B1" w14:textId="77777777" w:rsidR="00944D06" w:rsidRPr="00586DE0" w:rsidRDefault="00944D06" w:rsidP="006F6DD6">
      <w:pPr>
        <w:pStyle w:val="ParaText"/>
      </w:pPr>
      <w:r w:rsidRPr="00586DE0">
        <w:t xml:space="preserve">In the </w:t>
      </w:r>
      <w:r w:rsidRPr="00586DE0">
        <w:rPr>
          <w:i/>
        </w:rPr>
        <w:t xml:space="preserve">Management of Forced Outages </w:t>
      </w:r>
      <w:r w:rsidR="00021E09" w:rsidRPr="00586DE0">
        <w:t>S</w:t>
      </w:r>
      <w:r w:rsidRPr="00586DE0">
        <w:t>ection you will find the following information:</w:t>
      </w:r>
    </w:p>
    <w:p w14:paraId="1DDC762A" w14:textId="77777777" w:rsidR="000C542A" w:rsidRPr="00A222A7" w:rsidRDefault="00944D06" w:rsidP="000F0531">
      <w:pPr>
        <w:pStyle w:val="Bullet1HRt"/>
        <w:numPr>
          <w:ilvl w:val="0"/>
          <w:numId w:val="21"/>
        </w:numPr>
        <w:spacing w:after="160" w:line="259" w:lineRule="auto"/>
      </w:pPr>
      <w:r w:rsidRPr="00586DE0">
        <w:t>A description of how</w:t>
      </w:r>
      <w:r w:rsidR="004B4ED2">
        <w:t xml:space="preserve"> EIM a</w:t>
      </w:r>
      <w:r w:rsidR="00FB30B2" w:rsidRPr="00586DE0">
        <w:t>pproved</w:t>
      </w:r>
      <w:r w:rsidRPr="00586DE0">
        <w:t xml:space="preserve"> Forced Outages</w:t>
      </w:r>
      <w:r w:rsidR="00FB30B2" w:rsidRPr="00586DE0">
        <w:t xml:space="preserve"> or an </w:t>
      </w:r>
      <w:r w:rsidR="00F73DA7" w:rsidRPr="00586DE0">
        <w:t>extension</w:t>
      </w:r>
      <w:r w:rsidR="004B4ED2">
        <w:t xml:space="preserve"> of an a</w:t>
      </w:r>
      <w:r w:rsidR="00FB30B2" w:rsidRPr="00586DE0">
        <w:t>pproved Maintenance Outage</w:t>
      </w:r>
      <w:r w:rsidRPr="00586DE0">
        <w:t xml:space="preserve"> </w:t>
      </w:r>
      <w:r w:rsidR="00FB30B2" w:rsidRPr="00586DE0">
        <w:t>is</w:t>
      </w:r>
      <w:r w:rsidR="00586DE0" w:rsidRPr="00586DE0">
        <w:t xml:space="preserve"> </w:t>
      </w:r>
      <w:r w:rsidRPr="00586DE0">
        <w:t xml:space="preserve">processed in the </w:t>
      </w:r>
      <w:r w:rsidR="00B53E8D">
        <w:t xml:space="preserve">CAISO </w:t>
      </w:r>
      <w:r w:rsidR="00B53E8D" w:rsidRPr="00F51FA9">
        <w:t>outage management system</w:t>
      </w:r>
      <w:r w:rsidRPr="00586DE0">
        <w:t>.</w:t>
      </w:r>
    </w:p>
    <w:p w14:paraId="2DADDC36" w14:textId="77777777" w:rsidR="00BF79A2" w:rsidRPr="00BF79A2" w:rsidRDefault="00BF79A2" w:rsidP="006F6DD6">
      <w:pPr>
        <w:pStyle w:val="Heading3"/>
        <w:spacing w:line="300" w:lineRule="auto"/>
      </w:pPr>
      <w:bookmarkStart w:id="216" w:name="_Toc390267999"/>
      <w:bookmarkStart w:id="217" w:name="_Toc390268130"/>
      <w:bookmarkStart w:id="218" w:name="_Toc390352488"/>
      <w:bookmarkStart w:id="219" w:name="_Toc390353465"/>
      <w:bookmarkStart w:id="220" w:name="_Toc390355415"/>
      <w:bookmarkStart w:id="221" w:name="_Toc390436079"/>
      <w:bookmarkStart w:id="222" w:name="_Toc390673370"/>
      <w:bookmarkStart w:id="223" w:name="_Toc390689644"/>
      <w:bookmarkStart w:id="224" w:name="_Toc390696648"/>
      <w:bookmarkStart w:id="225" w:name="_Toc390759662"/>
      <w:bookmarkStart w:id="226" w:name="_Toc390764418"/>
      <w:bookmarkStart w:id="227" w:name="_Toc390765943"/>
      <w:bookmarkStart w:id="228" w:name="_Toc390778412"/>
      <w:bookmarkStart w:id="229" w:name="_Toc390779390"/>
      <w:bookmarkStart w:id="230" w:name="_Toc390782203"/>
      <w:bookmarkStart w:id="231" w:name="_Toc390871675"/>
      <w:bookmarkStart w:id="232" w:name="_Toc390871732"/>
      <w:bookmarkStart w:id="233" w:name="_Toc390871789"/>
      <w:bookmarkStart w:id="234" w:name="_Toc389662592"/>
      <w:bookmarkStart w:id="235" w:name="_Toc390946275"/>
      <w:bookmarkStart w:id="236" w:name="_Toc391969836"/>
      <w:bookmarkStart w:id="237" w:name="_Toc20384099"/>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t>Forced Outages</w:t>
      </w:r>
      <w:bookmarkEnd w:id="234"/>
      <w:bookmarkEnd w:id="235"/>
      <w:bookmarkEnd w:id="236"/>
      <w:bookmarkEnd w:id="237"/>
    </w:p>
    <w:p w14:paraId="01E5CAE1" w14:textId="77777777" w:rsidR="000C542A" w:rsidRDefault="00BF79A2" w:rsidP="00BA2E6E">
      <w:pPr>
        <w:rPr>
          <w:b/>
        </w:rPr>
      </w:pPr>
      <w:r w:rsidRPr="00BA2E6E">
        <w:rPr>
          <w:b/>
        </w:rPr>
        <w:t>Outage Scheduling</w:t>
      </w:r>
    </w:p>
    <w:p w14:paraId="67A4C33F" w14:textId="35890CB9" w:rsidR="00586DE0" w:rsidRDefault="00BF79A2" w:rsidP="003C15E3">
      <w:pPr>
        <w:pStyle w:val="ParaText"/>
      </w:pPr>
      <w:r>
        <w:t xml:space="preserve">If the EIM Entity or the EIM </w:t>
      </w:r>
      <w:r w:rsidR="002556CA">
        <w:t xml:space="preserve">Entity </w:t>
      </w:r>
      <w:r>
        <w:t xml:space="preserve">Scheduling Coordinator submits a new </w:t>
      </w:r>
      <w:r w:rsidR="004B4ED2">
        <w:t>a</w:t>
      </w:r>
      <w:r w:rsidR="00FB30B2">
        <w:t xml:space="preserve">pproved </w:t>
      </w:r>
      <w:r>
        <w:t>Maintena</w:t>
      </w:r>
      <w:r w:rsidR="004B4ED2">
        <w:t>nce Outage or a revision to an a</w:t>
      </w:r>
      <w:r>
        <w:t>pp</w:t>
      </w:r>
      <w:r w:rsidR="009D507A">
        <w:t xml:space="preserve">roved Maintenance Outage to </w:t>
      </w:r>
      <w:r w:rsidR="008B53E8">
        <w:t xml:space="preserve">CAISO via the </w:t>
      </w:r>
      <w:r w:rsidR="00B722C6">
        <w:t>o</w:t>
      </w:r>
      <w:r w:rsidR="006D77FD">
        <w:t xml:space="preserve">utage </w:t>
      </w:r>
      <w:r w:rsidR="00B722C6">
        <w:t>m</w:t>
      </w:r>
      <w:r w:rsidR="006D77FD">
        <w:t xml:space="preserve">anagement </w:t>
      </w:r>
      <w:r w:rsidR="00B722C6">
        <w:t>s</w:t>
      </w:r>
      <w:r w:rsidR="00A15299">
        <w:t>ystem less than</w:t>
      </w:r>
      <w:r w:rsidR="00FA72A3">
        <w:t xml:space="preserve"> seven d</w:t>
      </w:r>
      <w:r>
        <w:t>ays prior to the start date of the proposed Outage</w:t>
      </w:r>
      <w:r w:rsidR="00FA72A3">
        <w:t>,</w:t>
      </w:r>
      <w:r>
        <w:t xml:space="preserve"> the </w:t>
      </w:r>
      <w:r w:rsidR="00021E09">
        <w:t>O</w:t>
      </w:r>
      <w:r>
        <w:t xml:space="preserve">utage will be a Forced </w:t>
      </w:r>
      <w:r w:rsidR="00021E09">
        <w:t>O</w:t>
      </w:r>
      <w:r>
        <w:t xml:space="preserve">utage. </w:t>
      </w:r>
      <w:r w:rsidR="003648B6">
        <w:t xml:space="preserve">The timely submission of </w:t>
      </w:r>
      <w:r w:rsidR="007C4B4F">
        <w:t>outages directly</w:t>
      </w:r>
      <w:r w:rsidR="003648B6">
        <w:t xml:space="preserve"> impact</w:t>
      </w:r>
      <w:r w:rsidR="007C7018">
        <w:t>s</w:t>
      </w:r>
      <w:r w:rsidR="003648B6">
        <w:t xml:space="preserve"> the network topology configuration, availability of the electrically connected resources, and/or the MW dispatch range of the available resources. Delays in submission of the forced outage information may result inaccurate real-time imbalance calculation for the look–ahead market intervals, and as a result price signals that may not represent the actual system conditions. Therefore, the timing requirements for submission of forced outages in the EIM entity BAA is set </w:t>
      </w:r>
      <w:r w:rsidR="003648B6" w:rsidRPr="00CA517E">
        <w:t xml:space="preserve">in accordance with the </w:t>
      </w:r>
      <w:r w:rsidR="00345B05">
        <w:t xml:space="preserve">timing required for CAISO as described by the </w:t>
      </w:r>
      <w:hyperlink r:id="rId158" w:history="1">
        <w:r w:rsidR="00345B05" w:rsidRPr="00345B05">
          <w:rPr>
            <w:rStyle w:val="Hyperlink"/>
            <w:b/>
          </w:rPr>
          <w:t>BPM for Outage Management</w:t>
        </w:r>
      </w:hyperlink>
      <w:r w:rsidR="00345B05">
        <w:t xml:space="preserve">, which is currently set at 60 minutes after the </w:t>
      </w:r>
      <w:r w:rsidR="001A5070">
        <w:t>occurrence</w:t>
      </w:r>
      <w:r w:rsidR="00345B05">
        <w:t xml:space="preserve"> of the outage.</w:t>
      </w:r>
    </w:p>
    <w:p w14:paraId="36E339DB" w14:textId="77777777" w:rsidR="00BF79A2" w:rsidRDefault="00BF79A2" w:rsidP="003C15E3">
      <w:pPr>
        <w:pStyle w:val="ParaText"/>
      </w:pPr>
      <w:r w:rsidRPr="00304DFF">
        <w:rPr>
          <w:rFonts w:cs="Arial"/>
          <w:b/>
        </w:rPr>
        <w:lastRenderedPageBreak/>
        <w:t>Note:</w:t>
      </w:r>
      <w:r>
        <w:rPr>
          <w:rFonts w:cs="Arial"/>
        </w:rPr>
        <w:t xml:space="preserve"> The determination of seven</w:t>
      </w:r>
      <w:r w:rsidR="00021E09">
        <w:rPr>
          <w:rFonts w:cs="Arial"/>
        </w:rPr>
        <w:t>-</w:t>
      </w:r>
      <w:r>
        <w:rPr>
          <w:rFonts w:cs="Arial"/>
        </w:rPr>
        <w:t xml:space="preserve">day prior notice excludes the date of submission and the date of the </w:t>
      </w:r>
      <w:r w:rsidR="00021E09">
        <w:rPr>
          <w:rFonts w:cs="Arial"/>
        </w:rPr>
        <w:t>O</w:t>
      </w:r>
      <w:r>
        <w:rPr>
          <w:rFonts w:cs="Arial"/>
        </w:rPr>
        <w:t xml:space="preserve">utage. </w:t>
      </w:r>
      <w:r>
        <w:t xml:space="preserve"> </w:t>
      </w:r>
      <w:bookmarkStart w:id="238" w:name="_Toc386180544"/>
      <w:bookmarkStart w:id="239" w:name="_Toc386181237"/>
      <w:bookmarkStart w:id="240" w:name="_Toc386180545"/>
      <w:bookmarkStart w:id="241" w:name="_Toc386181238"/>
      <w:bookmarkStart w:id="242" w:name="_Toc138120529"/>
      <w:bookmarkStart w:id="243" w:name="_Toc138491748"/>
      <w:bookmarkStart w:id="244" w:name="_Toc386180546"/>
      <w:bookmarkStart w:id="245" w:name="_Toc386181239"/>
      <w:bookmarkStart w:id="246" w:name="_Toc386180547"/>
      <w:bookmarkStart w:id="247" w:name="_Toc386181240"/>
      <w:bookmarkEnd w:id="238"/>
      <w:bookmarkEnd w:id="239"/>
      <w:bookmarkEnd w:id="240"/>
      <w:bookmarkEnd w:id="241"/>
      <w:bookmarkEnd w:id="242"/>
      <w:bookmarkEnd w:id="243"/>
      <w:bookmarkEnd w:id="244"/>
      <w:bookmarkEnd w:id="245"/>
      <w:bookmarkEnd w:id="246"/>
      <w:bookmarkEnd w:id="247"/>
    </w:p>
    <w:p w14:paraId="462F5B9A" w14:textId="77777777" w:rsidR="00BF79A2" w:rsidRDefault="00BF79A2" w:rsidP="006F6DD6">
      <w:pPr>
        <w:pStyle w:val="Heading3"/>
        <w:spacing w:line="300" w:lineRule="auto"/>
      </w:pPr>
      <w:bookmarkStart w:id="248" w:name="_Toc386182123"/>
      <w:bookmarkStart w:id="249" w:name="_Toc389662594"/>
      <w:bookmarkStart w:id="250" w:name="_Toc390946276"/>
      <w:bookmarkStart w:id="251" w:name="_Toc391969837"/>
      <w:bookmarkStart w:id="252" w:name="_Toc20384100"/>
      <w:r>
        <w:t>Extended Scheduled Outage</w:t>
      </w:r>
      <w:bookmarkEnd w:id="248"/>
      <w:bookmarkEnd w:id="249"/>
      <w:bookmarkEnd w:id="250"/>
      <w:bookmarkEnd w:id="251"/>
      <w:bookmarkEnd w:id="252"/>
    </w:p>
    <w:p w14:paraId="21DA0301" w14:textId="77777777" w:rsidR="00BF79A2" w:rsidRDefault="00563036" w:rsidP="006F6DD6">
      <w:pPr>
        <w:pStyle w:val="ParaText"/>
      </w:pPr>
      <w:r>
        <w:t>If the EIM E</w:t>
      </w:r>
      <w:r w:rsidR="00BF79A2">
        <w:t xml:space="preserve">ntity or the EIM </w:t>
      </w:r>
      <w:r w:rsidR="002556CA">
        <w:t xml:space="preserve">Entity </w:t>
      </w:r>
      <w:r w:rsidR="00BF79A2">
        <w:t>Scheduling Coordinator wishes to continue to perform maintenance work beyond the date and time</w:t>
      </w:r>
      <w:r w:rsidR="004B4ED2">
        <w:t xml:space="preserve"> specified in an a</w:t>
      </w:r>
      <w:r w:rsidR="00BF79A2">
        <w:t>pproved Maintenance Outage, the Owner may submit a</w:t>
      </w:r>
      <w:r w:rsidR="00FB30B2">
        <w:t xml:space="preserve">n approved revision </w:t>
      </w:r>
      <w:r w:rsidR="004B4ED2">
        <w:t>to extend the a</w:t>
      </w:r>
      <w:r w:rsidR="00BF79A2">
        <w:t xml:space="preserve">pproved Maintenance Outage. </w:t>
      </w:r>
    </w:p>
    <w:p w14:paraId="43B211F5" w14:textId="77777777" w:rsidR="00BF79A2" w:rsidRDefault="00BF79A2" w:rsidP="006F6DD6">
      <w:pPr>
        <w:pStyle w:val="Heading2"/>
        <w:spacing w:line="300" w:lineRule="auto"/>
      </w:pPr>
      <w:bookmarkStart w:id="253" w:name="_Toc386182124"/>
      <w:bookmarkStart w:id="254" w:name="_Toc389662595"/>
      <w:bookmarkStart w:id="255" w:name="_Toc390946277"/>
      <w:bookmarkStart w:id="256" w:name="_Toc391969838"/>
      <w:bookmarkStart w:id="257" w:name="_Toc20384101"/>
      <w:r>
        <w:t>Communication of Maintenance Outage Information</w:t>
      </w:r>
      <w:bookmarkEnd w:id="253"/>
      <w:bookmarkEnd w:id="254"/>
      <w:bookmarkEnd w:id="255"/>
      <w:bookmarkEnd w:id="256"/>
      <w:bookmarkEnd w:id="257"/>
    </w:p>
    <w:p w14:paraId="2167C09E" w14:textId="77777777" w:rsidR="00BF79A2" w:rsidRDefault="00BF79A2" w:rsidP="006F6DD6">
      <w:pPr>
        <w:pStyle w:val="ParaText"/>
      </w:pPr>
      <w:r>
        <w:t xml:space="preserve">In the </w:t>
      </w:r>
      <w:r>
        <w:rPr>
          <w:i/>
        </w:rPr>
        <w:t>Communication of Maintenance Outage Information</w:t>
      </w:r>
      <w:r>
        <w:t xml:space="preserve"> </w:t>
      </w:r>
      <w:r w:rsidR="00021E09">
        <w:t>S</w:t>
      </w:r>
      <w:r>
        <w:t>ection you will find the following information:</w:t>
      </w:r>
    </w:p>
    <w:p w14:paraId="2455345C" w14:textId="77777777" w:rsidR="00BF79A2" w:rsidRDefault="00BF79A2" w:rsidP="000F0531">
      <w:pPr>
        <w:pStyle w:val="Bullet1HRt"/>
        <w:numPr>
          <w:ilvl w:val="0"/>
          <w:numId w:val="22"/>
        </w:numPr>
        <w:spacing w:after="160" w:line="259" w:lineRule="auto"/>
      </w:pPr>
      <w:r>
        <w:t>A description of the need for a single point of contact for communication purposes</w:t>
      </w:r>
      <w:r w:rsidR="00AA3392">
        <w:t>.</w:t>
      </w:r>
    </w:p>
    <w:p w14:paraId="73C6616B" w14:textId="77777777" w:rsidR="00BF79A2" w:rsidRDefault="00BF79A2" w:rsidP="000F0531">
      <w:pPr>
        <w:pStyle w:val="Bullet1HRt"/>
        <w:numPr>
          <w:ilvl w:val="0"/>
          <w:numId w:val="22"/>
        </w:numPr>
        <w:spacing w:after="160" w:line="259" w:lineRule="auto"/>
      </w:pPr>
      <w:r>
        <w:t>A description of methods of communication to be used as a part of the Outage Management business processes</w:t>
      </w:r>
      <w:r w:rsidR="00AA3392">
        <w:t>.</w:t>
      </w:r>
    </w:p>
    <w:p w14:paraId="1C944853" w14:textId="006E6741" w:rsidR="00BF79A2" w:rsidRDefault="00BF79A2" w:rsidP="000F0531">
      <w:pPr>
        <w:pStyle w:val="Bullet1HRt"/>
        <w:numPr>
          <w:ilvl w:val="0"/>
          <w:numId w:val="22"/>
        </w:numPr>
        <w:spacing w:after="160" w:line="259" w:lineRule="auto"/>
      </w:pPr>
      <w:r>
        <w:t xml:space="preserve">A brief description of the </w:t>
      </w:r>
      <w:r w:rsidR="00C70DF4">
        <w:t>o</w:t>
      </w:r>
      <w:r w:rsidR="008B53E8">
        <w:t xml:space="preserve">utage </w:t>
      </w:r>
      <w:r w:rsidR="00C70DF4">
        <w:t>m</w:t>
      </w:r>
      <w:r w:rsidR="008B53E8">
        <w:t xml:space="preserve">anagement </w:t>
      </w:r>
      <w:r w:rsidR="00C70DF4">
        <w:t>s</w:t>
      </w:r>
      <w:r>
        <w:t>ystem</w:t>
      </w:r>
      <w:r w:rsidR="00AA3392">
        <w:t>.</w:t>
      </w:r>
    </w:p>
    <w:p w14:paraId="7FA754C4" w14:textId="77777777" w:rsidR="005D71B5" w:rsidRDefault="00FA72A3" w:rsidP="006F6DD6">
      <w:pPr>
        <w:pStyle w:val="ParaText"/>
      </w:pPr>
      <w:r>
        <w:t xml:space="preserve">Refer </w:t>
      </w:r>
      <w:r w:rsidR="00C33986">
        <w:t>to Tariff</w:t>
      </w:r>
      <w:r w:rsidR="00BF79A2">
        <w:t xml:space="preserve"> Sections 9.3.4</w:t>
      </w:r>
      <w:r w:rsidR="00C83D09">
        <w:t>:</w:t>
      </w:r>
      <w:r w:rsidR="00BF79A2">
        <w:t xml:space="preserve"> </w:t>
      </w:r>
      <w:r w:rsidR="00BF79A2" w:rsidRPr="00304DFF">
        <w:rPr>
          <w:i/>
        </w:rPr>
        <w:t>Single Point of Contact</w:t>
      </w:r>
      <w:r w:rsidR="00BF79A2">
        <w:t xml:space="preserve"> and 9.3.5</w:t>
      </w:r>
      <w:r w:rsidR="00C83D09">
        <w:t>:</w:t>
      </w:r>
      <w:r w:rsidR="00BF79A2">
        <w:t xml:space="preserve"> </w:t>
      </w:r>
      <w:r w:rsidR="00BF79A2" w:rsidRPr="00D468F4">
        <w:rPr>
          <w:i/>
        </w:rPr>
        <w:t>Method of Communication</w:t>
      </w:r>
      <w:r>
        <w:t>.</w:t>
      </w:r>
    </w:p>
    <w:p w14:paraId="516BE162" w14:textId="77777777" w:rsidR="00BF79A2" w:rsidRDefault="00BF79A2" w:rsidP="006F6DD6">
      <w:pPr>
        <w:pStyle w:val="Heading3"/>
        <w:spacing w:line="300" w:lineRule="auto"/>
      </w:pPr>
      <w:bookmarkStart w:id="258" w:name="_Toc386182125"/>
      <w:bookmarkStart w:id="259" w:name="_Toc389662596"/>
      <w:bookmarkStart w:id="260" w:name="_Toc390946278"/>
      <w:bookmarkStart w:id="261" w:name="_Toc391969839"/>
      <w:bookmarkStart w:id="262" w:name="_Toc20384102"/>
      <w:r>
        <w:t>Single Point of Contact</w:t>
      </w:r>
      <w:bookmarkEnd w:id="258"/>
      <w:bookmarkEnd w:id="259"/>
      <w:bookmarkEnd w:id="260"/>
      <w:bookmarkEnd w:id="261"/>
      <w:bookmarkEnd w:id="262"/>
    </w:p>
    <w:p w14:paraId="32B241F2" w14:textId="77777777" w:rsidR="00BF79A2" w:rsidRDefault="00BF79A2" w:rsidP="008C1485">
      <w:pPr>
        <w:pStyle w:val="ParaText"/>
      </w:pPr>
      <w:r>
        <w:t xml:space="preserve">All </w:t>
      </w:r>
      <w:r w:rsidR="00D103BB" w:rsidRPr="00DD49CC">
        <w:t>EIM Entity Scheduling Coordinator</w:t>
      </w:r>
      <w:r w:rsidR="00D103BB">
        <w:t xml:space="preserve"> </w:t>
      </w:r>
      <w:r>
        <w:t xml:space="preserve">communications concerning </w:t>
      </w:r>
      <w:r w:rsidR="00D103BB">
        <w:t>the</w:t>
      </w:r>
      <w:r w:rsidR="00D103BB" w:rsidRPr="00DD49CC">
        <w:t xml:space="preserve"> notice of</w:t>
      </w:r>
      <w:r w:rsidR="00D103BB">
        <w:t xml:space="preserve"> an approved</w:t>
      </w:r>
      <w:r w:rsidR="00D103BB" w:rsidRPr="00DD49CC">
        <w:t xml:space="preserve"> transmission</w:t>
      </w:r>
      <w:r w:rsidR="00D103BB">
        <w:t xml:space="preserve"> and generation </w:t>
      </w:r>
      <w:r w:rsidR="008B53E8">
        <w:t>O</w:t>
      </w:r>
      <w:r w:rsidR="00D103BB">
        <w:t xml:space="preserve">utage </w:t>
      </w:r>
      <w:r w:rsidR="004B4ED2">
        <w:t>or to confirm or change an a</w:t>
      </w:r>
      <w:r>
        <w:t xml:space="preserve">pproved Maintenance Outage must occur between CAISO and the designated single point of contact for each </w:t>
      </w:r>
      <w:r w:rsidR="00D103BB">
        <w:t xml:space="preserve">EIM </w:t>
      </w:r>
      <w:r w:rsidR="00F73DA7">
        <w:t>Entity</w:t>
      </w:r>
      <w:r>
        <w:t xml:space="preserve">. The </w:t>
      </w:r>
      <w:r w:rsidR="00D103BB">
        <w:t xml:space="preserve">EIM </w:t>
      </w:r>
      <w:r w:rsidR="00F73DA7">
        <w:t>Entity</w:t>
      </w:r>
      <w:r>
        <w:t xml:space="preserve"> must provide in its initial </w:t>
      </w:r>
      <w:r w:rsidR="008B53E8">
        <w:t>O</w:t>
      </w:r>
      <w:r w:rsidR="00D103BB">
        <w:t xml:space="preserve">utage notification </w:t>
      </w:r>
      <w:r>
        <w:t xml:space="preserve">and any subsequent changes to its Master File, the identification of the single point of contact who is responsible for all Outage Management related activities. This identification is confirmed in all communications with CAISO in relation to Outage </w:t>
      </w:r>
      <w:r w:rsidR="00D103BB">
        <w:t>notification</w:t>
      </w:r>
      <w:r>
        <w:t xml:space="preserve">, including any request to CAISO for confirmation, </w:t>
      </w:r>
      <w:r w:rsidR="00D103BB">
        <w:t>notific</w:t>
      </w:r>
      <w:r w:rsidR="008B53E8">
        <w:t>ation</w:t>
      </w:r>
      <w:r w:rsidR="00A15299">
        <w:t>,</w:t>
      </w:r>
      <w:r w:rsidR="008B53E8">
        <w:t xml:space="preserve"> and revision of approved O</w:t>
      </w:r>
      <w:r w:rsidR="00D103BB">
        <w:t>utages.</w:t>
      </w:r>
      <w:r w:rsidR="00D103BB" w:rsidDel="00D103BB">
        <w:t xml:space="preserve"> </w:t>
      </w:r>
    </w:p>
    <w:p w14:paraId="7B98B67B" w14:textId="77777777" w:rsidR="00BF79A2" w:rsidRDefault="00BF79A2" w:rsidP="006F6DD6">
      <w:pPr>
        <w:pStyle w:val="ParaText"/>
      </w:pPr>
      <w:r>
        <w:t>This section includes a discussion of the primary and backup mechanisms to communicate Outage Management information, a discussion of the need for some communications to be conducted with Control Center personnel</w:t>
      </w:r>
      <w:r w:rsidR="00A15299">
        <w:t>,</w:t>
      </w:r>
      <w:r>
        <w:t xml:space="preserve"> and a brief description of th</w:t>
      </w:r>
      <w:r w:rsidR="008B53E8">
        <w:t xml:space="preserve">e </w:t>
      </w:r>
      <w:r w:rsidR="00B53E8D">
        <w:t xml:space="preserve">CAISO </w:t>
      </w:r>
      <w:r w:rsidR="00B53E8D" w:rsidRPr="00F51FA9">
        <w:t>outage management system</w:t>
      </w:r>
      <w:r>
        <w:t xml:space="preserve">. </w:t>
      </w:r>
    </w:p>
    <w:p w14:paraId="2C9D7729" w14:textId="77777777" w:rsidR="00BF79A2" w:rsidRDefault="00BF79A2" w:rsidP="006F6DD6">
      <w:pPr>
        <w:pStyle w:val="Heading4"/>
        <w:spacing w:line="300" w:lineRule="auto"/>
      </w:pPr>
      <w:bookmarkStart w:id="263" w:name="_Toc386182127"/>
      <w:r>
        <w:lastRenderedPageBreak/>
        <w:t>Primary Mechanism</w:t>
      </w:r>
      <w:bookmarkEnd w:id="263"/>
      <w:r>
        <w:t xml:space="preserve"> </w:t>
      </w:r>
    </w:p>
    <w:p w14:paraId="2FF117B8" w14:textId="3DF12774" w:rsidR="00BF79A2" w:rsidRDefault="008B53E8" w:rsidP="006F6DD6">
      <w:pPr>
        <w:pStyle w:val="ParaText"/>
      </w:pPr>
      <w:r>
        <w:t xml:space="preserve">The CAISO </w:t>
      </w:r>
      <w:r w:rsidR="00B722C6">
        <w:t>o</w:t>
      </w:r>
      <w:r w:rsidR="00A15299">
        <w:t xml:space="preserve">utage </w:t>
      </w:r>
      <w:r w:rsidR="00B722C6">
        <w:t>m</w:t>
      </w:r>
      <w:r w:rsidR="00A15299">
        <w:t xml:space="preserve">anagement </w:t>
      </w:r>
      <w:r w:rsidR="00B722C6">
        <w:t>s</w:t>
      </w:r>
      <w:r w:rsidR="00BF79A2">
        <w:t>ystem is the primary method of communicating Outage Manag</w:t>
      </w:r>
      <w:r>
        <w:t xml:space="preserve">ement related information. The </w:t>
      </w:r>
      <w:r w:rsidR="00B722C6">
        <w:t>o</w:t>
      </w:r>
      <w:r>
        <w:t xml:space="preserve">utage </w:t>
      </w:r>
      <w:r w:rsidR="00B722C6">
        <w:t>m</w:t>
      </w:r>
      <w:r>
        <w:t xml:space="preserve">anagement </w:t>
      </w:r>
      <w:r w:rsidR="00B722C6">
        <w:t>s</w:t>
      </w:r>
      <w:r w:rsidR="00BF79A2">
        <w:t xml:space="preserve">ystem, which is described in more detail in Section </w:t>
      </w:r>
      <w:r w:rsidR="00196895">
        <w:t>6</w:t>
      </w:r>
      <w:r w:rsidR="001E6C27">
        <w:t>.2.1</w:t>
      </w:r>
      <w:r w:rsidR="00BF79A2">
        <w:t xml:space="preserve"> of th</w:t>
      </w:r>
      <w:r w:rsidR="00DF2C32">
        <w:t>e</w:t>
      </w:r>
      <w:r w:rsidR="00BF79A2">
        <w:t xml:space="preserve"> </w:t>
      </w:r>
      <w:hyperlink r:id="rId159" w:history="1">
        <w:r w:rsidR="00BF79A2" w:rsidRPr="00A21E2E">
          <w:rPr>
            <w:rStyle w:val="Hyperlink"/>
            <w:b/>
          </w:rPr>
          <w:t>BPM</w:t>
        </w:r>
        <w:r w:rsidR="00DF2C32" w:rsidRPr="00A21E2E">
          <w:rPr>
            <w:rStyle w:val="Hyperlink"/>
            <w:b/>
          </w:rPr>
          <w:t xml:space="preserve"> for Outage Management</w:t>
        </w:r>
      </w:hyperlink>
      <w:r w:rsidR="00BF79A2">
        <w:t>, provides an automated mechanism for parties and CAISO to communicate the information required for all aspects of Outage Manageme</w:t>
      </w:r>
      <w:r>
        <w:t xml:space="preserve">nt. The </w:t>
      </w:r>
      <w:r w:rsidR="00B53E8D">
        <w:t xml:space="preserve">CAISO </w:t>
      </w:r>
      <w:r w:rsidR="00B53E8D" w:rsidRPr="00F51FA9">
        <w:t>outage management system</w:t>
      </w:r>
      <w:r w:rsidR="00BF79A2">
        <w:t xml:space="preserve"> provides both a mechanism to communicate as well as a mechanism to confirm the receipt of information from users and from CAISO either by using the system user interface or by using an</w:t>
      </w:r>
      <w:r w:rsidR="00C83D09">
        <w:t xml:space="preserve"> Application Program Interface</w:t>
      </w:r>
      <w:r w:rsidR="00BF79A2">
        <w:t xml:space="preserve"> </w:t>
      </w:r>
      <w:r w:rsidR="00C83D09">
        <w:t>(</w:t>
      </w:r>
      <w:r w:rsidR="00BF79A2">
        <w:t>API</w:t>
      </w:r>
      <w:r w:rsidR="00C83D09">
        <w:t>)</w:t>
      </w:r>
      <w:r w:rsidR="00BF79A2">
        <w:t>.</w:t>
      </w:r>
    </w:p>
    <w:p w14:paraId="4F27ADAF" w14:textId="77777777" w:rsidR="00BF79A2" w:rsidRDefault="00FA72A3" w:rsidP="006F6DD6">
      <w:pPr>
        <w:pStyle w:val="Heading4"/>
        <w:spacing w:line="300" w:lineRule="auto"/>
      </w:pPr>
      <w:bookmarkStart w:id="264" w:name="_Toc386182128"/>
      <w:r>
        <w:t xml:space="preserve"> </w:t>
      </w:r>
      <w:r w:rsidR="00BF79A2">
        <w:t>Backup Mechanism</w:t>
      </w:r>
      <w:bookmarkEnd w:id="264"/>
    </w:p>
    <w:p w14:paraId="403EE31F" w14:textId="77777777" w:rsidR="00BF79A2" w:rsidRPr="00B468C1" w:rsidRDefault="00BF79A2" w:rsidP="006F6DD6">
      <w:pPr>
        <w:pStyle w:val="ParaText"/>
      </w:pPr>
      <w:r w:rsidRPr="00B468C1">
        <w:t>In the event that th</w:t>
      </w:r>
      <w:r w:rsidR="008B53E8">
        <w:t xml:space="preserve">e </w:t>
      </w:r>
      <w:r w:rsidR="00B53E8D">
        <w:t xml:space="preserve">CAISO </w:t>
      </w:r>
      <w:r w:rsidR="00B53E8D" w:rsidRPr="00F51FA9">
        <w:t>outage management system</w:t>
      </w:r>
      <w:r w:rsidRPr="00B468C1">
        <w:t xml:space="preserve"> is not operational, emergency capabilities are used to communicate with CAISO. The emergency capabilities that can be used as a back-up if the </w:t>
      </w:r>
      <w:r w:rsidR="00B53E8D">
        <w:t xml:space="preserve">CAISO </w:t>
      </w:r>
      <w:r w:rsidR="00B53E8D" w:rsidRPr="00F51FA9">
        <w:t>outage management system</w:t>
      </w:r>
      <w:r w:rsidR="00196895" w:rsidRPr="00B468C1">
        <w:t xml:space="preserve"> </w:t>
      </w:r>
      <w:r w:rsidRPr="00B468C1">
        <w:t>application is unavailable include:</w:t>
      </w:r>
    </w:p>
    <w:p w14:paraId="479C0037" w14:textId="77777777" w:rsidR="00BF79A2" w:rsidRPr="00B468C1" w:rsidRDefault="00706D03" w:rsidP="000F0531">
      <w:pPr>
        <w:pStyle w:val="ParaText"/>
        <w:numPr>
          <w:ilvl w:val="0"/>
          <w:numId w:val="34"/>
        </w:numPr>
        <w:spacing w:after="160" w:line="259" w:lineRule="auto"/>
      </w:pPr>
      <w:r>
        <w:t>Electronic format (such as e</w:t>
      </w:r>
      <w:r w:rsidR="00BF79A2" w:rsidRPr="00B468C1">
        <w:t>-mail)</w:t>
      </w:r>
    </w:p>
    <w:p w14:paraId="46C123A8" w14:textId="77777777" w:rsidR="00BF79A2" w:rsidRPr="00B468C1" w:rsidRDefault="00BF79A2" w:rsidP="000F0531">
      <w:pPr>
        <w:pStyle w:val="ParaText"/>
        <w:numPr>
          <w:ilvl w:val="0"/>
          <w:numId w:val="34"/>
        </w:numPr>
        <w:spacing w:after="160" w:line="259" w:lineRule="auto"/>
      </w:pPr>
      <w:r w:rsidRPr="00B468C1">
        <w:t>Voice communication</w:t>
      </w:r>
      <w:r w:rsidR="000358D8">
        <w:t xml:space="preserve"> with Control Center Personnel</w:t>
      </w:r>
    </w:p>
    <w:p w14:paraId="7A81D086" w14:textId="349FD90D" w:rsidR="00BF79A2" w:rsidRDefault="00BF79A2" w:rsidP="006F6DD6">
      <w:pPr>
        <w:pStyle w:val="ParaText"/>
      </w:pPr>
      <w:r>
        <w:t xml:space="preserve">As discussed in this BPM, some </w:t>
      </w:r>
      <w:r w:rsidR="00C70DF4">
        <w:t>o</w:t>
      </w:r>
      <w:r>
        <w:t xml:space="preserve">utage </w:t>
      </w:r>
      <w:r w:rsidR="00C70DF4">
        <w:t>m</w:t>
      </w:r>
      <w:r>
        <w:t>anagement re</w:t>
      </w:r>
      <w:r w:rsidR="00AA3392">
        <w:t xml:space="preserve">lated communications by or with </w:t>
      </w:r>
      <w:r>
        <w:t>CAISO Control Center personnel are conducted on the telephone. These communications are described in detail in CAISO Operating Procedures (</w:t>
      </w:r>
      <w:r w:rsidR="00C83D09">
        <w:t xml:space="preserve">see </w:t>
      </w:r>
      <w:r>
        <w:t>Section 1.</w:t>
      </w:r>
      <w:r w:rsidR="00196895">
        <w:t>3</w:t>
      </w:r>
      <w:r>
        <w:t xml:space="preserve">, </w:t>
      </w:r>
      <w:r w:rsidRPr="00FA595A">
        <w:rPr>
          <w:i/>
        </w:rPr>
        <w:t>References</w:t>
      </w:r>
      <w:r>
        <w:t xml:space="preserve">). </w:t>
      </w:r>
    </w:p>
    <w:p w14:paraId="6129A57B" w14:textId="40F2F853" w:rsidR="00BF79A2" w:rsidRDefault="00BF79A2" w:rsidP="006F6DD6">
      <w:pPr>
        <w:pStyle w:val="Heading4"/>
        <w:spacing w:line="300" w:lineRule="auto"/>
      </w:pPr>
      <w:bookmarkStart w:id="265" w:name="_Toc386182130"/>
      <w:r>
        <w:t xml:space="preserve">Use of the CAISO </w:t>
      </w:r>
      <w:r w:rsidR="00C70DF4">
        <w:t>o</w:t>
      </w:r>
      <w:r>
        <w:t xml:space="preserve">utage </w:t>
      </w:r>
      <w:r w:rsidR="00C70DF4">
        <w:t>m</w:t>
      </w:r>
      <w:r>
        <w:t xml:space="preserve">anagement </w:t>
      </w:r>
      <w:r w:rsidR="00C70DF4">
        <w:t>s</w:t>
      </w:r>
      <w:r>
        <w:t>ystem</w:t>
      </w:r>
      <w:bookmarkEnd w:id="265"/>
      <w:r>
        <w:t xml:space="preserve"> </w:t>
      </w:r>
    </w:p>
    <w:p w14:paraId="15BE42D1" w14:textId="66BAC3EA" w:rsidR="00BF79A2" w:rsidRDefault="008B53E8" w:rsidP="006F6DD6">
      <w:pPr>
        <w:pStyle w:val="ParaText"/>
      </w:pPr>
      <w:r>
        <w:t xml:space="preserve">The CAISO </w:t>
      </w:r>
      <w:r w:rsidR="00C70DF4">
        <w:t>o</w:t>
      </w:r>
      <w:r>
        <w:t xml:space="preserve">utage </w:t>
      </w:r>
      <w:r w:rsidR="00C70DF4">
        <w:t>m</w:t>
      </w:r>
      <w:r>
        <w:t xml:space="preserve">anagement </w:t>
      </w:r>
      <w:r w:rsidR="00C70DF4">
        <w:t>s</w:t>
      </w:r>
      <w:r w:rsidR="00BF79A2">
        <w:t xml:space="preserve">ystem is a secure software system that enables parties to interact with CAISO to complete the various transactions included in the </w:t>
      </w:r>
      <w:r w:rsidR="00C70DF4">
        <w:t>o</w:t>
      </w:r>
      <w:r w:rsidR="00BF79A2">
        <w:t xml:space="preserve">utage </w:t>
      </w:r>
      <w:r w:rsidR="00C70DF4">
        <w:t>m</w:t>
      </w:r>
      <w:r w:rsidR="00BF79A2">
        <w:t>anagement business process</w:t>
      </w:r>
      <w:r>
        <w:t xml:space="preserve">es. The </w:t>
      </w:r>
      <w:r w:rsidR="00B53E8D">
        <w:t xml:space="preserve">CAISO </w:t>
      </w:r>
      <w:r w:rsidR="00B53E8D" w:rsidRPr="00F51FA9">
        <w:t>outage management system</w:t>
      </w:r>
      <w:r w:rsidR="00BF79A2">
        <w:t xml:space="preserve"> includes a web client version for use by an individual and an Application Program Interface (API) version for use in computer-to-computer data transfers. Us</w:t>
      </w:r>
      <w:r>
        <w:t xml:space="preserve">ing the </w:t>
      </w:r>
      <w:r w:rsidR="00C70DF4">
        <w:t>o</w:t>
      </w:r>
      <w:r w:rsidR="006D77FD">
        <w:t xml:space="preserve">utage </w:t>
      </w:r>
      <w:r w:rsidR="00C70DF4">
        <w:t>m</w:t>
      </w:r>
      <w:r w:rsidR="006D77FD">
        <w:t xml:space="preserve">anagement </w:t>
      </w:r>
      <w:r w:rsidR="00C70DF4">
        <w:t>s</w:t>
      </w:r>
      <w:r w:rsidR="00BF79A2">
        <w:t>ystem, an EI</w:t>
      </w:r>
      <w:r w:rsidR="00563036">
        <w:t>M E</w:t>
      </w:r>
      <w:r w:rsidR="00BF79A2">
        <w:t xml:space="preserve">ntity or EIM </w:t>
      </w:r>
      <w:r w:rsidR="002556CA">
        <w:t xml:space="preserve">Entity </w:t>
      </w:r>
      <w:r w:rsidR="00BF79A2">
        <w:t>Scheduling Coordinator can perform the following functions:</w:t>
      </w:r>
    </w:p>
    <w:p w14:paraId="3F160B51" w14:textId="77777777" w:rsidR="00BF79A2" w:rsidRDefault="00AA3392" w:rsidP="000F0531">
      <w:pPr>
        <w:pStyle w:val="ParaText"/>
        <w:numPr>
          <w:ilvl w:val="0"/>
          <w:numId w:val="23"/>
        </w:numPr>
        <w:spacing w:after="160" w:line="259" w:lineRule="auto"/>
      </w:pPr>
      <w:r>
        <w:t xml:space="preserve">Submit </w:t>
      </w:r>
      <w:r w:rsidR="00FD7318">
        <w:t xml:space="preserve">notification </w:t>
      </w:r>
      <w:r w:rsidR="00E96A39">
        <w:t>of new</w:t>
      </w:r>
      <w:r w:rsidR="00FD7318">
        <w:t xml:space="preserve"> approved EIM</w:t>
      </w:r>
      <w:r w:rsidR="00BF79A2">
        <w:t xml:space="preserve"> Outage</w:t>
      </w:r>
      <w:r w:rsidR="00A64E95">
        <w:t>.</w:t>
      </w:r>
    </w:p>
    <w:p w14:paraId="4BBCEF87" w14:textId="77777777" w:rsidR="00BF79A2" w:rsidRDefault="00BF79A2" w:rsidP="000F0531">
      <w:pPr>
        <w:pStyle w:val="ParaText"/>
        <w:numPr>
          <w:ilvl w:val="0"/>
          <w:numId w:val="23"/>
        </w:numPr>
        <w:spacing w:after="160" w:line="259" w:lineRule="auto"/>
      </w:pPr>
      <w:r>
        <w:t xml:space="preserve">Receive confirmation of </w:t>
      </w:r>
      <w:r w:rsidR="00FD7318">
        <w:t>notification</w:t>
      </w:r>
      <w:r>
        <w:t xml:space="preserve"> from CAISO</w:t>
      </w:r>
      <w:r w:rsidR="00A64E95">
        <w:t>.</w:t>
      </w:r>
      <w:r>
        <w:t xml:space="preserve"> </w:t>
      </w:r>
    </w:p>
    <w:p w14:paraId="2A3DE45D" w14:textId="77777777" w:rsidR="00BF79A2" w:rsidRDefault="00BF79A2" w:rsidP="000F0531">
      <w:pPr>
        <w:pStyle w:val="ParaText"/>
        <w:numPr>
          <w:ilvl w:val="0"/>
          <w:numId w:val="23"/>
        </w:numPr>
        <w:spacing w:after="160" w:line="259" w:lineRule="auto"/>
      </w:pPr>
      <w:r>
        <w:t>Obtain status of an Outage</w:t>
      </w:r>
      <w:r w:rsidR="00A64E95">
        <w:t>.</w:t>
      </w:r>
    </w:p>
    <w:p w14:paraId="236E80DB" w14:textId="77777777" w:rsidR="00BF79A2" w:rsidRDefault="00BF79A2" w:rsidP="000F0531">
      <w:pPr>
        <w:pStyle w:val="ParaText"/>
        <w:numPr>
          <w:ilvl w:val="0"/>
          <w:numId w:val="23"/>
        </w:numPr>
        <w:spacing w:after="160" w:line="259" w:lineRule="auto"/>
      </w:pPr>
      <w:r>
        <w:t>Enter Outage Cause Codes (NERC GADS, reason for Outage)</w:t>
      </w:r>
      <w:r w:rsidR="00A64E95">
        <w:t>.</w:t>
      </w:r>
    </w:p>
    <w:p w14:paraId="61520675" w14:textId="77777777" w:rsidR="00BF79A2" w:rsidRDefault="00BF79A2" w:rsidP="000F0531">
      <w:pPr>
        <w:pStyle w:val="ParaText"/>
        <w:numPr>
          <w:ilvl w:val="0"/>
          <w:numId w:val="23"/>
        </w:numPr>
        <w:spacing w:after="160" w:line="259" w:lineRule="auto"/>
      </w:pPr>
      <w:r>
        <w:t>Update an Outage</w:t>
      </w:r>
      <w:r w:rsidR="00A64E95">
        <w:t>.</w:t>
      </w:r>
    </w:p>
    <w:p w14:paraId="22CE997C" w14:textId="77777777" w:rsidR="00BF79A2" w:rsidRDefault="00BF79A2" w:rsidP="000F0531">
      <w:pPr>
        <w:pStyle w:val="ParaText"/>
        <w:numPr>
          <w:ilvl w:val="0"/>
          <w:numId w:val="23"/>
        </w:numPr>
        <w:spacing w:after="160" w:line="259" w:lineRule="auto"/>
      </w:pPr>
      <w:r>
        <w:lastRenderedPageBreak/>
        <w:t>Search the database of completed, scheduled</w:t>
      </w:r>
      <w:r w:rsidR="00C26D8B">
        <w:t>,</w:t>
      </w:r>
      <w:r>
        <w:t xml:space="preserve"> or active Outages. This function allows a</w:t>
      </w:r>
      <w:r w:rsidR="00C26D8B">
        <w:t>n</w:t>
      </w:r>
      <w:r>
        <w:t xml:space="preserve"> </w:t>
      </w:r>
      <w:r w:rsidR="00FD7318">
        <w:t xml:space="preserve">EIM </w:t>
      </w:r>
      <w:r w:rsidR="00F73DA7">
        <w:t>Entity</w:t>
      </w:r>
      <w:r w:rsidR="00FD7318">
        <w:t xml:space="preserve"> Scheduling Coordinator</w:t>
      </w:r>
      <w:r>
        <w:t xml:space="preserve"> to review only their data and not the data of other owners.  </w:t>
      </w:r>
    </w:p>
    <w:p w14:paraId="6AE301DC" w14:textId="77777777" w:rsidR="00BF79A2" w:rsidRDefault="00BF79A2" w:rsidP="000F0531">
      <w:pPr>
        <w:pStyle w:val="ParaText"/>
        <w:numPr>
          <w:ilvl w:val="0"/>
          <w:numId w:val="23"/>
        </w:numPr>
        <w:spacing w:after="160" w:line="259" w:lineRule="auto"/>
      </w:pPr>
      <w:r>
        <w:t xml:space="preserve">User instructions are available on the CAISO </w:t>
      </w:r>
      <w:r w:rsidR="00C26D8B">
        <w:t>w</w:t>
      </w:r>
      <w:r>
        <w:t>ebsite.</w:t>
      </w:r>
    </w:p>
    <w:p w14:paraId="21CB50A1" w14:textId="77777777" w:rsidR="00FC7FCD" w:rsidRPr="00D64F8E" w:rsidRDefault="00BF79A2" w:rsidP="006F6DD6">
      <w:pPr>
        <w:pStyle w:val="ParaText"/>
      </w:pPr>
      <w:r>
        <w:t xml:space="preserve">Other functions provided for in </w:t>
      </w:r>
      <w:r w:rsidR="00C26D8B">
        <w:t xml:space="preserve">the </w:t>
      </w:r>
      <w:r w:rsidR="00B53E8D">
        <w:t xml:space="preserve">CAISO </w:t>
      </w:r>
      <w:r w:rsidR="00B53E8D" w:rsidRPr="00F51FA9">
        <w:t>outage management system</w:t>
      </w:r>
      <w:r w:rsidR="00B53E8D">
        <w:t xml:space="preserve">  </w:t>
      </w:r>
      <w:r>
        <w:t xml:space="preserve">are listed in the </w:t>
      </w:r>
      <w:r w:rsidR="00B53E8D">
        <w:t xml:space="preserve">CAISO </w:t>
      </w:r>
      <w:r w:rsidR="00B53E8D" w:rsidRPr="00F51FA9">
        <w:t>outage management system</w:t>
      </w:r>
      <w:r w:rsidR="00196895">
        <w:t xml:space="preserve"> </w:t>
      </w:r>
      <w:r>
        <w:t xml:space="preserve">materials shown in </w:t>
      </w:r>
      <w:r w:rsidRPr="00BB16D7">
        <w:t>Section 1.</w:t>
      </w:r>
      <w:r w:rsidR="00196895">
        <w:t>3</w:t>
      </w:r>
      <w:r w:rsidRPr="00BB16D7">
        <w:t xml:space="preserve">, </w:t>
      </w:r>
      <w:r w:rsidRPr="00304DFF">
        <w:rPr>
          <w:i/>
        </w:rPr>
        <w:t>References</w:t>
      </w:r>
      <w:r w:rsidRPr="00BB16D7">
        <w:t>, of th</w:t>
      </w:r>
      <w:r w:rsidR="00DF2C32" w:rsidRPr="00834183">
        <w:t xml:space="preserve">e </w:t>
      </w:r>
      <w:hyperlink r:id="rId160" w:history="1">
        <w:r w:rsidR="00BB16D7" w:rsidRPr="00FC7FCD">
          <w:rPr>
            <w:rStyle w:val="Hyperlink"/>
            <w:b/>
          </w:rPr>
          <w:t>BPM for Outage Management</w:t>
        </w:r>
      </w:hyperlink>
      <w:r w:rsidR="00D64F8E">
        <w:t>.</w:t>
      </w:r>
    </w:p>
    <w:p w14:paraId="0FE10622" w14:textId="77777777" w:rsidR="006F1342" w:rsidRDefault="006F1342" w:rsidP="006F6DD6">
      <w:pPr>
        <w:pStyle w:val="Heading2"/>
        <w:spacing w:line="300" w:lineRule="auto"/>
      </w:pPr>
      <w:bookmarkStart w:id="266" w:name="_Toc386182131"/>
      <w:bookmarkStart w:id="267" w:name="_Toc389662598"/>
      <w:bookmarkStart w:id="268" w:name="_Toc390946279"/>
      <w:bookmarkStart w:id="269" w:name="_Toc391969840"/>
      <w:bookmarkStart w:id="270" w:name="_Toc20384103"/>
      <w:r>
        <w:t xml:space="preserve">Records </w:t>
      </w:r>
      <w:r w:rsidR="00C26D8B">
        <w:t>and</w:t>
      </w:r>
      <w:r>
        <w:t xml:space="preserve"> Reports</w:t>
      </w:r>
      <w:bookmarkEnd w:id="266"/>
      <w:bookmarkEnd w:id="267"/>
      <w:bookmarkEnd w:id="268"/>
      <w:bookmarkEnd w:id="269"/>
      <w:bookmarkEnd w:id="270"/>
    </w:p>
    <w:p w14:paraId="46B5116E" w14:textId="77777777" w:rsidR="006F1342" w:rsidRDefault="006F1342" w:rsidP="006F6DD6">
      <w:pPr>
        <w:pStyle w:val="ParaText"/>
      </w:pPr>
      <w:bookmarkStart w:id="271" w:name="_Toc386180557"/>
      <w:bookmarkStart w:id="272" w:name="_Toc386180558"/>
      <w:bookmarkStart w:id="273" w:name="_Toc386180559"/>
      <w:bookmarkStart w:id="274" w:name="_Toc386180560"/>
      <w:bookmarkStart w:id="275" w:name="_Toc386180561"/>
      <w:bookmarkStart w:id="276" w:name="_Toc386180562"/>
      <w:bookmarkStart w:id="277" w:name="_Toc386180563"/>
      <w:bookmarkStart w:id="278" w:name="_Toc386180564"/>
      <w:bookmarkEnd w:id="271"/>
      <w:bookmarkEnd w:id="272"/>
      <w:bookmarkEnd w:id="273"/>
      <w:bookmarkEnd w:id="274"/>
      <w:bookmarkEnd w:id="275"/>
      <w:bookmarkEnd w:id="276"/>
      <w:bookmarkEnd w:id="277"/>
      <w:bookmarkEnd w:id="278"/>
      <w:r>
        <w:t>In this section you will find the following information:</w:t>
      </w:r>
    </w:p>
    <w:p w14:paraId="2B6A82F4" w14:textId="77777777" w:rsidR="006F1342" w:rsidRDefault="00F73DA7" w:rsidP="000F0531">
      <w:pPr>
        <w:pStyle w:val="Bullet1HRt"/>
        <w:numPr>
          <w:ilvl w:val="0"/>
          <w:numId w:val="24"/>
        </w:numPr>
        <w:spacing w:after="160" w:line="259" w:lineRule="auto"/>
      </w:pPr>
      <w:r>
        <w:t>Availability</w:t>
      </w:r>
      <w:r w:rsidR="00C83D09">
        <w:t xml:space="preserve"> of and access to</w:t>
      </w:r>
      <w:r w:rsidR="006F1342">
        <w:t xml:space="preserve"> Outage records retention provided for by CAISO and the access provided to those records.</w:t>
      </w:r>
    </w:p>
    <w:p w14:paraId="302E83E3" w14:textId="77777777" w:rsidR="006F1342" w:rsidRDefault="006F1342" w:rsidP="000F0531">
      <w:pPr>
        <w:pStyle w:val="Bullet1HRt"/>
        <w:numPr>
          <w:ilvl w:val="0"/>
          <w:numId w:val="24"/>
        </w:numPr>
        <w:spacing w:after="160" w:line="259" w:lineRule="auto"/>
      </w:pPr>
      <w:r>
        <w:t>A description of the various reports re</w:t>
      </w:r>
      <w:r w:rsidR="009D507A">
        <w:t xml:space="preserve">lated to Outage Management that </w:t>
      </w:r>
      <w:r>
        <w:t>CAISO produces.</w:t>
      </w:r>
    </w:p>
    <w:p w14:paraId="03866C9E" w14:textId="77777777" w:rsidR="006F1342" w:rsidRDefault="00C83D09" w:rsidP="000F0531">
      <w:pPr>
        <w:pStyle w:val="Bullet1HRt"/>
        <w:numPr>
          <w:ilvl w:val="0"/>
          <w:numId w:val="24"/>
        </w:numPr>
        <w:spacing w:after="160" w:line="259" w:lineRule="auto"/>
      </w:pPr>
      <w:r>
        <w:t>Also r</w:t>
      </w:r>
      <w:r w:rsidR="006F1342">
        <w:t xml:space="preserve">efer to Tariff Sections 9.3, </w:t>
      </w:r>
      <w:r w:rsidR="006F1342" w:rsidRPr="00304DFF">
        <w:rPr>
          <w:i/>
        </w:rPr>
        <w:t>Coordination of Outages and Maintenance</w:t>
      </w:r>
      <w:r w:rsidR="00C26D8B">
        <w:t>;</w:t>
      </w:r>
      <w:r w:rsidR="006F1342">
        <w:t xml:space="preserve"> and 9.5, </w:t>
      </w:r>
      <w:r w:rsidR="006F1342" w:rsidRPr="00304DFF">
        <w:rPr>
          <w:i/>
        </w:rPr>
        <w:t>Records</w:t>
      </w:r>
      <w:r w:rsidR="006F1342">
        <w:t>.</w:t>
      </w:r>
    </w:p>
    <w:p w14:paraId="57019202" w14:textId="77777777" w:rsidR="006F1342" w:rsidRPr="006F1342" w:rsidRDefault="004B4ED2" w:rsidP="006F6DD6">
      <w:pPr>
        <w:pStyle w:val="Heading3"/>
        <w:spacing w:line="300" w:lineRule="auto"/>
      </w:pPr>
      <w:bookmarkStart w:id="279" w:name="_Toc386182133"/>
      <w:bookmarkStart w:id="280" w:name="_Toc389662599"/>
      <w:bookmarkStart w:id="281" w:name="_Toc390946280"/>
      <w:bookmarkStart w:id="282" w:name="_Toc391969841"/>
      <w:bookmarkStart w:id="283" w:name="_Toc20384104"/>
      <w:r>
        <w:t>Records of A</w:t>
      </w:r>
      <w:r w:rsidR="006F1342" w:rsidRPr="006F1342">
        <w:t>pproved Maintenance Outages</w:t>
      </w:r>
      <w:bookmarkEnd w:id="279"/>
      <w:bookmarkEnd w:id="280"/>
      <w:bookmarkEnd w:id="281"/>
      <w:bookmarkEnd w:id="282"/>
      <w:bookmarkEnd w:id="283"/>
      <w:r w:rsidR="006F1342" w:rsidRPr="006F1342">
        <w:t xml:space="preserve"> </w:t>
      </w:r>
    </w:p>
    <w:p w14:paraId="724B41CC" w14:textId="77777777" w:rsidR="00BA2E6E" w:rsidRDefault="00C26D8B" w:rsidP="006774F5">
      <w:pPr>
        <w:pStyle w:val="ParaText"/>
      </w:pPr>
      <w:r>
        <w:t xml:space="preserve">The </w:t>
      </w:r>
      <w:r w:rsidR="006F1342">
        <w:t xml:space="preserve">CAISO </w:t>
      </w:r>
      <w:r w:rsidR="004B4ED2">
        <w:t>OCO maintains a record of each a</w:t>
      </w:r>
      <w:r w:rsidR="006F1342">
        <w:t xml:space="preserve">pproved Maintenance Outage as it is implemented. Such records are available for inspection at </w:t>
      </w:r>
      <w:r>
        <w:t xml:space="preserve">the </w:t>
      </w:r>
      <w:r w:rsidR="006F1342">
        <w:t xml:space="preserve">CAISO OCO by </w:t>
      </w:r>
      <w:r w:rsidR="00FD7318">
        <w:t>EIM En</w:t>
      </w:r>
      <w:r w:rsidR="00F73DA7">
        <w:t>t</w:t>
      </w:r>
      <w:r w:rsidR="00FD7318">
        <w:t>it</w:t>
      </w:r>
      <w:r w:rsidR="00F73DA7">
        <w:t>i</w:t>
      </w:r>
      <w:r w:rsidR="00FD7318">
        <w:t xml:space="preserve">es </w:t>
      </w:r>
      <w:r w:rsidR="006F1342">
        <w:t xml:space="preserve">or their designated representatives. Only those records pertaining to the equipment or facilities owned by the </w:t>
      </w:r>
      <w:r w:rsidR="00A423DD">
        <w:t>f</w:t>
      </w:r>
      <w:r w:rsidR="006F1342">
        <w:t xml:space="preserve">acility </w:t>
      </w:r>
      <w:r w:rsidR="00A423DD">
        <w:t>o</w:t>
      </w:r>
      <w:r w:rsidR="006F1342">
        <w:t xml:space="preserve">wner are made available for inspection at </w:t>
      </w:r>
      <w:r>
        <w:t xml:space="preserve">the </w:t>
      </w:r>
      <w:r w:rsidR="006F1342">
        <w:t>CAISO OCO</w:t>
      </w:r>
      <w:r w:rsidR="0017604F">
        <w:t xml:space="preserve"> </w:t>
      </w:r>
      <w:r w:rsidR="00C83D09">
        <w:t xml:space="preserve">with </w:t>
      </w:r>
      <w:r w:rsidR="006F1342">
        <w:t>notice at least 15 days in advance of the requested inspection date.</w:t>
      </w:r>
    </w:p>
    <w:p w14:paraId="4C281E9A" w14:textId="77777777" w:rsidR="00427F97" w:rsidRPr="00427F97" w:rsidRDefault="00427F97" w:rsidP="006774F5">
      <w:pPr>
        <w:pStyle w:val="ParaText"/>
      </w:pPr>
    </w:p>
    <w:p w14:paraId="3A2ADE93" w14:textId="77777777" w:rsidR="007A0CF0" w:rsidRPr="007A0CF0" w:rsidRDefault="002E46E9" w:rsidP="002748DA">
      <w:pPr>
        <w:pStyle w:val="Heading1"/>
      </w:pPr>
      <w:bookmarkStart w:id="284" w:name="_Toc390765950"/>
      <w:bookmarkStart w:id="285" w:name="_Toc390778419"/>
      <w:bookmarkStart w:id="286" w:name="_Toc390779397"/>
      <w:bookmarkStart w:id="287" w:name="_Toc390782210"/>
      <w:bookmarkStart w:id="288" w:name="_Toc390871682"/>
      <w:bookmarkStart w:id="289" w:name="_Toc390871739"/>
      <w:bookmarkStart w:id="290" w:name="_Toc390871796"/>
      <w:bookmarkStart w:id="291" w:name="_Toc390765953"/>
      <w:bookmarkStart w:id="292" w:name="_Toc390778422"/>
      <w:bookmarkStart w:id="293" w:name="_Toc390779400"/>
      <w:bookmarkStart w:id="294" w:name="_Toc390782213"/>
      <w:bookmarkStart w:id="295" w:name="_Toc390871685"/>
      <w:bookmarkStart w:id="296" w:name="_Toc390871742"/>
      <w:bookmarkStart w:id="297" w:name="_Toc390871799"/>
      <w:bookmarkStart w:id="298" w:name="_Toc389662601"/>
      <w:bookmarkStart w:id="299" w:name="_Toc391969842"/>
      <w:bookmarkStart w:id="300" w:name="_Toc20384105"/>
      <w:bookmarkStart w:id="301" w:name="_Toc390946281"/>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CC3ADB">
        <w:t>MARKET OPERATIONS</w:t>
      </w:r>
      <w:bookmarkEnd w:id="298"/>
      <w:bookmarkEnd w:id="299"/>
      <w:bookmarkEnd w:id="300"/>
    </w:p>
    <w:p w14:paraId="19A98512" w14:textId="77777777" w:rsidR="00304DFF" w:rsidRDefault="00503DF8" w:rsidP="00A14044">
      <w:pPr>
        <w:pStyle w:val="ParaText"/>
      </w:pPr>
      <w:r w:rsidRPr="007A0CF0">
        <w:t xml:space="preserve"> </w:t>
      </w:r>
      <w:bookmarkEnd w:id="301"/>
      <w:r w:rsidR="00A14044">
        <w:t xml:space="preserve">Welcome to the </w:t>
      </w:r>
      <w:r w:rsidR="00A14044" w:rsidRPr="00172436">
        <w:rPr>
          <w:i/>
        </w:rPr>
        <w:t>Market Operations</w:t>
      </w:r>
      <w:r w:rsidR="00A14044">
        <w:t xml:space="preserve"> section of the BPM </w:t>
      </w:r>
      <w:r w:rsidR="004813C9" w:rsidRPr="00A14044">
        <w:t>for the</w:t>
      </w:r>
      <w:r w:rsidR="00A14044">
        <w:t xml:space="preserve"> </w:t>
      </w:r>
      <w:r w:rsidR="00A14044" w:rsidRPr="00A14044">
        <w:t>Energy Imbalance Market</w:t>
      </w:r>
      <w:r w:rsidR="00A14044">
        <w:t xml:space="preserve">.  </w:t>
      </w:r>
      <w:r w:rsidR="00304DFF">
        <w:t>In t</w:t>
      </w:r>
      <w:r w:rsidR="00A14044">
        <w:t>his section</w:t>
      </w:r>
      <w:r w:rsidR="00A14044" w:rsidRPr="00A14044">
        <w:t xml:space="preserve"> </w:t>
      </w:r>
      <w:r w:rsidR="00304DFF">
        <w:t>you will find the following information:</w:t>
      </w:r>
    </w:p>
    <w:p w14:paraId="1762CAF3" w14:textId="77777777" w:rsidR="00C0019A" w:rsidRDefault="00C0019A" w:rsidP="000F0531">
      <w:pPr>
        <w:pStyle w:val="ParaText"/>
        <w:numPr>
          <w:ilvl w:val="0"/>
          <w:numId w:val="39"/>
        </w:numPr>
        <w:spacing w:after="160" w:line="259" w:lineRule="auto"/>
        <w:ind w:left="778"/>
      </w:pPr>
      <w:r>
        <w:t xml:space="preserve">Summary of </w:t>
      </w:r>
      <w:r w:rsidR="00A14044" w:rsidRPr="00A14044">
        <w:t xml:space="preserve">the </w:t>
      </w:r>
      <w:r w:rsidR="00A14044">
        <w:t>EIM-</w:t>
      </w:r>
      <w:r w:rsidR="004813C9">
        <w:t>specific</w:t>
      </w:r>
      <w:r w:rsidR="00A14044">
        <w:t xml:space="preserve"> </w:t>
      </w:r>
      <w:r w:rsidR="00A14044" w:rsidRPr="00A14044">
        <w:t>rules, design, operational el</w:t>
      </w:r>
      <w:r w:rsidR="00A14044">
        <w:t>ements</w:t>
      </w:r>
      <w:r w:rsidR="00F31E60">
        <w:t>, and separation procedures</w:t>
      </w:r>
      <w:r w:rsidR="004538FE">
        <w:t xml:space="preserve"> of the CAISO m</w:t>
      </w:r>
      <w:r w:rsidR="00A14044">
        <w:t xml:space="preserve">arkets. </w:t>
      </w:r>
    </w:p>
    <w:p w14:paraId="441083B9" w14:textId="77777777" w:rsidR="00A14044" w:rsidRPr="00A14044" w:rsidRDefault="00C0019A" w:rsidP="000F0531">
      <w:pPr>
        <w:pStyle w:val="ParaText"/>
        <w:numPr>
          <w:ilvl w:val="0"/>
          <w:numId w:val="39"/>
        </w:numPr>
        <w:spacing w:after="160" w:line="259" w:lineRule="auto"/>
        <w:ind w:left="778"/>
      </w:pPr>
      <w:r>
        <w:t xml:space="preserve">Operations information </w:t>
      </w:r>
      <w:r w:rsidR="00A14044" w:rsidRPr="00A14044">
        <w:t xml:space="preserve">for those entities that expect to participate in the </w:t>
      </w:r>
      <w:r w:rsidR="00A14044">
        <w:t>EIM</w:t>
      </w:r>
      <w:r w:rsidR="00A14044" w:rsidRPr="00A14044">
        <w:t xml:space="preserve">, as well as those entities that </w:t>
      </w:r>
      <w:r w:rsidR="005E21D3">
        <w:t>interface with the EIM</w:t>
      </w:r>
      <w:r w:rsidR="00A14044" w:rsidRPr="00A14044">
        <w:t xml:space="preserve">. </w:t>
      </w:r>
    </w:p>
    <w:p w14:paraId="489A39EE" w14:textId="77777777" w:rsidR="007B4B61" w:rsidRPr="007A0CF0" w:rsidRDefault="005E21D3" w:rsidP="00A14044">
      <w:pPr>
        <w:pStyle w:val="ParaText"/>
      </w:pPr>
      <w:r>
        <w:t>The operation of the EIM and the regular CAISO market are similar in many ways.  Rather than repeat the description of those portions which are the same between markets, this section describes only the EIM-</w:t>
      </w:r>
      <w:r w:rsidR="00386114">
        <w:t>s</w:t>
      </w:r>
      <w:r>
        <w:t xml:space="preserve">pecific implementation details and the differences from the regular CAISO market.  Therefore, it is </w:t>
      </w:r>
      <w:r>
        <w:lastRenderedPageBreak/>
        <w:t>recommended that the reader review the</w:t>
      </w:r>
      <w:r w:rsidR="00AC2E40">
        <w:t xml:space="preserve"> </w:t>
      </w:r>
      <w:hyperlink r:id="rId161" w:history="1">
        <w:r w:rsidRPr="00E41853">
          <w:rPr>
            <w:rStyle w:val="Hyperlink"/>
            <w:b/>
          </w:rPr>
          <w:t>BPM for Market Instruments</w:t>
        </w:r>
      </w:hyperlink>
      <w:r>
        <w:t xml:space="preserve"> and the </w:t>
      </w:r>
      <w:hyperlink r:id="rId162" w:history="1">
        <w:r w:rsidRPr="00E41853">
          <w:rPr>
            <w:rStyle w:val="Hyperlink"/>
            <w:b/>
          </w:rPr>
          <w:t>BPM for Market Operations</w:t>
        </w:r>
      </w:hyperlink>
      <w:r>
        <w:t xml:space="preserve"> prior to reading this section.</w:t>
      </w:r>
    </w:p>
    <w:p w14:paraId="5FAD449D" w14:textId="77777777" w:rsidR="007A0CF0" w:rsidRPr="007A0CF0" w:rsidRDefault="008817D0" w:rsidP="001A6FA0">
      <w:pPr>
        <w:pStyle w:val="Heading2"/>
      </w:pPr>
      <w:bookmarkStart w:id="302" w:name="_Toc388005977"/>
      <w:bookmarkStart w:id="303" w:name="_Toc388006324"/>
      <w:bookmarkStart w:id="304" w:name="_Toc388019376"/>
      <w:bookmarkStart w:id="305" w:name="_Toc388019867"/>
      <w:bookmarkStart w:id="306" w:name="_Toc389662602"/>
      <w:bookmarkStart w:id="307" w:name="_Toc391969843"/>
      <w:bookmarkStart w:id="308" w:name="_Toc20384106"/>
      <w:bookmarkStart w:id="309" w:name="_Toc390946282"/>
      <w:bookmarkEnd w:id="302"/>
      <w:bookmarkEnd w:id="303"/>
      <w:bookmarkEnd w:id="304"/>
      <w:bookmarkEnd w:id="305"/>
      <w:r w:rsidRPr="002748DA">
        <w:t>About the Market</w:t>
      </w:r>
      <w:bookmarkEnd w:id="306"/>
      <w:bookmarkEnd w:id="307"/>
      <w:bookmarkEnd w:id="308"/>
    </w:p>
    <w:p w14:paraId="40B2229B" w14:textId="195E909A" w:rsidR="00312277" w:rsidRDefault="007A0CF0" w:rsidP="007A0CF0">
      <w:pPr>
        <w:pStyle w:val="ParaText"/>
      </w:pPr>
      <w:bookmarkStart w:id="310" w:name="_Toc389662603"/>
      <w:bookmarkEnd w:id="309"/>
      <w:r w:rsidRPr="007A0CF0">
        <w:t xml:space="preserve">This </w:t>
      </w:r>
      <w:r>
        <w:t xml:space="preserve">section is intended to describe </w:t>
      </w:r>
      <w:r w:rsidR="00A14044">
        <w:t>the</w:t>
      </w:r>
      <w:r>
        <w:t xml:space="preserve"> features of the EIM</w:t>
      </w:r>
      <w:r w:rsidR="00312277">
        <w:t>.</w:t>
      </w:r>
    </w:p>
    <w:p w14:paraId="152E1D1F" w14:textId="5BDE3611" w:rsidR="007A0CF0" w:rsidRPr="007A0CF0" w:rsidRDefault="00312277" w:rsidP="00877DDB">
      <w:pPr>
        <w:pStyle w:val="ParaText"/>
        <w:tabs>
          <w:tab w:val="right" w:pos="9360"/>
        </w:tabs>
      </w:pPr>
      <w:r>
        <w:tab/>
      </w:r>
    </w:p>
    <w:p w14:paraId="251FD8D3" w14:textId="77777777" w:rsidR="007445EB" w:rsidRPr="008817D0" w:rsidRDefault="007445EB" w:rsidP="007445EB">
      <w:pPr>
        <w:pStyle w:val="Heading3"/>
        <w:rPr>
          <w:rFonts w:eastAsia="Calibri"/>
        </w:rPr>
      </w:pPr>
      <w:bookmarkStart w:id="311" w:name="_Toc391969844"/>
      <w:bookmarkStart w:id="312" w:name="_Toc20384107"/>
      <w:r w:rsidRPr="008817D0">
        <w:rPr>
          <w:rFonts w:eastAsia="Calibri"/>
        </w:rPr>
        <w:t>Ancillary Services</w:t>
      </w:r>
      <w:bookmarkEnd w:id="311"/>
      <w:bookmarkEnd w:id="312"/>
      <w:r w:rsidRPr="008817D0">
        <w:rPr>
          <w:rFonts w:eastAsia="Calibri"/>
        </w:rPr>
        <w:tab/>
      </w:r>
      <w:r w:rsidRPr="008817D0">
        <w:rPr>
          <w:rFonts w:eastAsia="Calibri"/>
        </w:rPr>
        <w:tab/>
      </w:r>
    </w:p>
    <w:p w14:paraId="51CDD0B9" w14:textId="295CED15" w:rsidR="003F65BA" w:rsidRDefault="00CF1AB9" w:rsidP="003F65BA">
      <w:pPr>
        <w:pStyle w:val="ParaText"/>
      </w:pPr>
      <w:bookmarkStart w:id="313" w:name="_Toc390352501"/>
      <w:bookmarkStart w:id="314" w:name="_Toc390353478"/>
      <w:bookmarkStart w:id="315" w:name="_Toc390355428"/>
      <w:bookmarkStart w:id="316" w:name="_Toc390436092"/>
      <w:bookmarkStart w:id="317" w:name="_Toc390673383"/>
      <w:bookmarkStart w:id="318" w:name="_Toc390689657"/>
      <w:bookmarkStart w:id="319" w:name="_Toc390696662"/>
      <w:bookmarkStart w:id="320" w:name="_Toc390759676"/>
      <w:bookmarkStart w:id="321" w:name="_Toc390764432"/>
      <w:bookmarkStart w:id="322" w:name="_Toc390765961"/>
      <w:bookmarkStart w:id="323" w:name="_Toc390778430"/>
      <w:bookmarkStart w:id="324" w:name="_Toc390779408"/>
      <w:bookmarkStart w:id="325" w:name="_Toc390782221"/>
      <w:bookmarkStart w:id="326" w:name="_Toc390352502"/>
      <w:bookmarkStart w:id="327" w:name="_Toc390353479"/>
      <w:bookmarkStart w:id="328" w:name="_Toc390355429"/>
      <w:bookmarkStart w:id="329" w:name="_Toc390436093"/>
      <w:bookmarkStart w:id="330" w:name="_Toc390673384"/>
      <w:bookmarkStart w:id="331" w:name="_Toc390689658"/>
      <w:bookmarkStart w:id="332" w:name="_Toc390696663"/>
      <w:bookmarkStart w:id="333" w:name="_Toc390759677"/>
      <w:bookmarkStart w:id="334" w:name="_Toc390764433"/>
      <w:bookmarkStart w:id="335" w:name="_Toc390765962"/>
      <w:bookmarkStart w:id="336" w:name="_Toc390778431"/>
      <w:bookmarkStart w:id="337" w:name="_Toc390779409"/>
      <w:bookmarkStart w:id="338" w:name="_Toc390782222"/>
      <w:bookmarkStart w:id="339" w:name="_Toc390352503"/>
      <w:bookmarkStart w:id="340" w:name="_Toc390353480"/>
      <w:bookmarkStart w:id="341" w:name="_Toc390355430"/>
      <w:bookmarkStart w:id="342" w:name="_Toc390436094"/>
      <w:bookmarkStart w:id="343" w:name="_Toc390673385"/>
      <w:bookmarkStart w:id="344" w:name="_Toc390689659"/>
      <w:bookmarkStart w:id="345" w:name="_Toc390696664"/>
      <w:bookmarkStart w:id="346" w:name="_Toc390759678"/>
      <w:bookmarkStart w:id="347" w:name="_Toc390764434"/>
      <w:bookmarkStart w:id="348" w:name="_Toc390765963"/>
      <w:bookmarkStart w:id="349" w:name="_Toc390778432"/>
      <w:bookmarkStart w:id="350" w:name="_Toc390779410"/>
      <w:bookmarkStart w:id="351" w:name="_Toc390782223"/>
      <w:bookmarkStart w:id="352" w:name="_Toc390352505"/>
      <w:bookmarkStart w:id="353" w:name="_Toc390353482"/>
      <w:bookmarkStart w:id="354" w:name="_Toc390355432"/>
      <w:bookmarkStart w:id="355" w:name="_Toc390436096"/>
      <w:bookmarkStart w:id="356" w:name="_Toc390673387"/>
      <w:bookmarkStart w:id="357" w:name="_Toc390689661"/>
      <w:bookmarkStart w:id="358" w:name="_Toc390696666"/>
      <w:bookmarkStart w:id="359" w:name="_Toc390759680"/>
      <w:bookmarkStart w:id="360" w:name="_Toc390764436"/>
      <w:bookmarkStart w:id="361" w:name="_Toc390765965"/>
      <w:bookmarkStart w:id="362" w:name="_Toc390778434"/>
      <w:bookmarkStart w:id="363" w:name="_Toc390779412"/>
      <w:bookmarkStart w:id="364" w:name="_Toc390782225"/>
      <w:bookmarkStart w:id="365" w:name="_Toc390352533"/>
      <w:bookmarkStart w:id="366" w:name="_Toc390353510"/>
      <w:bookmarkStart w:id="367" w:name="_Toc390355460"/>
      <w:bookmarkStart w:id="368" w:name="_Toc390436124"/>
      <w:bookmarkStart w:id="369" w:name="_Toc390673415"/>
      <w:bookmarkStart w:id="370" w:name="_Toc390689689"/>
      <w:bookmarkStart w:id="371" w:name="_Toc390696694"/>
      <w:bookmarkStart w:id="372" w:name="_Toc390759708"/>
      <w:bookmarkStart w:id="373" w:name="_Toc390764464"/>
      <w:bookmarkStart w:id="374" w:name="_Toc390765993"/>
      <w:bookmarkStart w:id="375" w:name="_Toc390778462"/>
      <w:bookmarkStart w:id="376" w:name="_Toc390779440"/>
      <w:bookmarkStart w:id="377" w:name="_Toc390782253"/>
      <w:bookmarkStart w:id="378" w:name="_Toc390352554"/>
      <w:bookmarkStart w:id="379" w:name="_Toc390353531"/>
      <w:bookmarkStart w:id="380" w:name="_Toc390355481"/>
      <w:bookmarkStart w:id="381" w:name="_Toc390436145"/>
      <w:bookmarkStart w:id="382" w:name="_Toc390673436"/>
      <w:bookmarkStart w:id="383" w:name="_Toc390689710"/>
      <w:bookmarkStart w:id="384" w:name="_Toc390696715"/>
      <w:bookmarkStart w:id="385" w:name="_Toc390759729"/>
      <w:bookmarkStart w:id="386" w:name="_Toc390764485"/>
      <w:bookmarkStart w:id="387" w:name="_Toc390766014"/>
      <w:bookmarkStart w:id="388" w:name="_Toc390778483"/>
      <w:bookmarkStart w:id="389" w:name="_Toc390779461"/>
      <w:bookmarkStart w:id="390" w:name="_Toc390782274"/>
      <w:bookmarkStart w:id="391" w:name="_Toc390352572"/>
      <w:bookmarkStart w:id="392" w:name="_Toc390353549"/>
      <w:bookmarkStart w:id="393" w:name="_Toc390355499"/>
      <w:bookmarkStart w:id="394" w:name="_Toc390436163"/>
      <w:bookmarkStart w:id="395" w:name="_Toc390673454"/>
      <w:bookmarkStart w:id="396" w:name="_Toc390689728"/>
      <w:bookmarkStart w:id="397" w:name="_Toc390696733"/>
      <w:bookmarkStart w:id="398" w:name="_Toc390759747"/>
      <w:bookmarkStart w:id="399" w:name="_Toc390764503"/>
      <w:bookmarkStart w:id="400" w:name="_Toc390766032"/>
      <w:bookmarkStart w:id="401" w:name="_Toc390778501"/>
      <w:bookmarkStart w:id="402" w:name="_Toc390779479"/>
      <w:bookmarkStart w:id="403" w:name="_Toc390782292"/>
      <w:bookmarkStart w:id="404" w:name="_Toc390352600"/>
      <w:bookmarkStart w:id="405" w:name="_Toc390353577"/>
      <w:bookmarkStart w:id="406" w:name="_Toc390355527"/>
      <w:bookmarkStart w:id="407" w:name="_Toc390436191"/>
      <w:bookmarkStart w:id="408" w:name="_Toc390673482"/>
      <w:bookmarkStart w:id="409" w:name="_Toc390689756"/>
      <w:bookmarkStart w:id="410" w:name="_Toc390696761"/>
      <w:bookmarkStart w:id="411" w:name="_Toc390759775"/>
      <w:bookmarkStart w:id="412" w:name="_Toc390764531"/>
      <w:bookmarkStart w:id="413" w:name="_Toc390766060"/>
      <w:bookmarkStart w:id="414" w:name="_Toc390778529"/>
      <w:bookmarkStart w:id="415" w:name="_Toc390779507"/>
      <w:bookmarkStart w:id="416" w:name="_Toc390782320"/>
      <w:bookmarkStart w:id="417" w:name="_Toc390352602"/>
      <w:bookmarkStart w:id="418" w:name="_Toc390353579"/>
      <w:bookmarkStart w:id="419" w:name="_Toc390355529"/>
      <w:bookmarkStart w:id="420" w:name="_Toc390436193"/>
      <w:bookmarkStart w:id="421" w:name="_Toc390673484"/>
      <w:bookmarkStart w:id="422" w:name="_Toc390689758"/>
      <w:bookmarkStart w:id="423" w:name="_Toc390696763"/>
      <w:bookmarkStart w:id="424" w:name="_Toc390759777"/>
      <w:bookmarkStart w:id="425" w:name="_Toc390764533"/>
      <w:bookmarkStart w:id="426" w:name="_Toc390766062"/>
      <w:bookmarkStart w:id="427" w:name="_Toc390778531"/>
      <w:bookmarkStart w:id="428" w:name="_Toc390779509"/>
      <w:bookmarkStart w:id="429" w:name="_Toc390782322"/>
      <w:bookmarkStart w:id="430" w:name="_Toc390352603"/>
      <w:bookmarkStart w:id="431" w:name="_Toc390353580"/>
      <w:bookmarkStart w:id="432" w:name="_Toc390355530"/>
      <w:bookmarkStart w:id="433" w:name="_Toc390436194"/>
      <w:bookmarkStart w:id="434" w:name="_Toc390673485"/>
      <w:bookmarkStart w:id="435" w:name="_Toc390689759"/>
      <w:bookmarkStart w:id="436" w:name="_Toc390696764"/>
      <w:bookmarkStart w:id="437" w:name="_Toc390759778"/>
      <w:bookmarkStart w:id="438" w:name="_Toc390764534"/>
      <w:bookmarkStart w:id="439" w:name="_Toc390766063"/>
      <w:bookmarkStart w:id="440" w:name="_Toc390778532"/>
      <w:bookmarkStart w:id="441" w:name="_Toc390779510"/>
      <w:bookmarkStart w:id="442" w:name="_Toc390782323"/>
      <w:bookmarkStart w:id="443" w:name="_Toc390352604"/>
      <w:bookmarkStart w:id="444" w:name="_Toc390353581"/>
      <w:bookmarkStart w:id="445" w:name="_Toc390355531"/>
      <w:bookmarkStart w:id="446" w:name="_Toc390436195"/>
      <w:bookmarkStart w:id="447" w:name="_Toc390673486"/>
      <w:bookmarkStart w:id="448" w:name="_Toc390689760"/>
      <w:bookmarkStart w:id="449" w:name="_Toc390696765"/>
      <w:bookmarkStart w:id="450" w:name="_Toc390759779"/>
      <w:bookmarkStart w:id="451" w:name="_Toc390764535"/>
      <w:bookmarkStart w:id="452" w:name="_Toc390766064"/>
      <w:bookmarkStart w:id="453" w:name="_Toc390778533"/>
      <w:bookmarkStart w:id="454" w:name="_Toc390779511"/>
      <w:bookmarkStart w:id="455" w:name="_Toc390782324"/>
      <w:bookmarkStart w:id="456" w:name="_Toc390352617"/>
      <w:bookmarkStart w:id="457" w:name="_Toc390353594"/>
      <w:bookmarkStart w:id="458" w:name="_Toc390355544"/>
      <w:bookmarkStart w:id="459" w:name="_Toc390436208"/>
      <w:bookmarkStart w:id="460" w:name="_Toc390673499"/>
      <w:bookmarkStart w:id="461" w:name="_Toc390689773"/>
      <w:bookmarkStart w:id="462" w:name="_Toc390696778"/>
      <w:bookmarkStart w:id="463" w:name="_Toc390759792"/>
      <w:bookmarkStart w:id="464" w:name="_Toc390764548"/>
      <w:bookmarkStart w:id="465" w:name="_Toc390766077"/>
      <w:bookmarkStart w:id="466" w:name="_Toc390778546"/>
      <w:bookmarkStart w:id="467" w:name="_Toc390779524"/>
      <w:bookmarkStart w:id="468" w:name="_Toc390782337"/>
      <w:bookmarkStart w:id="469" w:name="_Toc390352660"/>
      <w:bookmarkStart w:id="470" w:name="_Toc390353637"/>
      <w:bookmarkStart w:id="471" w:name="_Toc390355587"/>
      <w:bookmarkStart w:id="472" w:name="_Toc390436251"/>
      <w:bookmarkStart w:id="473" w:name="_Toc390673542"/>
      <w:bookmarkStart w:id="474" w:name="_Toc390689816"/>
      <w:bookmarkStart w:id="475" w:name="_Toc390696821"/>
      <w:bookmarkStart w:id="476" w:name="_Toc390759835"/>
      <w:bookmarkStart w:id="477" w:name="_Toc390764591"/>
      <w:bookmarkStart w:id="478" w:name="_Toc390766120"/>
      <w:bookmarkStart w:id="479" w:name="_Toc390778589"/>
      <w:bookmarkStart w:id="480" w:name="_Toc390779567"/>
      <w:bookmarkStart w:id="481" w:name="_Toc390782380"/>
      <w:bookmarkStart w:id="482" w:name="_Toc390352679"/>
      <w:bookmarkStart w:id="483" w:name="_Toc390353656"/>
      <w:bookmarkStart w:id="484" w:name="_Toc390355606"/>
      <w:bookmarkStart w:id="485" w:name="_Toc390436270"/>
      <w:bookmarkStart w:id="486" w:name="_Toc390673561"/>
      <w:bookmarkStart w:id="487" w:name="_Toc390689835"/>
      <w:bookmarkStart w:id="488" w:name="_Toc390696840"/>
      <w:bookmarkStart w:id="489" w:name="_Toc390759854"/>
      <w:bookmarkStart w:id="490" w:name="_Toc390764610"/>
      <w:bookmarkStart w:id="491" w:name="_Toc390766139"/>
      <w:bookmarkStart w:id="492" w:name="_Toc390778608"/>
      <w:bookmarkStart w:id="493" w:name="_Toc390779586"/>
      <w:bookmarkStart w:id="494" w:name="_Toc390782399"/>
      <w:bookmarkStart w:id="495" w:name="_Toc390352688"/>
      <w:bookmarkStart w:id="496" w:name="_Toc390353665"/>
      <w:bookmarkStart w:id="497" w:name="_Toc390355615"/>
      <w:bookmarkStart w:id="498" w:name="_Toc390436279"/>
      <w:bookmarkStart w:id="499" w:name="_Toc390673570"/>
      <w:bookmarkStart w:id="500" w:name="_Toc390689844"/>
      <w:bookmarkStart w:id="501" w:name="_Toc390696849"/>
      <w:bookmarkStart w:id="502" w:name="_Toc390759863"/>
      <w:bookmarkStart w:id="503" w:name="_Toc390764619"/>
      <w:bookmarkStart w:id="504" w:name="_Toc390766148"/>
      <w:bookmarkStart w:id="505" w:name="_Toc390778617"/>
      <w:bookmarkStart w:id="506" w:name="_Toc390779595"/>
      <w:bookmarkStart w:id="507" w:name="_Toc390782408"/>
      <w:bookmarkStart w:id="508" w:name="_Toc390352697"/>
      <w:bookmarkStart w:id="509" w:name="_Toc390353674"/>
      <w:bookmarkStart w:id="510" w:name="_Toc390355624"/>
      <w:bookmarkStart w:id="511" w:name="_Toc390436288"/>
      <w:bookmarkStart w:id="512" w:name="_Toc390673579"/>
      <w:bookmarkStart w:id="513" w:name="_Toc390689853"/>
      <w:bookmarkStart w:id="514" w:name="_Toc390696858"/>
      <w:bookmarkStart w:id="515" w:name="_Toc390759872"/>
      <w:bookmarkStart w:id="516" w:name="_Toc390764628"/>
      <w:bookmarkStart w:id="517" w:name="_Toc390766157"/>
      <w:bookmarkStart w:id="518" w:name="_Toc390778626"/>
      <w:bookmarkStart w:id="519" w:name="_Toc390779604"/>
      <w:bookmarkStart w:id="520" w:name="_Toc390782417"/>
      <w:bookmarkStart w:id="521" w:name="_Toc390352706"/>
      <w:bookmarkStart w:id="522" w:name="_Toc390353683"/>
      <w:bookmarkStart w:id="523" w:name="_Toc390355633"/>
      <w:bookmarkStart w:id="524" w:name="_Toc390436297"/>
      <w:bookmarkStart w:id="525" w:name="_Toc390673588"/>
      <w:bookmarkStart w:id="526" w:name="_Toc390689862"/>
      <w:bookmarkStart w:id="527" w:name="_Toc390696867"/>
      <w:bookmarkStart w:id="528" w:name="_Toc390759881"/>
      <w:bookmarkStart w:id="529" w:name="_Toc390764637"/>
      <w:bookmarkStart w:id="530" w:name="_Toc390766166"/>
      <w:bookmarkStart w:id="531" w:name="_Toc390778635"/>
      <w:bookmarkStart w:id="532" w:name="_Toc390779613"/>
      <w:bookmarkStart w:id="533" w:name="_Toc390782426"/>
      <w:bookmarkStart w:id="534" w:name="_Toc390352724"/>
      <w:bookmarkStart w:id="535" w:name="_Toc390353701"/>
      <w:bookmarkStart w:id="536" w:name="_Toc390355651"/>
      <w:bookmarkStart w:id="537" w:name="_Toc390436315"/>
      <w:bookmarkStart w:id="538" w:name="_Toc390673606"/>
      <w:bookmarkStart w:id="539" w:name="_Toc390689880"/>
      <w:bookmarkStart w:id="540" w:name="_Toc390696885"/>
      <w:bookmarkStart w:id="541" w:name="_Toc390759899"/>
      <w:bookmarkStart w:id="542" w:name="_Toc390764655"/>
      <w:bookmarkStart w:id="543" w:name="_Toc390766184"/>
      <w:bookmarkStart w:id="544" w:name="_Toc390778653"/>
      <w:bookmarkStart w:id="545" w:name="_Toc390779631"/>
      <w:bookmarkStart w:id="546" w:name="_Toc390782444"/>
      <w:bookmarkStart w:id="547" w:name="_Toc390352733"/>
      <w:bookmarkStart w:id="548" w:name="_Toc390353710"/>
      <w:bookmarkStart w:id="549" w:name="_Toc390355660"/>
      <w:bookmarkStart w:id="550" w:name="_Toc390436324"/>
      <w:bookmarkStart w:id="551" w:name="_Toc390673615"/>
      <w:bookmarkStart w:id="552" w:name="_Toc390689889"/>
      <w:bookmarkStart w:id="553" w:name="_Toc390696894"/>
      <w:bookmarkStart w:id="554" w:name="_Toc390759908"/>
      <w:bookmarkStart w:id="555" w:name="_Toc390764664"/>
      <w:bookmarkStart w:id="556" w:name="_Toc390766193"/>
      <w:bookmarkStart w:id="557" w:name="_Toc390778662"/>
      <w:bookmarkStart w:id="558" w:name="_Toc390779640"/>
      <w:bookmarkStart w:id="559" w:name="_Toc390782453"/>
      <w:bookmarkStart w:id="560" w:name="_Toc390352742"/>
      <w:bookmarkStart w:id="561" w:name="_Toc390353719"/>
      <w:bookmarkStart w:id="562" w:name="_Toc390355669"/>
      <w:bookmarkStart w:id="563" w:name="_Toc390436333"/>
      <w:bookmarkStart w:id="564" w:name="_Toc390673624"/>
      <w:bookmarkStart w:id="565" w:name="_Toc390689898"/>
      <w:bookmarkStart w:id="566" w:name="_Toc390696903"/>
      <w:bookmarkStart w:id="567" w:name="_Toc390759917"/>
      <w:bookmarkStart w:id="568" w:name="_Toc390764673"/>
      <w:bookmarkStart w:id="569" w:name="_Toc390766202"/>
      <w:bookmarkStart w:id="570" w:name="_Toc390778671"/>
      <w:bookmarkStart w:id="571" w:name="_Toc390779649"/>
      <w:bookmarkStart w:id="572" w:name="_Toc390782462"/>
      <w:bookmarkStart w:id="573" w:name="_Toc390330919"/>
      <w:bookmarkStart w:id="574" w:name="_Toc390352757"/>
      <w:bookmarkStart w:id="575" w:name="_Toc390353734"/>
      <w:bookmarkStart w:id="576" w:name="_Toc390355684"/>
      <w:bookmarkStart w:id="577" w:name="_Toc390436348"/>
      <w:bookmarkStart w:id="578" w:name="_Toc390673639"/>
      <w:bookmarkStart w:id="579" w:name="_Toc390689913"/>
      <w:bookmarkStart w:id="580" w:name="_Toc390696918"/>
      <w:bookmarkStart w:id="581" w:name="_Toc390759932"/>
      <w:bookmarkStart w:id="582" w:name="_Toc390764688"/>
      <w:bookmarkStart w:id="583" w:name="_Toc390766217"/>
      <w:bookmarkStart w:id="584" w:name="_Toc390778686"/>
      <w:bookmarkStart w:id="585" w:name="_Toc390779664"/>
      <w:bookmarkStart w:id="586" w:name="_Toc390782477"/>
      <w:bookmarkStart w:id="587" w:name="_Toc390330923"/>
      <w:bookmarkStart w:id="588" w:name="_Toc390352761"/>
      <w:bookmarkStart w:id="589" w:name="_Toc390353738"/>
      <w:bookmarkStart w:id="590" w:name="_Toc390355688"/>
      <w:bookmarkStart w:id="591" w:name="_Toc390436352"/>
      <w:bookmarkStart w:id="592" w:name="_Toc390673643"/>
      <w:bookmarkStart w:id="593" w:name="_Toc390689917"/>
      <w:bookmarkStart w:id="594" w:name="_Toc390696922"/>
      <w:bookmarkStart w:id="595" w:name="_Toc390759936"/>
      <w:bookmarkStart w:id="596" w:name="_Toc390764692"/>
      <w:bookmarkStart w:id="597" w:name="_Toc390766221"/>
      <w:bookmarkStart w:id="598" w:name="_Toc390778690"/>
      <w:bookmarkStart w:id="599" w:name="_Toc390779668"/>
      <w:bookmarkStart w:id="600" w:name="_Toc390782481"/>
      <w:bookmarkStart w:id="601" w:name="_Toc390330932"/>
      <w:bookmarkStart w:id="602" w:name="_Toc390352770"/>
      <w:bookmarkStart w:id="603" w:name="_Toc390353747"/>
      <w:bookmarkStart w:id="604" w:name="_Toc390355697"/>
      <w:bookmarkStart w:id="605" w:name="_Toc390436361"/>
      <w:bookmarkStart w:id="606" w:name="_Toc390673652"/>
      <w:bookmarkStart w:id="607" w:name="_Toc390689926"/>
      <w:bookmarkStart w:id="608" w:name="_Toc390696931"/>
      <w:bookmarkStart w:id="609" w:name="_Toc390759945"/>
      <w:bookmarkStart w:id="610" w:name="_Toc390764701"/>
      <w:bookmarkStart w:id="611" w:name="_Toc390766230"/>
      <w:bookmarkStart w:id="612" w:name="_Toc390778699"/>
      <w:bookmarkStart w:id="613" w:name="_Toc390779677"/>
      <w:bookmarkStart w:id="614" w:name="_Toc390782490"/>
      <w:bookmarkStart w:id="615" w:name="_Toc390352781"/>
      <w:bookmarkStart w:id="616" w:name="_Toc390353758"/>
      <w:bookmarkStart w:id="617" w:name="_Toc390355708"/>
      <w:bookmarkStart w:id="618" w:name="_Toc390436372"/>
      <w:bookmarkStart w:id="619" w:name="_Toc390673663"/>
      <w:bookmarkStart w:id="620" w:name="_Toc390689937"/>
      <w:bookmarkStart w:id="621" w:name="_Toc390696942"/>
      <w:bookmarkStart w:id="622" w:name="_Toc390759955"/>
      <w:bookmarkStart w:id="623" w:name="_Toc390764711"/>
      <w:bookmarkStart w:id="624" w:name="_Toc390766240"/>
      <w:bookmarkStart w:id="625" w:name="_Toc390778709"/>
      <w:bookmarkStart w:id="626" w:name="_Toc390779687"/>
      <w:bookmarkStart w:id="627" w:name="_Toc390782500"/>
      <w:bookmarkStart w:id="628" w:name="_Toc390352782"/>
      <w:bookmarkStart w:id="629" w:name="_Toc390353759"/>
      <w:bookmarkStart w:id="630" w:name="_Toc390355709"/>
      <w:bookmarkStart w:id="631" w:name="_Toc390436373"/>
      <w:bookmarkStart w:id="632" w:name="_Toc390673664"/>
      <w:bookmarkStart w:id="633" w:name="_Toc390689938"/>
      <w:bookmarkStart w:id="634" w:name="_Toc390696943"/>
      <w:bookmarkStart w:id="635" w:name="_Toc390759956"/>
      <w:bookmarkStart w:id="636" w:name="_Toc390764712"/>
      <w:bookmarkStart w:id="637" w:name="_Toc390766241"/>
      <w:bookmarkStart w:id="638" w:name="_Toc390778710"/>
      <w:bookmarkStart w:id="639" w:name="_Toc390779688"/>
      <w:bookmarkStart w:id="640" w:name="_Toc390782501"/>
      <w:bookmarkStart w:id="641" w:name="_Toc390352788"/>
      <w:bookmarkStart w:id="642" w:name="_Toc390353765"/>
      <w:bookmarkStart w:id="643" w:name="_Toc390355715"/>
      <w:bookmarkStart w:id="644" w:name="_Toc390436379"/>
      <w:bookmarkStart w:id="645" w:name="_Toc390673670"/>
      <w:bookmarkStart w:id="646" w:name="_Toc390689944"/>
      <w:bookmarkStart w:id="647" w:name="_Toc390696949"/>
      <w:bookmarkStart w:id="648" w:name="_Toc390759962"/>
      <w:bookmarkStart w:id="649" w:name="_Toc390764718"/>
      <w:bookmarkStart w:id="650" w:name="_Toc390766247"/>
      <w:bookmarkStart w:id="651" w:name="_Toc390778716"/>
      <w:bookmarkStart w:id="652" w:name="_Toc390779694"/>
      <w:bookmarkStart w:id="653" w:name="_Toc390782507"/>
      <w:bookmarkStart w:id="654" w:name="_Toc390352793"/>
      <w:bookmarkStart w:id="655" w:name="_Toc390353770"/>
      <w:bookmarkStart w:id="656" w:name="_Toc390355720"/>
      <w:bookmarkStart w:id="657" w:name="_Toc390436384"/>
      <w:bookmarkStart w:id="658" w:name="_Toc390673675"/>
      <w:bookmarkStart w:id="659" w:name="_Toc390689949"/>
      <w:bookmarkStart w:id="660" w:name="_Toc390696954"/>
      <w:bookmarkStart w:id="661" w:name="_Toc390759967"/>
      <w:bookmarkStart w:id="662" w:name="_Toc390764723"/>
      <w:bookmarkStart w:id="663" w:name="_Toc390766252"/>
      <w:bookmarkStart w:id="664" w:name="_Toc390778721"/>
      <w:bookmarkStart w:id="665" w:name="_Toc390779699"/>
      <w:bookmarkStart w:id="666" w:name="_Toc390782512"/>
      <w:bookmarkStart w:id="667" w:name="_Toc388343191"/>
      <w:bookmarkStart w:id="668" w:name="_Toc390268016"/>
      <w:bookmarkStart w:id="669" w:name="_Toc390268147"/>
      <w:bookmarkStart w:id="670" w:name="_Toc390352798"/>
      <w:bookmarkStart w:id="671" w:name="_Toc390353775"/>
      <w:bookmarkStart w:id="672" w:name="_Toc390355725"/>
      <w:bookmarkStart w:id="673" w:name="_Toc390436389"/>
      <w:bookmarkStart w:id="674" w:name="_Toc390673680"/>
      <w:bookmarkStart w:id="675" w:name="_Toc390689954"/>
      <w:bookmarkStart w:id="676" w:name="_Toc390696959"/>
      <w:bookmarkStart w:id="677" w:name="_Toc390759972"/>
      <w:bookmarkStart w:id="678" w:name="_Toc390764728"/>
      <w:bookmarkStart w:id="679" w:name="_Toc390766257"/>
      <w:bookmarkStart w:id="680" w:name="_Toc390778726"/>
      <w:bookmarkStart w:id="681" w:name="_Toc390779704"/>
      <w:bookmarkStart w:id="682" w:name="_Toc390782517"/>
      <w:bookmarkStart w:id="683" w:name="_Toc390268017"/>
      <w:bookmarkStart w:id="684" w:name="_Toc390268148"/>
      <w:bookmarkStart w:id="685" w:name="_Toc390352799"/>
      <w:bookmarkStart w:id="686" w:name="_Toc390353776"/>
      <w:bookmarkStart w:id="687" w:name="_Toc390355726"/>
      <w:bookmarkStart w:id="688" w:name="_Toc390436390"/>
      <w:bookmarkStart w:id="689" w:name="_Toc390673681"/>
      <w:bookmarkStart w:id="690" w:name="_Toc390689955"/>
      <w:bookmarkStart w:id="691" w:name="_Toc390696960"/>
      <w:bookmarkStart w:id="692" w:name="_Toc390759973"/>
      <w:bookmarkStart w:id="693" w:name="_Toc390764729"/>
      <w:bookmarkStart w:id="694" w:name="_Toc390766258"/>
      <w:bookmarkStart w:id="695" w:name="_Toc390778727"/>
      <w:bookmarkStart w:id="696" w:name="_Toc390779705"/>
      <w:bookmarkStart w:id="697" w:name="_Toc390782518"/>
      <w:bookmarkStart w:id="698" w:name="_Toc390268018"/>
      <w:bookmarkStart w:id="699" w:name="_Toc390268149"/>
      <w:bookmarkStart w:id="700" w:name="_Toc390352800"/>
      <w:bookmarkStart w:id="701" w:name="_Toc390353777"/>
      <w:bookmarkStart w:id="702" w:name="_Toc390355727"/>
      <w:bookmarkStart w:id="703" w:name="_Toc390436391"/>
      <w:bookmarkStart w:id="704" w:name="_Toc390673682"/>
      <w:bookmarkStart w:id="705" w:name="_Toc390689956"/>
      <w:bookmarkStart w:id="706" w:name="_Toc390696961"/>
      <w:bookmarkStart w:id="707" w:name="_Toc390759974"/>
      <w:bookmarkStart w:id="708" w:name="_Toc390764730"/>
      <w:bookmarkStart w:id="709" w:name="_Toc390766259"/>
      <w:bookmarkStart w:id="710" w:name="_Toc390778728"/>
      <w:bookmarkStart w:id="711" w:name="_Toc390779706"/>
      <w:bookmarkStart w:id="712" w:name="_Toc390782519"/>
      <w:bookmarkStart w:id="713" w:name="_Toc390268021"/>
      <w:bookmarkStart w:id="714" w:name="_Toc390268152"/>
      <w:bookmarkStart w:id="715" w:name="_Toc390352803"/>
      <w:bookmarkStart w:id="716" w:name="_Toc390353780"/>
      <w:bookmarkStart w:id="717" w:name="_Toc390355730"/>
      <w:bookmarkStart w:id="718" w:name="_Toc390436394"/>
      <w:bookmarkStart w:id="719" w:name="_Toc390673685"/>
      <w:bookmarkStart w:id="720" w:name="_Toc390689959"/>
      <w:bookmarkStart w:id="721" w:name="_Toc390696964"/>
      <w:bookmarkStart w:id="722" w:name="_Toc390759977"/>
      <w:bookmarkStart w:id="723" w:name="_Toc390764733"/>
      <w:bookmarkStart w:id="724" w:name="_Toc390766262"/>
      <w:bookmarkStart w:id="725" w:name="_Toc390778731"/>
      <w:bookmarkStart w:id="726" w:name="_Toc390779709"/>
      <w:bookmarkStart w:id="727" w:name="_Toc390782522"/>
      <w:bookmarkStart w:id="728" w:name="_Toc390268023"/>
      <w:bookmarkStart w:id="729" w:name="_Toc390268154"/>
      <w:bookmarkStart w:id="730" w:name="_Toc390352805"/>
      <w:bookmarkStart w:id="731" w:name="_Toc390353782"/>
      <w:bookmarkStart w:id="732" w:name="_Toc390355732"/>
      <w:bookmarkStart w:id="733" w:name="_Toc390436396"/>
      <w:bookmarkStart w:id="734" w:name="_Toc390673687"/>
      <w:bookmarkStart w:id="735" w:name="_Toc390689961"/>
      <w:bookmarkStart w:id="736" w:name="_Toc390696966"/>
      <w:bookmarkStart w:id="737" w:name="_Toc390759979"/>
      <w:bookmarkStart w:id="738" w:name="_Toc390764735"/>
      <w:bookmarkStart w:id="739" w:name="_Toc390766264"/>
      <w:bookmarkStart w:id="740" w:name="_Toc390778733"/>
      <w:bookmarkStart w:id="741" w:name="_Toc390779711"/>
      <w:bookmarkStart w:id="742" w:name="_Toc390782524"/>
      <w:bookmarkStart w:id="743" w:name="_Toc390268024"/>
      <w:bookmarkStart w:id="744" w:name="_Toc390268155"/>
      <w:bookmarkStart w:id="745" w:name="_Toc390352806"/>
      <w:bookmarkStart w:id="746" w:name="_Toc390353783"/>
      <w:bookmarkStart w:id="747" w:name="_Toc390355733"/>
      <w:bookmarkStart w:id="748" w:name="_Toc390436397"/>
      <w:bookmarkStart w:id="749" w:name="_Toc390673688"/>
      <w:bookmarkStart w:id="750" w:name="_Toc390689962"/>
      <w:bookmarkStart w:id="751" w:name="_Toc390696967"/>
      <w:bookmarkStart w:id="752" w:name="_Toc390759980"/>
      <w:bookmarkStart w:id="753" w:name="_Toc390764736"/>
      <w:bookmarkStart w:id="754" w:name="_Toc390766265"/>
      <w:bookmarkStart w:id="755" w:name="_Toc390778734"/>
      <w:bookmarkStart w:id="756" w:name="_Toc390779712"/>
      <w:bookmarkStart w:id="757" w:name="_Toc390782525"/>
      <w:bookmarkStart w:id="758" w:name="_Toc390268025"/>
      <w:bookmarkStart w:id="759" w:name="_Toc390268156"/>
      <w:bookmarkStart w:id="760" w:name="_Toc390352807"/>
      <w:bookmarkStart w:id="761" w:name="_Toc390353784"/>
      <w:bookmarkStart w:id="762" w:name="_Toc390355734"/>
      <w:bookmarkStart w:id="763" w:name="_Toc390436398"/>
      <w:bookmarkStart w:id="764" w:name="_Toc390673689"/>
      <w:bookmarkStart w:id="765" w:name="_Toc390689963"/>
      <w:bookmarkStart w:id="766" w:name="_Toc390696968"/>
      <w:bookmarkStart w:id="767" w:name="_Toc390759981"/>
      <w:bookmarkStart w:id="768" w:name="_Toc390764737"/>
      <w:bookmarkStart w:id="769" w:name="_Toc390766266"/>
      <w:bookmarkStart w:id="770" w:name="_Toc390778735"/>
      <w:bookmarkStart w:id="771" w:name="_Toc390779713"/>
      <w:bookmarkStart w:id="772" w:name="_Toc390782526"/>
      <w:bookmarkStart w:id="773" w:name="_Toc390268027"/>
      <w:bookmarkStart w:id="774" w:name="_Toc390268158"/>
      <w:bookmarkStart w:id="775" w:name="_Toc390352809"/>
      <w:bookmarkStart w:id="776" w:name="_Toc390353786"/>
      <w:bookmarkStart w:id="777" w:name="_Toc390355736"/>
      <w:bookmarkStart w:id="778" w:name="_Toc390436400"/>
      <w:bookmarkStart w:id="779" w:name="_Toc390673691"/>
      <w:bookmarkStart w:id="780" w:name="_Toc390689965"/>
      <w:bookmarkStart w:id="781" w:name="_Toc390696970"/>
      <w:bookmarkStart w:id="782" w:name="_Toc390759983"/>
      <w:bookmarkStart w:id="783" w:name="_Toc390764739"/>
      <w:bookmarkStart w:id="784" w:name="_Toc390766268"/>
      <w:bookmarkStart w:id="785" w:name="_Toc390778737"/>
      <w:bookmarkStart w:id="786" w:name="_Toc390779715"/>
      <w:bookmarkStart w:id="787" w:name="_Toc390782528"/>
      <w:bookmarkStart w:id="788" w:name="_Toc390268028"/>
      <w:bookmarkStart w:id="789" w:name="_Toc390268159"/>
      <w:bookmarkStart w:id="790" w:name="_Toc390352810"/>
      <w:bookmarkStart w:id="791" w:name="_Toc390353787"/>
      <w:bookmarkStart w:id="792" w:name="_Toc390355737"/>
      <w:bookmarkStart w:id="793" w:name="_Toc390436401"/>
      <w:bookmarkStart w:id="794" w:name="_Toc390673692"/>
      <w:bookmarkStart w:id="795" w:name="_Toc390689966"/>
      <w:bookmarkStart w:id="796" w:name="_Toc390696971"/>
      <w:bookmarkStart w:id="797" w:name="_Toc390759984"/>
      <w:bookmarkStart w:id="798" w:name="_Toc390764740"/>
      <w:bookmarkStart w:id="799" w:name="_Toc390766269"/>
      <w:bookmarkStart w:id="800" w:name="_Toc390778738"/>
      <w:bookmarkStart w:id="801" w:name="_Toc390779716"/>
      <w:bookmarkStart w:id="802" w:name="_Toc390782529"/>
      <w:bookmarkStart w:id="803" w:name="_Toc390268029"/>
      <w:bookmarkStart w:id="804" w:name="_Toc390268160"/>
      <w:bookmarkStart w:id="805" w:name="_Toc390352811"/>
      <w:bookmarkStart w:id="806" w:name="_Toc390353788"/>
      <w:bookmarkStart w:id="807" w:name="_Toc390355738"/>
      <w:bookmarkStart w:id="808" w:name="_Toc390436402"/>
      <w:bookmarkStart w:id="809" w:name="_Toc390673693"/>
      <w:bookmarkStart w:id="810" w:name="_Toc390689967"/>
      <w:bookmarkStart w:id="811" w:name="_Toc390696972"/>
      <w:bookmarkStart w:id="812" w:name="_Toc390759985"/>
      <w:bookmarkStart w:id="813" w:name="_Toc390764741"/>
      <w:bookmarkStart w:id="814" w:name="_Toc390766270"/>
      <w:bookmarkStart w:id="815" w:name="_Toc390778739"/>
      <w:bookmarkStart w:id="816" w:name="_Toc390779717"/>
      <w:bookmarkStart w:id="817" w:name="_Toc390782530"/>
      <w:bookmarkStart w:id="818" w:name="_Toc390268030"/>
      <w:bookmarkStart w:id="819" w:name="_Toc390268161"/>
      <w:bookmarkStart w:id="820" w:name="_Toc390352812"/>
      <w:bookmarkStart w:id="821" w:name="_Toc390353789"/>
      <w:bookmarkStart w:id="822" w:name="_Toc390355739"/>
      <w:bookmarkStart w:id="823" w:name="_Toc390436403"/>
      <w:bookmarkStart w:id="824" w:name="_Toc390673694"/>
      <w:bookmarkStart w:id="825" w:name="_Toc390689968"/>
      <w:bookmarkStart w:id="826" w:name="_Toc390696973"/>
      <w:bookmarkStart w:id="827" w:name="_Toc390759986"/>
      <w:bookmarkStart w:id="828" w:name="_Toc390764742"/>
      <w:bookmarkStart w:id="829" w:name="_Toc390766271"/>
      <w:bookmarkStart w:id="830" w:name="_Toc390778740"/>
      <w:bookmarkStart w:id="831" w:name="_Toc390779718"/>
      <w:bookmarkStart w:id="832" w:name="_Toc390782531"/>
      <w:bookmarkStart w:id="833" w:name="_Toc390268031"/>
      <w:bookmarkStart w:id="834" w:name="_Toc390268162"/>
      <w:bookmarkStart w:id="835" w:name="_Toc390352813"/>
      <w:bookmarkStart w:id="836" w:name="_Toc390353790"/>
      <w:bookmarkStart w:id="837" w:name="_Toc390355740"/>
      <w:bookmarkStart w:id="838" w:name="_Toc390436404"/>
      <w:bookmarkStart w:id="839" w:name="_Toc390673695"/>
      <w:bookmarkStart w:id="840" w:name="_Toc390689969"/>
      <w:bookmarkStart w:id="841" w:name="_Toc390696974"/>
      <w:bookmarkStart w:id="842" w:name="_Toc390759987"/>
      <w:bookmarkStart w:id="843" w:name="_Toc390764743"/>
      <w:bookmarkStart w:id="844" w:name="_Toc390766272"/>
      <w:bookmarkStart w:id="845" w:name="_Toc390778741"/>
      <w:bookmarkStart w:id="846" w:name="_Toc390779719"/>
      <w:bookmarkStart w:id="847" w:name="_Toc390782532"/>
      <w:bookmarkStart w:id="848" w:name="_Toc390268032"/>
      <w:bookmarkStart w:id="849" w:name="_Toc390268163"/>
      <w:bookmarkStart w:id="850" w:name="_Toc390352814"/>
      <w:bookmarkStart w:id="851" w:name="_Toc390353791"/>
      <w:bookmarkStart w:id="852" w:name="_Toc390355741"/>
      <w:bookmarkStart w:id="853" w:name="_Toc390436405"/>
      <w:bookmarkStart w:id="854" w:name="_Toc390673696"/>
      <w:bookmarkStart w:id="855" w:name="_Toc390689970"/>
      <w:bookmarkStart w:id="856" w:name="_Toc390696975"/>
      <w:bookmarkStart w:id="857" w:name="_Toc390759988"/>
      <w:bookmarkStart w:id="858" w:name="_Toc390764744"/>
      <w:bookmarkStart w:id="859" w:name="_Toc390766273"/>
      <w:bookmarkStart w:id="860" w:name="_Toc390778742"/>
      <w:bookmarkStart w:id="861" w:name="_Toc390779720"/>
      <w:bookmarkStart w:id="862" w:name="_Toc390782533"/>
      <w:bookmarkStart w:id="863" w:name="_Toc390268034"/>
      <w:bookmarkStart w:id="864" w:name="_Toc390268165"/>
      <w:bookmarkStart w:id="865" w:name="_Toc390352816"/>
      <w:bookmarkStart w:id="866" w:name="_Toc390353793"/>
      <w:bookmarkStart w:id="867" w:name="_Toc390355743"/>
      <w:bookmarkStart w:id="868" w:name="_Toc390436407"/>
      <w:bookmarkStart w:id="869" w:name="_Toc390673698"/>
      <w:bookmarkStart w:id="870" w:name="_Toc390689972"/>
      <w:bookmarkStart w:id="871" w:name="_Toc390696977"/>
      <w:bookmarkStart w:id="872" w:name="_Toc390759990"/>
      <w:bookmarkStart w:id="873" w:name="_Toc390764746"/>
      <w:bookmarkStart w:id="874" w:name="_Toc390766275"/>
      <w:bookmarkStart w:id="875" w:name="_Toc390778744"/>
      <w:bookmarkStart w:id="876" w:name="_Toc390779722"/>
      <w:bookmarkStart w:id="877" w:name="_Toc390782535"/>
      <w:bookmarkStart w:id="878" w:name="_Toc390268035"/>
      <w:bookmarkStart w:id="879" w:name="_Toc390268166"/>
      <w:bookmarkStart w:id="880" w:name="_Toc390352817"/>
      <w:bookmarkStart w:id="881" w:name="_Toc390353794"/>
      <w:bookmarkStart w:id="882" w:name="_Toc390355744"/>
      <w:bookmarkStart w:id="883" w:name="_Toc390436408"/>
      <w:bookmarkStart w:id="884" w:name="_Toc390673699"/>
      <w:bookmarkStart w:id="885" w:name="_Toc390689973"/>
      <w:bookmarkStart w:id="886" w:name="_Toc390696978"/>
      <w:bookmarkStart w:id="887" w:name="_Toc390759991"/>
      <w:bookmarkStart w:id="888" w:name="_Toc390764747"/>
      <w:bookmarkStart w:id="889" w:name="_Toc390766276"/>
      <w:bookmarkStart w:id="890" w:name="_Toc390778745"/>
      <w:bookmarkStart w:id="891" w:name="_Toc390779723"/>
      <w:bookmarkStart w:id="892" w:name="_Toc390782536"/>
      <w:bookmarkStart w:id="893" w:name="_Toc390268036"/>
      <w:bookmarkStart w:id="894" w:name="_Toc390268167"/>
      <w:bookmarkStart w:id="895" w:name="_Toc390352818"/>
      <w:bookmarkStart w:id="896" w:name="_Toc390353795"/>
      <w:bookmarkStart w:id="897" w:name="_Toc390355745"/>
      <w:bookmarkStart w:id="898" w:name="_Toc390436409"/>
      <w:bookmarkStart w:id="899" w:name="_Toc390673700"/>
      <w:bookmarkStart w:id="900" w:name="_Toc390689974"/>
      <w:bookmarkStart w:id="901" w:name="_Toc390696979"/>
      <w:bookmarkStart w:id="902" w:name="_Toc390759992"/>
      <w:bookmarkStart w:id="903" w:name="_Toc390764748"/>
      <w:bookmarkStart w:id="904" w:name="_Toc390766277"/>
      <w:bookmarkStart w:id="905" w:name="_Toc390778746"/>
      <w:bookmarkStart w:id="906" w:name="_Toc390779724"/>
      <w:bookmarkStart w:id="907" w:name="_Toc390782537"/>
      <w:bookmarkStart w:id="908" w:name="_Toc390268039"/>
      <w:bookmarkStart w:id="909" w:name="_Toc390268170"/>
      <w:bookmarkStart w:id="910" w:name="_Toc390352821"/>
      <w:bookmarkStart w:id="911" w:name="_Toc390353798"/>
      <w:bookmarkStart w:id="912" w:name="_Toc390355748"/>
      <w:bookmarkStart w:id="913" w:name="_Toc390436412"/>
      <w:bookmarkStart w:id="914" w:name="_Toc390673703"/>
      <w:bookmarkStart w:id="915" w:name="_Toc390689977"/>
      <w:bookmarkStart w:id="916" w:name="_Toc390696982"/>
      <w:bookmarkStart w:id="917" w:name="_Toc390759995"/>
      <w:bookmarkStart w:id="918" w:name="_Toc390764751"/>
      <w:bookmarkStart w:id="919" w:name="_Toc390766280"/>
      <w:bookmarkStart w:id="920" w:name="_Toc390778749"/>
      <w:bookmarkStart w:id="921" w:name="_Toc390779727"/>
      <w:bookmarkStart w:id="922" w:name="_Toc390782540"/>
      <w:bookmarkStart w:id="923" w:name="_Toc390268040"/>
      <w:bookmarkStart w:id="924" w:name="_Toc390268171"/>
      <w:bookmarkStart w:id="925" w:name="_Toc390352822"/>
      <w:bookmarkStart w:id="926" w:name="_Toc390353799"/>
      <w:bookmarkStart w:id="927" w:name="_Toc390355749"/>
      <w:bookmarkStart w:id="928" w:name="_Toc390436413"/>
      <w:bookmarkStart w:id="929" w:name="_Toc390673704"/>
      <w:bookmarkStart w:id="930" w:name="_Toc390689978"/>
      <w:bookmarkStart w:id="931" w:name="_Toc390696983"/>
      <w:bookmarkStart w:id="932" w:name="_Toc390759996"/>
      <w:bookmarkStart w:id="933" w:name="_Toc390764752"/>
      <w:bookmarkStart w:id="934" w:name="_Toc390766281"/>
      <w:bookmarkStart w:id="935" w:name="_Toc390778750"/>
      <w:bookmarkStart w:id="936" w:name="_Toc390779728"/>
      <w:bookmarkStart w:id="937" w:name="_Toc390782541"/>
      <w:bookmarkStart w:id="938" w:name="_Toc390268041"/>
      <w:bookmarkStart w:id="939" w:name="_Toc390268172"/>
      <w:bookmarkStart w:id="940" w:name="_Toc390352823"/>
      <w:bookmarkStart w:id="941" w:name="_Toc390353800"/>
      <w:bookmarkStart w:id="942" w:name="_Toc390355750"/>
      <w:bookmarkStart w:id="943" w:name="_Toc390436414"/>
      <w:bookmarkStart w:id="944" w:name="_Toc390673705"/>
      <w:bookmarkStart w:id="945" w:name="_Toc390689979"/>
      <w:bookmarkStart w:id="946" w:name="_Toc390696984"/>
      <w:bookmarkStart w:id="947" w:name="_Toc390759997"/>
      <w:bookmarkStart w:id="948" w:name="_Toc390764753"/>
      <w:bookmarkStart w:id="949" w:name="_Toc390766282"/>
      <w:bookmarkStart w:id="950" w:name="_Toc390778751"/>
      <w:bookmarkStart w:id="951" w:name="_Toc390779729"/>
      <w:bookmarkStart w:id="952" w:name="_Toc390782542"/>
      <w:bookmarkStart w:id="953" w:name="_Toc390268042"/>
      <w:bookmarkStart w:id="954" w:name="_Toc390268173"/>
      <w:bookmarkStart w:id="955" w:name="_Toc390352824"/>
      <w:bookmarkStart w:id="956" w:name="_Toc390353801"/>
      <w:bookmarkStart w:id="957" w:name="_Toc390355751"/>
      <w:bookmarkStart w:id="958" w:name="_Toc390436415"/>
      <w:bookmarkStart w:id="959" w:name="_Toc390673706"/>
      <w:bookmarkStart w:id="960" w:name="_Toc390689980"/>
      <w:bookmarkStart w:id="961" w:name="_Toc390696985"/>
      <w:bookmarkStart w:id="962" w:name="_Toc390759998"/>
      <w:bookmarkStart w:id="963" w:name="_Toc390764754"/>
      <w:bookmarkStart w:id="964" w:name="_Toc390766283"/>
      <w:bookmarkStart w:id="965" w:name="_Toc390778752"/>
      <w:bookmarkStart w:id="966" w:name="_Toc390779730"/>
      <w:bookmarkStart w:id="967" w:name="_Toc390782543"/>
      <w:bookmarkStart w:id="968" w:name="_Toc390268043"/>
      <w:bookmarkStart w:id="969" w:name="_Toc390268174"/>
      <w:bookmarkStart w:id="970" w:name="_Toc390352825"/>
      <w:bookmarkStart w:id="971" w:name="_Toc390353802"/>
      <w:bookmarkStart w:id="972" w:name="_Toc390355752"/>
      <w:bookmarkStart w:id="973" w:name="_Toc390436416"/>
      <w:bookmarkStart w:id="974" w:name="_Toc390673707"/>
      <w:bookmarkStart w:id="975" w:name="_Toc390689981"/>
      <w:bookmarkStart w:id="976" w:name="_Toc390696986"/>
      <w:bookmarkStart w:id="977" w:name="_Toc390759999"/>
      <w:bookmarkStart w:id="978" w:name="_Toc390764755"/>
      <w:bookmarkStart w:id="979" w:name="_Toc390766284"/>
      <w:bookmarkStart w:id="980" w:name="_Toc390778753"/>
      <w:bookmarkStart w:id="981" w:name="_Toc390779731"/>
      <w:bookmarkStart w:id="982" w:name="_Toc390782544"/>
      <w:bookmarkStart w:id="983" w:name="_Toc390268044"/>
      <w:bookmarkStart w:id="984" w:name="_Toc390268175"/>
      <w:bookmarkStart w:id="985" w:name="_Toc390352826"/>
      <w:bookmarkStart w:id="986" w:name="_Toc390353803"/>
      <w:bookmarkStart w:id="987" w:name="_Toc390355753"/>
      <w:bookmarkStart w:id="988" w:name="_Toc390436417"/>
      <w:bookmarkStart w:id="989" w:name="_Toc390673708"/>
      <w:bookmarkStart w:id="990" w:name="_Toc390689982"/>
      <w:bookmarkStart w:id="991" w:name="_Toc390696987"/>
      <w:bookmarkStart w:id="992" w:name="_Toc390760000"/>
      <w:bookmarkStart w:id="993" w:name="_Toc390764756"/>
      <w:bookmarkStart w:id="994" w:name="_Toc390766285"/>
      <w:bookmarkStart w:id="995" w:name="_Toc390778754"/>
      <w:bookmarkStart w:id="996" w:name="_Toc390779732"/>
      <w:bookmarkStart w:id="997" w:name="_Toc390782545"/>
      <w:bookmarkStart w:id="998" w:name="_Toc390268045"/>
      <w:bookmarkStart w:id="999" w:name="_Toc390268176"/>
      <w:bookmarkStart w:id="1000" w:name="_Toc390352827"/>
      <w:bookmarkStart w:id="1001" w:name="_Toc390353804"/>
      <w:bookmarkStart w:id="1002" w:name="_Toc390355754"/>
      <w:bookmarkStart w:id="1003" w:name="_Toc390436418"/>
      <w:bookmarkStart w:id="1004" w:name="_Toc390673709"/>
      <w:bookmarkStart w:id="1005" w:name="_Toc390689983"/>
      <w:bookmarkStart w:id="1006" w:name="_Toc390696988"/>
      <w:bookmarkStart w:id="1007" w:name="_Toc390760001"/>
      <w:bookmarkStart w:id="1008" w:name="_Toc390764757"/>
      <w:bookmarkStart w:id="1009" w:name="_Toc390766286"/>
      <w:bookmarkStart w:id="1010" w:name="_Toc390778755"/>
      <w:bookmarkStart w:id="1011" w:name="_Toc390779733"/>
      <w:bookmarkStart w:id="1012" w:name="_Toc390782546"/>
      <w:bookmarkStart w:id="1013" w:name="_Toc390268046"/>
      <w:bookmarkStart w:id="1014" w:name="_Toc390268177"/>
      <w:bookmarkStart w:id="1015" w:name="_Toc390352828"/>
      <w:bookmarkStart w:id="1016" w:name="_Toc390353805"/>
      <w:bookmarkStart w:id="1017" w:name="_Toc390355755"/>
      <w:bookmarkStart w:id="1018" w:name="_Toc390436419"/>
      <w:bookmarkStart w:id="1019" w:name="_Toc390673710"/>
      <w:bookmarkStart w:id="1020" w:name="_Toc390689984"/>
      <w:bookmarkStart w:id="1021" w:name="_Toc390696989"/>
      <w:bookmarkStart w:id="1022" w:name="_Toc390760002"/>
      <w:bookmarkStart w:id="1023" w:name="_Toc390764758"/>
      <w:bookmarkStart w:id="1024" w:name="_Toc390766287"/>
      <w:bookmarkStart w:id="1025" w:name="_Toc390778756"/>
      <w:bookmarkStart w:id="1026" w:name="_Toc390779734"/>
      <w:bookmarkStart w:id="1027" w:name="_Toc390782547"/>
      <w:bookmarkStart w:id="1028" w:name="_Toc390268050"/>
      <w:bookmarkStart w:id="1029" w:name="_Toc390268181"/>
      <w:bookmarkStart w:id="1030" w:name="_Toc390352832"/>
      <w:bookmarkStart w:id="1031" w:name="_Toc390353809"/>
      <w:bookmarkStart w:id="1032" w:name="_Toc390355759"/>
      <w:bookmarkStart w:id="1033" w:name="_Toc390436423"/>
      <w:bookmarkStart w:id="1034" w:name="_Toc390673714"/>
      <w:bookmarkStart w:id="1035" w:name="_Toc390689988"/>
      <w:bookmarkStart w:id="1036" w:name="_Toc390696993"/>
      <w:bookmarkStart w:id="1037" w:name="_Toc390760006"/>
      <w:bookmarkStart w:id="1038" w:name="_Toc390764762"/>
      <w:bookmarkStart w:id="1039" w:name="_Toc390766291"/>
      <w:bookmarkStart w:id="1040" w:name="_Toc390778760"/>
      <w:bookmarkStart w:id="1041" w:name="_Toc390779738"/>
      <w:bookmarkStart w:id="1042" w:name="_Toc390782551"/>
      <w:bookmarkStart w:id="1043" w:name="_Toc390268054"/>
      <w:bookmarkStart w:id="1044" w:name="_Toc390268185"/>
      <w:bookmarkStart w:id="1045" w:name="_Toc390352836"/>
      <w:bookmarkStart w:id="1046" w:name="_Toc390353813"/>
      <w:bookmarkStart w:id="1047" w:name="_Toc390355763"/>
      <w:bookmarkStart w:id="1048" w:name="_Toc390436427"/>
      <w:bookmarkStart w:id="1049" w:name="_Toc390673718"/>
      <w:bookmarkStart w:id="1050" w:name="_Toc390689992"/>
      <w:bookmarkStart w:id="1051" w:name="_Toc390696997"/>
      <w:bookmarkStart w:id="1052" w:name="_Toc390760010"/>
      <w:bookmarkStart w:id="1053" w:name="_Toc390764766"/>
      <w:bookmarkStart w:id="1054" w:name="_Toc390766295"/>
      <w:bookmarkStart w:id="1055" w:name="_Toc390778764"/>
      <w:bookmarkStart w:id="1056" w:name="_Toc390779742"/>
      <w:bookmarkStart w:id="1057" w:name="_Toc390782555"/>
      <w:bookmarkStart w:id="1058" w:name="_Toc390268055"/>
      <w:bookmarkStart w:id="1059" w:name="_Toc390268186"/>
      <w:bookmarkStart w:id="1060" w:name="_Toc390352837"/>
      <w:bookmarkStart w:id="1061" w:name="_Toc390353814"/>
      <w:bookmarkStart w:id="1062" w:name="_Toc390355764"/>
      <w:bookmarkStart w:id="1063" w:name="_Toc390436428"/>
      <w:bookmarkStart w:id="1064" w:name="_Toc390673719"/>
      <w:bookmarkStart w:id="1065" w:name="_Toc390689993"/>
      <w:bookmarkStart w:id="1066" w:name="_Toc390696998"/>
      <w:bookmarkStart w:id="1067" w:name="_Toc390760011"/>
      <w:bookmarkStart w:id="1068" w:name="_Toc390764767"/>
      <w:bookmarkStart w:id="1069" w:name="_Toc390766296"/>
      <w:bookmarkStart w:id="1070" w:name="_Toc390778765"/>
      <w:bookmarkStart w:id="1071" w:name="_Toc390779743"/>
      <w:bookmarkStart w:id="1072" w:name="_Toc390782556"/>
      <w:bookmarkStart w:id="1073" w:name="_Toc390268056"/>
      <w:bookmarkStart w:id="1074" w:name="_Toc390268187"/>
      <w:bookmarkStart w:id="1075" w:name="_Toc390352838"/>
      <w:bookmarkStart w:id="1076" w:name="_Toc390353815"/>
      <w:bookmarkStart w:id="1077" w:name="_Toc390355765"/>
      <w:bookmarkStart w:id="1078" w:name="_Toc390436429"/>
      <w:bookmarkStart w:id="1079" w:name="_Toc390673720"/>
      <w:bookmarkStart w:id="1080" w:name="_Toc390689994"/>
      <w:bookmarkStart w:id="1081" w:name="_Toc390696999"/>
      <w:bookmarkStart w:id="1082" w:name="_Toc390760012"/>
      <w:bookmarkStart w:id="1083" w:name="_Toc390764768"/>
      <w:bookmarkStart w:id="1084" w:name="_Toc390766297"/>
      <w:bookmarkStart w:id="1085" w:name="_Toc390778766"/>
      <w:bookmarkStart w:id="1086" w:name="_Toc390779744"/>
      <w:bookmarkStart w:id="1087" w:name="_Toc390782557"/>
      <w:bookmarkStart w:id="1088" w:name="_Toc390268057"/>
      <w:bookmarkStart w:id="1089" w:name="_Toc390268188"/>
      <w:bookmarkStart w:id="1090" w:name="_Toc390352839"/>
      <w:bookmarkStart w:id="1091" w:name="_Toc390353816"/>
      <w:bookmarkStart w:id="1092" w:name="_Toc390355766"/>
      <w:bookmarkStart w:id="1093" w:name="_Toc390436430"/>
      <w:bookmarkStart w:id="1094" w:name="_Toc390673721"/>
      <w:bookmarkStart w:id="1095" w:name="_Toc390689995"/>
      <w:bookmarkStart w:id="1096" w:name="_Toc390697000"/>
      <w:bookmarkStart w:id="1097" w:name="_Toc390760013"/>
      <w:bookmarkStart w:id="1098" w:name="_Toc390764769"/>
      <w:bookmarkStart w:id="1099" w:name="_Toc390766298"/>
      <w:bookmarkStart w:id="1100" w:name="_Toc390778767"/>
      <w:bookmarkStart w:id="1101" w:name="_Toc390779745"/>
      <w:bookmarkStart w:id="1102" w:name="_Toc390782558"/>
      <w:bookmarkStart w:id="1103" w:name="_Toc390268061"/>
      <w:bookmarkStart w:id="1104" w:name="_Toc390268192"/>
      <w:bookmarkStart w:id="1105" w:name="_Toc390352843"/>
      <w:bookmarkStart w:id="1106" w:name="_Toc390353820"/>
      <w:bookmarkStart w:id="1107" w:name="_Toc390355770"/>
      <w:bookmarkStart w:id="1108" w:name="_Toc390436434"/>
      <w:bookmarkStart w:id="1109" w:name="_Toc390673725"/>
      <w:bookmarkStart w:id="1110" w:name="_Toc390689999"/>
      <w:bookmarkStart w:id="1111" w:name="_Toc390697004"/>
      <w:bookmarkStart w:id="1112" w:name="_Toc390760017"/>
      <w:bookmarkStart w:id="1113" w:name="_Toc390764773"/>
      <w:bookmarkStart w:id="1114" w:name="_Toc390766302"/>
      <w:bookmarkStart w:id="1115" w:name="_Toc390778771"/>
      <w:bookmarkStart w:id="1116" w:name="_Toc390779749"/>
      <w:bookmarkStart w:id="1117" w:name="_Toc390782562"/>
      <w:bookmarkStart w:id="1118" w:name="_Toc390268064"/>
      <w:bookmarkStart w:id="1119" w:name="_Toc390268195"/>
      <w:bookmarkStart w:id="1120" w:name="_Toc390352846"/>
      <w:bookmarkStart w:id="1121" w:name="_Toc390353823"/>
      <w:bookmarkStart w:id="1122" w:name="_Toc390355773"/>
      <w:bookmarkStart w:id="1123" w:name="_Toc390436437"/>
      <w:bookmarkStart w:id="1124" w:name="_Toc390673728"/>
      <w:bookmarkStart w:id="1125" w:name="_Toc390690002"/>
      <w:bookmarkStart w:id="1126" w:name="_Toc390697007"/>
      <w:bookmarkStart w:id="1127" w:name="_Toc390760020"/>
      <w:bookmarkStart w:id="1128" w:name="_Toc390764776"/>
      <w:bookmarkStart w:id="1129" w:name="_Toc390766305"/>
      <w:bookmarkStart w:id="1130" w:name="_Toc390778774"/>
      <w:bookmarkStart w:id="1131" w:name="_Toc390779752"/>
      <w:bookmarkStart w:id="1132" w:name="_Toc390782565"/>
      <w:bookmarkStart w:id="1133" w:name="_Toc390268065"/>
      <w:bookmarkStart w:id="1134" w:name="_Toc390268196"/>
      <w:bookmarkStart w:id="1135" w:name="_Toc390352847"/>
      <w:bookmarkStart w:id="1136" w:name="_Toc390353824"/>
      <w:bookmarkStart w:id="1137" w:name="_Toc390355774"/>
      <w:bookmarkStart w:id="1138" w:name="_Toc390436438"/>
      <w:bookmarkStart w:id="1139" w:name="_Toc390673729"/>
      <w:bookmarkStart w:id="1140" w:name="_Toc390690003"/>
      <w:bookmarkStart w:id="1141" w:name="_Toc390697008"/>
      <w:bookmarkStart w:id="1142" w:name="_Toc390760021"/>
      <w:bookmarkStart w:id="1143" w:name="_Toc390764777"/>
      <w:bookmarkStart w:id="1144" w:name="_Toc390766306"/>
      <w:bookmarkStart w:id="1145" w:name="_Toc390778775"/>
      <w:bookmarkStart w:id="1146" w:name="_Toc390779753"/>
      <w:bookmarkStart w:id="1147" w:name="_Toc390782566"/>
      <w:bookmarkStart w:id="1148" w:name="_Toc390268067"/>
      <w:bookmarkStart w:id="1149" w:name="_Toc390268198"/>
      <w:bookmarkStart w:id="1150" w:name="_Toc390352849"/>
      <w:bookmarkStart w:id="1151" w:name="_Toc390353826"/>
      <w:bookmarkStart w:id="1152" w:name="_Toc390355776"/>
      <w:bookmarkStart w:id="1153" w:name="_Toc390436440"/>
      <w:bookmarkStart w:id="1154" w:name="_Toc390673731"/>
      <w:bookmarkStart w:id="1155" w:name="_Toc390690005"/>
      <w:bookmarkStart w:id="1156" w:name="_Toc390697010"/>
      <w:bookmarkStart w:id="1157" w:name="_Toc390760023"/>
      <w:bookmarkStart w:id="1158" w:name="_Toc390764779"/>
      <w:bookmarkStart w:id="1159" w:name="_Toc390766308"/>
      <w:bookmarkStart w:id="1160" w:name="_Toc390778777"/>
      <w:bookmarkStart w:id="1161" w:name="_Toc390779755"/>
      <w:bookmarkStart w:id="1162" w:name="_Toc390782568"/>
      <w:bookmarkStart w:id="1163" w:name="_Toc388019385"/>
      <w:bookmarkStart w:id="1164" w:name="_Toc388019876"/>
      <w:bookmarkStart w:id="1165" w:name="_Toc388019386"/>
      <w:bookmarkStart w:id="1166" w:name="_Toc388019877"/>
      <w:bookmarkStart w:id="1167" w:name="_Toc388019387"/>
      <w:bookmarkStart w:id="1168" w:name="_Toc388019878"/>
      <w:bookmarkStart w:id="1169" w:name="_Toc388019388"/>
      <w:bookmarkStart w:id="1170" w:name="_Toc388019879"/>
      <w:bookmarkStart w:id="1171" w:name="_Toc388019389"/>
      <w:bookmarkStart w:id="1172" w:name="_Toc388019880"/>
      <w:bookmarkStart w:id="1173" w:name="_Toc388019392"/>
      <w:bookmarkStart w:id="1174" w:name="_Toc388019883"/>
      <w:bookmarkStart w:id="1175" w:name="_Toc388019393"/>
      <w:bookmarkStart w:id="1176" w:name="_Toc388019884"/>
      <w:bookmarkStart w:id="1177" w:name="_Toc388019397"/>
      <w:bookmarkStart w:id="1178" w:name="_Toc388019888"/>
      <w:bookmarkStart w:id="1179" w:name="_Toc388019399"/>
      <w:bookmarkStart w:id="1180" w:name="_Toc388019890"/>
      <w:bookmarkStart w:id="1181" w:name="_Toc388019400"/>
      <w:bookmarkStart w:id="1182" w:name="_Toc388019891"/>
      <w:bookmarkStart w:id="1183" w:name="_Toc388019401"/>
      <w:bookmarkStart w:id="1184" w:name="_Toc388019892"/>
      <w:bookmarkStart w:id="1185" w:name="_Toc388019402"/>
      <w:bookmarkStart w:id="1186" w:name="_Toc388019893"/>
      <w:bookmarkStart w:id="1187" w:name="_Toc388019406"/>
      <w:bookmarkStart w:id="1188" w:name="_Toc388019897"/>
      <w:bookmarkStart w:id="1189" w:name="_Toc388019407"/>
      <w:bookmarkStart w:id="1190" w:name="_Toc388019898"/>
      <w:bookmarkStart w:id="1191" w:name="_Toc388019409"/>
      <w:bookmarkStart w:id="1192" w:name="_Toc388019900"/>
      <w:bookmarkStart w:id="1193" w:name="_Toc388019411"/>
      <w:bookmarkStart w:id="1194" w:name="_Toc388019902"/>
      <w:bookmarkStart w:id="1195" w:name="_Toc388019412"/>
      <w:bookmarkStart w:id="1196" w:name="_Toc388019903"/>
      <w:bookmarkStart w:id="1197" w:name="_Toc388019413"/>
      <w:bookmarkStart w:id="1198" w:name="_Toc388019904"/>
      <w:bookmarkStart w:id="1199" w:name="_Toc388019416"/>
      <w:bookmarkStart w:id="1200" w:name="_Toc388019907"/>
      <w:bookmarkStart w:id="1201" w:name="_Toc388019417"/>
      <w:bookmarkStart w:id="1202" w:name="_Toc388019908"/>
      <w:bookmarkStart w:id="1203" w:name="_Toc388019419"/>
      <w:bookmarkStart w:id="1204" w:name="_Toc388019910"/>
      <w:bookmarkStart w:id="1205" w:name="_Toc388019423"/>
      <w:bookmarkStart w:id="1206" w:name="_Toc388019914"/>
      <w:bookmarkStart w:id="1207" w:name="_Toc388019427"/>
      <w:bookmarkStart w:id="1208" w:name="_Toc388019918"/>
      <w:bookmarkStart w:id="1209" w:name="_Toc388019429"/>
      <w:bookmarkStart w:id="1210" w:name="_Toc388019920"/>
      <w:bookmarkStart w:id="1211" w:name="_Toc388019434"/>
      <w:bookmarkStart w:id="1212" w:name="_Toc388019925"/>
      <w:bookmarkStart w:id="1213" w:name="_Toc388019435"/>
      <w:bookmarkStart w:id="1214" w:name="_Toc388019926"/>
      <w:bookmarkStart w:id="1215" w:name="_Toc388019439"/>
      <w:bookmarkStart w:id="1216" w:name="_Toc388019930"/>
      <w:bookmarkStart w:id="1217" w:name="_Toc388019440"/>
      <w:bookmarkStart w:id="1218" w:name="_Toc388019931"/>
      <w:bookmarkStart w:id="1219" w:name="_Toc388019444"/>
      <w:bookmarkStart w:id="1220" w:name="_Toc388019935"/>
      <w:bookmarkStart w:id="1221" w:name="_Toc388019446"/>
      <w:bookmarkStart w:id="1222" w:name="_Toc388019937"/>
      <w:bookmarkStart w:id="1223" w:name="_Toc388019447"/>
      <w:bookmarkStart w:id="1224" w:name="_Toc388019938"/>
      <w:bookmarkStart w:id="1225" w:name="_Toc388019448"/>
      <w:bookmarkStart w:id="1226" w:name="_Toc388019939"/>
      <w:bookmarkStart w:id="1227" w:name="_Toc388019451"/>
      <w:bookmarkStart w:id="1228" w:name="_Toc388019942"/>
      <w:bookmarkStart w:id="1229" w:name="_Toc388019475"/>
      <w:bookmarkStart w:id="1230" w:name="_Toc388019966"/>
      <w:bookmarkStart w:id="1231" w:name="_Toc388019479"/>
      <w:bookmarkStart w:id="1232" w:name="_Toc388019970"/>
      <w:bookmarkStart w:id="1233" w:name="_Toc388019487"/>
      <w:bookmarkStart w:id="1234" w:name="_Toc388019978"/>
      <w:bookmarkStart w:id="1235" w:name="_Toc388019488"/>
      <w:bookmarkStart w:id="1236" w:name="_Toc388019979"/>
      <w:bookmarkStart w:id="1237" w:name="_Toc388019490"/>
      <w:bookmarkStart w:id="1238" w:name="_Toc388019981"/>
      <w:bookmarkStart w:id="1239" w:name="_Toc388019518"/>
      <w:bookmarkStart w:id="1240" w:name="_Toc388020009"/>
      <w:bookmarkStart w:id="1241" w:name="_Toc388019539"/>
      <w:bookmarkStart w:id="1242" w:name="_Toc388020030"/>
      <w:bookmarkStart w:id="1243" w:name="_Toc388019557"/>
      <w:bookmarkStart w:id="1244" w:name="_Toc388020048"/>
      <w:bookmarkStart w:id="1245" w:name="_Toc388019585"/>
      <w:bookmarkStart w:id="1246" w:name="_Toc388020076"/>
      <w:bookmarkStart w:id="1247" w:name="_Toc388019587"/>
      <w:bookmarkStart w:id="1248" w:name="_Toc388020078"/>
      <w:bookmarkStart w:id="1249" w:name="_Toc388019601"/>
      <w:bookmarkStart w:id="1250" w:name="_Toc388020092"/>
      <w:bookmarkStart w:id="1251" w:name="_Toc388019644"/>
      <w:bookmarkStart w:id="1252" w:name="_Toc388020135"/>
      <w:bookmarkStart w:id="1253" w:name="_Toc388019663"/>
      <w:bookmarkStart w:id="1254" w:name="_Toc388020154"/>
      <w:bookmarkStart w:id="1255" w:name="_Toc388019672"/>
      <w:bookmarkStart w:id="1256" w:name="_Toc388020163"/>
      <w:bookmarkStart w:id="1257" w:name="_Toc388019681"/>
      <w:bookmarkStart w:id="1258" w:name="_Toc388020172"/>
      <w:bookmarkStart w:id="1259" w:name="_Toc388019690"/>
      <w:bookmarkStart w:id="1260" w:name="_Toc388020181"/>
      <w:bookmarkStart w:id="1261" w:name="_Toc388019708"/>
      <w:bookmarkStart w:id="1262" w:name="_Toc388020199"/>
      <w:bookmarkStart w:id="1263" w:name="_Toc388019717"/>
      <w:bookmarkStart w:id="1264" w:name="_Toc388020208"/>
      <w:bookmarkStart w:id="1265" w:name="_Toc388019726"/>
      <w:bookmarkStart w:id="1266" w:name="_Toc388020217"/>
      <w:bookmarkStart w:id="1267" w:name="_Toc388019741"/>
      <w:bookmarkStart w:id="1268" w:name="_Toc388020232"/>
      <w:bookmarkStart w:id="1269" w:name="_Toc388019745"/>
      <w:bookmarkStart w:id="1270" w:name="_Toc388020236"/>
      <w:bookmarkStart w:id="1271" w:name="_Toc388019753"/>
      <w:bookmarkStart w:id="1272" w:name="_Toc388020244"/>
      <w:bookmarkStart w:id="1273" w:name="_Toc388019754"/>
      <w:bookmarkStart w:id="1274" w:name="_Toc388020245"/>
      <w:bookmarkStart w:id="1275" w:name="_Toc388019757"/>
      <w:bookmarkStart w:id="1276" w:name="_Toc388020248"/>
      <w:bookmarkStart w:id="1277" w:name="_Toc388019759"/>
      <w:bookmarkStart w:id="1278" w:name="_Toc388020250"/>
      <w:bookmarkStart w:id="1279" w:name="_Toc388019761"/>
      <w:bookmarkStart w:id="1280" w:name="_Toc388020252"/>
      <w:bookmarkStart w:id="1281" w:name="_Toc388019762"/>
      <w:bookmarkStart w:id="1282" w:name="_Toc388020253"/>
      <w:bookmarkStart w:id="1283" w:name="_Toc388019765"/>
      <w:bookmarkStart w:id="1284" w:name="_Toc388020256"/>
      <w:bookmarkStart w:id="1285" w:name="_Toc388019767"/>
      <w:bookmarkStart w:id="1286" w:name="_Toc388020258"/>
      <w:bookmarkStart w:id="1287" w:name="_Toc388019770"/>
      <w:bookmarkStart w:id="1288" w:name="_Toc388020261"/>
      <w:bookmarkStart w:id="1289" w:name="_Toc388019776"/>
      <w:bookmarkStart w:id="1290" w:name="_Toc388020267"/>
      <w:bookmarkStart w:id="1291" w:name="_Toc388019781"/>
      <w:bookmarkStart w:id="1292" w:name="_Toc388020272"/>
      <w:bookmarkStart w:id="1293" w:name="_Toc388019785"/>
      <w:bookmarkStart w:id="1294" w:name="_Toc388020276"/>
      <w:bookmarkStart w:id="1295" w:name="_Toc388019792"/>
      <w:bookmarkStart w:id="1296" w:name="_Toc388020283"/>
      <w:bookmarkStart w:id="1297" w:name="_Toc388019794"/>
      <w:bookmarkStart w:id="1298" w:name="_Toc388020285"/>
      <w:bookmarkStart w:id="1299" w:name="_Toc388019796"/>
      <w:bookmarkStart w:id="1300" w:name="_Toc388020287"/>
      <w:bookmarkStart w:id="1301" w:name="_Toc388019797"/>
      <w:bookmarkStart w:id="1302" w:name="_Toc388020288"/>
      <w:bookmarkStart w:id="1303" w:name="_Toc388019798"/>
      <w:bookmarkStart w:id="1304" w:name="_Toc388020289"/>
      <w:bookmarkStart w:id="1305" w:name="_Toc388019800"/>
      <w:bookmarkStart w:id="1306" w:name="_Toc388020291"/>
      <w:bookmarkStart w:id="1307" w:name="_Toc388019801"/>
      <w:bookmarkStart w:id="1308" w:name="_Toc388020292"/>
      <w:bookmarkStart w:id="1309" w:name="_Toc388019802"/>
      <w:bookmarkStart w:id="1310" w:name="_Toc388020293"/>
      <w:bookmarkStart w:id="1311" w:name="_Toc388019804"/>
      <w:bookmarkStart w:id="1312" w:name="_Toc388020295"/>
      <w:bookmarkStart w:id="1313" w:name="_Toc390352862"/>
      <w:bookmarkStart w:id="1314" w:name="_Toc390353839"/>
      <w:bookmarkStart w:id="1315" w:name="_Toc390355789"/>
      <w:bookmarkStart w:id="1316" w:name="_Toc390436453"/>
      <w:bookmarkStart w:id="1317" w:name="_Toc390673744"/>
      <w:bookmarkStart w:id="1318" w:name="_Toc390690018"/>
      <w:bookmarkStart w:id="1319" w:name="_Toc390697023"/>
      <w:bookmarkStart w:id="1320" w:name="_Toc390760036"/>
      <w:bookmarkStart w:id="1321" w:name="_Toc390764792"/>
      <w:bookmarkStart w:id="1322" w:name="_Toc390766321"/>
      <w:bookmarkStart w:id="1323" w:name="_Toc390778790"/>
      <w:bookmarkStart w:id="1324" w:name="_Toc390779768"/>
      <w:bookmarkStart w:id="1325" w:name="_Toc390782581"/>
      <w:bookmarkStart w:id="1326" w:name="_Toc390352865"/>
      <w:bookmarkStart w:id="1327" w:name="_Toc390353842"/>
      <w:bookmarkStart w:id="1328" w:name="_Toc390355792"/>
      <w:bookmarkStart w:id="1329" w:name="_Toc390436456"/>
      <w:bookmarkStart w:id="1330" w:name="_Toc390673747"/>
      <w:bookmarkStart w:id="1331" w:name="_Toc390690021"/>
      <w:bookmarkStart w:id="1332" w:name="_Toc390697026"/>
      <w:bookmarkStart w:id="1333" w:name="_Toc390760039"/>
      <w:bookmarkStart w:id="1334" w:name="_Toc390764795"/>
      <w:bookmarkStart w:id="1335" w:name="_Toc390766324"/>
      <w:bookmarkStart w:id="1336" w:name="_Toc390778793"/>
      <w:bookmarkStart w:id="1337" w:name="_Toc390779771"/>
      <w:bookmarkStart w:id="1338" w:name="_Toc390782584"/>
      <w:bookmarkStart w:id="1339" w:name="_Toc390352868"/>
      <w:bookmarkStart w:id="1340" w:name="_Toc390353845"/>
      <w:bookmarkStart w:id="1341" w:name="_Toc390355795"/>
      <w:bookmarkStart w:id="1342" w:name="_Toc390436459"/>
      <w:bookmarkStart w:id="1343" w:name="_Toc390673750"/>
      <w:bookmarkStart w:id="1344" w:name="_Toc390690024"/>
      <w:bookmarkStart w:id="1345" w:name="_Toc390697029"/>
      <w:bookmarkStart w:id="1346" w:name="_Toc390760042"/>
      <w:bookmarkStart w:id="1347" w:name="_Toc390764798"/>
      <w:bookmarkStart w:id="1348" w:name="_Toc390766327"/>
      <w:bookmarkStart w:id="1349" w:name="_Toc390778796"/>
      <w:bookmarkStart w:id="1350" w:name="_Toc390779774"/>
      <w:bookmarkStart w:id="1351" w:name="_Toc390782587"/>
      <w:bookmarkStart w:id="1352" w:name="_Toc390352873"/>
      <w:bookmarkStart w:id="1353" w:name="_Toc390353850"/>
      <w:bookmarkStart w:id="1354" w:name="_Toc390355800"/>
      <w:bookmarkStart w:id="1355" w:name="_Toc390436464"/>
      <w:bookmarkStart w:id="1356" w:name="_Toc390673755"/>
      <w:bookmarkStart w:id="1357" w:name="_Toc390690029"/>
      <w:bookmarkStart w:id="1358" w:name="_Toc390697034"/>
      <w:bookmarkStart w:id="1359" w:name="_Toc390760047"/>
      <w:bookmarkStart w:id="1360" w:name="_Toc390764803"/>
      <w:bookmarkStart w:id="1361" w:name="_Toc390766332"/>
      <w:bookmarkStart w:id="1362" w:name="_Toc390778801"/>
      <w:bookmarkStart w:id="1363" w:name="_Toc390779779"/>
      <w:bookmarkStart w:id="1364" w:name="_Toc390782592"/>
      <w:bookmarkStart w:id="1365" w:name="_Toc390352875"/>
      <w:bookmarkStart w:id="1366" w:name="_Toc390353852"/>
      <w:bookmarkStart w:id="1367" w:name="_Toc390355802"/>
      <w:bookmarkStart w:id="1368" w:name="_Toc390436466"/>
      <w:bookmarkStart w:id="1369" w:name="_Toc390673757"/>
      <w:bookmarkStart w:id="1370" w:name="_Toc390690031"/>
      <w:bookmarkStart w:id="1371" w:name="_Toc390697036"/>
      <w:bookmarkStart w:id="1372" w:name="_Toc390760049"/>
      <w:bookmarkStart w:id="1373" w:name="_Toc390764805"/>
      <w:bookmarkStart w:id="1374" w:name="_Toc390766334"/>
      <w:bookmarkStart w:id="1375" w:name="_Toc390778803"/>
      <w:bookmarkStart w:id="1376" w:name="_Toc390779781"/>
      <w:bookmarkStart w:id="1377" w:name="_Toc390782594"/>
      <w:bookmarkStart w:id="1378" w:name="_Toc390352877"/>
      <w:bookmarkStart w:id="1379" w:name="_Toc390353854"/>
      <w:bookmarkStart w:id="1380" w:name="_Toc390355804"/>
      <w:bookmarkStart w:id="1381" w:name="_Toc390436468"/>
      <w:bookmarkStart w:id="1382" w:name="_Toc390673759"/>
      <w:bookmarkStart w:id="1383" w:name="_Toc390690033"/>
      <w:bookmarkStart w:id="1384" w:name="_Toc390697038"/>
      <w:bookmarkStart w:id="1385" w:name="_Toc390760051"/>
      <w:bookmarkStart w:id="1386" w:name="_Toc390764807"/>
      <w:bookmarkStart w:id="1387" w:name="_Toc390766336"/>
      <w:bookmarkStart w:id="1388" w:name="_Toc390778805"/>
      <w:bookmarkStart w:id="1389" w:name="_Toc390779783"/>
      <w:bookmarkStart w:id="1390" w:name="_Toc390782596"/>
      <w:bookmarkStart w:id="1391" w:name="_Toc390352879"/>
      <w:bookmarkStart w:id="1392" w:name="_Toc390353856"/>
      <w:bookmarkStart w:id="1393" w:name="_Toc390355806"/>
      <w:bookmarkStart w:id="1394" w:name="_Toc390436470"/>
      <w:bookmarkStart w:id="1395" w:name="_Toc390673761"/>
      <w:bookmarkStart w:id="1396" w:name="_Toc390690035"/>
      <w:bookmarkStart w:id="1397" w:name="_Toc390697040"/>
      <w:bookmarkStart w:id="1398" w:name="_Toc390760053"/>
      <w:bookmarkStart w:id="1399" w:name="_Toc390764809"/>
      <w:bookmarkStart w:id="1400" w:name="_Toc390766338"/>
      <w:bookmarkStart w:id="1401" w:name="_Toc390778807"/>
      <w:bookmarkStart w:id="1402" w:name="_Toc390779785"/>
      <w:bookmarkStart w:id="1403" w:name="_Toc390782598"/>
      <w:bookmarkStart w:id="1404" w:name="_Toc390352880"/>
      <w:bookmarkStart w:id="1405" w:name="_Toc390353857"/>
      <w:bookmarkStart w:id="1406" w:name="_Toc390355807"/>
      <w:bookmarkStart w:id="1407" w:name="_Toc390436471"/>
      <w:bookmarkStart w:id="1408" w:name="_Toc390673762"/>
      <w:bookmarkStart w:id="1409" w:name="_Toc390690036"/>
      <w:bookmarkStart w:id="1410" w:name="_Toc390697041"/>
      <w:bookmarkStart w:id="1411" w:name="_Toc390760054"/>
      <w:bookmarkStart w:id="1412" w:name="_Toc390764810"/>
      <w:bookmarkStart w:id="1413" w:name="_Toc390766339"/>
      <w:bookmarkStart w:id="1414" w:name="_Toc390778808"/>
      <w:bookmarkStart w:id="1415" w:name="_Toc390779786"/>
      <w:bookmarkStart w:id="1416" w:name="_Toc390782599"/>
      <w:bookmarkStart w:id="1417" w:name="_Toc390352883"/>
      <w:bookmarkStart w:id="1418" w:name="_Toc390353860"/>
      <w:bookmarkStart w:id="1419" w:name="_Toc390355810"/>
      <w:bookmarkStart w:id="1420" w:name="_Toc390436474"/>
      <w:bookmarkStart w:id="1421" w:name="_Toc390673765"/>
      <w:bookmarkStart w:id="1422" w:name="_Toc390690039"/>
      <w:bookmarkStart w:id="1423" w:name="_Toc390697044"/>
      <w:bookmarkStart w:id="1424" w:name="_Toc390760057"/>
      <w:bookmarkStart w:id="1425" w:name="_Toc390764813"/>
      <w:bookmarkStart w:id="1426" w:name="_Toc390766342"/>
      <w:bookmarkStart w:id="1427" w:name="_Toc390778811"/>
      <w:bookmarkStart w:id="1428" w:name="_Toc390779789"/>
      <w:bookmarkStart w:id="1429" w:name="_Toc390782602"/>
      <w:bookmarkStart w:id="1430" w:name="_Toc390352885"/>
      <w:bookmarkStart w:id="1431" w:name="_Toc390353862"/>
      <w:bookmarkStart w:id="1432" w:name="_Toc390355812"/>
      <w:bookmarkStart w:id="1433" w:name="_Toc390436476"/>
      <w:bookmarkStart w:id="1434" w:name="_Toc390673767"/>
      <w:bookmarkStart w:id="1435" w:name="_Toc390690041"/>
      <w:bookmarkStart w:id="1436" w:name="_Toc390697046"/>
      <w:bookmarkStart w:id="1437" w:name="_Toc390760059"/>
      <w:bookmarkStart w:id="1438" w:name="_Toc390764815"/>
      <w:bookmarkStart w:id="1439" w:name="_Toc390766344"/>
      <w:bookmarkStart w:id="1440" w:name="_Toc390778813"/>
      <w:bookmarkStart w:id="1441" w:name="_Toc390779791"/>
      <w:bookmarkStart w:id="1442" w:name="_Toc390782604"/>
      <w:bookmarkStart w:id="1443" w:name="_Toc390352889"/>
      <w:bookmarkStart w:id="1444" w:name="_Toc390353866"/>
      <w:bookmarkStart w:id="1445" w:name="_Toc390355816"/>
      <w:bookmarkStart w:id="1446" w:name="_Toc390436480"/>
      <w:bookmarkStart w:id="1447" w:name="_Toc390673771"/>
      <w:bookmarkStart w:id="1448" w:name="_Toc390690045"/>
      <w:bookmarkStart w:id="1449" w:name="_Toc390697050"/>
      <w:bookmarkStart w:id="1450" w:name="_Toc390760063"/>
      <w:bookmarkStart w:id="1451" w:name="_Toc390764819"/>
      <w:bookmarkStart w:id="1452" w:name="_Toc390766348"/>
      <w:bookmarkStart w:id="1453" w:name="_Toc390778817"/>
      <w:bookmarkStart w:id="1454" w:name="_Toc390779795"/>
      <w:bookmarkStart w:id="1455" w:name="_Toc390782608"/>
      <w:bookmarkStart w:id="1456" w:name="_Toc390352890"/>
      <w:bookmarkStart w:id="1457" w:name="_Toc390353867"/>
      <w:bookmarkStart w:id="1458" w:name="_Toc390355817"/>
      <w:bookmarkStart w:id="1459" w:name="_Toc390436481"/>
      <w:bookmarkStart w:id="1460" w:name="_Toc390673772"/>
      <w:bookmarkStart w:id="1461" w:name="_Toc390690046"/>
      <w:bookmarkStart w:id="1462" w:name="_Toc390697051"/>
      <w:bookmarkStart w:id="1463" w:name="_Toc390760064"/>
      <w:bookmarkStart w:id="1464" w:name="_Toc390764820"/>
      <w:bookmarkStart w:id="1465" w:name="_Toc390766349"/>
      <w:bookmarkStart w:id="1466" w:name="_Toc390778818"/>
      <w:bookmarkStart w:id="1467" w:name="_Toc390779796"/>
      <w:bookmarkStart w:id="1468" w:name="_Toc390782609"/>
      <w:bookmarkStart w:id="1469" w:name="_Toc390352895"/>
      <w:bookmarkStart w:id="1470" w:name="_Toc390353872"/>
      <w:bookmarkStart w:id="1471" w:name="_Toc390355822"/>
      <w:bookmarkStart w:id="1472" w:name="_Toc390436486"/>
      <w:bookmarkStart w:id="1473" w:name="_Toc390673777"/>
      <w:bookmarkStart w:id="1474" w:name="_Toc390690051"/>
      <w:bookmarkStart w:id="1475" w:name="_Toc390697056"/>
      <w:bookmarkStart w:id="1476" w:name="_Toc390760069"/>
      <w:bookmarkStart w:id="1477" w:name="_Toc390764825"/>
      <w:bookmarkStart w:id="1478" w:name="_Toc390766354"/>
      <w:bookmarkStart w:id="1479" w:name="_Toc390778823"/>
      <w:bookmarkStart w:id="1480" w:name="_Toc390779801"/>
      <w:bookmarkStart w:id="1481" w:name="_Toc390782614"/>
      <w:bookmarkStart w:id="1482" w:name="_Toc390352898"/>
      <w:bookmarkStart w:id="1483" w:name="_Toc390353875"/>
      <w:bookmarkStart w:id="1484" w:name="_Toc390355825"/>
      <w:bookmarkStart w:id="1485" w:name="_Toc390436489"/>
      <w:bookmarkStart w:id="1486" w:name="_Toc390673780"/>
      <w:bookmarkStart w:id="1487" w:name="_Toc390690054"/>
      <w:bookmarkStart w:id="1488" w:name="_Toc390697059"/>
      <w:bookmarkStart w:id="1489" w:name="_Toc390760072"/>
      <w:bookmarkStart w:id="1490" w:name="_Toc390764828"/>
      <w:bookmarkStart w:id="1491" w:name="_Toc390766357"/>
      <w:bookmarkStart w:id="1492" w:name="_Toc390778826"/>
      <w:bookmarkStart w:id="1493" w:name="_Toc390779804"/>
      <w:bookmarkStart w:id="1494" w:name="_Toc390782617"/>
      <w:bookmarkStart w:id="1495" w:name="_Toc390352900"/>
      <w:bookmarkStart w:id="1496" w:name="_Toc390353877"/>
      <w:bookmarkStart w:id="1497" w:name="_Toc390355827"/>
      <w:bookmarkStart w:id="1498" w:name="_Toc390436491"/>
      <w:bookmarkStart w:id="1499" w:name="_Toc390673782"/>
      <w:bookmarkStart w:id="1500" w:name="_Toc390690056"/>
      <w:bookmarkStart w:id="1501" w:name="_Toc390697061"/>
      <w:bookmarkStart w:id="1502" w:name="_Toc390760074"/>
      <w:bookmarkStart w:id="1503" w:name="_Toc390764830"/>
      <w:bookmarkStart w:id="1504" w:name="_Toc390766359"/>
      <w:bookmarkStart w:id="1505" w:name="_Toc390778828"/>
      <w:bookmarkStart w:id="1506" w:name="_Toc390779806"/>
      <w:bookmarkStart w:id="1507" w:name="_Toc390782619"/>
      <w:bookmarkStart w:id="1508" w:name="_Toc390352927"/>
      <w:bookmarkStart w:id="1509" w:name="_Toc390353904"/>
      <w:bookmarkStart w:id="1510" w:name="_Toc390355854"/>
      <w:bookmarkStart w:id="1511" w:name="_Toc390436518"/>
      <w:bookmarkStart w:id="1512" w:name="_Toc390673809"/>
      <w:bookmarkStart w:id="1513" w:name="_Toc390690083"/>
      <w:bookmarkStart w:id="1514" w:name="_Toc390697088"/>
      <w:bookmarkStart w:id="1515" w:name="_Toc390760101"/>
      <w:bookmarkStart w:id="1516" w:name="_Toc390764857"/>
      <w:bookmarkStart w:id="1517" w:name="_Toc390766386"/>
      <w:bookmarkStart w:id="1518" w:name="_Toc390778855"/>
      <w:bookmarkStart w:id="1519" w:name="_Toc390779833"/>
      <w:bookmarkStart w:id="1520" w:name="_Toc390782646"/>
      <w:bookmarkStart w:id="1521" w:name="_Toc390352930"/>
      <w:bookmarkStart w:id="1522" w:name="_Toc390353907"/>
      <w:bookmarkStart w:id="1523" w:name="_Toc390355857"/>
      <w:bookmarkStart w:id="1524" w:name="_Toc390436521"/>
      <w:bookmarkStart w:id="1525" w:name="_Toc390673812"/>
      <w:bookmarkStart w:id="1526" w:name="_Toc390690086"/>
      <w:bookmarkStart w:id="1527" w:name="_Toc390697091"/>
      <w:bookmarkStart w:id="1528" w:name="_Toc390760104"/>
      <w:bookmarkStart w:id="1529" w:name="_Toc390764860"/>
      <w:bookmarkStart w:id="1530" w:name="_Toc390766389"/>
      <w:bookmarkStart w:id="1531" w:name="_Toc390778858"/>
      <w:bookmarkStart w:id="1532" w:name="_Toc390779836"/>
      <w:bookmarkStart w:id="1533" w:name="_Toc390782649"/>
      <w:bookmarkStart w:id="1534" w:name="_Toc390352936"/>
      <w:bookmarkStart w:id="1535" w:name="_Toc390353913"/>
      <w:bookmarkStart w:id="1536" w:name="_Toc390355863"/>
      <w:bookmarkStart w:id="1537" w:name="_Toc390436527"/>
      <w:bookmarkStart w:id="1538" w:name="_Toc390673818"/>
      <w:bookmarkStart w:id="1539" w:name="_Toc390690092"/>
      <w:bookmarkStart w:id="1540" w:name="_Toc390697097"/>
      <w:bookmarkStart w:id="1541" w:name="_Toc390760110"/>
      <w:bookmarkStart w:id="1542" w:name="_Toc390764866"/>
      <w:bookmarkStart w:id="1543" w:name="_Toc390766395"/>
      <w:bookmarkStart w:id="1544" w:name="_Toc390778864"/>
      <w:bookmarkStart w:id="1545" w:name="_Toc390779842"/>
      <w:bookmarkStart w:id="1546" w:name="_Toc390782655"/>
      <w:bookmarkStart w:id="1547" w:name="_Toc390352937"/>
      <w:bookmarkStart w:id="1548" w:name="_Toc390353914"/>
      <w:bookmarkStart w:id="1549" w:name="_Toc390355864"/>
      <w:bookmarkStart w:id="1550" w:name="_Toc390690093"/>
      <w:bookmarkStart w:id="1551" w:name="_Toc390760111"/>
      <w:bookmarkStart w:id="1552" w:name="_Toc390764867"/>
      <w:bookmarkStart w:id="1553" w:name="_Toc390766396"/>
      <w:bookmarkStart w:id="1554" w:name="_Toc390778865"/>
      <w:bookmarkStart w:id="1555" w:name="_Toc390779843"/>
      <w:bookmarkStart w:id="1556" w:name="_Toc390782656"/>
      <w:bookmarkStart w:id="1557" w:name="_Toc390352963"/>
      <w:bookmarkStart w:id="1558" w:name="_Toc390353940"/>
      <w:bookmarkStart w:id="1559" w:name="_Toc390355890"/>
      <w:bookmarkStart w:id="1560" w:name="_Toc390436554"/>
      <w:bookmarkStart w:id="1561" w:name="_Toc390673845"/>
      <w:bookmarkStart w:id="1562" w:name="_Toc390690119"/>
      <w:bookmarkStart w:id="1563" w:name="_Toc390697124"/>
      <w:bookmarkStart w:id="1564" w:name="_Toc390760137"/>
      <w:bookmarkStart w:id="1565" w:name="_Toc390764893"/>
      <w:bookmarkStart w:id="1566" w:name="_Toc390766422"/>
      <w:bookmarkStart w:id="1567" w:name="_Toc390778891"/>
      <w:bookmarkStart w:id="1568" w:name="_Toc390779869"/>
      <w:bookmarkStart w:id="1569" w:name="_Toc390782682"/>
      <w:bookmarkStart w:id="1570" w:name="_Toc390352993"/>
      <w:bookmarkStart w:id="1571" w:name="_Toc390353970"/>
      <w:bookmarkStart w:id="1572" w:name="_Toc390355920"/>
      <w:bookmarkStart w:id="1573" w:name="_Toc390436584"/>
      <w:bookmarkStart w:id="1574" w:name="_Toc390673875"/>
      <w:bookmarkStart w:id="1575" w:name="_Toc390690149"/>
      <w:bookmarkStart w:id="1576" w:name="_Toc390697154"/>
      <w:bookmarkStart w:id="1577" w:name="_Toc390760167"/>
      <w:bookmarkStart w:id="1578" w:name="_Toc390764923"/>
      <w:bookmarkStart w:id="1579" w:name="_Toc390766452"/>
      <w:bookmarkStart w:id="1580" w:name="_Toc390778921"/>
      <w:bookmarkStart w:id="1581" w:name="_Toc390779899"/>
      <w:bookmarkStart w:id="1582" w:name="_Toc390782712"/>
      <w:bookmarkStart w:id="1583" w:name="_Toc390353084"/>
      <w:bookmarkStart w:id="1584" w:name="_Toc390354061"/>
      <w:bookmarkStart w:id="1585" w:name="_Toc390356011"/>
      <w:bookmarkStart w:id="1586" w:name="_Toc390436675"/>
      <w:bookmarkStart w:id="1587" w:name="_Toc390673966"/>
      <w:bookmarkStart w:id="1588" w:name="_Toc390690240"/>
      <w:bookmarkStart w:id="1589" w:name="_Toc390697245"/>
      <w:bookmarkStart w:id="1590" w:name="_Toc390760258"/>
      <w:bookmarkStart w:id="1591" w:name="_Toc390765014"/>
      <w:bookmarkStart w:id="1592" w:name="_Toc390766543"/>
      <w:bookmarkStart w:id="1593" w:name="_Toc390779012"/>
      <w:bookmarkStart w:id="1594" w:name="_Toc390779990"/>
      <w:bookmarkStart w:id="1595" w:name="_Toc390782803"/>
      <w:bookmarkStart w:id="1596" w:name="_Toc390353085"/>
      <w:bookmarkStart w:id="1597" w:name="_Toc390354062"/>
      <w:bookmarkStart w:id="1598" w:name="_Toc390356012"/>
      <w:bookmarkStart w:id="1599" w:name="_Toc390436676"/>
      <w:bookmarkStart w:id="1600" w:name="_Toc390673967"/>
      <w:bookmarkStart w:id="1601" w:name="_Toc390690241"/>
      <w:bookmarkStart w:id="1602" w:name="_Toc390697246"/>
      <w:bookmarkStart w:id="1603" w:name="_Toc390760259"/>
      <w:bookmarkStart w:id="1604" w:name="_Toc390765015"/>
      <w:bookmarkStart w:id="1605" w:name="_Toc390766544"/>
      <w:bookmarkStart w:id="1606" w:name="_Toc390779013"/>
      <w:bookmarkStart w:id="1607" w:name="_Toc390779991"/>
      <w:bookmarkStart w:id="1608" w:name="_Toc390782804"/>
      <w:bookmarkStart w:id="1609" w:name="_Toc390353089"/>
      <w:bookmarkStart w:id="1610" w:name="_Toc390354066"/>
      <w:bookmarkStart w:id="1611" w:name="_Toc390356016"/>
      <w:bookmarkStart w:id="1612" w:name="_Toc390436680"/>
      <w:bookmarkStart w:id="1613" w:name="_Toc390673971"/>
      <w:bookmarkStart w:id="1614" w:name="_Toc390690245"/>
      <w:bookmarkStart w:id="1615" w:name="_Toc390697250"/>
      <w:bookmarkStart w:id="1616" w:name="_Toc390760263"/>
      <w:bookmarkStart w:id="1617" w:name="_Toc390765019"/>
      <w:bookmarkStart w:id="1618" w:name="_Toc390766548"/>
      <w:bookmarkStart w:id="1619" w:name="_Toc390779017"/>
      <w:bookmarkStart w:id="1620" w:name="_Toc390779995"/>
      <w:bookmarkStart w:id="1621" w:name="_Toc390782808"/>
      <w:bookmarkStart w:id="1622" w:name="_Toc390353091"/>
      <w:bookmarkStart w:id="1623" w:name="_Toc390354068"/>
      <w:bookmarkStart w:id="1624" w:name="_Toc390356018"/>
      <w:bookmarkStart w:id="1625" w:name="_Toc390436682"/>
      <w:bookmarkStart w:id="1626" w:name="_Toc390673973"/>
      <w:bookmarkStart w:id="1627" w:name="_Toc390690247"/>
      <w:bookmarkStart w:id="1628" w:name="_Toc390697252"/>
      <w:bookmarkStart w:id="1629" w:name="_Toc390760265"/>
      <w:bookmarkStart w:id="1630" w:name="_Toc390765021"/>
      <w:bookmarkStart w:id="1631" w:name="_Toc390766550"/>
      <w:bookmarkStart w:id="1632" w:name="_Toc390779019"/>
      <w:bookmarkStart w:id="1633" w:name="_Toc390779997"/>
      <w:bookmarkStart w:id="1634" w:name="_Toc390782810"/>
      <w:bookmarkStart w:id="1635" w:name="_Toc390353093"/>
      <w:bookmarkStart w:id="1636" w:name="_Toc390354070"/>
      <w:bookmarkStart w:id="1637" w:name="_Toc390356020"/>
      <w:bookmarkStart w:id="1638" w:name="_Toc390436684"/>
      <w:bookmarkStart w:id="1639" w:name="_Toc390673975"/>
      <w:bookmarkStart w:id="1640" w:name="_Toc390690249"/>
      <w:bookmarkStart w:id="1641" w:name="_Toc390697254"/>
      <w:bookmarkStart w:id="1642" w:name="_Toc390760267"/>
      <w:bookmarkStart w:id="1643" w:name="_Toc390765023"/>
      <w:bookmarkStart w:id="1644" w:name="_Toc390766552"/>
      <w:bookmarkStart w:id="1645" w:name="_Toc390779021"/>
      <w:bookmarkStart w:id="1646" w:name="_Toc390779999"/>
      <w:bookmarkStart w:id="1647" w:name="_Toc390782812"/>
      <w:bookmarkStart w:id="1648" w:name="_Toc390353095"/>
      <w:bookmarkStart w:id="1649" w:name="_Toc390354072"/>
      <w:bookmarkStart w:id="1650" w:name="_Toc390356022"/>
      <w:bookmarkStart w:id="1651" w:name="_Toc390436686"/>
      <w:bookmarkStart w:id="1652" w:name="_Toc390673977"/>
      <w:bookmarkStart w:id="1653" w:name="_Toc390690251"/>
      <w:bookmarkStart w:id="1654" w:name="_Toc390697256"/>
      <w:bookmarkStart w:id="1655" w:name="_Toc390760269"/>
      <w:bookmarkStart w:id="1656" w:name="_Toc390765025"/>
      <w:bookmarkStart w:id="1657" w:name="_Toc390766554"/>
      <w:bookmarkStart w:id="1658" w:name="_Toc390779023"/>
      <w:bookmarkStart w:id="1659" w:name="_Toc390780001"/>
      <w:bookmarkStart w:id="1660" w:name="_Toc390782814"/>
      <w:bookmarkStart w:id="1661" w:name="_Toc390353099"/>
      <w:bookmarkStart w:id="1662" w:name="_Toc390354076"/>
      <w:bookmarkStart w:id="1663" w:name="_Toc390356026"/>
      <w:bookmarkStart w:id="1664" w:name="_Toc390436690"/>
      <w:bookmarkStart w:id="1665" w:name="_Toc390673981"/>
      <w:bookmarkStart w:id="1666" w:name="_Toc390690255"/>
      <w:bookmarkStart w:id="1667" w:name="_Toc390697260"/>
      <w:bookmarkStart w:id="1668" w:name="_Toc390760273"/>
      <w:bookmarkStart w:id="1669" w:name="_Toc390765029"/>
      <w:bookmarkStart w:id="1670" w:name="_Toc390766558"/>
      <w:bookmarkStart w:id="1671" w:name="_Toc390779027"/>
      <w:bookmarkStart w:id="1672" w:name="_Toc390780005"/>
      <w:bookmarkStart w:id="1673" w:name="_Toc390782818"/>
      <w:bookmarkStart w:id="1674" w:name="_Toc390353100"/>
      <w:bookmarkStart w:id="1675" w:name="_Toc390354077"/>
      <w:bookmarkStart w:id="1676" w:name="_Toc390356027"/>
      <w:bookmarkStart w:id="1677" w:name="_Toc390436691"/>
      <w:bookmarkStart w:id="1678" w:name="_Toc390673982"/>
      <w:bookmarkStart w:id="1679" w:name="_Toc390690256"/>
      <w:bookmarkStart w:id="1680" w:name="_Toc390697261"/>
      <w:bookmarkStart w:id="1681" w:name="_Toc390760274"/>
      <w:bookmarkStart w:id="1682" w:name="_Toc390765030"/>
      <w:bookmarkStart w:id="1683" w:name="_Toc390766559"/>
      <w:bookmarkStart w:id="1684" w:name="_Toc390779028"/>
      <w:bookmarkStart w:id="1685" w:name="_Toc390780006"/>
      <w:bookmarkStart w:id="1686" w:name="_Toc390782819"/>
      <w:bookmarkStart w:id="1687" w:name="_Toc390353101"/>
      <w:bookmarkStart w:id="1688" w:name="_Toc390354078"/>
      <w:bookmarkStart w:id="1689" w:name="_Toc390356028"/>
      <w:bookmarkStart w:id="1690" w:name="_Toc390436692"/>
      <w:bookmarkStart w:id="1691" w:name="_Toc390673983"/>
      <w:bookmarkStart w:id="1692" w:name="_Toc390690257"/>
      <w:bookmarkStart w:id="1693" w:name="_Toc390697262"/>
      <w:bookmarkStart w:id="1694" w:name="_Toc390760275"/>
      <w:bookmarkStart w:id="1695" w:name="_Toc390765031"/>
      <w:bookmarkStart w:id="1696" w:name="_Toc390766560"/>
      <w:bookmarkStart w:id="1697" w:name="_Toc390779029"/>
      <w:bookmarkStart w:id="1698" w:name="_Toc390780007"/>
      <w:bookmarkStart w:id="1699" w:name="_Toc390782820"/>
      <w:bookmarkStart w:id="1700" w:name="_Toc390353102"/>
      <w:bookmarkStart w:id="1701" w:name="_Toc390354079"/>
      <w:bookmarkStart w:id="1702" w:name="_Toc390356029"/>
      <w:bookmarkStart w:id="1703" w:name="_Toc390436693"/>
      <w:bookmarkStart w:id="1704" w:name="_Toc390673984"/>
      <w:bookmarkStart w:id="1705" w:name="_Toc390690258"/>
      <w:bookmarkStart w:id="1706" w:name="_Toc390697263"/>
      <w:bookmarkStart w:id="1707" w:name="_Toc390760276"/>
      <w:bookmarkStart w:id="1708" w:name="_Toc390765032"/>
      <w:bookmarkStart w:id="1709" w:name="_Toc390766561"/>
      <w:bookmarkStart w:id="1710" w:name="_Toc390779030"/>
      <w:bookmarkStart w:id="1711" w:name="_Toc390780008"/>
      <w:bookmarkStart w:id="1712" w:name="_Toc390782821"/>
      <w:bookmarkStart w:id="1713" w:name="_Toc390353104"/>
      <w:bookmarkStart w:id="1714" w:name="_Toc390354081"/>
      <w:bookmarkStart w:id="1715" w:name="_Toc390356031"/>
      <w:bookmarkStart w:id="1716" w:name="_Toc390436695"/>
      <w:bookmarkStart w:id="1717" w:name="_Toc390673986"/>
      <w:bookmarkStart w:id="1718" w:name="_Toc390690260"/>
      <w:bookmarkStart w:id="1719" w:name="_Toc390697265"/>
      <w:bookmarkStart w:id="1720" w:name="_Toc390760278"/>
      <w:bookmarkStart w:id="1721" w:name="_Toc390765034"/>
      <w:bookmarkStart w:id="1722" w:name="_Toc390766563"/>
      <w:bookmarkStart w:id="1723" w:name="_Toc390779032"/>
      <w:bookmarkStart w:id="1724" w:name="_Toc390780010"/>
      <w:bookmarkStart w:id="1725" w:name="_Toc390782823"/>
      <w:bookmarkStart w:id="1726" w:name="_Toc390353106"/>
      <w:bookmarkStart w:id="1727" w:name="_Toc390354083"/>
      <w:bookmarkStart w:id="1728" w:name="_Toc390356033"/>
      <w:bookmarkStart w:id="1729" w:name="_Toc390436697"/>
      <w:bookmarkStart w:id="1730" w:name="_Toc390673988"/>
      <w:bookmarkStart w:id="1731" w:name="_Toc390690262"/>
      <w:bookmarkStart w:id="1732" w:name="_Toc390697267"/>
      <w:bookmarkStart w:id="1733" w:name="_Toc390760280"/>
      <w:bookmarkStart w:id="1734" w:name="_Toc390765036"/>
      <w:bookmarkStart w:id="1735" w:name="_Toc390766565"/>
      <w:bookmarkStart w:id="1736" w:name="_Toc390779034"/>
      <w:bookmarkStart w:id="1737" w:name="_Toc390780012"/>
      <w:bookmarkStart w:id="1738" w:name="_Toc390782825"/>
      <w:bookmarkStart w:id="1739" w:name="_Toc390353153"/>
      <w:bookmarkStart w:id="1740" w:name="_Toc390354130"/>
      <w:bookmarkStart w:id="1741" w:name="_Toc390356080"/>
      <w:bookmarkStart w:id="1742" w:name="_Toc390436744"/>
      <w:bookmarkStart w:id="1743" w:name="_Toc390674035"/>
      <w:bookmarkStart w:id="1744" w:name="_Toc390690309"/>
      <w:bookmarkStart w:id="1745" w:name="_Toc390697314"/>
      <w:bookmarkStart w:id="1746" w:name="_Toc390760327"/>
      <w:bookmarkStart w:id="1747" w:name="_Toc390765083"/>
      <w:bookmarkStart w:id="1748" w:name="_Toc390766612"/>
      <w:bookmarkStart w:id="1749" w:name="_Toc390779081"/>
      <w:bookmarkStart w:id="1750" w:name="_Toc390780059"/>
      <w:bookmarkStart w:id="1751" w:name="_Toc390782872"/>
      <w:bookmarkStart w:id="1752" w:name="_Toc390353154"/>
      <w:bookmarkStart w:id="1753" w:name="_Toc390354131"/>
      <w:bookmarkStart w:id="1754" w:name="_Toc390356081"/>
      <w:bookmarkStart w:id="1755" w:name="_Toc390436745"/>
      <w:bookmarkStart w:id="1756" w:name="_Toc390674036"/>
      <w:bookmarkStart w:id="1757" w:name="_Toc390690310"/>
      <w:bookmarkStart w:id="1758" w:name="_Toc390697315"/>
      <w:bookmarkStart w:id="1759" w:name="_Toc390760328"/>
      <w:bookmarkStart w:id="1760" w:name="_Toc390765084"/>
      <w:bookmarkStart w:id="1761" w:name="_Toc390766613"/>
      <w:bookmarkStart w:id="1762" w:name="_Toc390779082"/>
      <w:bookmarkStart w:id="1763" w:name="_Toc390780060"/>
      <w:bookmarkStart w:id="1764" w:name="_Toc390782873"/>
      <w:bookmarkStart w:id="1765" w:name="_Toc390353155"/>
      <w:bookmarkStart w:id="1766" w:name="_Toc390354132"/>
      <w:bookmarkStart w:id="1767" w:name="_Toc390356082"/>
      <w:bookmarkStart w:id="1768" w:name="_Toc390436746"/>
      <w:bookmarkStart w:id="1769" w:name="_Toc390674037"/>
      <w:bookmarkStart w:id="1770" w:name="_Toc390690311"/>
      <w:bookmarkStart w:id="1771" w:name="_Toc390697316"/>
      <w:bookmarkStart w:id="1772" w:name="_Toc390760329"/>
      <w:bookmarkStart w:id="1773" w:name="_Toc390765085"/>
      <w:bookmarkStart w:id="1774" w:name="_Toc390766614"/>
      <w:bookmarkStart w:id="1775" w:name="_Toc390779083"/>
      <w:bookmarkStart w:id="1776" w:name="_Toc390780061"/>
      <w:bookmarkStart w:id="1777" w:name="_Toc390782874"/>
      <w:bookmarkStart w:id="1778" w:name="_Toc390353156"/>
      <w:bookmarkStart w:id="1779" w:name="_Toc390354133"/>
      <w:bookmarkStart w:id="1780" w:name="_Toc390356083"/>
      <w:bookmarkStart w:id="1781" w:name="_Toc390436747"/>
      <w:bookmarkStart w:id="1782" w:name="_Toc390674038"/>
      <w:bookmarkStart w:id="1783" w:name="_Toc390690312"/>
      <w:bookmarkStart w:id="1784" w:name="_Toc390697317"/>
      <w:bookmarkStart w:id="1785" w:name="_Toc390760330"/>
      <w:bookmarkStart w:id="1786" w:name="_Toc390765086"/>
      <w:bookmarkStart w:id="1787" w:name="_Toc390766615"/>
      <w:bookmarkStart w:id="1788" w:name="_Toc390779084"/>
      <w:bookmarkStart w:id="1789" w:name="_Toc390780062"/>
      <w:bookmarkStart w:id="1790" w:name="_Toc390782875"/>
      <w:bookmarkStart w:id="1791" w:name="_Toc390353157"/>
      <w:bookmarkStart w:id="1792" w:name="_Toc390354134"/>
      <w:bookmarkStart w:id="1793" w:name="_Toc390356084"/>
      <w:bookmarkStart w:id="1794" w:name="_Toc390436748"/>
      <w:bookmarkStart w:id="1795" w:name="_Toc390674039"/>
      <w:bookmarkStart w:id="1796" w:name="_Toc390690313"/>
      <w:bookmarkStart w:id="1797" w:name="_Toc390697318"/>
      <w:bookmarkStart w:id="1798" w:name="_Toc390760331"/>
      <w:bookmarkStart w:id="1799" w:name="_Toc390765087"/>
      <w:bookmarkStart w:id="1800" w:name="_Toc390766616"/>
      <w:bookmarkStart w:id="1801" w:name="_Toc390779085"/>
      <w:bookmarkStart w:id="1802" w:name="_Toc390780063"/>
      <w:bookmarkStart w:id="1803" w:name="_Toc390782876"/>
      <w:bookmarkStart w:id="1804" w:name="_Toc390353159"/>
      <w:bookmarkStart w:id="1805" w:name="_Toc390354136"/>
      <w:bookmarkStart w:id="1806" w:name="_Toc390356086"/>
      <w:bookmarkStart w:id="1807" w:name="_Toc390436750"/>
      <w:bookmarkStart w:id="1808" w:name="_Toc390674041"/>
      <w:bookmarkStart w:id="1809" w:name="_Toc390690315"/>
      <w:bookmarkStart w:id="1810" w:name="_Toc390697320"/>
      <w:bookmarkStart w:id="1811" w:name="_Toc390760333"/>
      <w:bookmarkStart w:id="1812" w:name="_Toc390765089"/>
      <w:bookmarkStart w:id="1813" w:name="_Toc390766618"/>
      <w:bookmarkStart w:id="1814" w:name="_Toc390779087"/>
      <w:bookmarkStart w:id="1815" w:name="_Toc390780065"/>
      <w:bookmarkStart w:id="1816" w:name="_Toc390782878"/>
      <w:bookmarkStart w:id="1817" w:name="_Toc390353231"/>
      <w:bookmarkStart w:id="1818" w:name="_Toc390354208"/>
      <w:bookmarkStart w:id="1819" w:name="_Toc390356158"/>
      <w:bookmarkStart w:id="1820" w:name="_Toc390436822"/>
      <w:bookmarkStart w:id="1821" w:name="_Toc390674113"/>
      <w:bookmarkStart w:id="1822" w:name="_Toc390690387"/>
      <w:bookmarkStart w:id="1823" w:name="_Toc390697392"/>
      <w:bookmarkStart w:id="1824" w:name="_Toc390760405"/>
      <w:bookmarkStart w:id="1825" w:name="_Toc390765161"/>
      <w:bookmarkStart w:id="1826" w:name="_Toc390766690"/>
      <w:bookmarkStart w:id="1827" w:name="_Toc390779159"/>
      <w:bookmarkStart w:id="1828" w:name="_Toc390780137"/>
      <w:bookmarkStart w:id="1829" w:name="_Toc390782950"/>
      <w:bookmarkStart w:id="1830" w:name="_Toc390353232"/>
      <w:bookmarkStart w:id="1831" w:name="_Toc390354209"/>
      <w:bookmarkStart w:id="1832" w:name="_Toc390356159"/>
      <w:bookmarkStart w:id="1833" w:name="_Toc390436823"/>
      <w:bookmarkStart w:id="1834" w:name="_Toc390674114"/>
      <w:bookmarkStart w:id="1835" w:name="_Toc390690388"/>
      <w:bookmarkStart w:id="1836" w:name="_Toc390697393"/>
      <w:bookmarkStart w:id="1837" w:name="_Toc390760406"/>
      <w:bookmarkStart w:id="1838" w:name="_Toc390765162"/>
      <w:bookmarkStart w:id="1839" w:name="_Toc390766691"/>
      <w:bookmarkStart w:id="1840" w:name="_Toc390779160"/>
      <w:bookmarkStart w:id="1841" w:name="_Toc390780138"/>
      <w:bookmarkStart w:id="1842" w:name="_Toc390782951"/>
      <w:bookmarkStart w:id="1843" w:name="_Toc390353236"/>
      <w:bookmarkStart w:id="1844" w:name="_Toc390354213"/>
      <w:bookmarkStart w:id="1845" w:name="_Toc390356163"/>
      <w:bookmarkStart w:id="1846" w:name="_Toc390436827"/>
      <w:bookmarkStart w:id="1847" w:name="_Toc390674118"/>
      <w:bookmarkStart w:id="1848" w:name="_Toc390690392"/>
      <w:bookmarkStart w:id="1849" w:name="_Toc390697397"/>
      <w:bookmarkStart w:id="1850" w:name="_Toc390760410"/>
      <w:bookmarkStart w:id="1851" w:name="_Toc390765166"/>
      <w:bookmarkStart w:id="1852" w:name="_Toc390766695"/>
      <w:bookmarkStart w:id="1853" w:name="_Toc390779164"/>
      <w:bookmarkStart w:id="1854" w:name="_Toc390780142"/>
      <w:bookmarkStart w:id="1855" w:name="_Toc390782955"/>
      <w:bookmarkStart w:id="1856" w:name="_Toc390353255"/>
      <w:bookmarkStart w:id="1857" w:name="_Toc390354232"/>
      <w:bookmarkStart w:id="1858" w:name="_Toc390356182"/>
      <w:bookmarkStart w:id="1859" w:name="_Toc390436846"/>
      <w:bookmarkStart w:id="1860" w:name="_Toc390674137"/>
      <w:bookmarkStart w:id="1861" w:name="_Toc390690411"/>
      <w:bookmarkStart w:id="1862" w:name="_Toc390697416"/>
      <w:bookmarkStart w:id="1863" w:name="_Toc390760429"/>
      <w:bookmarkStart w:id="1864" w:name="_Toc390765185"/>
      <w:bookmarkStart w:id="1865" w:name="_Toc390766714"/>
      <w:bookmarkStart w:id="1866" w:name="_Toc390779183"/>
      <w:bookmarkStart w:id="1867" w:name="_Toc390780161"/>
      <w:bookmarkStart w:id="1868" w:name="_Toc390782974"/>
      <w:bookmarkStart w:id="1869" w:name="_Toc390353295"/>
      <w:bookmarkStart w:id="1870" w:name="_Toc390354272"/>
      <w:bookmarkStart w:id="1871" w:name="_Toc390356222"/>
      <w:bookmarkStart w:id="1872" w:name="_Toc390436886"/>
      <w:bookmarkStart w:id="1873" w:name="_Toc390674177"/>
      <w:bookmarkStart w:id="1874" w:name="_Toc390690451"/>
      <w:bookmarkStart w:id="1875" w:name="_Toc390697456"/>
      <w:bookmarkStart w:id="1876" w:name="_Toc390760469"/>
      <w:bookmarkStart w:id="1877" w:name="_Toc390765225"/>
      <w:bookmarkStart w:id="1878" w:name="_Toc390766754"/>
      <w:bookmarkStart w:id="1879" w:name="_Toc390779223"/>
      <w:bookmarkStart w:id="1880" w:name="_Toc390780201"/>
      <w:bookmarkStart w:id="1881" w:name="_Toc390783014"/>
      <w:bookmarkStart w:id="1882" w:name="_Toc390268072"/>
      <w:bookmarkStart w:id="1883" w:name="_Toc390268203"/>
      <w:bookmarkStart w:id="1884" w:name="_Toc390330951"/>
      <w:bookmarkStart w:id="1885" w:name="_Toc390353407"/>
      <w:bookmarkStart w:id="1886" w:name="_Toc390354384"/>
      <w:bookmarkStart w:id="1887" w:name="_Toc390356334"/>
      <w:bookmarkStart w:id="1888" w:name="_Toc390436998"/>
      <w:bookmarkStart w:id="1889" w:name="_Toc390674289"/>
      <w:bookmarkStart w:id="1890" w:name="_Toc390690563"/>
      <w:bookmarkStart w:id="1891" w:name="_Toc390697568"/>
      <w:bookmarkStart w:id="1892" w:name="_Toc390760581"/>
      <w:bookmarkStart w:id="1893" w:name="_Toc390765337"/>
      <w:bookmarkStart w:id="1894" w:name="_Toc390766866"/>
      <w:bookmarkStart w:id="1895" w:name="_Toc390779335"/>
      <w:bookmarkStart w:id="1896" w:name="_Toc390780313"/>
      <w:bookmarkStart w:id="1897" w:name="_Toc390783126"/>
      <w:bookmarkStart w:id="1898" w:name="_Toc390946284"/>
      <w:bookmarkStart w:id="1899" w:name="_Toc391969845"/>
      <w:bookmarkEnd w:id="310"/>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r w:rsidRPr="00D46AE0">
        <w:t xml:space="preserve">EIM participants will be responsible for procuring </w:t>
      </w:r>
      <w:r w:rsidR="007D50AB">
        <w:t xml:space="preserve">and managing </w:t>
      </w:r>
      <w:r w:rsidRPr="00D46AE0">
        <w:t>their own ancillary services in conformance with NERC and WECC requirements</w:t>
      </w:r>
      <w:r w:rsidR="00312277">
        <w:t xml:space="preserve">. </w:t>
      </w:r>
      <w:r w:rsidRPr="00D46AE0">
        <w:t xml:space="preserve">RTM will protect the participating resource </w:t>
      </w:r>
      <w:r w:rsidR="003F65BA">
        <w:t>EIM Upward Available Balancing Capacity, EIM Downward Available Balancing Capacity, and EIM Reserves to Meet NERC/WECC Contingency Reserves Requirements</w:t>
      </w:r>
      <w:r w:rsidRPr="00D46AE0">
        <w:t>not to be dispatched to meet EIM footprint energy need</w:t>
      </w:r>
      <w:r w:rsidR="00A10DA5">
        <w:t>s</w:t>
      </w:r>
      <w:r w:rsidRPr="00D46AE0">
        <w:t>.</w:t>
      </w:r>
      <w:r w:rsidR="003F05BB">
        <w:t xml:space="preserve"> </w:t>
      </w:r>
      <w:r>
        <w:t xml:space="preserve">However when an infeasible power balance condition in an EIM BAA, other than CAISO, is detected by the CAISO’s market clearing software, </w:t>
      </w:r>
      <w:r w:rsidR="00A84CA6">
        <w:t xml:space="preserve">EIM </w:t>
      </w:r>
      <w:r w:rsidR="003F65BA">
        <w:t xml:space="preserve">Updward or Downward </w:t>
      </w:r>
      <w:r w:rsidR="00A84CA6">
        <w:t>Available Balancing Capacity</w:t>
      </w:r>
      <w:r w:rsidR="003F0008">
        <w:t xml:space="preserve"> will be released to the market clearing </w:t>
      </w:r>
      <w:r w:rsidR="00873907">
        <w:t>process</w:t>
      </w:r>
      <w:r>
        <w:t xml:space="preserve"> </w:t>
      </w:r>
      <w:r w:rsidR="00A10DA5">
        <w:t xml:space="preserve">to </w:t>
      </w:r>
      <w:r>
        <w:t>balance the respective EIM BAA as explained in section 11.3.4 of th</w:t>
      </w:r>
      <w:r w:rsidR="00A10DA5">
        <w:t>is</w:t>
      </w:r>
      <w:r w:rsidR="00C51D2D">
        <w:t xml:space="preserve"> document</w:t>
      </w:r>
      <w:r>
        <w:t>.</w:t>
      </w:r>
      <w:r w:rsidRPr="00484EF3">
        <w:t xml:space="preserve"> </w:t>
      </w:r>
      <w:r w:rsidR="003F65BA">
        <w:t>EIM Downward Available Balancing Capacity consists of any downward capacity from an EIM Participating Resources or a non-participating resource that an EIM Entity Scheduling Coordinator has identified in the EIM Resource Plan as available to address power balance and transmission constraint violations in the EIM Balancing Authority Area, which may include</w:t>
      </w:r>
      <w:r w:rsidR="00C51D2D">
        <w:t xml:space="preserve"> downward</w:t>
      </w:r>
      <w:r w:rsidR="003F65BA">
        <w:t xml:space="preserve"> regulation </w:t>
      </w:r>
      <w:r w:rsidR="00C51D2D">
        <w:t>capacity</w:t>
      </w:r>
      <w:r w:rsidR="003F65BA">
        <w:t xml:space="preserve">. EIM Upward Available Balancing Capacity consists of any upward capacity from an EIM Participating Resources or a non-participating resource that an EIM Entity Scheduling Coordinator has identified in the EIM Resource Plan as available to address power balance and transmission violations in the EIM Balancing Authority Area, which may include </w:t>
      </w:r>
      <w:r w:rsidR="00C51D2D">
        <w:t xml:space="preserve">upward </w:t>
      </w:r>
      <w:r w:rsidR="003F65BA">
        <w:t xml:space="preserve">regulation </w:t>
      </w:r>
      <w:r w:rsidR="00C51D2D">
        <w:t>capacity</w:t>
      </w:r>
      <w:r w:rsidR="003F65BA">
        <w:t>.  EIM Reserves to Meet NERC/WECC Contingency Reserves Requirements consists of any capacity that an EIM Entity Scheduling Coordinator has designated, in the EIM Resource Plan, as necessary to meet its NERC/WECC contingency reserves requirements in the applicable Trading Hour and which does not overlap with capacity designated in other parts of the EIM Resource Plan specified in Section 29.34(e)(3) of the CAISO Tariff, which may include operating reserves.</w:t>
      </w:r>
    </w:p>
    <w:p w14:paraId="5FCD1A47" w14:textId="77777777" w:rsidR="00CF1AB9" w:rsidRDefault="00CF1AB9" w:rsidP="00CF1AB9">
      <w:pPr>
        <w:pStyle w:val="ParaText"/>
      </w:pPr>
    </w:p>
    <w:p w14:paraId="7C8A8816" w14:textId="77777777" w:rsidR="008817D0" w:rsidRPr="007445EB" w:rsidRDefault="008817D0" w:rsidP="007445EB">
      <w:pPr>
        <w:pStyle w:val="Heading3"/>
        <w:rPr>
          <w:rFonts w:eastAsia="Calibri"/>
        </w:rPr>
      </w:pPr>
      <w:bookmarkStart w:id="1900" w:name="_Toc20384108"/>
      <w:r w:rsidRPr="007445EB">
        <w:rPr>
          <w:rFonts w:eastAsia="Calibri"/>
        </w:rPr>
        <w:t>Interties Between BAAs</w:t>
      </w:r>
      <w:bookmarkEnd w:id="1898"/>
      <w:bookmarkEnd w:id="1899"/>
      <w:bookmarkEnd w:id="1900"/>
      <w:r w:rsidRPr="007445EB">
        <w:rPr>
          <w:rFonts w:eastAsia="Calibri"/>
        </w:rPr>
        <w:t xml:space="preserve"> </w:t>
      </w:r>
    </w:p>
    <w:p w14:paraId="6993A31C" w14:textId="459E466B" w:rsidR="00BB3052" w:rsidRDefault="00047681" w:rsidP="00BB3052">
      <w:pPr>
        <w:spacing w:after="240" w:line="300" w:lineRule="auto"/>
        <w:rPr>
          <w:rFonts w:cs="Arial"/>
        </w:rPr>
      </w:pPr>
      <w:r w:rsidRPr="005525C4">
        <w:rPr>
          <w:rFonts w:eastAsia="Calibri"/>
        </w:rPr>
        <w:t>This section describes intertie modeling and the use of data related to interties.</w:t>
      </w:r>
      <w:r w:rsidR="00CA517E" w:rsidRPr="005525C4">
        <w:rPr>
          <w:rFonts w:eastAsia="Calibri"/>
        </w:rPr>
        <w:t xml:space="preserve">  </w:t>
      </w:r>
      <w:r w:rsidR="008E5685">
        <w:rPr>
          <w:rFonts w:eastAsia="Calibri"/>
        </w:rPr>
        <w:t xml:space="preserve">The intertie is </w:t>
      </w:r>
      <w:r w:rsidR="005525C4" w:rsidRPr="005525C4">
        <w:rPr>
          <w:rFonts w:cs="Arial"/>
        </w:rPr>
        <w:t>orient</w:t>
      </w:r>
      <w:r w:rsidR="008E5685">
        <w:rPr>
          <w:rFonts w:cs="Arial"/>
        </w:rPr>
        <w:t>ed</w:t>
      </w:r>
      <w:r w:rsidR="005525C4" w:rsidRPr="005525C4">
        <w:rPr>
          <w:rFonts w:cs="Arial"/>
        </w:rPr>
        <w:t xml:space="preserve"> in the export direction with the </w:t>
      </w:r>
      <w:r w:rsidR="00963003">
        <w:rPr>
          <w:rFonts w:cs="Arial"/>
        </w:rPr>
        <w:t>“</w:t>
      </w:r>
      <w:r w:rsidR="005525C4" w:rsidRPr="005525C4">
        <w:rPr>
          <w:rFonts w:cs="Arial"/>
        </w:rPr>
        <w:t>From</w:t>
      </w:r>
      <w:r w:rsidR="00963003">
        <w:rPr>
          <w:rFonts w:cs="Arial"/>
        </w:rPr>
        <w:t>”</w:t>
      </w:r>
      <w:r w:rsidR="005525C4" w:rsidRPr="005525C4">
        <w:rPr>
          <w:rFonts w:cs="Arial"/>
        </w:rPr>
        <w:t xml:space="preserve"> bus being the C</w:t>
      </w:r>
      <w:r w:rsidR="00837AE5">
        <w:rPr>
          <w:rFonts w:cs="Arial"/>
        </w:rPr>
        <w:t>A</w:t>
      </w:r>
      <w:r w:rsidR="005525C4" w:rsidRPr="005525C4">
        <w:rPr>
          <w:rFonts w:cs="Arial"/>
        </w:rPr>
        <w:t>ISO/EIM BAA bus.</w:t>
      </w:r>
    </w:p>
    <w:p w14:paraId="7B7082EE" w14:textId="77777777" w:rsidR="00963003" w:rsidRPr="005525C4" w:rsidRDefault="00963003" w:rsidP="00BB3052">
      <w:pPr>
        <w:spacing w:after="240" w:line="300" w:lineRule="auto"/>
        <w:rPr>
          <w:rFonts w:eastAsia="Calibri" w:cs="Arial"/>
        </w:rPr>
      </w:pPr>
    </w:p>
    <w:p w14:paraId="265BCC3D" w14:textId="77777777" w:rsidR="008817D0" w:rsidRPr="008817D0" w:rsidRDefault="008817D0" w:rsidP="00D568D8">
      <w:pPr>
        <w:pStyle w:val="Heading4"/>
        <w:rPr>
          <w:rFonts w:eastAsia="Calibri"/>
        </w:rPr>
      </w:pPr>
      <w:r w:rsidRPr="008817D0">
        <w:rPr>
          <w:rFonts w:eastAsia="Calibri"/>
        </w:rPr>
        <w:t>Interchange Transactions and E-Tagging</w:t>
      </w:r>
      <w:r w:rsidRPr="008817D0">
        <w:rPr>
          <w:rFonts w:eastAsia="Calibri"/>
        </w:rPr>
        <w:tab/>
      </w:r>
    </w:p>
    <w:p w14:paraId="2AB709AB" w14:textId="77777777" w:rsidR="008817D0" w:rsidRPr="008817D0" w:rsidRDefault="008817D0" w:rsidP="008817D0">
      <w:pPr>
        <w:spacing w:after="240" w:line="300" w:lineRule="auto"/>
        <w:rPr>
          <w:rFonts w:eastAsia="Calibri"/>
        </w:rPr>
      </w:pPr>
      <w:r w:rsidRPr="008817D0">
        <w:rPr>
          <w:rFonts w:eastAsia="Calibri"/>
        </w:rPr>
        <w:t>Since the non-EIM Entit</w:t>
      </w:r>
      <w:r w:rsidR="00FC37C2">
        <w:rPr>
          <w:rFonts w:eastAsia="Calibri"/>
        </w:rPr>
        <w:t>ies</w:t>
      </w:r>
      <w:r w:rsidRPr="008817D0">
        <w:rPr>
          <w:rFonts w:eastAsia="Calibri"/>
        </w:rPr>
        <w:t xml:space="preserve"> net schedule</w:t>
      </w:r>
      <w:r w:rsidR="00923BD5">
        <w:rPr>
          <w:rFonts w:eastAsia="Calibri"/>
        </w:rPr>
        <w:t xml:space="preserve"> </w:t>
      </w:r>
      <w:r w:rsidRPr="008817D0">
        <w:rPr>
          <w:rFonts w:eastAsia="Calibri"/>
        </w:rPr>
        <w:t>inter</w:t>
      </w:r>
      <w:r w:rsidR="00923BD5">
        <w:rPr>
          <w:rFonts w:eastAsia="Calibri"/>
        </w:rPr>
        <w:t>c</w:t>
      </w:r>
      <w:r w:rsidRPr="008817D0">
        <w:rPr>
          <w:rFonts w:eastAsia="Calibri"/>
        </w:rPr>
        <w:t>hange</w:t>
      </w:r>
      <w:r w:rsidR="009A4783">
        <w:rPr>
          <w:rFonts w:eastAsia="Calibri"/>
        </w:rPr>
        <w:t xml:space="preserve"> (NSI)</w:t>
      </w:r>
      <w:r w:rsidRPr="008817D0">
        <w:rPr>
          <w:rFonts w:eastAsia="Calibri"/>
        </w:rPr>
        <w:t xml:space="preserve"> </w:t>
      </w:r>
      <w:r w:rsidR="00121FE0">
        <w:rPr>
          <w:rFonts w:eastAsia="Calibri"/>
        </w:rPr>
        <w:t xml:space="preserve">values are not submitted to </w:t>
      </w:r>
      <w:r w:rsidRPr="008817D0">
        <w:rPr>
          <w:rFonts w:eastAsia="Calibri"/>
        </w:rPr>
        <w:t>CAISO but are</w:t>
      </w:r>
      <w:r w:rsidR="00923BD5">
        <w:rPr>
          <w:rFonts w:eastAsia="Calibri"/>
        </w:rPr>
        <w:t xml:space="preserve"> r</w:t>
      </w:r>
      <w:r w:rsidR="00121FE0">
        <w:rPr>
          <w:rFonts w:eastAsia="Calibri"/>
        </w:rPr>
        <w:t xml:space="preserve">equired for </w:t>
      </w:r>
      <w:r w:rsidR="00FC37C2">
        <w:rPr>
          <w:rFonts w:eastAsia="Calibri"/>
        </w:rPr>
        <w:t xml:space="preserve">the calculation of </w:t>
      </w:r>
      <w:r w:rsidR="00B9221F">
        <w:rPr>
          <w:rFonts w:eastAsia="Calibri"/>
        </w:rPr>
        <w:t xml:space="preserve">loop flow impact of </w:t>
      </w:r>
      <w:r w:rsidR="00FC37C2">
        <w:rPr>
          <w:rFonts w:eastAsia="Calibri"/>
        </w:rPr>
        <w:t xml:space="preserve">external </w:t>
      </w:r>
      <w:r w:rsidR="00B9221F">
        <w:rPr>
          <w:rFonts w:eastAsia="Calibri"/>
        </w:rPr>
        <w:t>schedules on the CAISO and the EIM entities network</w:t>
      </w:r>
      <w:r w:rsidR="00121FE0">
        <w:rPr>
          <w:rFonts w:eastAsia="Calibri"/>
        </w:rPr>
        <w:t xml:space="preserve">, </w:t>
      </w:r>
      <w:r w:rsidRPr="008817D0">
        <w:rPr>
          <w:rFonts w:eastAsia="Calibri"/>
        </w:rPr>
        <w:t>CAISO will receive/download</w:t>
      </w:r>
      <w:r w:rsidR="009877A6">
        <w:rPr>
          <w:rFonts w:eastAsia="Calibri"/>
        </w:rPr>
        <w:t xml:space="preserve"> automatically all</w:t>
      </w:r>
      <w:r w:rsidRPr="008817D0">
        <w:rPr>
          <w:rFonts w:eastAsia="Calibri"/>
        </w:rPr>
        <w:t xml:space="preserve"> raw tag data from Western Interchange Tool (WIT) for all external BAA</w:t>
      </w:r>
      <w:r w:rsidR="008410E3">
        <w:rPr>
          <w:rFonts w:eastAsia="Calibri"/>
        </w:rPr>
        <w:t>s</w:t>
      </w:r>
      <w:r w:rsidRPr="008817D0">
        <w:rPr>
          <w:rFonts w:eastAsia="Calibri"/>
        </w:rPr>
        <w:t xml:space="preserve"> at a pre-defined frequency and time of day. </w:t>
      </w:r>
    </w:p>
    <w:p w14:paraId="4AFA9FDD" w14:textId="77777777" w:rsidR="002B58FD" w:rsidRDefault="008817D0" w:rsidP="008817D0">
      <w:pPr>
        <w:spacing w:after="240" w:line="300" w:lineRule="auto"/>
        <w:rPr>
          <w:rFonts w:eastAsia="Calibri"/>
        </w:rPr>
      </w:pPr>
      <w:r w:rsidRPr="008817D0">
        <w:rPr>
          <w:rFonts w:eastAsia="Calibri"/>
        </w:rPr>
        <w:t>The data file will contain schedule and path information for every transaction schedule in WIT within the specified time period. Each transaction schedule will present the</w:t>
      </w:r>
      <w:r w:rsidR="00472AFA">
        <w:rPr>
          <w:rFonts w:eastAsia="Calibri"/>
        </w:rPr>
        <w:t xml:space="preserve"> North American </w:t>
      </w:r>
      <w:r w:rsidR="006A101C">
        <w:rPr>
          <w:rFonts w:eastAsia="Calibri"/>
        </w:rPr>
        <w:t xml:space="preserve">Energy </w:t>
      </w:r>
      <w:r w:rsidR="00472AFA">
        <w:rPr>
          <w:rFonts w:eastAsia="Calibri"/>
        </w:rPr>
        <w:t>Standards Board</w:t>
      </w:r>
      <w:r w:rsidRPr="008817D0">
        <w:rPr>
          <w:rFonts w:eastAsia="Calibri"/>
        </w:rPr>
        <w:t xml:space="preserve"> </w:t>
      </w:r>
      <w:r w:rsidR="00472AFA">
        <w:rPr>
          <w:rFonts w:eastAsia="Calibri"/>
        </w:rPr>
        <w:t>(</w:t>
      </w:r>
      <w:r w:rsidRPr="008817D0">
        <w:rPr>
          <w:rFonts w:eastAsia="Calibri"/>
        </w:rPr>
        <w:t>NAESB</w:t>
      </w:r>
      <w:r w:rsidR="00472AFA">
        <w:rPr>
          <w:rFonts w:eastAsia="Calibri"/>
        </w:rPr>
        <w:t>)</w:t>
      </w:r>
      <w:r w:rsidRPr="008817D0">
        <w:rPr>
          <w:rFonts w:eastAsia="Calibri"/>
        </w:rPr>
        <w:t xml:space="preserve"> defined tag transaction type and composite state. The data will include the source and sink BA</w:t>
      </w:r>
      <w:r w:rsidR="008410E3">
        <w:rPr>
          <w:rFonts w:eastAsia="Calibri"/>
        </w:rPr>
        <w:t>A</w:t>
      </w:r>
      <w:r w:rsidRPr="008817D0">
        <w:rPr>
          <w:rFonts w:eastAsia="Calibri"/>
        </w:rPr>
        <w:t xml:space="preserve"> information.</w:t>
      </w:r>
    </w:p>
    <w:p w14:paraId="0BD3CAB6" w14:textId="77777777" w:rsidR="004E096D" w:rsidRPr="008817D0" w:rsidRDefault="004E096D" w:rsidP="008817D0">
      <w:pPr>
        <w:spacing w:after="240" w:line="300" w:lineRule="auto"/>
        <w:rPr>
          <w:rFonts w:eastAsia="Calibri"/>
        </w:rPr>
      </w:pPr>
      <w:r>
        <w:rPr>
          <w:rFonts w:eastAsia="Calibri"/>
        </w:rPr>
        <w:t>For e-tagging timelines and rules, please refer to</w:t>
      </w:r>
      <w:r w:rsidR="00B04F4D">
        <w:rPr>
          <w:rFonts w:eastAsia="Calibri"/>
        </w:rPr>
        <w:t xml:space="preserve"> the</w:t>
      </w:r>
      <w:r>
        <w:rPr>
          <w:rFonts w:eastAsia="Calibri"/>
        </w:rPr>
        <w:t xml:space="preserve"> </w:t>
      </w:r>
      <w:hyperlink r:id="rId163" w:history="1">
        <w:r w:rsidRPr="00E41853">
          <w:rPr>
            <w:rStyle w:val="Hyperlink"/>
            <w:b/>
          </w:rPr>
          <w:t>BPM for Market Operations</w:t>
        </w:r>
      </w:hyperlink>
      <w:r>
        <w:rPr>
          <w:rStyle w:val="Hyperlink"/>
          <w:b/>
        </w:rPr>
        <w:t xml:space="preserve"> </w:t>
      </w:r>
      <w:r w:rsidR="00524213">
        <w:rPr>
          <w:rStyle w:val="Hyperlink"/>
        </w:rPr>
        <w:t>S</w:t>
      </w:r>
      <w:r w:rsidRPr="00B04F4D">
        <w:rPr>
          <w:rStyle w:val="Hyperlink"/>
        </w:rPr>
        <w:t>ection 7.2.2.1</w:t>
      </w:r>
      <w:r w:rsidR="00B04F4D">
        <w:rPr>
          <w:rStyle w:val="Hyperlink"/>
        </w:rPr>
        <w:t>.</w:t>
      </w:r>
    </w:p>
    <w:p w14:paraId="57147165" w14:textId="77777777" w:rsidR="008817D0" w:rsidRPr="007445EB" w:rsidRDefault="00150ACC" w:rsidP="00752727">
      <w:pPr>
        <w:pStyle w:val="Heading3"/>
        <w:rPr>
          <w:rFonts w:eastAsia="Calibri"/>
        </w:rPr>
      </w:pPr>
      <w:bookmarkStart w:id="1901" w:name="_Toc390946285"/>
      <w:bookmarkStart w:id="1902" w:name="_Toc391969846"/>
      <w:bookmarkStart w:id="1903" w:name="_Toc20384109"/>
      <w:r>
        <w:rPr>
          <w:rFonts w:eastAsia="Calibri"/>
        </w:rPr>
        <w:t xml:space="preserve">EIM </w:t>
      </w:r>
      <w:r w:rsidR="008817D0" w:rsidRPr="007445EB">
        <w:rPr>
          <w:rFonts w:eastAsia="Calibri"/>
        </w:rPr>
        <w:t xml:space="preserve">Transmission </w:t>
      </w:r>
      <w:r>
        <w:rPr>
          <w:rFonts w:eastAsia="Calibri"/>
        </w:rPr>
        <w:t xml:space="preserve">Services </w:t>
      </w:r>
      <w:bookmarkEnd w:id="1901"/>
      <w:r>
        <w:rPr>
          <w:rFonts w:eastAsia="Calibri"/>
        </w:rPr>
        <w:t>Information</w:t>
      </w:r>
      <w:bookmarkEnd w:id="1902"/>
      <w:bookmarkEnd w:id="1903"/>
    </w:p>
    <w:p w14:paraId="464F2242" w14:textId="77777777" w:rsidR="0032159C" w:rsidRDefault="00EB1CE2" w:rsidP="008817D0">
      <w:pPr>
        <w:spacing w:after="240" w:line="300" w:lineRule="auto"/>
        <w:rPr>
          <w:rFonts w:eastAsia="Calibri"/>
        </w:rPr>
      </w:pPr>
      <w:r>
        <w:rPr>
          <w:rFonts w:eastAsia="Calibri"/>
        </w:rPr>
        <w:t xml:space="preserve">The EIM Entity shall send to CAISO its EMS </w:t>
      </w:r>
      <w:r w:rsidR="00BB6670">
        <w:rPr>
          <w:rFonts w:eastAsia="Calibri"/>
        </w:rPr>
        <w:t>network m</w:t>
      </w:r>
      <w:r>
        <w:rPr>
          <w:rFonts w:eastAsia="Calibri"/>
        </w:rPr>
        <w:t xml:space="preserve">odel information including any flowgates, intertie definitions and physical limits on </w:t>
      </w:r>
      <w:r w:rsidR="00C16675">
        <w:rPr>
          <w:rFonts w:eastAsia="Calibri"/>
        </w:rPr>
        <w:t xml:space="preserve">its </w:t>
      </w:r>
      <w:r w:rsidR="00E96A39">
        <w:rPr>
          <w:rFonts w:eastAsia="Calibri"/>
        </w:rPr>
        <w:t>transmission equipment</w:t>
      </w:r>
      <w:r>
        <w:rPr>
          <w:rFonts w:eastAsia="Calibri"/>
        </w:rPr>
        <w:t xml:space="preserve"> and the available capacity limits for </w:t>
      </w:r>
      <w:r w:rsidR="00C16675">
        <w:rPr>
          <w:rFonts w:eastAsia="Calibri"/>
        </w:rPr>
        <w:t xml:space="preserve">the EIM Entity internally </w:t>
      </w:r>
      <w:r>
        <w:rPr>
          <w:rFonts w:eastAsia="Calibri"/>
        </w:rPr>
        <w:t xml:space="preserve">enforced </w:t>
      </w:r>
      <w:r w:rsidR="00C16675">
        <w:rPr>
          <w:rFonts w:eastAsia="Calibri"/>
        </w:rPr>
        <w:t>f</w:t>
      </w:r>
      <w:r>
        <w:rPr>
          <w:rFonts w:eastAsia="Calibri"/>
        </w:rPr>
        <w:t>lowgates.</w:t>
      </w:r>
      <w:r w:rsidR="00BB6670">
        <w:rPr>
          <w:rFonts w:eastAsia="Calibri"/>
        </w:rPr>
        <w:t xml:space="preserve"> The submission of the EIM </w:t>
      </w:r>
      <w:r w:rsidR="007C4B4F">
        <w:rPr>
          <w:rFonts w:eastAsia="Calibri"/>
        </w:rPr>
        <w:t>Entity</w:t>
      </w:r>
      <w:r w:rsidR="00BB6670">
        <w:rPr>
          <w:rFonts w:eastAsia="Calibri"/>
        </w:rPr>
        <w:t xml:space="preserve"> network m</w:t>
      </w:r>
      <w:r>
        <w:rPr>
          <w:rFonts w:eastAsia="Calibri"/>
        </w:rPr>
        <w:t xml:space="preserve">odel shall use the </w:t>
      </w:r>
      <w:r w:rsidR="00837AE5">
        <w:rPr>
          <w:rFonts w:eastAsia="Calibri"/>
        </w:rPr>
        <w:t>C</w:t>
      </w:r>
      <w:r>
        <w:rPr>
          <w:rFonts w:eastAsia="Calibri"/>
        </w:rPr>
        <w:t xml:space="preserve">ommon </w:t>
      </w:r>
      <w:r w:rsidR="00837AE5">
        <w:rPr>
          <w:rFonts w:eastAsia="Calibri"/>
        </w:rPr>
        <w:t>I</w:t>
      </w:r>
      <w:r>
        <w:rPr>
          <w:rFonts w:eastAsia="Calibri"/>
        </w:rPr>
        <w:t xml:space="preserve">nformation </w:t>
      </w:r>
      <w:r w:rsidR="00837AE5">
        <w:rPr>
          <w:rFonts w:eastAsia="Calibri"/>
        </w:rPr>
        <w:t>M</w:t>
      </w:r>
      <w:r>
        <w:rPr>
          <w:rFonts w:eastAsia="Calibri"/>
        </w:rPr>
        <w:t>odel (CIM) industry standard protocol for exchanging network model d</w:t>
      </w:r>
      <w:r w:rsidR="007210C6">
        <w:rPr>
          <w:rFonts w:eastAsia="Calibri"/>
        </w:rPr>
        <w:t xml:space="preserve">ata. The EIM Entity </w:t>
      </w:r>
      <w:r>
        <w:rPr>
          <w:rFonts w:eastAsia="Calibri"/>
        </w:rPr>
        <w:t xml:space="preserve">shall also </w:t>
      </w:r>
      <w:r w:rsidR="00BB6670">
        <w:rPr>
          <w:rFonts w:eastAsia="Calibri"/>
        </w:rPr>
        <w:t xml:space="preserve">send to CAISO SCADA and measurements mapped to the EIM Entity EMS network model. </w:t>
      </w:r>
      <w:r w:rsidR="007210C6">
        <w:rPr>
          <w:rFonts w:eastAsia="Calibri"/>
        </w:rPr>
        <w:t xml:space="preserve">The process of submission of the EIM network model shall be </w:t>
      </w:r>
      <w:r w:rsidR="007C4B4F">
        <w:rPr>
          <w:rFonts w:eastAsia="Calibri"/>
        </w:rPr>
        <w:t>consistent</w:t>
      </w:r>
      <w:r w:rsidR="007210C6">
        <w:rPr>
          <w:rFonts w:eastAsia="Calibri"/>
        </w:rPr>
        <w:t xml:space="preserve"> and </w:t>
      </w:r>
      <w:r w:rsidR="00837AE5">
        <w:rPr>
          <w:rFonts w:eastAsia="Calibri"/>
        </w:rPr>
        <w:t xml:space="preserve">in </w:t>
      </w:r>
      <w:r w:rsidR="007210C6">
        <w:rPr>
          <w:rFonts w:eastAsia="Calibri"/>
        </w:rPr>
        <w:t xml:space="preserve">accordance to the already established CAISO FNM update process and its publically published deadlines for collecting network updates. Please refer to </w:t>
      </w:r>
      <w:r w:rsidR="00955025">
        <w:rPr>
          <w:rFonts w:eastAsia="Calibri"/>
        </w:rPr>
        <w:t>the</w:t>
      </w:r>
      <w:r w:rsidR="007210C6">
        <w:rPr>
          <w:rFonts w:eastAsia="Calibri"/>
        </w:rPr>
        <w:t xml:space="preserve"> </w:t>
      </w:r>
      <w:hyperlink r:id="rId164" w:history="1">
        <w:r w:rsidR="007210C6" w:rsidRPr="00955025">
          <w:rPr>
            <w:rStyle w:val="Hyperlink"/>
            <w:rFonts w:eastAsia="Calibri"/>
            <w:b/>
          </w:rPr>
          <w:t>BPM for Managing Full Network Model</w:t>
        </w:r>
      </w:hyperlink>
      <w:r w:rsidR="007210C6">
        <w:rPr>
          <w:rFonts w:eastAsia="Calibri"/>
        </w:rPr>
        <w:t xml:space="preserve"> for </w:t>
      </w:r>
      <w:r w:rsidR="00955025">
        <w:rPr>
          <w:rFonts w:eastAsia="Calibri"/>
        </w:rPr>
        <w:t xml:space="preserve">a </w:t>
      </w:r>
      <w:r w:rsidR="007210C6">
        <w:rPr>
          <w:rFonts w:eastAsia="Calibri"/>
        </w:rPr>
        <w:t xml:space="preserve">description of this process. </w:t>
      </w:r>
    </w:p>
    <w:p w14:paraId="64E20D66" w14:textId="77777777" w:rsidR="008817D0" w:rsidRDefault="0032159C" w:rsidP="008817D0">
      <w:pPr>
        <w:spacing w:after="240" w:line="300" w:lineRule="auto"/>
        <w:rPr>
          <w:rFonts w:eastAsia="Calibri"/>
        </w:rPr>
      </w:pPr>
      <w:r>
        <w:rPr>
          <w:rFonts w:eastAsia="Calibri"/>
        </w:rPr>
        <w:t xml:space="preserve">The EIM Entity shall send, via a direct </w:t>
      </w:r>
      <w:r w:rsidR="007C4B4F">
        <w:rPr>
          <w:rFonts w:eastAsia="Calibri"/>
        </w:rPr>
        <w:t>interface</w:t>
      </w:r>
      <w:r>
        <w:rPr>
          <w:rFonts w:eastAsia="Calibri"/>
        </w:rPr>
        <w:t xml:space="preserve"> t</w:t>
      </w:r>
      <w:r w:rsidR="005E2AFF">
        <w:rPr>
          <w:rFonts w:eastAsia="Calibri"/>
        </w:rPr>
        <w:t>o CAISO, the transmission limit</w:t>
      </w:r>
      <w:r>
        <w:rPr>
          <w:rFonts w:eastAsia="Calibri"/>
        </w:rPr>
        <w:t xml:space="preserve"> updates due to planned or forced outages or derates for its internal major paths or flowgates that are usually posted on its OASIS system.</w:t>
      </w:r>
    </w:p>
    <w:p w14:paraId="4F28F093" w14:textId="77777777" w:rsidR="00150ACC" w:rsidRDefault="00C16675" w:rsidP="00150ACC">
      <w:pPr>
        <w:pStyle w:val="Heading3"/>
        <w:rPr>
          <w:rFonts w:eastAsia="Calibri"/>
        </w:rPr>
      </w:pPr>
      <w:bookmarkStart w:id="1904" w:name="_Toc391969847"/>
      <w:bookmarkStart w:id="1905" w:name="_Toc20384110"/>
      <w:r>
        <w:rPr>
          <w:rFonts w:eastAsia="Calibri"/>
        </w:rPr>
        <w:t xml:space="preserve">Maximum </w:t>
      </w:r>
      <w:r w:rsidR="00150ACC">
        <w:rPr>
          <w:rFonts w:eastAsia="Calibri"/>
        </w:rPr>
        <w:t>EIM Trans</w:t>
      </w:r>
      <w:r>
        <w:rPr>
          <w:rFonts w:eastAsia="Calibri"/>
        </w:rPr>
        <w:t xml:space="preserve">fer </w:t>
      </w:r>
      <w:r w:rsidR="00150ACC">
        <w:rPr>
          <w:rFonts w:eastAsia="Calibri"/>
        </w:rPr>
        <w:t>Limits</w:t>
      </w:r>
      <w:bookmarkEnd w:id="1904"/>
      <w:bookmarkEnd w:id="1905"/>
    </w:p>
    <w:p w14:paraId="70A20E2B" w14:textId="7BDD1F82" w:rsidR="002C1E55" w:rsidRDefault="00C16675" w:rsidP="00150ACC">
      <w:pPr>
        <w:pStyle w:val="ParaText"/>
        <w:rPr>
          <w:rFonts w:eastAsia="Calibri"/>
        </w:rPr>
      </w:pPr>
      <w:r w:rsidRPr="008817D0">
        <w:rPr>
          <w:rFonts w:eastAsia="Calibri"/>
        </w:rPr>
        <w:t xml:space="preserve">EIM </w:t>
      </w:r>
      <w:r>
        <w:rPr>
          <w:rFonts w:eastAsia="Calibri"/>
        </w:rPr>
        <w:t>E</w:t>
      </w:r>
      <w:r w:rsidRPr="008817D0">
        <w:rPr>
          <w:rFonts w:eastAsia="Calibri"/>
        </w:rPr>
        <w:t xml:space="preserve">ntity Scheduling Coordinators shall send to </w:t>
      </w:r>
      <w:r>
        <w:rPr>
          <w:rFonts w:eastAsia="Calibri"/>
        </w:rPr>
        <w:t>the CA</w:t>
      </w:r>
      <w:r w:rsidRPr="008817D0">
        <w:rPr>
          <w:rFonts w:eastAsia="Calibri"/>
        </w:rPr>
        <w:t xml:space="preserve">ISO market system the EIM intertie </w:t>
      </w:r>
      <w:r w:rsidR="00837AE5">
        <w:rPr>
          <w:rFonts w:eastAsia="Calibri"/>
        </w:rPr>
        <w:t>A</w:t>
      </w:r>
      <w:r w:rsidRPr="008817D0">
        <w:rPr>
          <w:rFonts w:eastAsia="Calibri"/>
        </w:rPr>
        <w:t>vaila</w:t>
      </w:r>
      <w:r>
        <w:rPr>
          <w:rFonts w:eastAsia="Calibri"/>
        </w:rPr>
        <w:t xml:space="preserve">ble </w:t>
      </w:r>
      <w:r w:rsidR="00837AE5">
        <w:rPr>
          <w:rFonts w:eastAsia="Calibri"/>
        </w:rPr>
        <w:t>T</w:t>
      </w:r>
      <w:r>
        <w:rPr>
          <w:rFonts w:eastAsia="Calibri"/>
        </w:rPr>
        <w:t xml:space="preserve">ransfer </w:t>
      </w:r>
      <w:r w:rsidR="00837AE5">
        <w:rPr>
          <w:rFonts w:eastAsia="Calibri"/>
        </w:rPr>
        <w:t>C</w:t>
      </w:r>
      <w:r>
        <w:rPr>
          <w:rFonts w:eastAsia="Calibri"/>
        </w:rPr>
        <w:t>apacity</w:t>
      </w:r>
      <w:r w:rsidR="000E0EF1">
        <w:rPr>
          <w:rFonts w:eastAsia="Calibri"/>
        </w:rPr>
        <w:t xml:space="preserve"> </w:t>
      </w:r>
      <w:r w:rsidR="00837AE5">
        <w:rPr>
          <w:rFonts w:eastAsia="Calibri"/>
        </w:rPr>
        <w:t>(ATC)</w:t>
      </w:r>
      <w:r>
        <w:rPr>
          <w:rFonts w:eastAsia="Calibri"/>
        </w:rPr>
        <w:t xml:space="preserve"> and any updates due to planned or forced outages or derates based on </w:t>
      </w:r>
      <w:r w:rsidRPr="008817D0">
        <w:rPr>
          <w:rFonts w:eastAsia="Calibri"/>
        </w:rPr>
        <w:t>physical limits, schedule limits</w:t>
      </w:r>
      <w:r>
        <w:rPr>
          <w:rFonts w:eastAsia="Calibri"/>
        </w:rPr>
        <w:t>,</w:t>
      </w:r>
      <w:r w:rsidRPr="008817D0">
        <w:rPr>
          <w:rFonts w:eastAsia="Calibri"/>
        </w:rPr>
        <w:t xml:space="preserve"> and</w:t>
      </w:r>
      <w:r>
        <w:rPr>
          <w:rFonts w:eastAsia="Calibri"/>
        </w:rPr>
        <w:t>/or</w:t>
      </w:r>
      <w:r w:rsidRPr="008817D0">
        <w:rPr>
          <w:rFonts w:eastAsia="Calibri"/>
        </w:rPr>
        <w:t xml:space="preserve"> contract limits </w:t>
      </w:r>
      <w:r w:rsidR="0032159C">
        <w:rPr>
          <w:rFonts w:eastAsia="Calibri"/>
        </w:rPr>
        <w:t xml:space="preserve">or rights owned by the EIM Entity on </w:t>
      </w:r>
      <w:r w:rsidRPr="008817D0">
        <w:rPr>
          <w:rFonts w:eastAsia="Calibri"/>
        </w:rPr>
        <w:t>the EIM interties</w:t>
      </w:r>
      <w:r w:rsidR="002C1E55">
        <w:rPr>
          <w:rFonts w:eastAsia="Calibri"/>
        </w:rPr>
        <w:t xml:space="preserve"> with </w:t>
      </w:r>
      <w:r w:rsidR="007C4B4F">
        <w:rPr>
          <w:rFonts w:eastAsia="Calibri"/>
        </w:rPr>
        <w:t>neighboring</w:t>
      </w:r>
      <w:r w:rsidR="002C1E55">
        <w:rPr>
          <w:rFonts w:eastAsia="Calibri"/>
        </w:rPr>
        <w:t xml:space="preserve"> BAAs</w:t>
      </w:r>
      <w:r>
        <w:rPr>
          <w:rFonts w:eastAsia="Calibri"/>
        </w:rPr>
        <w:t>.</w:t>
      </w:r>
      <w:r w:rsidRPr="008817D0">
        <w:rPr>
          <w:rFonts w:eastAsia="Calibri"/>
        </w:rPr>
        <w:t xml:space="preserve"> The </w:t>
      </w:r>
      <w:r w:rsidR="00B722C6">
        <w:rPr>
          <w:rFonts w:eastAsia="Calibri"/>
        </w:rPr>
        <w:t>CAISO</w:t>
      </w:r>
      <w:r w:rsidRPr="008817D0">
        <w:rPr>
          <w:rFonts w:eastAsia="Calibri"/>
        </w:rPr>
        <w:t xml:space="preserve"> shall enforce the limits in corresponding market optimization</w:t>
      </w:r>
      <w:r>
        <w:rPr>
          <w:rFonts w:eastAsia="Calibri"/>
        </w:rPr>
        <w:t xml:space="preserve"> per </w:t>
      </w:r>
      <w:r>
        <w:rPr>
          <w:rFonts w:eastAsia="Calibri"/>
        </w:rPr>
        <w:lastRenderedPageBreak/>
        <w:t xml:space="preserve">applicable Operating Procedures. The EIM Entity shall communicate these limits via direct interface </w:t>
      </w:r>
      <w:r w:rsidR="002C1E55">
        <w:rPr>
          <w:rFonts w:eastAsia="Calibri"/>
        </w:rPr>
        <w:t>to</w:t>
      </w:r>
      <w:r>
        <w:rPr>
          <w:rFonts w:eastAsia="Calibri"/>
        </w:rPr>
        <w:t xml:space="preserve"> CAISO</w:t>
      </w:r>
      <w:r w:rsidR="0032159C">
        <w:rPr>
          <w:rFonts w:eastAsia="Calibri"/>
        </w:rPr>
        <w:t>.</w:t>
      </w:r>
    </w:p>
    <w:p w14:paraId="14066E80" w14:textId="77777777" w:rsidR="00286C8D" w:rsidRDefault="002C1E55" w:rsidP="00B1671A">
      <w:pPr>
        <w:pStyle w:val="ParaText"/>
        <w:rPr>
          <w:rFonts w:eastAsia="Calibri"/>
        </w:rPr>
      </w:pPr>
      <w:r>
        <w:rPr>
          <w:rFonts w:eastAsia="Calibri"/>
        </w:rPr>
        <w:t xml:space="preserve">The EIM Entity shall communicate to </w:t>
      </w:r>
      <w:r w:rsidR="005E2AFF">
        <w:rPr>
          <w:rFonts w:eastAsia="Calibri"/>
        </w:rPr>
        <w:t xml:space="preserve">the </w:t>
      </w:r>
      <w:r>
        <w:rPr>
          <w:rFonts w:eastAsia="Calibri"/>
        </w:rPr>
        <w:t xml:space="preserve">CAISO market system any real-time </w:t>
      </w:r>
      <w:r w:rsidR="00837AE5">
        <w:rPr>
          <w:rFonts w:eastAsia="Calibri"/>
        </w:rPr>
        <w:t>D</w:t>
      </w:r>
      <w:r>
        <w:rPr>
          <w:rFonts w:eastAsia="Calibri"/>
        </w:rPr>
        <w:t xml:space="preserve">ynamic </w:t>
      </w:r>
      <w:r w:rsidR="00837AE5">
        <w:rPr>
          <w:rFonts w:eastAsia="Calibri"/>
        </w:rPr>
        <w:t>T</w:t>
      </w:r>
      <w:r>
        <w:rPr>
          <w:rFonts w:eastAsia="Calibri"/>
        </w:rPr>
        <w:t xml:space="preserve">ransfer </w:t>
      </w:r>
      <w:r w:rsidR="00837AE5">
        <w:rPr>
          <w:rFonts w:eastAsia="Calibri"/>
        </w:rPr>
        <w:t>C</w:t>
      </w:r>
      <w:r>
        <w:rPr>
          <w:rFonts w:eastAsia="Calibri"/>
        </w:rPr>
        <w:t>apability (DTC) limits enforced by any third party transmission provider that the EIM Entity u</w:t>
      </w:r>
      <w:r w:rsidR="005E2AFF">
        <w:rPr>
          <w:rFonts w:eastAsia="Calibri"/>
        </w:rPr>
        <w:t>tilizes its transmission or has</w:t>
      </w:r>
      <w:r>
        <w:rPr>
          <w:rFonts w:eastAsia="Calibri"/>
        </w:rPr>
        <w:t xml:space="preserve"> transmission rights. The EIM Entity shall reflect the DTC limit in the transmission profile of the corresponding EIM transfer dynamic e-tag</w:t>
      </w:r>
      <w:r w:rsidR="00051A42">
        <w:rPr>
          <w:rFonts w:eastAsia="Calibri"/>
        </w:rPr>
        <w:t>.</w:t>
      </w:r>
      <w:r>
        <w:rPr>
          <w:rFonts w:eastAsia="Calibri"/>
        </w:rPr>
        <w:t xml:space="preserve">  </w:t>
      </w:r>
    </w:p>
    <w:p w14:paraId="55C9E71C" w14:textId="0F0824D9" w:rsidR="00284875" w:rsidRDefault="00FB76BA" w:rsidP="00B1671A">
      <w:pPr>
        <w:pStyle w:val="ParaText"/>
        <w:rPr>
          <w:rFonts w:eastAsia="Calibri"/>
        </w:rPr>
      </w:pPr>
      <w:r>
        <w:rPr>
          <w:rFonts w:eastAsia="Calibri"/>
        </w:rPr>
        <w:t xml:space="preserve">Each </w:t>
      </w:r>
      <w:r w:rsidR="00286C8D">
        <w:rPr>
          <w:rFonts w:eastAsia="Calibri"/>
        </w:rPr>
        <w:t xml:space="preserve">EIM Entity </w:t>
      </w:r>
      <w:r w:rsidR="00071D2B" w:rsidRPr="008817D0">
        <w:rPr>
          <w:rFonts w:eastAsia="Calibri"/>
        </w:rPr>
        <w:t xml:space="preserve">Scheduling Coordinator </w:t>
      </w:r>
      <w:r w:rsidR="00286C8D">
        <w:rPr>
          <w:rFonts w:eastAsia="Calibri"/>
        </w:rPr>
        <w:t xml:space="preserve">shall </w:t>
      </w:r>
      <w:r w:rsidR="00C16B99">
        <w:rPr>
          <w:rFonts w:eastAsia="Calibri"/>
        </w:rPr>
        <w:t xml:space="preserve">determine and </w:t>
      </w:r>
      <w:r w:rsidR="00286C8D">
        <w:rPr>
          <w:rFonts w:eastAsia="Calibri"/>
        </w:rPr>
        <w:t xml:space="preserve">send to the CAISO market system the </w:t>
      </w:r>
      <w:r w:rsidR="00071D2B">
        <w:rPr>
          <w:rFonts w:eastAsia="Calibri"/>
        </w:rPr>
        <w:t xml:space="preserve">EIM intertie </w:t>
      </w:r>
      <w:r w:rsidR="00286C8D">
        <w:rPr>
          <w:rFonts w:eastAsia="Calibri"/>
        </w:rPr>
        <w:t xml:space="preserve">transmission </w:t>
      </w:r>
      <w:r w:rsidR="000D441A">
        <w:rPr>
          <w:rFonts w:eastAsia="Calibri"/>
        </w:rPr>
        <w:t xml:space="preserve">right limits, static </w:t>
      </w:r>
      <w:r w:rsidR="0004541C">
        <w:rPr>
          <w:rFonts w:eastAsia="Calibri"/>
        </w:rPr>
        <w:t>limits,</w:t>
      </w:r>
      <w:r w:rsidR="001A1AD4">
        <w:rPr>
          <w:rFonts w:eastAsia="Calibri"/>
        </w:rPr>
        <w:t xml:space="preserve"> </w:t>
      </w:r>
      <w:r w:rsidR="000D441A">
        <w:rPr>
          <w:rFonts w:eastAsia="Calibri"/>
        </w:rPr>
        <w:t>dynamic incremental limits and any updates</w:t>
      </w:r>
      <w:r w:rsidR="001A1AD4">
        <w:rPr>
          <w:rFonts w:eastAsia="Calibri"/>
        </w:rPr>
        <w:t xml:space="preserve"> </w:t>
      </w:r>
      <w:r w:rsidR="000D441A">
        <w:rPr>
          <w:rFonts w:eastAsia="Calibri"/>
        </w:rPr>
        <w:t xml:space="preserve">through </w:t>
      </w:r>
      <w:r w:rsidR="00211DB5">
        <w:rPr>
          <w:rFonts w:eastAsia="Calibri"/>
        </w:rPr>
        <w:t xml:space="preserve">the </w:t>
      </w:r>
      <w:r w:rsidR="000D441A">
        <w:rPr>
          <w:rFonts w:eastAsia="Calibri"/>
        </w:rPr>
        <w:t>EIMDynamicLimitData</w:t>
      </w:r>
      <w:r w:rsidR="001A1AD4">
        <w:rPr>
          <w:rFonts w:eastAsia="Calibri"/>
        </w:rPr>
        <w:t xml:space="preserve"> file submitted to CAISO</w:t>
      </w:r>
      <w:r w:rsidR="00960131">
        <w:rPr>
          <w:rFonts w:eastAsia="Calibri"/>
        </w:rPr>
        <w:t xml:space="preserve"> </w:t>
      </w:r>
      <w:r w:rsidR="00211DB5">
        <w:rPr>
          <w:rFonts w:eastAsia="Calibri"/>
        </w:rPr>
        <w:t>as</w:t>
      </w:r>
      <w:r w:rsidR="00960131">
        <w:rPr>
          <w:rFonts w:eastAsia="Calibri"/>
        </w:rPr>
        <w:t xml:space="preserve"> changes</w:t>
      </w:r>
      <w:r w:rsidR="00ED7B08">
        <w:rPr>
          <w:rFonts w:eastAsia="Calibri"/>
        </w:rPr>
        <w:t xml:space="preserve"> </w:t>
      </w:r>
      <w:r w:rsidR="00211DB5">
        <w:rPr>
          <w:rFonts w:eastAsia="Calibri"/>
        </w:rPr>
        <w:t>to</w:t>
      </w:r>
      <w:r w:rsidR="00ED7B08">
        <w:rPr>
          <w:rFonts w:eastAsia="Calibri"/>
        </w:rPr>
        <w:t xml:space="preserve"> these limits</w:t>
      </w:r>
      <w:r w:rsidR="00960131">
        <w:rPr>
          <w:rFonts w:eastAsia="Calibri"/>
        </w:rPr>
        <w:t xml:space="preserve"> are required by the EIM Entity Scheduling Coordinators</w:t>
      </w:r>
      <w:r w:rsidR="002667BF">
        <w:rPr>
          <w:rFonts w:eastAsia="Calibri"/>
        </w:rPr>
        <w:t xml:space="preserve"> (</w:t>
      </w:r>
      <w:r w:rsidR="002667BF" w:rsidRPr="001D354A">
        <w:rPr>
          <w:rFonts w:eastAsia="Calibri"/>
          <w:i/>
        </w:rPr>
        <w:t>i.e.</w:t>
      </w:r>
      <w:r w:rsidR="002667BF">
        <w:rPr>
          <w:rFonts w:eastAsia="Calibri"/>
        </w:rPr>
        <w:t>,  the EIM Transfer limit)</w:t>
      </w:r>
      <w:r w:rsidR="00ED7B08">
        <w:rPr>
          <w:rFonts w:eastAsia="Calibri"/>
        </w:rPr>
        <w:t xml:space="preserve">. </w:t>
      </w:r>
      <w:r w:rsidR="00363CFA">
        <w:rPr>
          <w:rFonts w:eastAsia="Calibri"/>
        </w:rPr>
        <w:t xml:space="preserve">This should be finished prior to the start of the next Dispatch Interval </w:t>
      </w:r>
      <w:r>
        <w:rPr>
          <w:rFonts w:eastAsia="Calibri"/>
        </w:rPr>
        <w:t>b</w:t>
      </w:r>
      <w:r w:rsidR="002667BF">
        <w:rPr>
          <w:rFonts w:eastAsia="Calibri"/>
        </w:rPr>
        <w:t>y</w:t>
      </w:r>
      <w:r>
        <w:rPr>
          <w:rFonts w:eastAsia="Calibri"/>
        </w:rPr>
        <w:t xml:space="preserve"> </w:t>
      </w:r>
      <w:r w:rsidR="00CB141B">
        <w:rPr>
          <w:rFonts w:eastAsia="Calibri"/>
        </w:rPr>
        <w:t xml:space="preserve">the </w:t>
      </w:r>
      <w:r>
        <w:rPr>
          <w:rFonts w:eastAsia="Calibri"/>
        </w:rPr>
        <w:t xml:space="preserve">EIM Entity </w:t>
      </w:r>
      <w:r w:rsidR="00CB141B">
        <w:rPr>
          <w:rFonts w:eastAsia="Calibri"/>
        </w:rPr>
        <w:t>Scheduling Coordinator</w:t>
      </w:r>
      <w:r w:rsidR="00CF4FE6">
        <w:rPr>
          <w:rFonts w:eastAsia="Calibri"/>
        </w:rPr>
        <w:t xml:space="preserve">. </w:t>
      </w:r>
      <w:r w:rsidR="00C16B99">
        <w:rPr>
          <w:rFonts w:eastAsia="Calibri"/>
        </w:rPr>
        <w:t xml:space="preserve"> The </w:t>
      </w:r>
      <w:r w:rsidR="009B2375" w:rsidRPr="009B2375">
        <w:rPr>
          <w:rFonts w:eastAsia="Calibri"/>
        </w:rPr>
        <w:t xml:space="preserve">CAISO will </w:t>
      </w:r>
      <w:r w:rsidR="00C16B99">
        <w:rPr>
          <w:rFonts w:eastAsia="Calibri"/>
        </w:rPr>
        <w:t xml:space="preserve">use this information to </w:t>
      </w:r>
      <w:r w:rsidR="009B2375" w:rsidRPr="009B2375">
        <w:rPr>
          <w:rFonts w:eastAsia="Calibri"/>
        </w:rPr>
        <w:t xml:space="preserve">calculate the </w:t>
      </w:r>
      <w:r w:rsidR="00C16B99">
        <w:rPr>
          <w:rFonts w:eastAsia="Calibri"/>
        </w:rPr>
        <w:t xml:space="preserve">Energy </w:t>
      </w:r>
      <w:r w:rsidR="009B2375" w:rsidRPr="009B2375">
        <w:rPr>
          <w:rFonts w:eastAsia="Calibri"/>
        </w:rPr>
        <w:t>Transfer</w:t>
      </w:r>
      <w:r w:rsidR="009B2375">
        <w:rPr>
          <w:rFonts w:eastAsia="Calibri"/>
        </w:rPr>
        <w:t xml:space="preserve"> </w:t>
      </w:r>
      <w:r w:rsidR="00C16B99">
        <w:rPr>
          <w:rFonts w:eastAsia="Calibri"/>
        </w:rPr>
        <w:t>s</w:t>
      </w:r>
      <w:r w:rsidR="00211DB5">
        <w:rPr>
          <w:rFonts w:eastAsia="Calibri"/>
        </w:rPr>
        <w:t xml:space="preserve">chedule </w:t>
      </w:r>
      <w:r w:rsidR="009B2375">
        <w:rPr>
          <w:rFonts w:eastAsia="Calibri"/>
        </w:rPr>
        <w:t>limit according to Appendix A</w:t>
      </w:r>
      <w:r w:rsidR="00211DB5">
        <w:rPr>
          <w:rFonts w:eastAsia="Calibri"/>
        </w:rPr>
        <w:t>:</w:t>
      </w:r>
      <w:r w:rsidR="009B2375">
        <w:rPr>
          <w:rFonts w:eastAsia="Calibri"/>
        </w:rPr>
        <w:t xml:space="preserve"> </w:t>
      </w:r>
      <w:r w:rsidR="009B2375" w:rsidRPr="009B2375">
        <w:rPr>
          <w:rFonts w:eastAsia="Calibri"/>
        </w:rPr>
        <w:t>Energy Transfer Schedule Limits</w:t>
      </w:r>
      <w:r w:rsidR="00211DB5">
        <w:rPr>
          <w:rFonts w:eastAsia="Calibri"/>
        </w:rPr>
        <w:t xml:space="preserve">.  </w:t>
      </w:r>
      <w:r w:rsidR="00C16B99">
        <w:rPr>
          <w:rFonts w:eastAsia="Calibri"/>
        </w:rPr>
        <w:t>The CAISO will provide</w:t>
      </w:r>
      <w:r w:rsidR="00F02728">
        <w:rPr>
          <w:rFonts w:eastAsia="Calibri"/>
        </w:rPr>
        <w:t xml:space="preserve"> the</w:t>
      </w:r>
      <w:r w:rsidR="00C16B99">
        <w:rPr>
          <w:rFonts w:eastAsia="Calibri"/>
        </w:rPr>
        <w:t xml:space="preserve"> EIM Entity Scheduling Coordinator with the Energy Transfer schedule information</w:t>
      </w:r>
      <w:r w:rsidR="00F02728">
        <w:rPr>
          <w:rFonts w:eastAsia="Calibri"/>
        </w:rPr>
        <w:t xml:space="preserve"> according to Appendix A: </w:t>
      </w:r>
      <w:r w:rsidR="00F02728" w:rsidRPr="009B2375">
        <w:rPr>
          <w:rFonts w:eastAsia="Calibri"/>
        </w:rPr>
        <w:t xml:space="preserve">Energy Transfer </w:t>
      </w:r>
      <w:r w:rsidR="00F02728">
        <w:rPr>
          <w:rFonts w:eastAsia="Calibri"/>
        </w:rPr>
        <w:t>Schedule Tags.</w:t>
      </w:r>
      <w:r w:rsidR="00C16B99">
        <w:rPr>
          <w:rFonts w:eastAsia="Calibri"/>
        </w:rPr>
        <w:t xml:space="preserve">   </w:t>
      </w:r>
      <w:r w:rsidR="002667BF">
        <w:rPr>
          <w:rFonts w:eastAsia="Calibri"/>
        </w:rPr>
        <w:t xml:space="preserve">  </w:t>
      </w:r>
    </w:p>
    <w:p w14:paraId="3DB4095E" w14:textId="77777777" w:rsidR="00150ACC" w:rsidRDefault="00284875" w:rsidP="00150ACC">
      <w:pPr>
        <w:pStyle w:val="ParaText"/>
        <w:rPr>
          <w:rFonts w:eastAsia="Calibri"/>
        </w:rPr>
      </w:pPr>
      <w:r>
        <w:rPr>
          <w:rFonts w:eastAsia="Calibri"/>
        </w:rPr>
        <w:t xml:space="preserve">Specific procedures may be developed to document specific conditions, communication of EIM </w:t>
      </w:r>
      <w:r w:rsidR="007C4B4F">
        <w:rPr>
          <w:rFonts w:eastAsia="Calibri"/>
        </w:rPr>
        <w:t>Entity</w:t>
      </w:r>
      <w:r>
        <w:rPr>
          <w:rFonts w:eastAsia="Calibri"/>
        </w:rPr>
        <w:t>, External BAA</w:t>
      </w:r>
      <w:r w:rsidR="00ED7C07">
        <w:rPr>
          <w:rFonts w:eastAsia="Calibri"/>
        </w:rPr>
        <w:t>,</w:t>
      </w:r>
      <w:r>
        <w:rPr>
          <w:rFonts w:eastAsia="Calibri"/>
        </w:rPr>
        <w:t xml:space="preserve"> or third party transmission </w:t>
      </w:r>
      <w:r w:rsidR="007C4B4F">
        <w:rPr>
          <w:rFonts w:eastAsia="Calibri"/>
        </w:rPr>
        <w:t>provider</w:t>
      </w:r>
      <w:r>
        <w:rPr>
          <w:rFonts w:eastAsia="Calibri"/>
        </w:rPr>
        <w:t xml:space="preserve"> as designed by EIM Ent</w:t>
      </w:r>
      <w:r w:rsidR="00D86A6C">
        <w:rPr>
          <w:rFonts w:eastAsia="Calibri"/>
        </w:rPr>
        <w:t>i</w:t>
      </w:r>
      <w:r>
        <w:rPr>
          <w:rFonts w:eastAsia="Calibri"/>
        </w:rPr>
        <w:t xml:space="preserve">ty.  </w:t>
      </w:r>
      <w:r w:rsidR="002C1E55">
        <w:rPr>
          <w:rFonts w:eastAsia="Calibri"/>
        </w:rPr>
        <w:t xml:space="preserve"> </w:t>
      </w:r>
    </w:p>
    <w:p w14:paraId="3ED84014" w14:textId="77777777" w:rsidR="00B55A6C" w:rsidRDefault="00B55A6C" w:rsidP="00150ACC">
      <w:pPr>
        <w:pStyle w:val="ParaText"/>
        <w:rPr>
          <w:rFonts w:eastAsia="Calibri"/>
        </w:rPr>
      </w:pPr>
      <w:r w:rsidRPr="00B55A6C">
        <w:rPr>
          <w:rFonts w:eastAsia="Calibri"/>
        </w:rPr>
        <w:t>If there are two or more EIM Entity Balancing Authority Areas that share the same EIM Internal Intertie, the CAISO’s Security Constrained Economic Dispatch in the Real-Time Unit Commitment and Real-Time Dispatch will enforce the individual EIM Transfer limit for each EIM Entity Balancing Authority Area while allowing Energy to wheel through the EIM Entity Balancing Authority Areas based on the transmission made available for use in the Real-Time Market.</w:t>
      </w:r>
    </w:p>
    <w:p w14:paraId="091F0C72" w14:textId="77777777" w:rsidR="009D69EE" w:rsidRPr="008817D0" w:rsidRDefault="00957718" w:rsidP="002667BF">
      <w:pPr>
        <w:pStyle w:val="Heading3"/>
        <w:rPr>
          <w:rFonts w:eastAsia="Calibri"/>
        </w:rPr>
      </w:pPr>
      <w:bookmarkStart w:id="1906" w:name="_Toc20384111"/>
      <w:r>
        <w:rPr>
          <w:rFonts w:eastAsia="Calibri"/>
        </w:rPr>
        <w:t>Energy Transfer Scheduling in Energy I</w:t>
      </w:r>
      <w:r w:rsidR="005D12EB">
        <w:rPr>
          <w:rFonts w:eastAsia="Calibri"/>
        </w:rPr>
        <w:t>m</w:t>
      </w:r>
      <w:r>
        <w:rPr>
          <w:rFonts w:eastAsia="Calibri"/>
        </w:rPr>
        <w:t>balance Market</w:t>
      </w:r>
      <w:bookmarkEnd w:id="1906"/>
      <w:r w:rsidR="009D69EE" w:rsidRPr="008817D0">
        <w:rPr>
          <w:rFonts w:eastAsia="Calibri"/>
        </w:rPr>
        <w:tab/>
      </w:r>
    </w:p>
    <w:p w14:paraId="072D2857" w14:textId="5EBF8DFF" w:rsidR="002507FD" w:rsidRPr="00877DDB" w:rsidRDefault="002507FD" w:rsidP="00877DDB">
      <w:pPr>
        <w:spacing w:after="240" w:line="300" w:lineRule="auto"/>
        <w:rPr>
          <w:rFonts w:eastAsia="Calibri"/>
        </w:rPr>
      </w:pPr>
      <w:r w:rsidRPr="00877DDB">
        <w:rPr>
          <w:rFonts w:eastAsia="Calibri"/>
        </w:rPr>
        <w:t xml:space="preserve">Energy Transfer Scheduling </w:t>
      </w:r>
      <w:r w:rsidR="0093465C" w:rsidRPr="00877DDB">
        <w:rPr>
          <w:rFonts w:eastAsia="Calibri"/>
        </w:rPr>
        <w:t>aims</w:t>
      </w:r>
      <w:r w:rsidRPr="00877DDB">
        <w:rPr>
          <w:rFonts w:eastAsia="Calibri"/>
        </w:rPr>
        <w:t xml:space="preserve"> to determine the Energy Transfer schedules among the EIM BAAs and the C</w:t>
      </w:r>
      <w:r w:rsidR="008747A1" w:rsidRPr="00877DDB">
        <w:rPr>
          <w:rFonts w:eastAsia="Calibri"/>
        </w:rPr>
        <w:t>A</w:t>
      </w:r>
      <w:r w:rsidRPr="00877DDB">
        <w:rPr>
          <w:rFonts w:eastAsia="Calibri"/>
        </w:rPr>
        <w:t xml:space="preserve">ISO from the optimal EIM Transfers of the BAAs in the EIM Area using the transmission rights </w:t>
      </w:r>
      <w:r w:rsidR="00F02728" w:rsidRPr="00877DDB">
        <w:rPr>
          <w:rFonts w:eastAsia="Calibri"/>
        </w:rPr>
        <w:t xml:space="preserve">available to the EIM </w:t>
      </w:r>
      <w:r w:rsidRPr="00877DDB">
        <w:rPr>
          <w:rFonts w:eastAsia="Calibri"/>
        </w:rPr>
        <w:t xml:space="preserve">without violating them. This is a part of the market optimization problem in </w:t>
      </w:r>
      <w:r w:rsidR="00963003">
        <w:rPr>
          <w:rFonts w:eastAsia="Calibri"/>
        </w:rPr>
        <w:t>Fifteen Minute Market</w:t>
      </w:r>
      <w:r w:rsidR="00963003" w:rsidRPr="00877DDB">
        <w:rPr>
          <w:rFonts w:eastAsia="Calibri"/>
        </w:rPr>
        <w:t xml:space="preserve"> </w:t>
      </w:r>
      <w:r w:rsidRPr="00877DDB">
        <w:rPr>
          <w:rFonts w:eastAsia="Calibri"/>
        </w:rPr>
        <w:t xml:space="preserve">and RTD of EIM. </w:t>
      </w:r>
    </w:p>
    <w:p w14:paraId="6A714A8C" w14:textId="77777777" w:rsidR="00D925AA" w:rsidRPr="00877DDB" w:rsidRDefault="007A721E" w:rsidP="00877DDB">
      <w:pPr>
        <w:spacing w:after="240" w:line="300" w:lineRule="auto"/>
        <w:rPr>
          <w:rFonts w:eastAsia="Calibri"/>
        </w:rPr>
      </w:pPr>
      <w:r w:rsidRPr="00877DDB">
        <w:rPr>
          <w:rFonts w:eastAsia="Calibri"/>
        </w:rPr>
        <w:t xml:space="preserve">The Appendix A </w:t>
      </w:r>
      <w:r>
        <w:rPr>
          <w:rFonts w:eastAsia="Calibri"/>
        </w:rPr>
        <w:t>Mathematical Formulation for EIM Transfer</w:t>
      </w:r>
      <w:r w:rsidR="00F02728">
        <w:rPr>
          <w:rFonts w:eastAsia="Calibri"/>
        </w:rPr>
        <w:t>s</w:t>
      </w:r>
      <w:r w:rsidRPr="00877DDB">
        <w:rPr>
          <w:rFonts w:eastAsia="Calibri"/>
        </w:rPr>
        <w:t xml:space="preserve"> outlines how the CAISO enforces scheduling constraints in the market optimization to ensure the energy from base schedules and EIM </w:t>
      </w:r>
      <w:r w:rsidR="00F02728" w:rsidRPr="00877DDB">
        <w:rPr>
          <w:rFonts w:eastAsia="Calibri"/>
        </w:rPr>
        <w:t>T</w:t>
      </w:r>
      <w:r w:rsidRPr="00877DDB">
        <w:rPr>
          <w:rFonts w:eastAsia="Calibri"/>
        </w:rPr>
        <w:t>ransfers in the FMM and RTD are consistent with intertie scheduling limits.</w:t>
      </w:r>
      <w:r w:rsidR="00D925AA" w:rsidRPr="00877DDB">
        <w:rPr>
          <w:rFonts w:eastAsia="Calibri"/>
        </w:rPr>
        <w:t xml:space="preserve"> </w:t>
      </w:r>
    </w:p>
    <w:p w14:paraId="1745DEDD" w14:textId="77777777" w:rsidR="002507FD" w:rsidRPr="00877DDB" w:rsidRDefault="002507FD" w:rsidP="00877DDB">
      <w:pPr>
        <w:spacing w:after="240" w:line="300" w:lineRule="auto"/>
        <w:rPr>
          <w:rFonts w:eastAsia="Calibri"/>
        </w:rPr>
      </w:pPr>
      <w:r w:rsidRPr="00877DDB">
        <w:rPr>
          <w:rFonts w:eastAsia="Calibri"/>
        </w:rPr>
        <w:t>In calculating real-time neutrality by BAA, the System Marginal Energy Cost (SMEC) is used for the Energy Transfer</w:t>
      </w:r>
      <w:r w:rsidR="00F02728" w:rsidRPr="00877DDB">
        <w:rPr>
          <w:rFonts w:eastAsia="Calibri"/>
        </w:rPr>
        <w:t xml:space="preserve"> (see </w:t>
      </w:r>
      <w:r w:rsidR="00B264D2" w:rsidRPr="00877DDB">
        <w:rPr>
          <w:rFonts w:eastAsia="Calibri"/>
        </w:rPr>
        <w:t>Appendix A for an example</w:t>
      </w:r>
      <w:r w:rsidR="00F02728" w:rsidRPr="00877DDB">
        <w:rPr>
          <w:rFonts w:eastAsia="Calibri"/>
        </w:rPr>
        <w:t>)</w:t>
      </w:r>
      <w:r w:rsidRPr="00877DDB">
        <w:rPr>
          <w:rFonts w:eastAsia="Calibri"/>
        </w:rPr>
        <w:t>.</w:t>
      </w:r>
    </w:p>
    <w:p w14:paraId="6E837D61" w14:textId="77777777" w:rsidR="002507FD" w:rsidRPr="00E40C41" w:rsidRDefault="002507FD" w:rsidP="002667BF">
      <w:pPr>
        <w:pStyle w:val="Heading4"/>
      </w:pPr>
      <w:r>
        <w:lastRenderedPageBreak/>
        <w:t>Energy Transfer System Resources</w:t>
      </w:r>
    </w:p>
    <w:p w14:paraId="456DDBD0" w14:textId="77777777" w:rsidR="002507FD" w:rsidRDefault="002507FD" w:rsidP="00877DDB">
      <w:pPr>
        <w:spacing w:after="240" w:line="300" w:lineRule="auto"/>
      </w:pPr>
      <w:r>
        <w:t xml:space="preserve">For the convenience of modeling of the </w:t>
      </w:r>
      <w:r w:rsidRPr="00E40C41">
        <w:t>Energy Transfer Scheduling problem</w:t>
      </w:r>
      <w:r>
        <w:t xml:space="preserve">, </w:t>
      </w:r>
      <w:r w:rsidRPr="00E40C41">
        <w:t>Energy Transfer System Resources (ETSRs) are defined as aggregate resources at the EIM BAA Default Generation Aggregation Point (DGAP), which is an aggregation of all supply resources in the BAA. They are dedicated System Resources in each EIM BAA to anchor the Energy Transfer schedules from that BAA to other BAAs in the EIM Area for tracking, tagging, and settlement. Each ETSR is defined as either an import or an export resource, and it is associated with an EIM intertie with another EIM BAA, or a C</w:t>
      </w:r>
      <w:r w:rsidR="00ED022D">
        <w:t>A</w:t>
      </w:r>
      <w:r w:rsidRPr="00E40C41">
        <w:t>ISO intertie with the C</w:t>
      </w:r>
      <w:r w:rsidR="00ED022D">
        <w:t>A</w:t>
      </w:r>
      <w:r w:rsidRPr="00E40C41">
        <w:t>ISO. The associated intertie is one where the EIM Entity for the relevant EIM BAA has made transmission rights available for scheduling Energy Transfers from/to the other EIM BAA or the C</w:t>
      </w:r>
      <w:r w:rsidR="00ED022D">
        <w:t>A</w:t>
      </w:r>
      <w:r w:rsidRPr="00E40C41">
        <w:t>ISO.</w:t>
      </w:r>
      <w:r>
        <w:t xml:space="preserve"> </w:t>
      </w:r>
    </w:p>
    <w:p w14:paraId="229691DB" w14:textId="77777777" w:rsidR="002507FD" w:rsidRDefault="002507FD" w:rsidP="002667BF">
      <w:pPr>
        <w:pStyle w:val="Heading4"/>
      </w:pPr>
      <w:r>
        <w:t>Base Schedules</w:t>
      </w:r>
    </w:p>
    <w:p w14:paraId="0566497E" w14:textId="77777777" w:rsidR="002507FD" w:rsidRDefault="002507FD" w:rsidP="00877DDB">
      <w:pPr>
        <w:spacing w:after="240" w:line="300" w:lineRule="auto"/>
      </w:pPr>
      <w:r>
        <w:t xml:space="preserve">Before EIM market optimization, base </w:t>
      </w:r>
      <w:r w:rsidRPr="005C25BA">
        <w:t>Energy Transfer schedules between EIM BAAs</w:t>
      </w:r>
      <w:r>
        <w:t xml:space="preserve"> are submitted </w:t>
      </w:r>
      <w:r w:rsidRPr="004B4158">
        <w:t>along with the generation and intertie base schedules. The base Energy Transfer schedules are assumed to be feasible. For each EIM BAA and C</w:t>
      </w:r>
      <w:r w:rsidR="00ED022D">
        <w:t>A</w:t>
      </w:r>
      <w:r w:rsidRPr="004B4158">
        <w:t>ISO, the base EIM Transfer, the base NSI, the base demand, the base generation and the base load are obtained from the base Energy Transfer schedules and RUC schedules. The base load for EIM BAA is adjusted in the ACPF to absorb the loss error. The base load for EIM BAAs is significant because it is used as a reference for imbalance energy settlement. Base schedules are also calculated for non-EIM BAAs to model unscheduled loop flow through the EIM area.</w:t>
      </w:r>
    </w:p>
    <w:p w14:paraId="401E0C76" w14:textId="77777777" w:rsidR="002507FD" w:rsidRPr="004B4158" w:rsidRDefault="002507FD" w:rsidP="002667BF">
      <w:pPr>
        <w:pStyle w:val="Heading4"/>
      </w:pPr>
      <w:r w:rsidRPr="00E047E1">
        <w:t>Energy Transfer Schedule Calculation</w:t>
      </w:r>
      <w:r>
        <w:t xml:space="preserve"> </w:t>
      </w:r>
    </w:p>
    <w:p w14:paraId="5B93E494" w14:textId="16AAA9A6" w:rsidR="008C1669" w:rsidRPr="00E047E1" w:rsidRDefault="008C1669" w:rsidP="00877DDB">
      <w:pPr>
        <w:spacing w:after="240" w:line="300" w:lineRule="auto"/>
      </w:pPr>
      <w:r>
        <w:t xml:space="preserve">Additional variables and constraints are added to the market optimization problem for the </w:t>
      </w:r>
      <w:r w:rsidRPr="00E40C41">
        <w:t>Energy Transfer Scheduling problem</w:t>
      </w:r>
      <w:r>
        <w:t xml:space="preserve">. </w:t>
      </w:r>
      <w:r w:rsidRPr="004B4158">
        <w:t>In the market optimization problem, the NSI variables for each BAA are used to derive the EIM Transfer for each EIM BAA and for the C</w:t>
      </w:r>
      <w:r>
        <w:t>A</w:t>
      </w:r>
      <w:r w:rsidRPr="004B4158">
        <w:t>ISO. The EIM Transfer Schedules represented by the E</w:t>
      </w:r>
      <w:r>
        <w:t>TSR</w:t>
      </w:r>
      <w:r w:rsidRPr="004B4158">
        <w:t xml:space="preserve"> variables are constrained by applicable </w:t>
      </w:r>
      <w:r>
        <w:t>EIM Transfer limits</w:t>
      </w:r>
      <w:r w:rsidRPr="004B4158">
        <w:t xml:space="preserve">. </w:t>
      </w:r>
    </w:p>
    <w:p w14:paraId="166423F7" w14:textId="77777777" w:rsidR="009E4560" w:rsidRDefault="008C1669">
      <w:r>
        <w:t>The base Energy Transfer schedules may be included in the optimal Energy Transfer schedules or specified separately. Afte</w:t>
      </w:r>
      <w:r w:rsidRPr="004B4158">
        <w:t xml:space="preserve">r the market </w:t>
      </w:r>
      <w:r>
        <w:t>solution is obtained</w:t>
      </w:r>
      <w:r w:rsidRPr="004B4158">
        <w:t xml:space="preserve">, the base and optimal Energy Transfer schedules assigned to the corresponding ETSRs are tagged to the associated intertie using the corresponding ETSR identification. </w:t>
      </w:r>
      <w:r>
        <w:t>Including the base Energy Transfer in the optimal Energy Transfer allows the optimal dynamic Energy Transfer to counter flow on the base Energy Transfer maximizing transmission capacity use. If the base Energy Transfer is scheduled separately on dedicated ETSRs, the Base ETSRs, it is not optimized but kept constant in the market, unless modified by the EIM Entity SC after T–40' through the real-time intertie schedule interface. The transmission capacity consumed by the base Energy Transfer scheduled on Base ETSRs cannot be used for counter flow dynamic Energy Transfers.</w:t>
      </w:r>
      <w:r w:rsidR="009E4560">
        <w:t xml:space="preserve"> </w:t>
      </w:r>
      <w:r w:rsidR="009E4560" w:rsidRPr="00721D84">
        <w:rPr>
          <w:rFonts w:cs="Arial"/>
          <w:color w:val="FF0000"/>
        </w:rPr>
        <w:t>Schedules associated with pseudo</w:t>
      </w:r>
      <w:r w:rsidR="009E4560">
        <w:rPr>
          <w:rFonts w:cs="Arial"/>
          <w:color w:val="FF0000"/>
        </w:rPr>
        <w:t xml:space="preserve"> </w:t>
      </w:r>
      <w:r w:rsidR="009E4560" w:rsidRPr="00721D84">
        <w:rPr>
          <w:rFonts w:cs="Arial"/>
          <w:color w:val="FF0000"/>
        </w:rPr>
        <w:t xml:space="preserve">tie or dynamic e-Tags for pseudo-tied resources or loads that involve one or multiple EIM Entity BAAs should not be included in base Energy Transfers between </w:t>
      </w:r>
      <w:r w:rsidR="009E4560" w:rsidRPr="00721D84">
        <w:rPr>
          <w:rFonts w:cs="Arial"/>
          <w:color w:val="FF0000"/>
        </w:rPr>
        <w:lastRenderedPageBreak/>
        <w:t>EIM BAAs or intertie transactions between EIM and non EIM BAAs because these schedules have no effect on the NSI of the source/sink BAA or the NSI of intermediate BAAs.</w:t>
      </w:r>
    </w:p>
    <w:p w14:paraId="5F9575BC" w14:textId="1CCF5773" w:rsidR="008C1669" w:rsidRDefault="008C1669" w:rsidP="00877DDB">
      <w:pPr>
        <w:spacing w:after="240" w:line="300" w:lineRule="auto"/>
      </w:pPr>
      <w:r>
        <w:t>In the mathematical formulation, without loss of generality, the base Energy Transfer schedules are included in the optimal Energy Transfer schedules, and the optimal Energy Transfer schedules are constrained by the EIM Transfer limits determined by the transmission limits, static limits and incremental dynamic limit. In other words, the amount of total intertie utilization is modeled to be constrained by the total transmission capacity, rather than the amount of incremental intertie utilization being constrained by the available transmission capacity. There are three different types of ETSRs defined in the Master File: Base ETSR, Static ETSR (15 min), and Dynamic ETSR (5 min). This is to distinguish between the base and dynamic Energy Transfers so that EIM Entity SCs can submit base Energy Transfers that will not be optimized by the market, while submitting ETSR limits that would apply to dynamic Energy Transfers only. The Static ETSRs are used only when dynamic transmission capability constraints apply in the ETSR contract path, necessitating separate limits for Static ETSRs in FMM and Dynamic ETSRs in RTD.</w:t>
      </w:r>
    </w:p>
    <w:p w14:paraId="03D28917" w14:textId="068D29F0" w:rsidR="008C1669" w:rsidRDefault="008C1669" w:rsidP="00877DDB">
      <w:pPr>
        <w:spacing w:after="240" w:line="300" w:lineRule="auto"/>
      </w:pPr>
      <w:r>
        <w:t>Base ETSRs are not optimized, thus they do not factor in the procurement of the Flexible Ramping Product (FRP), except for their contribution to the base net EIM Transfer. For example, for anon-optimized dynamic ETSR, the difference between its limit and its optimal value contributes to NIC/NEC for  calculating FRP requirements; however, for a base ETSR, there is no such contribution because it is fixed.</w:t>
      </w:r>
    </w:p>
    <w:p w14:paraId="3EE1D806" w14:textId="477580CA" w:rsidR="008C1669" w:rsidRDefault="008C1669" w:rsidP="008C1669">
      <w:pPr>
        <w:pStyle w:val="Heading4"/>
      </w:pPr>
      <w:r>
        <w:t>Non-Generator Resource (NGR) Modeling Functionality</w:t>
      </w:r>
    </w:p>
    <w:p w14:paraId="79293F82" w14:textId="77777777" w:rsidR="008C1669" w:rsidRDefault="008C1669" w:rsidP="00877DDB">
      <w:pPr>
        <w:spacing w:after="240" w:line="300" w:lineRule="auto"/>
      </w:pPr>
      <w:r>
        <w:t>Refer to section 2.1.13 of the Market Operations BPM for details on the NGR modeling.</w:t>
      </w:r>
    </w:p>
    <w:p w14:paraId="3E765C8E" w14:textId="77777777" w:rsidR="008C1669" w:rsidRDefault="008C1669"/>
    <w:p w14:paraId="39DCB10E" w14:textId="77777777" w:rsidR="00D1773B" w:rsidRDefault="00D1773B"/>
    <w:p w14:paraId="62812B78" w14:textId="77777777" w:rsidR="002507FD" w:rsidRPr="004B4158" w:rsidRDefault="002507FD" w:rsidP="00B264D2">
      <w:pPr>
        <w:pStyle w:val="Heading4"/>
      </w:pPr>
      <w:r>
        <w:t xml:space="preserve">EIM Transfer </w:t>
      </w:r>
      <w:r w:rsidR="00AF13CE">
        <w:t xml:space="preserve">Schedule </w:t>
      </w:r>
      <w:r>
        <w:t>Cost</w:t>
      </w:r>
    </w:p>
    <w:p w14:paraId="106D7C14" w14:textId="05F8A1BB" w:rsidR="002507FD" w:rsidRPr="004B4158" w:rsidRDefault="002507FD" w:rsidP="008C1669">
      <w:r w:rsidRPr="004B4158">
        <w:t xml:space="preserve">To maximize the efficiency and robustness of Energy Transfer schedules without circulating Energy Transfer schedules, a small nominal cost, </w:t>
      </w:r>
      <w:r w:rsidR="00F02728">
        <w:t xml:space="preserve">the </w:t>
      </w:r>
      <w:r w:rsidRPr="004B4158">
        <w:t xml:space="preserve">EIM </w:t>
      </w:r>
      <w:r w:rsidR="00F02728">
        <w:t>T</w:t>
      </w:r>
      <w:r w:rsidRPr="004B4158">
        <w:t xml:space="preserve">ransfer </w:t>
      </w:r>
      <w:r w:rsidR="00AF13CE">
        <w:t xml:space="preserve">schedule </w:t>
      </w:r>
      <w:r w:rsidRPr="004B4158">
        <w:t>cost, is included in the objective function of the market optimization problem for each</w:t>
      </w:r>
      <w:r w:rsidR="008C1669">
        <w:t xml:space="preserve"> optimizable (static and dynamic)</w:t>
      </w:r>
      <w:r w:rsidRPr="004B4158">
        <w:t xml:space="preserve"> ETSR. The EIM </w:t>
      </w:r>
      <w:r w:rsidR="00F02728">
        <w:t>T</w:t>
      </w:r>
      <w:r w:rsidRPr="004B4158">
        <w:t xml:space="preserve">ransfer </w:t>
      </w:r>
      <w:r w:rsidR="00AF13CE">
        <w:t xml:space="preserve">schedule </w:t>
      </w:r>
      <w:r w:rsidRPr="004B4158">
        <w:t xml:space="preserve">cost will </w:t>
      </w:r>
      <w:r>
        <w:t xml:space="preserve">ensure the most optimal path or paths for the EIM </w:t>
      </w:r>
      <w:r w:rsidR="00F02728">
        <w:t>T</w:t>
      </w:r>
      <w:r>
        <w:t xml:space="preserve">ransfer are used by placing a higher priority on the most optimal path over less optimal paths. </w:t>
      </w:r>
      <w:r w:rsidRPr="004B4158">
        <w:t xml:space="preserve">This approach </w:t>
      </w:r>
      <w:r>
        <w:t>will</w:t>
      </w:r>
      <w:r w:rsidRPr="004B4158">
        <w:t xml:space="preserve"> </w:t>
      </w:r>
      <w:r>
        <w:t xml:space="preserve">also </w:t>
      </w:r>
      <w:r w:rsidRPr="004B4158">
        <w:t xml:space="preserve">minimize the number of </w:t>
      </w:r>
      <w:r w:rsidR="00AF13CE">
        <w:t>e-</w:t>
      </w:r>
      <w:r w:rsidRPr="004B4158">
        <w:t>tags which must be updated and reduces the complexity of settling the financial value of the EIM transfer used for neutrality calculations.</w:t>
      </w:r>
    </w:p>
    <w:p w14:paraId="533DCACE" w14:textId="15DDA439" w:rsidR="00607541" w:rsidRPr="00725EAA" w:rsidRDefault="008649BC" w:rsidP="00877DDB">
      <w:pPr>
        <w:autoSpaceDE w:val="0"/>
        <w:autoSpaceDN w:val="0"/>
        <w:adjustRightInd w:val="0"/>
        <w:spacing w:after="240" w:line="300" w:lineRule="auto"/>
      </w:pPr>
      <w:r w:rsidRPr="00725EAA">
        <w:t>T</w:t>
      </w:r>
      <w:r w:rsidR="002507FD" w:rsidRPr="00725EAA">
        <w:t xml:space="preserve">he </w:t>
      </w:r>
      <w:r w:rsidR="000D72C0" w:rsidRPr="00725EAA">
        <w:t>CA</w:t>
      </w:r>
      <w:r w:rsidR="002507FD" w:rsidRPr="00725EAA">
        <w:t>ISO determine</w:t>
      </w:r>
      <w:r w:rsidRPr="00725EAA">
        <w:t>s</w:t>
      </w:r>
      <w:r w:rsidR="002507FD" w:rsidRPr="00725EAA">
        <w:t xml:space="preserve"> the appropriate level of the transfer cost balancing the benefits of the transfer costs with the impact to locational marginal costs</w:t>
      </w:r>
      <w:r w:rsidR="00AF13CE" w:rsidRPr="003178FD">
        <w:t xml:space="preserve"> pursuant to </w:t>
      </w:r>
      <w:r w:rsidR="00AF13CE" w:rsidRPr="00725EAA">
        <w:rPr>
          <w:rFonts w:cs="Arial"/>
        </w:rPr>
        <w:t>Section 29.17(g)(2)</w:t>
      </w:r>
      <w:r w:rsidR="002507FD" w:rsidRPr="00725EAA">
        <w:t>.</w:t>
      </w:r>
      <w:r w:rsidR="00363CFA" w:rsidRPr="00725EAA">
        <w:t xml:space="preserve"> </w:t>
      </w:r>
      <w:r w:rsidR="00AF13CE" w:rsidRPr="00725EAA">
        <w:t>T</w:t>
      </w:r>
      <w:r w:rsidR="00363CFA" w:rsidRPr="00725EAA">
        <w:t xml:space="preserve">he EIM Transfer Cost </w:t>
      </w:r>
      <w:r w:rsidR="00363CFA" w:rsidRPr="00725EAA">
        <w:lastRenderedPageBreak/>
        <w:t xml:space="preserve">shall </w:t>
      </w:r>
      <w:r w:rsidR="00A43B57" w:rsidRPr="003178FD">
        <w:t>be less than</w:t>
      </w:r>
      <w:r w:rsidR="00BD0A9B" w:rsidRPr="003178FD">
        <w:t xml:space="preserve"> $0.</w:t>
      </w:r>
      <w:r w:rsidR="009A3834" w:rsidRPr="003178FD">
        <w:t>0</w:t>
      </w:r>
      <w:r w:rsidR="00BD0A9B" w:rsidRPr="003178FD">
        <w:t>1</w:t>
      </w:r>
      <w:r w:rsidR="00607541" w:rsidRPr="003178FD">
        <w:t xml:space="preserve">. </w:t>
      </w:r>
      <w:r w:rsidRPr="003178FD">
        <w:t xml:space="preserve">The EIM Transfer Cost can be different for each Intertie. In case absent any </w:t>
      </w:r>
      <w:r w:rsidR="00A46866">
        <w:t xml:space="preserve">priority defined by the entity and approved by the CAISO </w:t>
      </w:r>
      <w:r w:rsidRPr="003178FD">
        <w:t xml:space="preserve"> , </w:t>
      </w:r>
      <w:r w:rsidRPr="00725EAA">
        <w:rPr>
          <w:rFonts w:cs="Arial"/>
        </w:rPr>
        <w:t>t</w:t>
      </w:r>
      <w:r w:rsidR="00607541" w:rsidRPr="00725EAA">
        <w:rPr>
          <w:rFonts w:cs="Arial"/>
        </w:rPr>
        <w:t xml:space="preserve">he CAISO will </w:t>
      </w:r>
      <w:r w:rsidRPr="00725EAA">
        <w:rPr>
          <w:rFonts w:cs="Arial"/>
        </w:rPr>
        <w:t xml:space="preserve">set $0.0001 for </w:t>
      </w:r>
      <w:r w:rsidR="00607541" w:rsidRPr="00725EAA">
        <w:rPr>
          <w:rFonts w:cs="Arial"/>
        </w:rPr>
        <w:t>the EIM Transfer schedule cost associated with each EIM Internal Intertie</w:t>
      </w:r>
      <w:r w:rsidR="009A3834" w:rsidRPr="00725EAA">
        <w:t>.</w:t>
      </w:r>
      <w:r w:rsidR="00607541" w:rsidRPr="00725EAA">
        <w:t xml:space="preserve"> </w:t>
      </w:r>
    </w:p>
    <w:p w14:paraId="049A1BE1" w14:textId="77777777" w:rsidR="009551ED" w:rsidRPr="00725EAA" w:rsidRDefault="00607541" w:rsidP="00877DDB">
      <w:pPr>
        <w:spacing w:after="240" w:line="300" w:lineRule="auto"/>
        <w:rPr>
          <w:rFonts w:eastAsia="Calibri"/>
        </w:rPr>
      </w:pPr>
      <w:r w:rsidRPr="00725EAA">
        <w:rPr>
          <w:rFonts w:cs="Arial"/>
        </w:rPr>
        <w:t>The CAISO may adjust the EIM Transfer schedule costs to maintain the path priorities established by the criteria in Section 29.17(g)(2) when an EIM Entity Balancing Authority Area is added or subtracted from the EIM Area, as seasonal transmission system ratings change or the transmission system topology changes</w:t>
      </w:r>
      <w:r w:rsidRPr="00725EAA">
        <w:t>.</w:t>
      </w:r>
      <w:bookmarkStart w:id="1907" w:name="_Toc412103964"/>
      <w:bookmarkEnd w:id="1907"/>
    </w:p>
    <w:p w14:paraId="272C2E74" w14:textId="77777777" w:rsidR="008817D0" w:rsidRPr="008817D0" w:rsidRDefault="008817D0" w:rsidP="00C33762">
      <w:pPr>
        <w:pStyle w:val="Heading3"/>
        <w:rPr>
          <w:rFonts w:eastAsia="Calibri"/>
        </w:rPr>
      </w:pPr>
      <w:bookmarkStart w:id="1908" w:name="_Toc390946286"/>
      <w:bookmarkStart w:id="1909" w:name="_Toc391969848"/>
      <w:bookmarkStart w:id="1910" w:name="_Toc20384112"/>
      <w:bookmarkStart w:id="1911" w:name="_Toc390869239"/>
      <w:r w:rsidRPr="008817D0">
        <w:rPr>
          <w:rFonts w:eastAsia="Calibri"/>
        </w:rPr>
        <w:t>Entitlement Constraints for Rate of Changes</w:t>
      </w:r>
      <w:bookmarkEnd w:id="1908"/>
      <w:bookmarkEnd w:id="1909"/>
      <w:bookmarkEnd w:id="1910"/>
    </w:p>
    <w:p w14:paraId="64FED5F4" w14:textId="07B85689" w:rsidR="008817D0" w:rsidRDefault="008817D0">
      <w:pPr>
        <w:spacing w:after="240" w:line="300" w:lineRule="auto"/>
        <w:rPr>
          <w:rFonts w:eastAsia="Calibri"/>
        </w:rPr>
      </w:pPr>
      <w:r w:rsidRPr="008817D0">
        <w:rPr>
          <w:rFonts w:eastAsia="Calibri"/>
        </w:rPr>
        <w:t xml:space="preserve">The entitlement constraints limit power flow contributions from </w:t>
      </w:r>
      <w:r w:rsidR="008410E3">
        <w:rPr>
          <w:rFonts w:eastAsia="Calibri"/>
        </w:rPr>
        <w:t xml:space="preserve">the dispatch of </w:t>
      </w:r>
      <w:r w:rsidRPr="008817D0">
        <w:rPr>
          <w:rFonts w:eastAsia="Calibri"/>
        </w:rPr>
        <w:t>resources in an EIM Entity Balancing Authority Area (BAA), or the CAISO BAA, on interties or transmission corridors in external BAAs. Power flow contributions from intertie transactions participating in the EIM or DAM can also be constrained by entitlement constraints. The limit in an entitlement constraint represents either contractual rights or scheduling rights that have been agreed upon between BAAs. The difference between entitlement constraints and regular transmission constraints is that the former constrain</w:t>
      </w:r>
      <w:r w:rsidR="00284875">
        <w:rPr>
          <w:rFonts w:eastAsia="Calibri"/>
        </w:rPr>
        <w:t>t</w:t>
      </w:r>
      <w:r w:rsidRPr="008817D0">
        <w:rPr>
          <w:rFonts w:eastAsia="Calibri"/>
        </w:rPr>
        <w:t xml:space="preserve"> only a subset of the resources that participate in a market, as opposed to the latter where all such resources are constrained. Furthermore, entitlement constraints in the EIM limit the rate of change</w:t>
      </w:r>
      <w:r w:rsidR="008410E3">
        <w:rPr>
          <w:rFonts w:eastAsia="Calibri"/>
        </w:rPr>
        <w:t xml:space="preserve"> only</w:t>
      </w:r>
      <w:r w:rsidRPr="008817D0">
        <w:rPr>
          <w:rFonts w:eastAsia="Calibri"/>
        </w:rPr>
        <w:t xml:space="preserve"> of the relevant power flow contributions across 5-minute dispatch intervals.</w:t>
      </w:r>
      <w:r w:rsidR="00433896" w:rsidRPr="00433896">
        <w:t xml:space="preserve"> </w:t>
      </w:r>
      <w:r w:rsidR="00433896">
        <w:t>All resources which are in either start-up, shutdown or transition status are excluded from the rate of change constraints. In addition, resources that are online without bids are excluded from the rate of change constraints.</w:t>
      </w:r>
    </w:p>
    <w:p w14:paraId="1F62EC3A" w14:textId="77777777" w:rsidR="00284875" w:rsidRPr="008817D0" w:rsidRDefault="00284875">
      <w:pPr>
        <w:spacing w:after="240" w:line="300" w:lineRule="auto"/>
        <w:rPr>
          <w:rFonts w:eastAsia="Calibri"/>
        </w:rPr>
      </w:pPr>
      <w:r>
        <w:rPr>
          <w:rFonts w:eastAsia="Calibri"/>
        </w:rPr>
        <w:t xml:space="preserve">Specific procedures may be developed to document specific conditions, communication of EIM </w:t>
      </w:r>
      <w:r w:rsidR="007C4B4F">
        <w:rPr>
          <w:rFonts w:eastAsia="Calibri"/>
        </w:rPr>
        <w:t>Entity</w:t>
      </w:r>
      <w:r>
        <w:rPr>
          <w:rFonts w:eastAsia="Calibri"/>
        </w:rPr>
        <w:t>, External BAA</w:t>
      </w:r>
      <w:r w:rsidR="005E2AFF">
        <w:rPr>
          <w:rFonts w:eastAsia="Calibri"/>
        </w:rPr>
        <w:t>,</w:t>
      </w:r>
      <w:r>
        <w:rPr>
          <w:rFonts w:eastAsia="Calibri"/>
        </w:rPr>
        <w:t xml:space="preserve"> or third party transmission </w:t>
      </w:r>
      <w:r w:rsidR="007C4B4F">
        <w:rPr>
          <w:rFonts w:eastAsia="Calibri"/>
        </w:rPr>
        <w:t>provider</w:t>
      </w:r>
      <w:r>
        <w:rPr>
          <w:rFonts w:eastAsia="Calibri"/>
        </w:rPr>
        <w:t xml:space="preserve"> as designed by EIM </w:t>
      </w:r>
      <w:r w:rsidR="007C4B4F">
        <w:rPr>
          <w:rFonts w:eastAsia="Calibri"/>
        </w:rPr>
        <w:t>Entity</w:t>
      </w:r>
      <w:r>
        <w:rPr>
          <w:rFonts w:eastAsia="Calibri"/>
        </w:rPr>
        <w:t xml:space="preserve">.  </w:t>
      </w:r>
    </w:p>
    <w:p w14:paraId="310D26D7" w14:textId="72F1EF1A" w:rsidR="00550A3D" w:rsidRDefault="008817D0" w:rsidP="00C33762">
      <w:pPr>
        <w:pStyle w:val="Heading3"/>
      </w:pPr>
      <w:bookmarkStart w:id="1912" w:name="_Toc390946287"/>
      <w:bookmarkStart w:id="1913" w:name="_Toc391969849"/>
      <w:bookmarkStart w:id="1914" w:name="_Toc20384113"/>
      <w:r w:rsidRPr="00422213">
        <w:t>Constraint Relaxation</w:t>
      </w:r>
      <w:bookmarkEnd w:id="1912"/>
      <w:bookmarkEnd w:id="1913"/>
      <w:bookmarkEnd w:id="1914"/>
    </w:p>
    <w:p w14:paraId="6097E1AB" w14:textId="466EB4D4" w:rsidR="007445EB" w:rsidRDefault="00456AD6" w:rsidP="007445EB">
      <w:pPr>
        <w:spacing w:after="240" w:line="300" w:lineRule="auto"/>
      </w:pPr>
      <w:r>
        <w:t xml:space="preserve">Constraint Relaxation refers to the process of allowing the MW quantity to exceed the constraint limit using ‘penalty’ prices, as opposed to hard constraints, in order to improve the quality of the optimization solution.  Constraints will be relaxed if the shadow price of the constraint otherwise exceeds the penalty value. Based on CAISO Tariff Section 29.34 (o), please refer to Section 6.6.5 of the </w:t>
      </w:r>
      <w:hyperlink r:id="rId165" w:history="1">
        <w:r w:rsidRPr="003E5949">
          <w:rPr>
            <w:rStyle w:val="Hyperlink"/>
            <w:b/>
          </w:rPr>
          <w:t>BPM for Market Operations</w:t>
        </w:r>
      </w:hyperlink>
      <w:r>
        <w:t xml:space="preserve"> for details on the penalty prices and pricing parameters used in the markets.</w:t>
      </w:r>
      <w:r w:rsidR="000B5618">
        <w:t xml:space="preserve"> </w:t>
      </w:r>
    </w:p>
    <w:p w14:paraId="054A8F5F" w14:textId="77777777" w:rsidR="008463DA" w:rsidRDefault="008463DA" w:rsidP="007445EB">
      <w:pPr>
        <w:spacing w:after="240" w:line="300" w:lineRule="auto"/>
      </w:pPr>
    </w:p>
    <w:p w14:paraId="186ADFFE" w14:textId="1BEE5A54" w:rsidR="008463DA" w:rsidRDefault="00E11C55" w:rsidP="008463DA">
      <w:pPr>
        <w:pStyle w:val="Heading3"/>
      </w:pPr>
      <w:bookmarkStart w:id="1915" w:name="_Toc20384114"/>
      <w:r>
        <w:lastRenderedPageBreak/>
        <w:t>Transition Period Pricing</w:t>
      </w:r>
      <w:bookmarkEnd w:id="1915"/>
      <w:r>
        <w:t xml:space="preserve"> </w:t>
      </w:r>
    </w:p>
    <w:p w14:paraId="4033CA6E" w14:textId="77777777" w:rsidR="0098749D" w:rsidRDefault="0098749D" w:rsidP="0098749D">
      <w:pPr>
        <w:spacing w:after="240" w:line="300" w:lineRule="auto"/>
      </w:pPr>
      <w:r w:rsidRPr="000B5618">
        <w:t xml:space="preserve">For a period of six months following the Implementation Date of a new EIM Entity, the provisions of </w:t>
      </w:r>
      <w:r>
        <w:t xml:space="preserve">CAISO Tariff </w:t>
      </w:r>
      <w:r w:rsidRPr="000B5618">
        <w:t xml:space="preserve">Sections 27.4.3.2 and the second sentence of </w:t>
      </w:r>
      <w:r>
        <w:t xml:space="preserve">CAISO Tariff </w:t>
      </w:r>
      <w:r w:rsidRPr="000B5618">
        <w:t xml:space="preserve">Section 27.4.3.4 shall not apply to constraints that are within Balancing Authority Areas of the new EIM Entity or affect EIM Transfers between the Balancing Authority Areas of the new EIM Entity and any other EIM Entity that is subject to </w:t>
      </w:r>
      <w:r>
        <w:t>CAISO Tariff subsection</w:t>
      </w:r>
      <w:r w:rsidRPr="000B5618">
        <w:t xml:space="preserve"> </w:t>
      </w:r>
      <w:r>
        <w:t>29.27</w:t>
      </w:r>
      <w:r w:rsidRPr="000B5618">
        <w:t xml:space="preserve">(b).  For the those intervals that experience infeasibilities described in those provisions, the CAISO shall instead determine prices consistent with the provisions of </w:t>
      </w:r>
      <w:r>
        <w:t xml:space="preserve">CAISO Tariff </w:t>
      </w:r>
      <w:r w:rsidRPr="000B5618">
        <w:t xml:space="preserve">Sections 27, 34, and Appendix C, that would apply in the absence of </w:t>
      </w:r>
      <w:r>
        <w:t xml:space="preserve">CAISO Tariff </w:t>
      </w:r>
      <w:r w:rsidRPr="000B5618">
        <w:t xml:space="preserve">Section 27.4.3.2 and the second sentence of </w:t>
      </w:r>
      <w:r>
        <w:t xml:space="preserve">CAISO Tariff </w:t>
      </w:r>
      <w:r w:rsidRPr="000B5618">
        <w:t>Section 27.4.3.4.</w:t>
      </w:r>
      <w:r w:rsidR="00E11C55">
        <w:t xml:space="preserve">  In addition, when the power balance or transmission constraints are relaxed, the Flexible Ramping Constraint parameter in Section 27.10 of the CAISO tariff will be at an amount between and including $0 and $0.01.  </w:t>
      </w:r>
      <w:r w:rsidR="00A057D9">
        <w:t xml:space="preserve">This enables the price to be set to the last economic bid cleared in the market as described above instead of the pricing parameter for the flexible ramping constraint as specified in Section 6.6.5 of the </w:t>
      </w:r>
      <w:hyperlink r:id="rId166" w:history="1">
        <w:r w:rsidR="00A057D9" w:rsidRPr="003E5949">
          <w:rPr>
            <w:rStyle w:val="Hyperlink"/>
            <w:b/>
          </w:rPr>
          <w:t>BPM for Market Operations</w:t>
        </w:r>
      </w:hyperlink>
      <w:r w:rsidR="00A057D9">
        <w:rPr>
          <w:rStyle w:val="Hyperlink"/>
          <w:b/>
        </w:rPr>
        <w:t xml:space="preserve"> </w:t>
      </w:r>
      <w:r w:rsidR="00A057D9">
        <w:t>and section 27.10 of the CAISO tariff that would otherwise apply.</w:t>
      </w:r>
    </w:p>
    <w:p w14:paraId="2BFD70F9" w14:textId="6ECED1A7" w:rsidR="008463DA" w:rsidRPr="00BA557B" w:rsidRDefault="008463DA" w:rsidP="008463DA">
      <w:pPr>
        <w:spacing w:after="240" w:line="300" w:lineRule="auto"/>
      </w:pPr>
      <w:r>
        <w:t>The last economic signal is determined by the price discovery mechanism of the pricing run where the power balancing requirement is set to the relaxed scheduling level reduced by a small amount.</w:t>
      </w:r>
      <w:r w:rsidR="0098749D">
        <w:t xml:space="preserve"> </w:t>
      </w:r>
      <w:r>
        <w:t xml:space="preserve">  </w:t>
      </w:r>
    </w:p>
    <w:p w14:paraId="373A15A0" w14:textId="36A77284" w:rsidR="008463DA" w:rsidRPr="00BA557B" w:rsidRDefault="00E81586" w:rsidP="007445EB">
      <w:pPr>
        <w:spacing w:after="240" w:line="300" w:lineRule="auto"/>
      </w:pPr>
      <w:r>
        <w:t>Since November 14, 2014, pursuant to FERC’s order granting the ISO waiver of section 27.4.3.2 and 27.4.3.4 for PacifiCorp East and PacifiCorp West balancing authority areas, instead of setting prices based on the pricing parameter specified in those sections, the ISO has calculated prices using the last economic signal prior to constraint relaxation. With the activation of the available balancing capacity functionality</w:t>
      </w:r>
      <w:r w:rsidRPr="00E14973">
        <w:t>,</w:t>
      </w:r>
      <w:r>
        <w:t xml:space="preserve"> the price discovery mechanism will no longer be used</w:t>
      </w:r>
      <w:r w:rsidR="00A46866">
        <w:t>, except for EIM entities that are in their  transition period</w:t>
      </w:r>
      <w:r>
        <w:t>.</w:t>
      </w:r>
      <w:r w:rsidR="0098749D">
        <w:t xml:space="preserve"> Consequently, when a constraint relaxation occurs, such as in the cases of power balance constraint infeasibility, the clearing prices will be based on the pricing parameters.</w:t>
      </w:r>
    </w:p>
    <w:p w14:paraId="4A5C6F32" w14:textId="77777777" w:rsidR="00B9221F" w:rsidRPr="00963B45" w:rsidRDefault="008E46A5" w:rsidP="00C33762">
      <w:pPr>
        <w:pStyle w:val="Heading3"/>
        <w:rPr>
          <w:rFonts w:eastAsia="Calibri"/>
        </w:rPr>
      </w:pPr>
      <w:bookmarkStart w:id="1916" w:name="_Toc391969850"/>
      <w:bookmarkStart w:id="1917" w:name="_Toc20384115"/>
      <w:r w:rsidRPr="00963B45">
        <w:rPr>
          <w:rFonts w:eastAsia="Calibri"/>
        </w:rPr>
        <w:t xml:space="preserve">Coordination with Reliability Coordinator and </w:t>
      </w:r>
      <w:r w:rsidR="00B9221F" w:rsidRPr="00963B45">
        <w:rPr>
          <w:rFonts w:eastAsia="Calibri"/>
        </w:rPr>
        <w:t>WECC Unscheduled Flow Mitigation</w:t>
      </w:r>
      <w:bookmarkEnd w:id="1916"/>
      <w:bookmarkEnd w:id="1917"/>
    </w:p>
    <w:p w14:paraId="5722A35C" w14:textId="332D4036" w:rsidR="008E46A5" w:rsidRPr="00963B45" w:rsidRDefault="008E46A5" w:rsidP="00F044BF">
      <w:pPr>
        <w:pStyle w:val="ParaText"/>
        <w:rPr>
          <w:rFonts w:eastAsia="Calibri"/>
        </w:rPr>
      </w:pPr>
      <w:r w:rsidRPr="00963B45">
        <w:rPr>
          <w:rFonts w:eastAsia="Calibri"/>
        </w:rPr>
        <w:t xml:space="preserve">EIM’s congestion management process will use its effective resources to remove congestion before curtailing any existing schedules, by being responsive to price differences resulting from congestion, rather than only to reliability-based curtailments.  Flows resulting from the EIM dispatch will provide counter-flows for congestion, and thereby support scheduled flows that may otherwise need to be curtailed through WECC’s Unscheduled Flow Mitigation Plan (UFMP).  If the UFMP has not been initiated, the </w:t>
      </w:r>
      <w:r w:rsidR="00B722C6">
        <w:rPr>
          <w:rFonts w:eastAsia="Calibri"/>
        </w:rPr>
        <w:t>CAISO</w:t>
      </w:r>
      <w:r w:rsidRPr="00963B45">
        <w:rPr>
          <w:rFonts w:eastAsia="Calibri"/>
        </w:rPr>
        <w:t xml:space="preserve"> will manage congestion directly in the EIM dispatch by automatically enforcing constraints, using the transmission capacity available to EIM.  EIM will dispatch only bids submitted by EIM Participating Resource Scheduling Coordinators, and will not adjust self-schedules outside the </w:t>
      </w:r>
      <w:r w:rsidRPr="00963B45">
        <w:rPr>
          <w:rFonts w:eastAsia="Calibri"/>
        </w:rPr>
        <w:lastRenderedPageBreak/>
        <w:t xml:space="preserve">submitted bid range.  </w:t>
      </w:r>
      <w:r w:rsidR="002D270D">
        <w:rPr>
          <w:rFonts w:eastAsia="Calibri"/>
        </w:rPr>
        <w:t xml:space="preserve">However, the EIM’s purpose is not to directly resolve unscheduled flow.  </w:t>
      </w:r>
      <w:r w:rsidRPr="00963B45">
        <w:rPr>
          <w:rFonts w:eastAsia="Calibri"/>
        </w:rPr>
        <w:t>Coordinated reliability curtailments such as through UFMP or Reliability Coordinator intervention in mandating schedule curtailments remain the role of the EIM Entity.</w:t>
      </w:r>
    </w:p>
    <w:p w14:paraId="66E1E439" w14:textId="6380D019" w:rsidR="008E46A5" w:rsidRPr="00657E79" w:rsidRDefault="008E46A5" w:rsidP="00F044BF">
      <w:pPr>
        <w:pStyle w:val="ParaText"/>
        <w:rPr>
          <w:rFonts w:eastAsia="Calibri"/>
        </w:rPr>
      </w:pPr>
      <w:r w:rsidRPr="00963B45">
        <w:rPr>
          <w:rFonts w:eastAsia="Calibri"/>
        </w:rPr>
        <w:t xml:space="preserve">The EIM will not automatically initiate the UFMP, but will alert EIM Entities to conditions that EIM has no effective bids to resolve, which may require the EIM Entity to initiate non-market procedures.  An EIM Entity may choose to issue reliability curtailments using its own procedures, after the EIM </w:t>
      </w:r>
      <w:r w:rsidR="002462E5">
        <w:rPr>
          <w:rFonts w:eastAsia="Calibri"/>
        </w:rPr>
        <w:t>CAISO</w:t>
      </w:r>
      <w:r w:rsidRPr="00963B45">
        <w:rPr>
          <w:rFonts w:eastAsia="Calibri"/>
        </w:rPr>
        <w:t xml:space="preserve"> notifies the EIM Entity that the </w:t>
      </w:r>
      <w:r w:rsidR="00B722C6">
        <w:rPr>
          <w:rFonts w:eastAsia="Calibri"/>
        </w:rPr>
        <w:t>CAISO</w:t>
      </w:r>
      <w:r w:rsidRPr="00963B45">
        <w:rPr>
          <w:rFonts w:eastAsia="Calibri"/>
        </w:rPr>
        <w:t xml:space="preserve"> observes congestion or other conditions that EIM cannot resolve, or separately before such conditions occur.  </w:t>
      </w:r>
    </w:p>
    <w:p w14:paraId="02FD5CD1" w14:textId="5D3DB5C1" w:rsidR="00B9221F" w:rsidRPr="002E5F50" w:rsidRDefault="00B9221F" w:rsidP="002E5F50">
      <w:pPr>
        <w:pStyle w:val="ParaText"/>
        <w:rPr>
          <w:rFonts w:eastAsia="Calibri"/>
        </w:rPr>
      </w:pPr>
      <w:r w:rsidRPr="00657E79">
        <w:rPr>
          <w:rFonts w:eastAsia="Calibri"/>
        </w:rPr>
        <w:t xml:space="preserve">It is the responsibility of the EIM entity to communicate unscheduled flow mitigation orders on any of its BAA resources via </w:t>
      </w:r>
      <w:r w:rsidR="00670A3B" w:rsidRPr="00657E79">
        <w:rPr>
          <w:rFonts w:eastAsia="Calibri"/>
        </w:rPr>
        <w:t xml:space="preserve">updating the energy profile of the corresponding tag to reflect the unscheduled flow mitigation procedure cuts, as well as </w:t>
      </w:r>
      <w:r w:rsidRPr="00657E79">
        <w:rPr>
          <w:rFonts w:eastAsia="Calibri"/>
        </w:rPr>
        <w:t>entering manual dispatches in the designated BAA operator</w:t>
      </w:r>
      <w:r w:rsidR="0033230B" w:rsidRPr="00657E79">
        <w:rPr>
          <w:rFonts w:eastAsia="Calibri"/>
        </w:rPr>
        <w:t>’s</w:t>
      </w:r>
      <w:r w:rsidRPr="00657E79">
        <w:rPr>
          <w:rFonts w:eastAsia="Calibri"/>
        </w:rPr>
        <w:t xml:space="preserve"> </w:t>
      </w:r>
      <w:r w:rsidR="0033230B" w:rsidRPr="00657E79">
        <w:rPr>
          <w:rFonts w:eastAsia="Calibri"/>
        </w:rPr>
        <w:t xml:space="preserve">CAISO provided user interface or </w:t>
      </w:r>
      <w:r w:rsidRPr="00657E79">
        <w:rPr>
          <w:rFonts w:eastAsia="Calibri"/>
        </w:rPr>
        <w:t>displays</w:t>
      </w:r>
      <w:r w:rsidR="00670A3B" w:rsidRPr="00657E79">
        <w:rPr>
          <w:rFonts w:eastAsia="Calibri"/>
        </w:rPr>
        <w:t>,</w:t>
      </w:r>
      <w:r w:rsidR="0033230B" w:rsidRPr="00657E79">
        <w:rPr>
          <w:rFonts w:eastAsia="Calibri"/>
        </w:rPr>
        <w:t xml:space="preserve"> or if these </w:t>
      </w:r>
      <w:r w:rsidR="007C4B4F" w:rsidRPr="00657E79">
        <w:rPr>
          <w:rFonts w:eastAsia="Calibri"/>
        </w:rPr>
        <w:t>displays</w:t>
      </w:r>
      <w:r w:rsidR="0033230B" w:rsidRPr="00657E79">
        <w:rPr>
          <w:rFonts w:eastAsia="Calibri"/>
        </w:rPr>
        <w:t xml:space="preserve"> are not functioning, through other </w:t>
      </w:r>
      <w:r w:rsidR="00670A3B" w:rsidRPr="00657E79">
        <w:rPr>
          <w:rFonts w:eastAsia="Calibri"/>
        </w:rPr>
        <w:t xml:space="preserve">back up </w:t>
      </w:r>
      <w:r w:rsidR="007C4B4F" w:rsidRPr="00657E79">
        <w:rPr>
          <w:rFonts w:eastAsia="Calibri"/>
        </w:rPr>
        <w:t>mechanisms</w:t>
      </w:r>
      <w:r w:rsidR="0033230B" w:rsidRPr="00657E79">
        <w:rPr>
          <w:rFonts w:eastAsia="Calibri"/>
        </w:rPr>
        <w:t xml:space="preserve"> such as phone or oral communications with the </w:t>
      </w:r>
      <w:r w:rsidR="002462E5">
        <w:rPr>
          <w:rFonts w:eastAsia="Calibri"/>
        </w:rPr>
        <w:t>CAISO</w:t>
      </w:r>
      <w:r w:rsidR="0033230B" w:rsidRPr="00657E79">
        <w:rPr>
          <w:rFonts w:eastAsia="Calibri"/>
        </w:rPr>
        <w:t>. Financial implications resulting from any uninstructed energy deviations</w:t>
      </w:r>
      <w:r w:rsidR="0033230B">
        <w:rPr>
          <w:rFonts w:eastAsia="Calibri"/>
        </w:rPr>
        <w:t xml:space="preserve"> due to manual dispatches and or lack of communication of the manual dispatches to the </w:t>
      </w:r>
      <w:r w:rsidR="002462E5">
        <w:rPr>
          <w:rFonts w:eastAsia="Calibri"/>
        </w:rPr>
        <w:t>CAISO</w:t>
      </w:r>
      <w:r w:rsidR="0033230B">
        <w:rPr>
          <w:rFonts w:eastAsia="Calibri"/>
        </w:rPr>
        <w:t xml:space="preserve"> is the responsibility of the resource’s registered scheduling coordinator.</w:t>
      </w:r>
    </w:p>
    <w:p w14:paraId="4CDE65F0" w14:textId="2372A1C7" w:rsidR="008E46A5" w:rsidRDefault="003638AA" w:rsidP="00C0737C">
      <w:pPr>
        <w:pStyle w:val="ParaText"/>
        <w:rPr>
          <w:rFonts w:eastAsia="Calibri"/>
        </w:rPr>
      </w:pPr>
      <w:bookmarkStart w:id="1918" w:name="_Toc390946289"/>
      <w:bookmarkStart w:id="1919" w:name="_Toc390869241"/>
      <w:bookmarkStart w:id="1920" w:name="_Toc390946290"/>
      <w:bookmarkEnd w:id="1911"/>
      <w:r>
        <w:rPr>
          <w:rFonts w:eastAsia="Calibri"/>
        </w:rPr>
        <w:t>Dynamic e-t</w:t>
      </w:r>
      <w:r w:rsidR="008E46A5" w:rsidRPr="008E46A5">
        <w:rPr>
          <w:rFonts w:eastAsia="Calibri"/>
        </w:rPr>
        <w:t xml:space="preserve">ags for EIM flows will be updated prior to real-time to show the expected EIM Transfers, to enable management by the UFMP, and be updated for actual EIM dispatch after the end of the operating hour.  Any intra-hour reduction in EIM available transmission must be communicated to the </w:t>
      </w:r>
      <w:r w:rsidR="002462E5">
        <w:rPr>
          <w:rFonts w:eastAsia="Calibri"/>
        </w:rPr>
        <w:t>CAISO</w:t>
      </w:r>
      <w:r w:rsidR="008E46A5" w:rsidRPr="008E46A5">
        <w:rPr>
          <w:rFonts w:eastAsia="Calibri"/>
        </w:rPr>
        <w:t xml:space="preserve"> by the EIM Entity.</w:t>
      </w:r>
    </w:p>
    <w:p w14:paraId="0AF981E2" w14:textId="65EEA5A8" w:rsidR="008E46A5" w:rsidRDefault="008E46A5" w:rsidP="00C0737C">
      <w:pPr>
        <w:pStyle w:val="ParaText"/>
        <w:rPr>
          <w:rStyle w:val="Hyperlink"/>
          <w:rFonts w:eastAsia="Calibri"/>
        </w:rPr>
      </w:pPr>
      <w:r>
        <w:rPr>
          <w:rFonts w:eastAsia="Calibri"/>
        </w:rPr>
        <w:t xml:space="preserve">When CAISO initiates curtailments through the UFMP, EIM Market Participant schedules in the Real-Time Market will be affected based on the CAISO unscheduled flow mitigation procedure located at:  </w:t>
      </w:r>
      <w:hyperlink r:id="rId167" w:history="1">
        <w:r>
          <w:rPr>
            <w:rStyle w:val="Hyperlink"/>
            <w:rFonts w:eastAsia="Calibri"/>
          </w:rPr>
          <w:t>http://www.caiso.com/Documents/3510.pdf</w:t>
        </w:r>
      </w:hyperlink>
    </w:p>
    <w:p w14:paraId="0F561B77" w14:textId="6FBCE258" w:rsidR="00433896" w:rsidRDefault="00433896" w:rsidP="00433896">
      <w:pPr>
        <w:pStyle w:val="Heading3"/>
        <w:rPr>
          <w:rFonts w:eastAsia="Calibri"/>
        </w:rPr>
      </w:pPr>
      <w:bookmarkStart w:id="1921" w:name="_Toc20384116"/>
      <w:r w:rsidRPr="002F499B">
        <w:rPr>
          <w:rFonts w:eastAsia="Calibri"/>
        </w:rPr>
        <w:t xml:space="preserve">Entitlement Constraints for </w:t>
      </w:r>
      <w:r>
        <w:rPr>
          <w:rFonts w:eastAsia="Calibri"/>
        </w:rPr>
        <w:t>EIM Incremental Flow</w:t>
      </w:r>
      <w:r>
        <w:rPr>
          <w:rStyle w:val="FootnoteReference"/>
          <w:rFonts w:eastAsia="Calibri"/>
        </w:rPr>
        <w:footnoteReference w:id="2"/>
      </w:r>
      <w:bookmarkEnd w:id="1921"/>
    </w:p>
    <w:p w14:paraId="3C44338B" w14:textId="32DFE1A0" w:rsidR="00433896" w:rsidRDefault="00433896" w:rsidP="00433896">
      <w:pPr>
        <w:pStyle w:val="ParaText"/>
      </w:pPr>
      <w:r w:rsidRPr="00433896">
        <w:t xml:space="preserve">The entitlement constraints for EIM Incremental Flow limit incremental power flow contributions from the dispatch of EIM participating resources in EIM Entity Balancing Authority Areas (BAAs), and all resources in the CAISO BAA. The incremental power flow contributions are measured from the base schedules for EIM participating resources and from the day-ahead schedules for CAISO resources. The EIM Incremental Flow limit will either result in EIM dispatches not exacerbating or relieving a System Operating Limit (SOL) in the non-EIM BAA.  The difference between EIM Incremental Flow constraints </w:t>
      </w:r>
      <w:r w:rsidRPr="00433896">
        <w:lastRenderedPageBreak/>
        <w:t>and regular transmission constraints is that the former constrains only the subset of resources that participate in the EIM, as opposed to the latter where all resources are constrained.</w:t>
      </w:r>
    </w:p>
    <w:p w14:paraId="269FE6E2" w14:textId="43758FE3" w:rsidR="00433896" w:rsidRDefault="00433896" w:rsidP="00433896">
      <w:pPr>
        <w:pStyle w:val="Heading3"/>
      </w:pPr>
      <w:bookmarkStart w:id="1922" w:name="_Toc20384117"/>
      <w:r w:rsidRPr="002F499B">
        <w:t xml:space="preserve">Entitlement Constraints for </w:t>
      </w:r>
      <w:r>
        <w:t>EIM Area Total Flow</w:t>
      </w:r>
      <w:r>
        <w:rPr>
          <w:rStyle w:val="FootnoteReference"/>
          <w:rFonts w:eastAsia="Calibri"/>
        </w:rPr>
        <w:footnoteReference w:id="3"/>
      </w:r>
      <w:bookmarkEnd w:id="1922"/>
      <w:r>
        <w:t xml:space="preserve"> </w:t>
      </w:r>
    </w:p>
    <w:p w14:paraId="0005A8C4" w14:textId="1985BA8D" w:rsidR="00433896" w:rsidRPr="00433896" w:rsidRDefault="00433896" w:rsidP="00433896">
      <w:pPr>
        <w:pStyle w:val="ParaText"/>
      </w:pPr>
      <w:r w:rsidRPr="00433896">
        <w:t>The entitlement constraints for EIM Area Total Flow limit the total power flow contributions from the dispatch of EIM participating and non-participating resources in EIM Entity Balancing Authority Areas (BAAs), and all resources in the CAISO BAA. The EIM Area Total Flow limit will result in EIM dispatches not violating the portion of the System Operating Limit (SOL) in the non-EIM BAA attributed to EIM flows.  There is no difference between the EIM Area Total Flow constraints and other regular transmission constraints except that the former apply to transmission corridors in non-EIM BAAs.</w:t>
      </w:r>
    </w:p>
    <w:p w14:paraId="51DF94DC" w14:textId="72993D59" w:rsidR="00433896" w:rsidRPr="00433896" w:rsidRDefault="00433896" w:rsidP="00433896">
      <w:pPr>
        <w:pStyle w:val="ParaText"/>
        <w:ind w:firstLine="720"/>
        <w:rPr>
          <w:b/>
        </w:rPr>
      </w:pPr>
    </w:p>
    <w:p w14:paraId="20F86F7B" w14:textId="77777777" w:rsidR="0018494A" w:rsidRPr="0018494A" w:rsidRDefault="0018494A" w:rsidP="00C33762">
      <w:pPr>
        <w:pStyle w:val="Heading2"/>
        <w:rPr>
          <w:rFonts w:eastAsia="Calibri"/>
        </w:rPr>
      </w:pPr>
      <w:bookmarkStart w:id="1923" w:name="_Toc391969851"/>
      <w:bookmarkStart w:id="1924" w:name="_Toc20384118"/>
      <w:r w:rsidRPr="0018494A">
        <w:rPr>
          <w:rFonts w:eastAsia="Calibri"/>
        </w:rPr>
        <w:t>Day-Ahead Operations</w:t>
      </w:r>
      <w:bookmarkEnd w:id="1918"/>
      <w:bookmarkEnd w:id="1923"/>
      <w:bookmarkEnd w:id="1924"/>
      <w:r w:rsidRPr="0018494A">
        <w:rPr>
          <w:rFonts w:eastAsia="Calibri"/>
        </w:rPr>
        <w:tab/>
      </w:r>
      <w:r w:rsidRPr="0018494A">
        <w:rPr>
          <w:rFonts w:eastAsia="Calibri"/>
        </w:rPr>
        <w:tab/>
      </w:r>
      <w:bookmarkStart w:id="1925" w:name="_Toc390869240"/>
      <w:bookmarkEnd w:id="1925"/>
    </w:p>
    <w:p w14:paraId="75D973E2" w14:textId="7FB52203" w:rsidR="00CF1AB9" w:rsidRPr="001D354A" w:rsidRDefault="0018494A" w:rsidP="00877DDB">
      <w:pPr>
        <w:spacing w:after="240" w:line="300" w:lineRule="auto"/>
        <w:rPr>
          <w:rFonts w:eastAsia="Calibri"/>
        </w:rPr>
      </w:pPr>
      <w:r w:rsidRPr="001D354A">
        <w:rPr>
          <w:rFonts w:eastAsia="Calibri"/>
        </w:rPr>
        <w:t xml:space="preserve">This section is intended to describe the actions taken by EIM participants in the Day-Ahead </w:t>
      </w:r>
      <w:r w:rsidR="00A04379">
        <w:rPr>
          <w:rFonts w:eastAsia="Calibri"/>
        </w:rPr>
        <w:t>time frame</w:t>
      </w:r>
      <w:r w:rsidRPr="00877DDB">
        <w:rPr>
          <w:rFonts w:eastAsia="Calibri"/>
        </w:rPr>
        <w:t xml:space="preserve">.  It is strongly recommended that readers first review Section 6 of the </w:t>
      </w:r>
      <w:hyperlink r:id="rId168" w:history="1">
        <w:r w:rsidRPr="00877DDB">
          <w:rPr>
            <w:rStyle w:val="Hyperlink"/>
            <w:rFonts w:eastAsia="Calibri"/>
            <w:color w:val="auto"/>
          </w:rPr>
          <w:t>BPM for Market Operations</w:t>
        </w:r>
      </w:hyperlink>
      <w:r w:rsidRPr="00877DDB">
        <w:rPr>
          <w:rFonts w:eastAsia="Calibri"/>
        </w:rPr>
        <w:t xml:space="preserve">, which describes the general operation and timeline of the Day-Ahead Market. </w:t>
      </w:r>
      <w:r w:rsidR="00CF1AB9" w:rsidRPr="001D354A">
        <w:rPr>
          <w:rFonts w:eastAsia="Calibri"/>
        </w:rPr>
        <w:t>By 10:00 a.m. on the day preceding the Operating Day, the EIM Entity Scheduling Coordinators on behalf of non-participating resources and EIM Participating Resource Scheduling Coordinators on behalf of EIM Participating Resources shall submit EIM Resource Plan, which must cover a seven-day horizon with hourly granularity beginning with the Operating Day</w:t>
      </w:r>
      <w:r w:rsidR="00134738" w:rsidRPr="001D354A">
        <w:rPr>
          <w:rFonts w:eastAsia="Calibri"/>
        </w:rPr>
        <w:t>.</w:t>
      </w:r>
    </w:p>
    <w:p w14:paraId="323F99C4" w14:textId="62E6BB4F" w:rsidR="00CF1AB9" w:rsidRPr="00877DDB" w:rsidRDefault="00CF1AB9" w:rsidP="000F0531">
      <w:pPr>
        <w:numPr>
          <w:ilvl w:val="0"/>
          <w:numId w:val="14"/>
        </w:numPr>
        <w:rPr>
          <w:rFonts w:eastAsia="Calibri"/>
          <w:b/>
        </w:rPr>
      </w:pPr>
      <w:r w:rsidRPr="00A46866">
        <w:rPr>
          <w:rFonts w:eastAsia="Calibri"/>
        </w:rPr>
        <w:t>The EIM Resource Plan shall comprise</w:t>
      </w:r>
    </w:p>
    <w:p w14:paraId="4CFAC700" w14:textId="77777777" w:rsidR="00CF1AB9" w:rsidRPr="00C94D50" w:rsidRDefault="00CF1AB9" w:rsidP="000F0531">
      <w:pPr>
        <w:numPr>
          <w:ilvl w:val="1"/>
          <w:numId w:val="14"/>
        </w:numPr>
        <w:rPr>
          <w:rFonts w:eastAsia="Calibri"/>
        </w:rPr>
      </w:pPr>
      <w:r w:rsidRPr="00C94D50">
        <w:rPr>
          <w:rFonts w:eastAsia="Calibri"/>
        </w:rPr>
        <w:t>EIM Base Schedules of EIM Entities and EIM Participating Resources</w:t>
      </w:r>
      <w:r>
        <w:rPr>
          <w:rFonts w:eastAsia="Calibri"/>
        </w:rPr>
        <w:t xml:space="preserve">, which include </w:t>
      </w:r>
      <w:r w:rsidRPr="006C1BD1">
        <w:rPr>
          <w:rFonts w:cs="Arial"/>
          <w:kern w:val="16"/>
          <w:sz w:val="20"/>
        </w:rPr>
        <w:t>hourly-level schedules for resources, and hourly-level scheduled Interchanges</w:t>
      </w:r>
      <w:r w:rsidRPr="00C94D50">
        <w:rPr>
          <w:rFonts w:eastAsia="Calibri"/>
        </w:rPr>
        <w:t>;</w:t>
      </w:r>
    </w:p>
    <w:p w14:paraId="4BB119D3" w14:textId="77777777" w:rsidR="00CF1AB9" w:rsidRPr="00C94D50" w:rsidRDefault="00CF1AB9" w:rsidP="000F0531">
      <w:pPr>
        <w:numPr>
          <w:ilvl w:val="1"/>
          <w:numId w:val="14"/>
        </w:numPr>
        <w:rPr>
          <w:rFonts w:eastAsia="Calibri"/>
        </w:rPr>
      </w:pPr>
      <w:r w:rsidRPr="00C94D50">
        <w:rPr>
          <w:rFonts w:eastAsia="Calibri"/>
        </w:rPr>
        <w:t>Energy Bids (applicable to EIM Participating Resources only);</w:t>
      </w:r>
    </w:p>
    <w:p w14:paraId="643890C9" w14:textId="77777777" w:rsidR="00CF1AB9" w:rsidRPr="00C94D50" w:rsidRDefault="000E406C" w:rsidP="000F0531">
      <w:pPr>
        <w:numPr>
          <w:ilvl w:val="1"/>
          <w:numId w:val="14"/>
        </w:numPr>
        <w:rPr>
          <w:rFonts w:eastAsia="Calibri"/>
        </w:rPr>
      </w:pPr>
      <w:r>
        <w:rPr>
          <w:rFonts w:eastAsia="Calibri"/>
        </w:rPr>
        <w:t>EIM Upward Available Balancing Capacity</w:t>
      </w:r>
    </w:p>
    <w:p w14:paraId="691766C1" w14:textId="77777777" w:rsidR="00CF1AB9" w:rsidRDefault="000E406C" w:rsidP="000F0531">
      <w:pPr>
        <w:numPr>
          <w:ilvl w:val="1"/>
          <w:numId w:val="14"/>
        </w:numPr>
        <w:rPr>
          <w:rFonts w:eastAsia="Calibri"/>
        </w:rPr>
      </w:pPr>
      <w:r>
        <w:rPr>
          <w:rFonts w:eastAsia="Calibri"/>
        </w:rPr>
        <w:t>EIM Downward Available Balancing Capacity</w:t>
      </w:r>
    </w:p>
    <w:p w14:paraId="41CDDDFE" w14:textId="77777777" w:rsidR="00A76137" w:rsidRPr="00C94D50" w:rsidRDefault="003D2963" w:rsidP="000F0531">
      <w:pPr>
        <w:numPr>
          <w:ilvl w:val="1"/>
          <w:numId w:val="14"/>
        </w:numPr>
        <w:rPr>
          <w:rFonts w:eastAsia="Calibri"/>
        </w:rPr>
      </w:pPr>
      <w:r>
        <w:t>EIM Reserves to Meet NERC/WECC Contingency Reserves Requirements</w:t>
      </w:r>
    </w:p>
    <w:p w14:paraId="48D6FA89" w14:textId="77777777" w:rsidR="00CF1AB9" w:rsidRPr="00481F19" w:rsidRDefault="00CF1AB9" w:rsidP="000F0531">
      <w:pPr>
        <w:numPr>
          <w:ilvl w:val="0"/>
          <w:numId w:val="68"/>
        </w:numPr>
        <w:rPr>
          <w:rFonts w:eastAsia="Calibri"/>
          <w:b/>
        </w:rPr>
      </w:pPr>
      <w:r>
        <w:rPr>
          <w:rFonts w:eastAsia="Calibri"/>
          <w:b/>
        </w:rPr>
        <w:lastRenderedPageBreak/>
        <w:t>EIM Scheduling Coordinators s</w:t>
      </w:r>
      <w:r w:rsidRPr="008817D0">
        <w:rPr>
          <w:rFonts w:eastAsia="Calibri"/>
          <w:b/>
        </w:rPr>
        <w:t>ubmit Base Schedules for External BAA Supply and Interchange</w:t>
      </w:r>
      <w:r>
        <w:rPr>
          <w:rFonts w:eastAsia="Calibri"/>
          <w:b/>
        </w:rPr>
        <w:t xml:space="preserve"> as part of the EIM Resource Plan</w:t>
      </w:r>
    </w:p>
    <w:p w14:paraId="7A564058" w14:textId="77777777" w:rsidR="008410E3" w:rsidRDefault="008410E3" w:rsidP="000F0531">
      <w:pPr>
        <w:numPr>
          <w:ilvl w:val="1"/>
          <w:numId w:val="14"/>
        </w:numPr>
        <w:rPr>
          <w:rFonts w:eastAsia="Calibri"/>
        </w:rPr>
      </w:pPr>
      <w:r>
        <w:rPr>
          <w:rFonts w:eastAsia="Calibri"/>
        </w:rPr>
        <w:t>Base Schedule Coordinators (BSCs) submit Base Schedules and ancillary services schedules for EIM Participating and Non-Participating Resources and Interchanges through the Base Schedule Application Portal (BSAP).</w:t>
      </w:r>
    </w:p>
    <w:p w14:paraId="59EF635B" w14:textId="77777777" w:rsidR="0018494A" w:rsidRPr="008817D0" w:rsidRDefault="0018494A" w:rsidP="000F0531">
      <w:pPr>
        <w:numPr>
          <w:ilvl w:val="1"/>
          <w:numId w:val="14"/>
        </w:numPr>
        <w:rPr>
          <w:rFonts w:eastAsia="Calibri"/>
        </w:rPr>
      </w:pPr>
      <w:r w:rsidRPr="008817D0">
        <w:rPr>
          <w:rFonts w:eastAsia="Calibri"/>
        </w:rPr>
        <w:t xml:space="preserve">The </w:t>
      </w:r>
      <w:r w:rsidR="008410E3">
        <w:rPr>
          <w:rFonts w:eastAsia="Calibri"/>
        </w:rPr>
        <w:t xml:space="preserve">Base schedule </w:t>
      </w:r>
      <w:r w:rsidR="00775CF7">
        <w:rPr>
          <w:rFonts w:eastAsia="Calibri"/>
        </w:rPr>
        <w:t xml:space="preserve">submission </w:t>
      </w:r>
      <w:r w:rsidR="00775CF7" w:rsidRPr="008817D0">
        <w:rPr>
          <w:rFonts w:eastAsia="Calibri"/>
        </w:rPr>
        <w:t>may</w:t>
      </w:r>
      <w:r w:rsidRPr="008817D0">
        <w:rPr>
          <w:rFonts w:eastAsia="Calibri"/>
        </w:rPr>
        <w:t xml:space="preserve"> cover a seven-day horizon with hourly </w:t>
      </w:r>
      <w:r w:rsidR="008410E3">
        <w:rPr>
          <w:rFonts w:eastAsia="Calibri"/>
        </w:rPr>
        <w:t>granularity</w:t>
      </w:r>
      <w:r w:rsidRPr="008817D0">
        <w:rPr>
          <w:rFonts w:eastAsia="Calibri"/>
        </w:rPr>
        <w:t xml:space="preserve"> beginning with the Operating Day.</w:t>
      </w:r>
    </w:p>
    <w:p w14:paraId="4FC38FC5" w14:textId="77777777" w:rsidR="008410E3" w:rsidRDefault="0018494A" w:rsidP="000F0531">
      <w:pPr>
        <w:numPr>
          <w:ilvl w:val="1"/>
          <w:numId w:val="14"/>
        </w:numPr>
        <w:rPr>
          <w:rFonts w:eastAsia="Calibri"/>
        </w:rPr>
      </w:pPr>
      <w:r>
        <w:rPr>
          <w:rFonts w:eastAsia="Calibri"/>
        </w:rPr>
        <w:t>Base S</w:t>
      </w:r>
      <w:r w:rsidRPr="008817D0">
        <w:rPr>
          <w:rFonts w:eastAsia="Calibri"/>
        </w:rPr>
        <w:t xml:space="preserve">chedules must be submitted for all </w:t>
      </w:r>
      <w:r w:rsidR="008410E3">
        <w:rPr>
          <w:rFonts w:eastAsia="Calibri"/>
        </w:rPr>
        <w:t xml:space="preserve">online </w:t>
      </w:r>
      <w:r w:rsidRPr="008817D0">
        <w:rPr>
          <w:rFonts w:eastAsia="Calibri"/>
        </w:rPr>
        <w:t>generating resources in an EIM Entity BAA</w:t>
      </w:r>
      <w:r w:rsidR="008410E3">
        <w:rPr>
          <w:rFonts w:eastAsia="Calibri"/>
        </w:rPr>
        <w:t xml:space="preserve"> and all interchanges with tagged schedules with other BAAs, except CAISO. A Base schedule of zero (0 MW) may be submitted for an offline EIM Participating Resource with a three-part bid to be committed </w:t>
      </w:r>
      <w:r w:rsidR="008351FC">
        <w:rPr>
          <w:rFonts w:eastAsia="Calibri"/>
        </w:rPr>
        <w:t>optimally</w:t>
      </w:r>
      <w:r w:rsidR="008410E3">
        <w:rPr>
          <w:rFonts w:eastAsia="Calibri"/>
        </w:rPr>
        <w:t>.</w:t>
      </w:r>
    </w:p>
    <w:p w14:paraId="1C6F601F" w14:textId="77777777" w:rsidR="008410E3" w:rsidRDefault="008410E3" w:rsidP="000F0531">
      <w:pPr>
        <w:numPr>
          <w:ilvl w:val="1"/>
          <w:numId w:val="14"/>
        </w:numPr>
        <w:rPr>
          <w:rFonts w:eastAsia="Calibri"/>
        </w:rPr>
      </w:pPr>
      <w:r>
        <w:rPr>
          <w:rFonts w:eastAsia="Calibri"/>
        </w:rPr>
        <w:t xml:space="preserve">Base schedules for online </w:t>
      </w:r>
      <w:r w:rsidRPr="008817D0">
        <w:rPr>
          <w:rFonts w:eastAsia="Calibri"/>
        </w:rPr>
        <w:t>generating resources</w:t>
      </w:r>
      <w:r w:rsidR="0018494A" w:rsidRPr="008817D0">
        <w:rPr>
          <w:rFonts w:eastAsia="Calibri"/>
        </w:rPr>
        <w:t xml:space="preserve"> must include disaggregation of forward </w:t>
      </w:r>
      <w:r>
        <w:rPr>
          <w:rFonts w:eastAsia="Calibri"/>
        </w:rPr>
        <w:t xml:space="preserve">net </w:t>
      </w:r>
      <w:r w:rsidR="0018494A" w:rsidRPr="008817D0">
        <w:rPr>
          <w:rFonts w:eastAsia="Calibri"/>
        </w:rPr>
        <w:t>export schedules to other BAAs</w:t>
      </w:r>
      <w:r>
        <w:rPr>
          <w:rFonts w:eastAsia="Calibri"/>
        </w:rPr>
        <w:t>, including RUC import schedules to CAISO</w:t>
      </w:r>
      <w:r w:rsidR="0018494A" w:rsidRPr="008817D0">
        <w:rPr>
          <w:rFonts w:eastAsia="Calibri"/>
        </w:rPr>
        <w:t xml:space="preserve">. </w:t>
      </w:r>
    </w:p>
    <w:p w14:paraId="77C739C9" w14:textId="77777777" w:rsidR="0018494A" w:rsidRPr="008817D0" w:rsidRDefault="0018494A" w:rsidP="000F0531">
      <w:pPr>
        <w:numPr>
          <w:ilvl w:val="1"/>
          <w:numId w:val="14"/>
        </w:numPr>
        <w:rPr>
          <w:rFonts w:eastAsia="Calibri"/>
        </w:rPr>
      </w:pPr>
      <w:r w:rsidRPr="008817D0">
        <w:rPr>
          <w:rFonts w:eastAsia="Calibri"/>
        </w:rPr>
        <w:t>Base import</w:t>
      </w:r>
      <w:r w:rsidR="008410E3">
        <w:rPr>
          <w:rFonts w:eastAsia="Calibri"/>
        </w:rPr>
        <w:t>/export</w:t>
      </w:r>
      <w:r w:rsidRPr="008817D0">
        <w:rPr>
          <w:rFonts w:eastAsia="Calibri"/>
        </w:rPr>
        <w:t xml:space="preserve"> schedules to an EIM Enti</w:t>
      </w:r>
      <w:r>
        <w:rPr>
          <w:rFonts w:eastAsia="Calibri"/>
        </w:rPr>
        <w:t>ty BAA from BAAs other than CA</w:t>
      </w:r>
      <w:r w:rsidRPr="008817D0">
        <w:rPr>
          <w:rFonts w:eastAsia="Calibri"/>
        </w:rPr>
        <w:t>ISO must be submitted at the relevant intertie scheduling points.</w:t>
      </w:r>
    </w:p>
    <w:p w14:paraId="3100BA86" w14:textId="77777777" w:rsidR="0018494A" w:rsidRPr="00E858C4" w:rsidRDefault="0018494A" w:rsidP="000F0531">
      <w:pPr>
        <w:numPr>
          <w:ilvl w:val="1"/>
          <w:numId w:val="14"/>
        </w:numPr>
        <w:rPr>
          <w:rFonts w:eastAsia="Calibri"/>
        </w:rPr>
      </w:pPr>
      <w:r w:rsidRPr="008817D0">
        <w:rPr>
          <w:rFonts w:eastAsia="Calibri"/>
        </w:rPr>
        <w:t xml:space="preserve">If resource(s) </w:t>
      </w:r>
      <w:r>
        <w:rPr>
          <w:rFonts w:eastAsia="Calibri"/>
        </w:rPr>
        <w:t>are modeled as a Multi-Stage Generator (MSG), the Base S</w:t>
      </w:r>
      <w:r w:rsidRPr="008817D0">
        <w:rPr>
          <w:rFonts w:eastAsia="Calibri"/>
        </w:rPr>
        <w:t>chedule(s) shall include the base MSG configuration.</w:t>
      </w:r>
    </w:p>
    <w:p w14:paraId="04006CBE" w14:textId="77777777" w:rsidR="0018494A" w:rsidRPr="008817D0" w:rsidRDefault="00CF1AB9" w:rsidP="000F0531">
      <w:pPr>
        <w:numPr>
          <w:ilvl w:val="0"/>
          <w:numId w:val="13"/>
        </w:numPr>
        <w:rPr>
          <w:rFonts w:eastAsia="Calibri"/>
          <w:b/>
        </w:rPr>
      </w:pPr>
      <w:r>
        <w:rPr>
          <w:rFonts w:eastAsia="Calibri"/>
          <w:b/>
        </w:rPr>
        <w:t>CAISO p</w:t>
      </w:r>
      <w:r w:rsidR="0018494A" w:rsidRPr="008817D0">
        <w:rPr>
          <w:rFonts w:eastAsia="Calibri"/>
          <w:b/>
        </w:rPr>
        <w:t>erform</w:t>
      </w:r>
      <w:r>
        <w:rPr>
          <w:rFonts w:eastAsia="Calibri"/>
          <w:b/>
        </w:rPr>
        <w:t>s</w:t>
      </w:r>
      <w:r w:rsidR="0018494A" w:rsidRPr="008817D0">
        <w:rPr>
          <w:rFonts w:eastAsia="Calibri"/>
          <w:b/>
        </w:rPr>
        <w:t xml:space="preserve"> Feasibility Test for Each EIM Entity BAA</w:t>
      </w:r>
    </w:p>
    <w:p w14:paraId="1F586222" w14:textId="77777777" w:rsidR="0018494A" w:rsidRPr="005860DE" w:rsidRDefault="0018494A" w:rsidP="000F0531">
      <w:pPr>
        <w:numPr>
          <w:ilvl w:val="1"/>
          <w:numId w:val="15"/>
        </w:numPr>
        <w:rPr>
          <w:rFonts w:eastAsia="Calibri"/>
          <w:b/>
        </w:rPr>
      </w:pPr>
      <w:r w:rsidRPr="008817D0">
        <w:rPr>
          <w:rFonts w:eastAsia="Calibri"/>
        </w:rPr>
        <w:t>The EIM Base Schedules included in the EIM Resource Plan should be balanced with the Demand Forecast for each EIM Entity Balancing Authority Area.</w:t>
      </w:r>
    </w:p>
    <w:p w14:paraId="1CB9732B" w14:textId="77777777" w:rsidR="0018494A" w:rsidRPr="005860DE" w:rsidRDefault="0018494A" w:rsidP="000F0531">
      <w:pPr>
        <w:numPr>
          <w:ilvl w:val="1"/>
          <w:numId w:val="15"/>
        </w:numPr>
        <w:rPr>
          <w:rFonts w:eastAsia="Calibri"/>
          <w:b/>
        </w:rPr>
      </w:pPr>
      <w:r>
        <w:rPr>
          <w:rFonts w:eastAsia="Calibri"/>
        </w:rPr>
        <w:t>CAISO will perform Day-Ahead and Base S</w:t>
      </w:r>
      <w:r w:rsidRPr="008817D0">
        <w:rPr>
          <w:rFonts w:eastAsia="Calibri"/>
        </w:rPr>
        <w:t>chedule power</w:t>
      </w:r>
      <w:r>
        <w:rPr>
          <w:rFonts w:eastAsia="Calibri"/>
        </w:rPr>
        <w:t xml:space="preserve"> flow feasibility test</w:t>
      </w:r>
      <w:r w:rsidR="00CF1AB9">
        <w:rPr>
          <w:rFonts w:eastAsia="Calibri"/>
        </w:rPr>
        <w:t xml:space="preserve"> by 1:00 pm on the day before the Operating Day</w:t>
      </w:r>
      <w:r>
        <w:rPr>
          <w:rFonts w:eastAsia="Calibri"/>
        </w:rPr>
        <w:t>; if the D</w:t>
      </w:r>
      <w:r w:rsidRPr="008817D0">
        <w:rPr>
          <w:rFonts w:eastAsia="Calibri"/>
        </w:rPr>
        <w:t>ay-</w:t>
      </w:r>
      <w:r>
        <w:rPr>
          <w:rFonts w:eastAsia="Calibri"/>
        </w:rPr>
        <w:t>Ahead M</w:t>
      </w:r>
      <w:r w:rsidRPr="008817D0">
        <w:rPr>
          <w:rFonts w:eastAsia="Calibri"/>
        </w:rPr>
        <w:t xml:space="preserve">arket </w:t>
      </w:r>
      <w:r w:rsidR="00DA49BB">
        <w:rPr>
          <w:rFonts w:eastAsia="Calibri"/>
        </w:rPr>
        <w:t xml:space="preserve">or the Base Schedules submitted for the Real-Time Market </w:t>
      </w:r>
      <w:r w:rsidRPr="008817D0">
        <w:rPr>
          <w:rFonts w:eastAsia="Calibri"/>
        </w:rPr>
        <w:t>result in transmission violation</w:t>
      </w:r>
      <w:r>
        <w:rPr>
          <w:rFonts w:eastAsia="Calibri"/>
        </w:rPr>
        <w:t xml:space="preserve"> in the EIM Entity Balancing Authority Area</w:t>
      </w:r>
      <w:r w:rsidRPr="008817D0">
        <w:rPr>
          <w:rFonts w:eastAsia="Calibri"/>
        </w:rPr>
        <w:t xml:space="preserve">, </w:t>
      </w:r>
      <w:r>
        <w:rPr>
          <w:rFonts w:eastAsia="Calibri"/>
        </w:rPr>
        <w:t xml:space="preserve">then the </w:t>
      </w:r>
      <w:r w:rsidRPr="008817D0">
        <w:rPr>
          <w:rFonts w:eastAsia="Calibri"/>
        </w:rPr>
        <w:t>test fails.</w:t>
      </w:r>
    </w:p>
    <w:p w14:paraId="1183F0AC" w14:textId="77777777" w:rsidR="0018494A" w:rsidRPr="008817D0" w:rsidRDefault="0018494A" w:rsidP="000F0531">
      <w:pPr>
        <w:numPr>
          <w:ilvl w:val="1"/>
          <w:numId w:val="15"/>
        </w:numPr>
        <w:rPr>
          <w:rFonts w:eastAsia="Calibri"/>
        </w:rPr>
      </w:pPr>
      <w:r w:rsidRPr="008817D0">
        <w:rPr>
          <w:rFonts w:eastAsia="Calibri"/>
        </w:rPr>
        <w:t>The test result will be broadcasted to the EIM Entity SC.</w:t>
      </w:r>
    </w:p>
    <w:p w14:paraId="66259CD5" w14:textId="249E0F4B" w:rsidR="0018494A" w:rsidRPr="00642F1C" w:rsidRDefault="0018494A" w:rsidP="000F0531">
      <w:pPr>
        <w:numPr>
          <w:ilvl w:val="1"/>
          <w:numId w:val="15"/>
        </w:numPr>
        <w:rPr>
          <w:rFonts w:eastAsia="Calibri"/>
        </w:rPr>
      </w:pPr>
      <w:r>
        <w:rPr>
          <w:rFonts w:eastAsia="Calibri"/>
        </w:rPr>
        <w:t>The Day-Ahead M</w:t>
      </w:r>
      <w:r w:rsidRPr="008817D0">
        <w:rPr>
          <w:rFonts w:eastAsia="Calibri"/>
        </w:rPr>
        <w:t xml:space="preserve">arket test result is for information only and </w:t>
      </w:r>
      <w:r>
        <w:rPr>
          <w:rFonts w:eastAsia="Calibri"/>
        </w:rPr>
        <w:t>will</w:t>
      </w:r>
      <w:r w:rsidRPr="008817D0">
        <w:rPr>
          <w:rFonts w:eastAsia="Calibri"/>
        </w:rPr>
        <w:t xml:space="preserve"> not have </w:t>
      </w:r>
      <w:r>
        <w:rPr>
          <w:rFonts w:eastAsia="Calibri"/>
        </w:rPr>
        <w:t xml:space="preserve">a </w:t>
      </w:r>
      <w:r w:rsidRPr="008817D0">
        <w:rPr>
          <w:rFonts w:eastAsia="Calibri"/>
        </w:rPr>
        <w:t>settlement impact.</w:t>
      </w:r>
      <w:r w:rsidR="00571BB2" w:rsidRPr="00571BB2">
        <w:rPr>
          <w:rFonts w:eastAsia="Calibri"/>
        </w:rPr>
        <w:t xml:space="preserve"> </w:t>
      </w:r>
      <w:r w:rsidR="00571BB2">
        <w:rPr>
          <w:rFonts w:eastAsia="Calibri"/>
        </w:rPr>
        <w:t xml:space="preserve">The EIM Entity SC  may adjust the </w:t>
      </w:r>
      <w:r w:rsidR="00786423">
        <w:rPr>
          <w:rFonts w:eastAsia="Calibri"/>
        </w:rPr>
        <w:t xml:space="preserve">components </w:t>
      </w:r>
      <w:r w:rsidR="00571BB2">
        <w:rPr>
          <w:rFonts w:eastAsia="Calibri"/>
        </w:rPr>
        <w:t xml:space="preserve"> of EIM Resource Plan up to 75 minutes before the Operating Hour, when the submission of Real-Time EIM Base Schedules is due</w:t>
      </w:r>
      <w:r w:rsidR="0049730B">
        <w:rPr>
          <w:rFonts w:eastAsia="Calibri"/>
        </w:rPr>
        <w:t xml:space="preserve"> </w:t>
      </w:r>
      <w:r w:rsidR="00571BB2">
        <w:rPr>
          <w:rFonts w:eastAsia="Calibri"/>
        </w:rPr>
        <w:t xml:space="preserve">(see 11.3) </w:t>
      </w:r>
    </w:p>
    <w:p w14:paraId="4BFE7C75" w14:textId="77777777" w:rsidR="0018494A" w:rsidRPr="008817D0" w:rsidRDefault="0018494A" w:rsidP="000F0531">
      <w:pPr>
        <w:numPr>
          <w:ilvl w:val="0"/>
          <w:numId w:val="13"/>
        </w:numPr>
        <w:rPr>
          <w:rFonts w:eastAsia="Calibri"/>
          <w:b/>
        </w:rPr>
      </w:pPr>
      <w:r w:rsidRPr="008817D0">
        <w:rPr>
          <w:rFonts w:eastAsia="Calibri"/>
          <w:b/>
        </w:rPr>
        <w:t>Other Considerations</w:t>
      </w:r>
    </w:p>
    <w:p w14:paraId="7CF96F9D" w14:textId="77777777" w:rsidR="0018494A" w:rsidRPr="005860DE" w:rsidRDefault="00DA49BB" w:rsidP="000F0531">
      <w:pPr>
        <w:numPr>
          <w:ilvl w:val="1"/>
          <w:numId w:val="16"/>
        </w:numPr>
        <w:rPr>
          <w:rFonts w:eastAsia="Calibri"/>
        </w:rPr>
      </w:pPr>
      <w:r>
        <w:rPr>
          <w:rFonts w:eastAsia="Calibri"/>
        </w:rPr>
        <w:t xml:space="preserve">Bids may not be submitted for EIM Participating Resources in the Day-Ahead Market. Similarly, Bids may not be submitted at interties between EIM BAAs, or between EIM BAAs and Non-EIM BAAs in the Day-Ahead Market. Day-Ahead Bids may be submitted at </w:t>
      </w:r>
      <w:r>
        <w:rPr>
          <w:rFonts w:eastAsia="Calibri"/>
        </w:rPr>
        <w:lastRenderedPageBreak/>
        <w:t>CAISO interties for import/export to/from the CAISO BAA at the relevant Scheduling Points.</w:t>
      </w:r>
    </w:p>
    <w:p w14:paraId="083BD572" w14:textId="77777777" w:rsidR="0018494A" w:rsidRPr="005860DE" w:rsidRDefault="0018494A" w:rsidP="000F0531">
      <w:pPr>
        <w:numPr>
          <w:ilvl w:val="1"/>
          <w:numId w:val="16"/>
        </w:numPr>
        <w:rPr>
          <w:rFonts w:eastAsia="Calibri"/>
        </w:rPr>
      </w:pPr>
      <w:r>
        <w:rPr>
          <w:rFonts w:eastAsia="Calibri"/>
        </w:rPr>
        <w:t>The Day-Ahead M</w:t>
      </w:r>
      <w:r w:rsidRPr="008817D0">
        <w:rPr>
          <w:rFonts w:eastAsia="Calibri"/>
        </w:rPr>
        <w:t>arke</w:t>
      </w:r>
      <w:r>
        <w:rPr>
          <w:rFonts w:eastAsia="Calibri"/>
        </w:rPr>
        <w:t>t shall run with the Day-Ahead Base S</w:t>
      </w:r>
      <w:r w:rsidRPr="008817D0">
        <w:rPr>
          <w:rFonts w:eastAsia="Calibri"/>
        </w:rPr>
        <w:t>chedule as a fixed injection without enforcing transmission constraints in the external BAA</w:t>
      </w:r>
      <w:r w:rsidR="00DA49BB">
        <w:rPr>
          <w:rFonts w:eastAsia="Calibri"/>
        </w:rPr>
        <w:t>s</w:t>
      </w:r>
      <w:r w:rsidRPr="008817D0">
        <w:rPr>
          <w:rFonts w:eastAsia="Calibri"/>
        </w:rPr>
        <w:t xml:space="preserve"> and</w:t>
      </w:r>
      <w:r>
        <w:rPr>
          <w:rFonts w:eastAsia="Calibri"/>
        </w:rPr>
        <w:t xml:space="preserve"> the</w:t>
      </w:r>
      <w:r w:rsidRPr="008817D0">
        <w:rPr>
          <w:rFonts w:eastAsia="Calibri"/>
        </w:rPr>
        <w:t xml:space="preserve"> EIM Entity BAA</w:t>
      </w:r>
      <w:r w:rsidR="00DA49BB">
        <w:rPr>
          <w:rFonts w:eastAsia="Calibri"/>
        </w:rPr>
        <w:t>s</w:t>
      </w:r>
      <w:r w:rsidRPr="008817D0">
        <w:rPr>
          <w:rFonts w:eastAsia="Calibri"/>
        </w:rPr>
        <w:t xml:space="preserve">. </w:t>
      </w:r>
    </w:p>
    <w:p w14:paraId="7A78302E" w14:textId="5EBD7D92" w:rsidR="0018494A" w:rsidRPr="008817D0" w:rsidRDefault="0018494A" w:rsidP="000F0531">
      <w:pPr>
        <w:numPr>
          <w:ilvl w:val="1"/>
          <w:numId w:val="16"/>
        </w:numPr>
        <w:rPr>
          <w:rFonts w:eastAsia="Calibri"/>
        </w:rPr>
      </w:pPr>
      <w:r w:rsidRPr="008817D0">
        <w:rPr>
          <w:rFonts w:eastAsia="Calibri"/>
        </w:rPr>
        <w:t xml:space="preserve">The </w:t>
      </w:r>
      <w:r w:rsidR="002462E5">
        <w:rPr>
          <w:rFonts w:eastAsia="Calibri"/>
        </w:rPr>
        <w:t>CAISO</w:t>
      </w:r>
      <w:r w:rsidRPr="008817D0">
        <w:rPr>
          <w:rFonts w:eastAsia="Calibri"/>
        </w:rPr>
        <w:t xml:space="preserve"> will report any transmission overloads in the EIM Entity BAAs.</w:t>
      </w:r>
    </w:p>
    <w:p w14:paraId="6FDD56A2" w14:textId="77777777" w:rsidR="0018494A" w:rsidRPr="00BA2E6E" w:rsidRDefault="0018494A" w:rsidP="000F0531">
      <w:pPr>
        <w:numPr>
          <w:ilvl w:val="1"/>
          <w:numId w:val="16"/>
        </w:numPr>
        <w:rPr>
          <w:rFonts w:eastAsia="Calibri"/>
        </w:rPr>
      </w:pPr>
      <w:r>
        <w:rPr>
          <w:rFonts w:eastAsia="Calibri"/>
        </w:rPr>
        <w:t>The Day-Ahead M</w:t>
      </w:r>
      <w:r w:rsidRPr="008817D0">
        <w:rPr>
          <w:rFonts w:eastAsia="Calibri"/>
        </w:rPr>
        <w:t xml:space="preserve">arket will maintain historical generation, demand, and interchange schedules for all external BAAs in the EIM footprint. Also, it will harvest data from the State Estimator and WECC RC, and receive </w:t>
      </w:r>
      <w:r>
        <w:rPr>
          <w:rFonts w:eastAsia="Calibri"/>
        </w:rPr>
        <w:t xml:space="preserve">Area to Area Net Scheduled Interchange (AANSI) </w:t>
      </w:r>
      <w:r w:rsidRPr="008817D0">
        <w:rPr>
          <w:rFonts w:eastAsia="Calibri"/>
        </w:rPr>
        <w:t>from WECC WIT and BAA load forecast.</w:t>
      </w:r>
    </w:p>
    <w:p w14:paraId="195183DC" w14:textId="77777777" w:rsidR="0018494A" w:rsidRPr="008817D0" w:rsidRDefault="0018494A" w:rsidP="000F0531">
      <w:pPr>
        <w:numPr>
          <w:ilvl w:val="1"/>
          <w:numId w:val="16"/>
        </w:numPr>
        <w:rPr>
          <w:rFonts w:eastAsia="Calibri"/>
        </w:rPr>
      </w:pPr>
      <w:r w:rsidRPr="008817D0">
        <w:rPr>
          <w:rFonts w:eastAsia="Calibri"/>
        </w:rPr>
        <w:t>Since</w:t>
      </w:r>
      <w:r>
        <w:rPr>
          <w:rFonts w:eastAsia="Calibri"/>
        </w:rPr>
        <w:t xml:space="preserve"> the actual non-EIM Entity BAA Day-A</w:t>
      </w:r>
      <w:r w:rsidRPr="008817D0">
        <w:rPr>
          <w:rFonts w:eastAsia="Calibri"/>
        </w:rPr>
        <w:t>head supp</w:t>
      </w:r>
      <w:r>
        <w:rPr>
          <w:rFonts w:eastAsia="Calibri"/>
        </w:rPr>
        <w:t xml:space="preserve">ly schedules are unknown to </w:t>
      </w:r>
      <w:r w:rsidRPr="008817D0">
        <w:rPr>
          <w:rFonts w:eastAsia="Calibri"/>
        </w:rPr>
        <w:t>CAISO but a</w:t>
      </w:r>
      <w:r>
        <w:rPr>
          <w:rFonts w:eastAsia="Calibri"/>
        </w:rPr>
        <w:t xml:space="preserve">re required for a solution, </w:t>
      </w:r>
      <w:r w:rsidRPr="008817D0">
        <w:rPr>
          <w:rFonts w:eastAsia="Calibri"/>
        </w:rPr>
        <w:t>CAISO will estimate the schedules based on the demand forecast and net scheduled interchange where supply, demand, and any known or historical net interchange are balanced for each BAA individually. The same process will also be performed for EIM Entity BAAs.</w:t>
      </w:r>
    </w:p>
    <w:p w14:paraId="673C3DE6" w14:textId="77777777" w:rsidR="00571BB2" w:rsidRPr="00571BB2" w:rsidRDefault="0018494A" w:rsidP="000F0531">
      <w:pPr>
        <w:numPr>
          <w:ilvl w:val="1"/>
          <w:numId w:val="16"/>
        </w:numPr>
        <w:rPr>
          <w:rFonts w:eastAsia="Calibri"/>
        </w:rPr>
      </w:pPr>
      <w:r>
        <w:rPr>
          <w:rFonts w:eastAsia="Calibri"/>
        </w:rPr>
        <w:t>Import/export bids to/from CAISO will be excluded from Base S</w:t>
      </w:r>
      <w:r w:rsidRPr="008817D0">
        <w:rPr>
          <w:rFonts w:eastAsia="Calibri"/>
        </w:rPr>
        <w:t xml:space="preserve">chedule calculation. </w:t>
      </w:r>
    </w:p>
    <w:p w14:paraId="10C32B86" w14:textId="2C132268" w:rsidR="00571BB2" w:rsidRPr="001D354A" w:rsidRDefault="00571BB2" w:rsidP="000F0531">
      <w:pPr>
        <w:numPr>
          <w:ilvl w:val="1"/>
          <w:numId w:val="16"/>
        </w:numPr>
        <w:spacing w:line="300" w:lineRule="auto"/>
        <w:rPr>
          <w:rFonts w:eastAsia="Calibri"/>
        </w:rPr>
      </w:pPr>
      <w:r w:rsidRPr="00F2404E">
        <w:t>SIBR validate</w:t>
      </w:r>
      <w:r>
        <w:t>s</w:t>
      </w:r>
      <w:r w:rsidRPr="00F2404E">
        <w:t xml:space="preserve"> the energy bids and notify the applicable SCs. </w:t>
      </w:r>
    </w:p>
    <w:p w14:paraId="2A696B6E" w14:textId="77777777" w:rsidR="008817D0" w:rsidRPr="008817D0" w:rsidRDefault="00FC30E3" w:rsidP="00C33762">
      <w:pPr>
        <w:pStyle w:val="Heading2"/>
        <w:rPr>
          <w:rFonts w:eastAsia="Calibri"/>
        </w:rPr>
      </w:pPr>
      <w:bookmarkStart w:id="1926" w:name="_Toc391969852"/>
      <w:bookmarkStart w:id="1927" w:name="_Toc20384119"/>
      <w:r>
        <w:rPr>
          <w:rFonts w:eastAsia="Calibri"/>
        </w:rPr>
        <w:t>Real-Time</w:t>
      </w:r>
      <w:r w:rsidR="008817D0" w:rsidRPr="008817D0">
        <w:rPr>
          <w:rFonts w:eastAsia="Calibri"/>
        </w:rPr>
        <w:t xml:space="preserve"> Operations</w:t>
      </w:r>
      <w:bookmarkEnd w:id="1919"/>
      <w:bookmarkEnd w:id="1920"/>
      <w:bookmarkEnd w:id="1926"/>
      <w:bookmarkEnd w:id="1927"/>
    </w:p>
    <w:p w14:paraId="294B13D5" w14:textId="4D9D603D" w:rsidR="00D107C6" w:rsidRDefault="006D0170" w:rsidP="008817D0">
      <w:pPr>
        <w:spacing w:after="240" w:line="300" w:lineRule="auto"/>
        <w:rPr>
          <w:rFonts w:eastAsia="Calibri"/>
        </w:rPr>
      </w:pPr>
      <w:bookmarkStart w:id="1928" w:name="_Toc390869242"/>
      <w:r>
        <w:rPr>
          <w:rFonts w:eastAsia="Calibri"/>
        </w:rPr>
        <w:t xml:space="preserve">This section is intended to describe the actions taken by EIM participants in the </w:t>
      </w:r>
      <w:r w:rsidR="00FC30E3">
        <w:rPr>
          <w:rFonts w:eastAsia="Calibri"/>
        </w:rPr>
        <w:t>Real-Time</w:t>
      </w:r>
      <w:r>
        <w:rPr>
          <w:rFonts w:eastAsia="Calibri"/>
        </w:rPr>
        <w:t xml:space="preserve"> Market.  </w:t>
      </w:r>
      <w:r w:rsidR="00F43672">
        <w:rPr>
          <w:rFonts w:eastAsia="Calibri"/>
        </w:rPr>
        <w:t xml:space="preserve">Readers should </w:t>
      </w:r>
      <w:r w:rsidR="007970DF">
        <w:rPr>
          <w:rFonts w:eastAsia="Calibri"/>
        </w:rPr>
        <w:t>review S</w:t>
      </w:r>
      <w:r>
        <w:rPr>
          <w:rFonts w:eastAsia="Calibri"/>
        </w:rPr>
        <w:t>ection</w:t>
      </w:r>
      <w:r w:rsidR="0022082B">
        <w:rPr>
          <w:rFonts w:eastAsia="Calibri"/>
        </w:rPr>
        <w:t>s</w:t>
      </w:r>
      <w:r>
        <w:rPr>
          <w:rFonts w:eastAsia="Calibri"/>
        </w:rPr>
        <w:t xml:space="preserve"> 6 and 7 of the </w:t>
      </w:r>
      <w:hyperlink r:id="rId169" w:history="1">
        <w:r w:rsidRPr="0022082B">
          <w:rPr>
            <w:rStyle w:val="Hyperlink"/>
            <w:rFonts w:eastAsia="Calibri"/>
            <w:b/>
          </w:rPr>
          <w:t>BPM for Market Operations</w:t>
        </w:r>
      </w:hyperlink>
      <w:r>
        <w:rPr>
          <w:rFonts w:eastAsia="Calibri"/>
        </w:rPr>
        <w:t>, which describes the general operation and timeline of the Day</w:t>
      </w:r>
      <w:r w:rsidR="00E4613C">
        <w:rPr>
          <w:rFonts w:eastAsia="Calibri"/>
        </w:rPr>
        <w:t>-</w:t>
      </w:r>
      <w:r>
        <w:rPr>
          <w:rFonts w:eastAsia="Calibri"/>
        </w:rPr>
        <w:t xml:space="preserve">Ahead Market and </w:t>
      </w:r>
      <w:r w:rsidR="00FC30E3">
        <w:rPr>
          <w:rFonts w:eastAsia="Calibri"/>
        </w:rPr>
        <w:t>Real-Time</w:t>
      </w:r>
      <w:r>
        <w:rPr>
          <w:rFonts w:eastAsia="Calibri"/>
        </w:rPr>
        <w:t xml:space="preserve"> Market, respectively.</w:t>
      </w:r>
    </w:p>
    <w:p w14:paraId="4044A70C" w14:textId="77777777" w:rsidR="008817D0" w:rsidRPr="008817D0" w:rsidRDefault="008817D0" w:rsidP="008817D0">
      <w:pPr>
        <w:spacing w:after="240" w:line="300" w:lineRule="auto"/>
        <w:rPr>
          <w:rFonts w:eastAsia="Calibri"/>
        </w:rPr>
      </w:pPr>
      <w:r w:rsidRPr="008817D0">
        <w:rPr>
          <w:rFonts w:eastAsia="Calibri"/>
        </w:rPr>
        <w:object w:dxaOrig="10410" w:dyaOrig="5295" w14:anchorId="6AB2F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37.35pt" o:ole="">
            <v:imagedata r:id="rId170" o:title=""/>
          </v:shape>
          <o:OLEObject Type="Embed" ProgID="Visio.Drawing.11" ShapeID="_x0000_i1025" DrawAspect="Content" ObjectID="_1631008292" r:id="rId171"/>
        </w:object>
      </w:r>
    </w:p>
    <w:p w14:paraId="24C95AF1" w14:textId="77777777" w:rsidR="008817D0" w:rsidRPr="008817D0" w:rsidRDefault="008817D0" w:rsidP="008817D0">
      <w:pPr>
        <w:spacing w:after="240" w:line="300" w:lineRule="auto"/>
        <w:rPr>
          <w:rFonts w:eastAsia="Calibri"/>
          <w:b/>
        </w:rPr>
      </w:pPr>
    </w:p>
    <w:p w14:paraId="5BB29263" w14:textId="77777777" w:rsidR="008817D0" w:rsidRPr="008817D0" w:rsidRDefault="008817D0" w:rsidP="008817D0">
      <w:pPr>
        <w:spacing w:after="240" w:line="300" w:lineRule="auto"/>
        <w:rPr>
          <w:rFonts w:eastAsia="Calibri"/>
          <w:b/>
        </w:rPr>
      </w:pPr>
    </w:p>
    <w:p w14:paraId="6CA6BAB3" w14:textId="77777777" w:rsidR="008817D0" w:rsidRPr="008817D0" w:rsidRDefault="008817D0" w:rsidP="008817D0">
      <w:pPr>
        <w:spacing w:after="240" w:line="300" w:lineRule="auto"/>
        <w:rPr>
          <w:rFonts w:eastAsia="Calibri"/>
          <w:b/>
        </w:rPr>
      </w:pPr>
    </w:p>
    <w:p w14:paraId="535563F4" w14:textId="77777777" w:rsidR="008817D0" w:rsidRPr="008817D0" w:rsidRDefault="008817D0" w:rsidP="008817D0">
      <w:pPr>
        <w:spacing w:after="240" w:line="300" w:lineRule="auto"/>
        <w:rPr>
          <w:rFonts w:eastAsia="Calibri"/>
          <w:b/>
        </w:rPr>
      </w:pPr>
    </w:p>
    <w:p w14:paraId="0DE87C75" w14:textId="77777777" w:rsidR="008817D0" w:rsidRPr="008817D0" w:rsidRDefault="008817D0" w:rsidP="008817D0">
      <w:pPr>
        <w:spacing w:after="240" w:line="300" w:lineRule="auto"/>
        <w:rPr>
          <w:rFonts w:eastAsia="Calibri"/>
          <w:b/>
        </w:rPr>
      </w:pPr>
    </w:p>
    <w:p w14:paraId="2AFB4ECD" w14:textId="77777777" w:rsidR="008817D0" w:rsidRPr="008817D0" w:rsidRDefault="00A12507" w:rsidP="008817D0">
      <w:pPr>
        <w:spacing w:after="240" w:line="300" w:lineRule="auto"/>
        <w:rPr>
          <w:rFonts w:eastAsia="Calibri"/>
          <w:b/>
        </w:rPr>
      </w:pPr>
      <w:r>
        <w:rPr>
          <w:rFonts w:eastAsia="Calibri"/>
          <w:noProof/>
        </w:rPr>
        <w:lastRenderedPageBreak/>
        <w:drawing>
          <wp:inline distT="0" distB="0" distL="0" distR="0" wp14:anchorId="6FD2AC82" wp14:editId="0030DD95">
            <wp:extent cx="5934075" cy="3562350"/>
            <wp:effectExtent l="0" t="0" r="0"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60ACE17" w14:textId="77777777" w:rsidR="008817D0" w:rsidRPr="008817D0" w:rsidRDefault="008817D0" w:rsidP="008817D0">
      <w:pPr>
        <w:spacing w:after="240" w:line="300" w:lineRule="auto"/>
        <w:rPr>
          <w:rFonts w:eastAsia="Calibri"/>
          <w:b/>
        </w:rPr>
      </w:pPr>
    </w:p>
    <w:p w14:paraId="679103FF" w14:textId="77777777" w:rsidR="008817D0" w:rsidRPr="008817D0" w:rsidRDefault="008817D0" w:rsidP="008817D0">
      <w:pPr>
        <w:spacing w:after="240" w:line="300" w:lineRule="auto"/>
        <w:rPr>
          <w:rFonts w:eastAsia="Calibri"/>
          <w:b/>
        </w:rPr>
      </w:pPr>
    </w:p>
    <w:p w14:paraId="41533DF4" w14:textId="77777777" w:rsidR="008817D0" w:rsidRPr="008817D0" w:rsidRDefault="008817D0" w:rsidP="008817D0">
      <w:pPr>
        <w:spacing w:after="240" w:line="300" w:lineRule="auto"/>
        <w:rPr>
          <w:rFonts w:eastAsia="Calibri"/>
          <w:b/>
        </w:rPr>
      </w:pPr>
    </w:p>
    <w:p w14:paraId="317C9E32" w14:textId="77777777" w:rsidR="008817D0" w:rsidRPr="008817D0" w:rsidRDefault="008817D0" w:rsidP="008817D0">
      <w:pPr>
        <w:spacing w:after="240" w:line="300" w:lineRule="auto"/>
        <w:rPr>
          <w:rFonts w:eastAsia="Calibri"/>
          <w:b/>
        </w:rPr>
      </w:pPr>
    </w:p>
    <w:p w14:paraId="14CDB4DD" w14:textId="77777777" w:rsidR="008817D0" w:rsidRPr="008817D0" w:rsidRDefault="008817D0" w:rsidP="008817D0">
      <w:pPr>
        <w:spacing w:after="240" w:line="300" w:lineRule="auto"/>
        <w:rPr>
          <w:rFonts w:eastAsia="Calibri"/>
          <w:b/>
        </w:rPr>
      </w:pPr>
    </w:p>
    <w:p w14:paraId="32A04DD0" w14:textId="77777777" w:rsidR="008817D0" w:rsidRDefault="00A12507" w:rsidP="008817D0">
      <w:pPr>
        <w:spacing w:after="240" w:line="300" w:lineRule="auto"/>
        <w:rPr>
          <w:rFonts w:eastAsia="Calibri"/>
          <w:b/>
        </w:rPr>
      </w:pPr>
      <w:r>
        <w:rPr>
          <w:rFonts w:eastAsia="Calibri"/>
          <w:noProof/>
        </w:rPr>
        <w:lastRenderedPageBreak/>
        <w:drawing>
          <wp:inline distT="0" distB="0" distL="0" distR="0" wp14:anchorId="6DB15566" wp14:editId="472613B4">
            <wp:extent cx="5943600" cy="3590925"/>
            <wp:effectExtent l="0" t="0" r="0" b="0"/>
            <wp:docPr id="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4AD601FF" w14:textId="77777777" w:rsidR="0062636A" w:rsidRPr="008817D0" w:rsidRDefault="0062636A" w:rsidP="008817D0">
      <w:pPr>
        <w:spacing w:after="240" w:line="300" w:lineRule="auto"/>
        <w:rPr>
          <w:rFonts w:eastAsia="Calibri"/>
          <w:b/>
        </w:rPr>
      </w:pPr>
    </w:p>
    <w:p w14:paraId="13B83180" w14:textId="2C380717" w:rsidR="008817D0" w:rsidRPr="00877DDB" w:rsidRDefault="008817D0" w:rsidP="00877DDB">
      <w:pPr>
        <w:pStyle w:val="Heading3"/>
        <w:rPr>
          <w:rFonts w:eastAsia="Calibri"/>
        </w:rPr>
      </w:pPr>
      <w:bookmarkStart w:id="1929" w:name="_Toc390946292"/>
      <w:bookmarkStart w:id="1930" w:name="_Toc391969853"/>
      <w:bookmarkStart w:id="1931" w:name="_Toc20384120"/>
      <w:r w:rsidRPr="008817D0">
        <w:rPr>
          <w:rFonts w:eastAsia="Calibri"/>
        </w:rPr>
        <w:t>Establishment of Hourly Base Schedules and Hourly Resource Plan</w:t>
      </w:r>
      <w:bookmarkEnd w:id="1928"/>
      <w:bookmarkEnd w:id="1929"/>
      <w:bookmarkEnd w:id="1930"/>
      <w:bookmarkEnd w:id="1931"/>
    </w:p>
    <w:p w14:paraId="1C4FB559" w14:textId="77777777" w:rsidR="00571BB2" w:rsidRPr="00877DDB" w:rsidRDefault="00571BB2">
      <w:pPr>
        <w:spacing w:after="240" w:line="300" w:lineRule="auto"/>
        <w:rPr>
          <w:rFonts w:cs="Arial"/>
          <w:kern w:val="16"/>
        </w:rPr>
      </w:pPr>
      <w:r w:rsidRPr="00877DDB">
        <w:rPr>
          <w:rFonts w:cs="Arial"/>
          <w:kern w:val="16"/>
        </w:rPr>
        <w:t xml:space="preserve">Entity Scheduling Coordinators, EIM Participating Resource Scheduling Coordinators, and non-participating resources in the EIM Entity Balancing Authority Area that wish to submit real-time hourly EIM Base Schedules, or, with regard to non-participating resources, wish to submit EIM Base Schedule information pursuant to Section 29.34(f)(4), must submit such schedules at least 75 minutes before the start of the Operating Hour. </w:t>
      </w:r>
    </w:p>
    <w:p w14:paraId="38ECD380" w14:textId="77777777" w:rsidR="00571BB2" w:rsidRPr="00642F1C" w:rsidRDefault="00571BB2">
      <w:pPr>
        <w:spacing w:after="240" w:line="300" w:lineRule="auto"/>
        <w:rPr>
          <w:rFonts w:eastAsia="Calibri"/>
        </w:rPr>
      </w:pPr>
      <w:r w:rsidRPr="00642F1C">
        <w:rPr>
          <w:rFonts w:eastAsia="Calibri"/>
        </w:rPr>
        <w:t>The CAISO Markets systems will validate the EIM Resource Plan including any adjustments to the EIM Base Schedules within 15 minutes of the submission of EIM Base Schedules or adjustments to EIM Base Schedules and notify the EIM Entity Scheduling Coordinator about the result of the Resource Sufficien</w:t>
      </w:r>
      <w:r w:rsidR="00783517" w:rsidRPr="00642F1C">
        <w:rPr>
          <w:rFonts w:eastAsia="Calibri"/>
        </w:rPr>
        <w:t>c</w:t>
      </w:r>
      <w:r w:rsidRPr="00642F1C">
        <w:rPr>
          <w:rFonts w:eastAsia="Calibri"/>
        </w:rPr>
        <w:t>y Evaluation.</w:t>
      </w:r>
    </w:p>
    <w:p w14:paraId="707AA9DE" w14:textId="34724656" w:rsidR="00571BB2" w:rsidRPr="00642F1C" w:rsidRDefault="00571BB2">
      <w:pPr>
        <w:spacing w:after="240" w:line="300" w:lineRule="auto"/>
        <w:rPr>
          <w:rFonts w:eastAsia="Calibri"/>
        </w:rPr>
      </w:pPr>
      <w:r w:rsidRPr="00642F1C">
        <w:rPr>
          <w:rFonts w:eastAsia="Calibri"/>
        </w:rPr>
        <w:t xml:space="preserve">The EIM </w:t>
      </w:r>
      <w:r w:rsidR="00A43B57" w:rsidRPr="00642F1C">
        <w:rPr>
          <w:rFonts w:eastAsia="Calibri"/>
        </w:rPr>
        <w:t>Entity S</w:t>
      </w:r>
      <w:r w:rsidRPr="00642F1C">
        <w:rPr>
          <w:rFonts w:eastAsia="Calibri"/>
        </w:rPr>
        <w:t xml:space="preserve">cheduling </w:t>
      </w:r>
      <w:r w:rsidR="00A43B57" w:rsidRPr="00642F1C">
        <w:rPr>
          <w:rFonts w:eastAsia="Calibri"/>
        </w:rPr>
        <w:t>C</w:t>
      </w:r>
      <w:r w:rsidRPr="00642F1C">
        <w:rPr>
          <w:rFonts w:eastAsia="Calibri"/>
        </w:rPr>
        <w:t xml:space="preserve">oordinator has visibility to all elements of the </w:t>
      </w:r>
      <w:r w:rsidR="00F43672">
        <w:rPr>
          <w:rFonts w:eastAsia="Calibri"/>
        </w:rPr>
        <w:t xml:space="preserve">EIM </w:t>
      </w:r>
      <w:r w:rsidRPr="00642F1C">
        <w:rPr>
          <w:rFonts w:eastAsia="Calibri"/>
        </w:rPr>
        <w:t xml:space="preserve">Resource Plan and the results of the various checks in the resource sufficiency evaluation described below, and is able to make changes to hourly Base Schedules to resolve unbalanced supply and demand, transmission flow overloads, insufficient </w:t>
      </w:r>
      <w:r w:rsidR="00F43672">
        <w:rPr>
          <w:rFonts w:eastAsia="Calibri"/>
        </w:rPr>
        <w:t xml:space="preserve">EIM </w:t>
      </w:r>
      <w:r w:rsidRPr="00642F1C">
        <w:rPr>
          <w:rFonts w:eastAsia="Calibri"/>
        </w:rPr>
        <w:t xml:space="preserve">Participating Resource bid range, and ramping capability </w:t>
      </w:r>
      <w:r w:rsidRPr="00877DDB">
        <w:rPr>
          <w:rFonts w:cs="Arial"/>
          <w:kern w:val="16"/>
        </w:rPr>
        <w:t xml:space="preserve">up to 55 minutes before the start of the Operating Hour (interim revision)  and up to 40 minutes before the start of the </w:t>
      </w:r>
      <w:r w:rsidRPr="00877DDB">
        <w:rPr>
          <w:rFonts w:cs="Arial"/>
          <w:kern w:val="16"/>
        </w:rPr>
        <w:lastRenderedPageBreak/>
        <w:t>Operating Hour (final revision)</w:t>
      </w:r>
      <w:r w:rsidRPr="00642F1C">
        <w:rPr>
          <w:rFonts w:eastAsia="Calibri"/>
        </w:rPr>
        <w:t xml:space="preserve">.  This provides the EIM </w:t>
      </w:r>
      <w:r w:rsidR="00A43B57" w:rsidRPr="00642F1C">
        <w:rPr>
          <w:rFonts w:eastAsia="Calibri"/>
        </w:rPr>
        <w:t>Entity</w:t>
      </w:r>
      <w:r w:rsidRPr="00642F1C">
        <w:rPr>
          <w:rFonts w:eastAsia="Calibri"/>
        </w:rPr>
        <w:t xml:space="preserve"> </w:t>
      </w:r>
      <w:r w:rsidR="00A43B57" w:rsidRPr="00642F1C">
        <w:rPr>
          <w:rFonts w:eastAsia="Calibri"/>
        </w:rPr>
        <w:t>S</w:t>
      </w:r>
      <w:r w:rsidRPr="00642F1C">
        <w:rPr>
          <w:rFonts w:eastAsia="Calibri"/>
        </w:rPr>
        <w:t xml:space="preserve">cheduling </w:t>
      </w:r>
      <w:r w:rsidR="00A43B57" w:rsidRPr="00642F1C">
        <w:rPr>
          <w:rFonts w:eastAsia="Calibri"/>
        </w:rPr>
        <w:t>C</w:t>
      </w:r>
      <w:r w:rsidRPr="00642F1C">
        <w:rPr>
          <w:rFonts w:eastAsia="Calibri"/>
        </w:rPr>
        <w:t xml:space="preserve">oordinator with the opportunity to resolve any identified issues prior to the start of the EIM.  At 40 minutes prior to the operating hour, the hourly </w:t>
      </w:r>
      <w:r w:rsidR="00F43672">
        <w:rPr>
          <w:rFonts w:eastAsia="Calibri"/>
        </w:rPr>
        <w:t xml:space="preserve">EIM </w:t>
      </w:r>
      <w:r w:rsidRPr="00642F1C">
        <w:rPr>
          <w:rFonts w:eastAsia="Calibri"/>
        </w:rPr>
        <w:t xml:space="preserve">Resource Plan is approved by the EIM </w:t>
      </w:r>
      <w:r w:rsidR="00A43B57" w:rsidRPr="00642F1C">
        <w:rPr>
          <w:rFonts w:eastAsia="Calibri"/>
        </w:rPr>
        <w:t>Entity</w:t>
      </w:r>
      <w:r w:rsidRPr="00642F1C">
        <w:rPr>
          <w:rFonts w:eastAsia="Calibri"/>
        </w:rPr>
        <w:t xml:space="preserve"> </w:t>
      </w:r>
      <w:r w:rsidR="00A43B57" w:rsidRPr="00642F1C">
        <w:rPr>
          <w:rFonts w:eastAsia="Calibri"/>
        </w:rPr>
        <w:t>S</w:t>
      </w:r>
      <w:r w:rsidRPr="00642F1C">
        <w:rPr>
          <w:rFonts w:eastAsia="Calibri"/>
        </w:rPr>
        <w:t xml:space="preserve">cheduling </w:t>
      </w:r>
      <w:r w:rsidR="00A43B57" w:rsidRPr="00642F1C">
        <w:rPr>
          <w:rFonts w:eastAsia="Calibri"/>
        </w:rPr>
        <w:t>C</w:t>
      </w:r>
      <w:r w:rsidRPr="00642F1C">
        <w:rPr>
          <w:rFonts w:eastAsia="Calibri"/>
        </w:rPr>
        <w:t>oordinator and it becomes final.</w:t>
      </w:r>
    </w:p>
    <w:p w14:paraId="2CD397B8" w14:textId="77777777" w:rsidR="00571BB2" w:rsidRPr="00642F1C" w:rsidRDefault="00571BB2">
      <w:pPr>
        <w:spacing w:after="240" w:line="300" w:lineRule="auto"/>
        <w:rPr>
          <w:rFonts w:eastAsia="Calibri"/>
        </w:rPr>
      </w:pPr>
      <w:r w:rsidRPr="00642F1C">
        <w:rPr>
          <w:rFonts w:eastAsia="Calibri"/>
        </w:rPr>
        <w:t xml:space="preserve">These final hourly Base Schedules are used to balance against the load forecast and serve as the baseline for settling imbalance energy in the EIM.  </w:t>
      </w:r>
    </w:p>
    <w:p w14:paraId="07426909" w14:textId="6A99F319" w:rsidR="008C1669" w:rsidRDefault="008C1669">
      <w:pPr>
        <w:spacing w:after="240" w:line="300" w:lineRule="auto"/>
        <w:rPr>
          <w:rFonts w:eastAsia="Calibri"/>
        </w:rPr>
      </w:pPr>
      <w:r w:rsidRPr="00642F1C">
        <w:rPr>
          <w:rFonts w:eastAsia="Calibri"/>
        </w:rPr>
        <w:t>In addition to hourly Base Schedules, EIM Participating Resources have the opportunity to submit bid offers</w:t>
      </w:r>
      <w:r>
        <w:rPr>
          <w:rFonts w:eastAsia="Calibri"/>
        </w:rPr>
        <w:t xml:space="preserve"> and estimated Generator Distribution Factors (GDFs) for aggregate resources</w:t>
      </w:r>
      <w:r w:rsidRPr="00642F1C">
        <w:rPr>
          <w:rFonts w:eastAsia="Calibri"/>
        </w:rPr>
        <w:t xml:space="preserve"> </w:t>
      </w:r>
      <w:r>
        <w:rPr>
          <w:rFonts w:eastAsia="Calibri"/>
        </w:rPr>
        <w:t xml:space="preserve">in SIBR </w:t>
      </w:r>
      <w:r w:rsidRPr="00642F1C">
        <w:rPr>
          <w:rFonts w:eastAsia="Calibri"/>
        </w:rPr>
        <w:t>by</w:t>
      </w:r>
      <w:r>
        <w:rPr>
          <w:rFonts w:eastAsia="Calibri"/>
        </w:rPr>
        <w:t xml:space="preserve"> T–</w:t>
      </w:r>
      <w:r w:rsidRPr="00642F1C">
        <w:rPr>
          <w:rFonts w:eastAsia="Calibri"/>
        </w:rPr>
        <w:t>75</w:t>
      </w:r>
      <w:r>
        <w:rPr>
          <w:rFonts w:eastAsia="Calibri"/>
        </w:rPr>
        <w:t>.</w:t>
      </w:r>
      <w:r w:rsidRPr="00642F1C">
        <w:rPr>
          <w:rFonts w:eastAsia="Calibri"/>
        </w:rPr>
        <w:t xml:space="preserve"> </w:t>
      </w:r>
      <w:r>
        <w:rPr>
          <w:rFonts w:eastAsia="Calibri"/>
        </w:rPr>
        <w:t>These factors are used to distribute aggregate energy schedules to the individual physical units in the aggregation.</w:t>
      </w:r>
    </w:p>
    <w:p w14:paraId="19C423F6" w14:textId="043DF821" w:rsidR="008C1669" w:rsidRDefault="008C1669">
      <w:pPr>
        <w:spacing w:after="240" w:line="300" w:lineRule="auto"/>
        <w:rPr>
          <w:rFonts w:eastAsia="Calibri"/>
        </w:rPr>
      </w:pPr>
      <w:r>
        <w:rPr>
          <w:rFonts w:eastAsia="Calibri"/>
        </w:rPr>
        <w:t>For aggregate EIM non-participating resources, Base Schedule Coordinators can submit base GDFs in BSAP by T–75, T–55, and T–40. These factors are used to distribute aggregate energy schedules to the individual physical units in the aggregation.</w:t>
      </w:r>
    </w:p>
    <w:p w14:paraId="7F7E82F4" w14:textId="245635F7" w:rsidR="008C1669" w:rsidRDefault="008C1669">
      <w:r>
        <w:rPr>
          <w:rFonts w:eastAsia="Calibri"/>
        </w:rPr>
        <w:t>If GDFs are not provided with the base schedule or bid for an aggregate resource, the registered default GDFs for that resource in the Master File, normalized for physical outages, will be used instead.</w:t>
      </w:r>
    </w:p>
    <w:p w14:paraId="0983A15F" w14:textId="77777777" w:rsidR="00571BB2" w:rsidRPr="008817D0" w:rsidRDefault="00571BB2" w:rsidP="008817D0">
      <w:pPr>
        <w:spacing w:after="240" w:line="300" w:lineRule="auto"/>
        <w:rPr>
          <w:rFonts w:eastAsia="Calibri"/>
        </w:rPr>
      </w:pPr>
    </w:p>
    <w:p w14:paraId="19D275AF" w14:textId="77777777" w:rsidR="00D56C99" w:rsidRPr="008817D0" w:rsidRDefault="00D56C99" w:rsidP="00D56C99">
      <w:pPr>
        <w:pStyle w:val="Heading3"/>
        <w:rPr>
          <w:rFonts w:eastAsia="Calibri"/>
        </w:rPr>
      </w:pPr>
      <w:bookmarkStart w:id="1932" w:name="_Toc390869243"/>
      <w:bookmarkStart w:id="1933" w:name="_Toc390946293"/>
      <w:bookmarkStart w:id="1934" w:name="_Toc391969854"/>
      <w:bookmarkStart w:id="1935" w:name="_Toc20384121"/>
      <w:r w:rsidRPr="008817D0">
        <w:rPr>
          <w:rFonts w:eastAsia="Calibri"/>
        </w:rPr>
        <w:t>Resource Sufficiency Evaluation</w:t>
      </w:r>
      <w:bookmarkEnd w:id="1932"/>
      <w:bookmarkEnd w:id="1933"/>
      <w:bookmarkEnd w:id="1934"/>
      <w:bookmarkEnd w:id="1935"/>
    </w:p>
    <w:p w14:paraId="39F96895" w14:textId="3EFB9CF8" w:rsidR="007D061D" w:rsidRDefault="008817D0" w:rsidP="00877DDB">
      <w:pPr>
        <w:spacing w:after="240" w:line="300" w:lineRule="auto"/>
      </w:pPr>
      <w:r w:rsidRPr="008817D0">
        <w:rPr>
          <w:rFonts w:eastAsia="Calibri"/>
        </w:rPr>
        <w:t>The EIM does not include forward resource adequacy requirements or obligations for resources to submit bids, but instead includes several elements to ensure each EIM balancing authority has sufficient resources to serve its load while still realizing the benefits o</w:t>
      </w:r>
      <w:r w:rsidR="005C0E23">
        <w:rPr>
          <w:rFonts w:eastAsia="Calibri"/>
        </w:rPr>
        <w:t>f increased resource diversity</w:t>
      </w:r>
      <w:r w:rsidR="00E33AAC">
        <w:rPr>
          <w:rFonts w:eastAsia="Calibri"/>
        </w:rPr>
        <w:t xml:space="preserve">. </w:t>
      </w:r>
      <w:r w:rsidR="007D061D" w:rsidRPr="00F8253C">
        <w:rPr>
          <w:rFonts w:eastAsia="Calibri"/>
        </w:rPr>
        <w:t xml:space="preserve">Load </w:t>
      </w:r>
      <w:r w:rsidR="007D061D">
        <w:rPr>
          <w:rFonts w:eastAsia="Calibri"/>
        </w:rPr>
        <w:t>conformance</w:t>
      </w:r>
      <w:r w:rsidR="007D061D" w:rsidRPr="00F8253C">
        <w:rPr>
          <w:rFonts w:eastAsia="Calibri"/>
        </w:rPr>
        <w:t xml:space="preserve">, transmission limit conformance and manual dispatch will not be considered in the Real Time Base Schedule Tests.  For dispatch and when base schedule tests are performed, it will be assumed that base schedules and bid in capacity are adjusted to account for generation outages and </w:t>
      </w:r>
      <w:r w:rsidR="007D061D">
        <w:rPr>
          <w:rFonts w:eastAsia="Calibri"/>
        </w:rPr>
        <w:t>ancillary services</w:t>
      </w:r>
      <w:r w:rsidR="007D061D" w:rsidRPr="00F8253C">
        <w:rPr>
          <w:rFonts w:eastAsia="Calibri"/>
        </w:rPr>
        <w:t>.  </w:t>
      </w:r>
      <w:r w:rsidR="007D061D" w:rsidRPr="00877DDB">
        <w:rPr>
          <w:rFonts w:eastAsia="Calibri"/>
          <w:i/>
        </w:rPr>
        <w:t>i</w:t>
      </w:r>
      <w:r w:rsidR="008D621F" w:rsidRPr="00877DDB">
        <w:rPr>
          <w:rFonts w:eastAsia="Calibri"/>
          <w:i/>
        </w:rPr>
        <w:t>.</w:t>
      </w:r>
      <w:r w:rsidR="007D061D" w:rsidRPr="00877DDB">
        <w:rPr>
          <w:rFonts w:eastAsia="Calibri"/>
          <w:i/>
        </w:rPr>
        <w:t>e.</w:t>
      </w:r>
      <w:r w:rsidR="007D061D" w:rsidRPr="00F8253C">
        <w:rPr>
          <w:rFonts w:eastAsia="Calibri"/>
        </w:rPr>
        <w:t>,</w:t>
      </w:r>
      <w:r w:rsidR="00F43672">
        <w:rPr>
          <w:rFonts w:eastAsia="Calibri"/>
        </w:rPr>
        <w:t xml:space="preserve"> a </w:t>
      </w:r>
      <w:r w:rsidR="007D061D" w:rsidRPr="00F8253C">
        <w:rPr>
          <w:rFonts w:eastAsia="Calibri"/>
        </w:rPr>
        <w:t>100 MW generator bids in full capacity, but has a 20 MW derate and 10 MW of SPIN.  The base schedule tests will only count 70 MW and the real time market will only dispatch up to 70</w:t>
      </w:r>
      <w:r w:rsidR="00F43672">
        <w:rPr>
          <w:rFonts w:eastAsia="Calibri"/>
        </w:rPr>
        <w:t xml:space="preserve"> </w:t>
      </w:r>
      <w:r w:rsidR="007D061D" w:rsidRPr="00F8253C">
        <w:rPr>
          <w:rFonts w:eastAsia="Calibri"/>
        </w:rPr>
        <w:t>MW</w:t>
      </w:r>
      <w:r w:rsidR="007D061D">
        <w:rPr>
          <w:rFonts w:eastAsia="Calibri"/>
        </w:rPr>
        <w:t xml:space="preserve">. </w:t>
      </w:r>
    </w:p>
    <w:p w14:paraId="302DE3D6" w14:textId="77777777" w:rsidR="008817D0" w:rsidRPr="008817D0" w:rsidRDefault="00E33AAC" w:rsidP="008817D0">
      <w:pPr>
        <w:spacing w:after="240" w:line="300" w:lineRule="auto"/>
        <w:rPr>
          <w:rFonts w:eastAsia="Calibri"/>
        </w:rPr>
      </w:pPr>
      <w:r>
        <w:rPr>
          <w:rFonts w:eastAsia="Calibri"/>
        </w:rPr>
        <w:t xml:space="preserve"> </w:t>
      </w:r>
      <w:r w:rsidR="008817D0" w:rsidRPr="008817D0">
        <w:rPr>
          <w:rFonts w:eastAsia="Calibri"/>
        </w:rPr>
        <w:t>The EIM design elements that ensure resource sufficiency include:</w:t>
      </w:r>
    </w:p>
    <w:p w14:paraId="6723F30B" w14:textId="77777777" w:rsidR="008C1669" w:rsidRPr="00481EEA" w:rsidRDefault="008817D0" w:rsidP="000F0531">
      <w:pPr>
        <w:pStyle w:val="ListParagraph"/>
        <w:numPr>
          <w:ilvl w:val="0"/>
          <w:numId w:val="13"/>
        </w:numPr>
        <w:rPr>
          <w:rFonts w:eastAsia="Calibri"/>
        </w:rPr>
      </w:pPr>
      <w:r w:rsidRPr="00481EEA">
        <w:rPr>
          <w:rFonts w:eastAsia="Calibri"/>
          <w:b/>
          <w:bCs/>
        </w:rPr>
        <w:t>Load Base Schedule Adjustments:</w:t>
      </w:r>
      <w:r w:rsidR="00E33AAC" w:rsidRPr="00481EEA">
        <w:rPr>
          <w:rFonts w:eastAsia="Calibri"/>
          <w:b/>
          <w:bCs/>
        </w:rPr>
        <w:t xml:space="preserve">  </w:t>
      </w:r>
      <w:r w:rsidR="000B6D3C" w:rsidRPr="00481EEA">
        <w:rPr>
          <w:rFonts w:eastAsia="Calibri"/>
        </w:rPr>
        <w:t>If Base S</w:t>
      </w:r>
      <w:r w:rsidRPr="00481EEA">
        <w:rPr>
          <w:rFonts w:eastAsia="Calibri"/>
        </w:rPr>
        <w:t xml:space="preserve">chedules </w:t>
      </w:r>
      <w:r w:rsidR="001722F1" w:rsidRPr="00481EEA">
        <w:rPr>
          <w:rFonts w:eastAsia="Calibri"/>
        </w:rPr>
        <w:t xml:space="preserve">from generation </w:t>
      </w:r>
      <w:r w:rsidR="0038273D" w:rsidRPr="00481EEA">
        <w:rPr>
          <w:rFonts w:eastAsia="Calibri"/>
        </w:rPr>
        <w:t xml:space="preserve">and intertie </w:t>
      </w:r>
      <w:r w:rsidR="001722F1" w:rsidRPr="00481EEA">
        <w:rPr>
          <w:rFonts w:eastAsia="Calibri"/>
        </w:rPr>
        <w:t>resources in a</w:t>
      </w:r>
      <w:r w:rsidR="0038273D" w:rsidRPr="00481EEA">
        <w:rPr>
          <w:rFonts w:eastAsia="Calibri"/>
        </w:rPr>
        <w:t>n</w:t>
      </w:r>
      <w:r w:rsidR="001722F1" w:rsidRPr="00481EEA">
        <w:rPr>
          <w:rFonts w:eastAsia="Calibri"/>
        </w:rPr>
        <w:t xml:space="preserve"> </w:t>
      </w:r>
      <w:r w:rsidR="004A69C9" w:rsidRPr="00481EEA">
        <w:rPr>
          <w:rFonts w:eastAsia="Calibri"/>
        </w:rPr>
        <w:t xml:space="preserve">EIM </w:t>
      </w:r>
      <w:r w:rsidR="001722F1" w:rsidRPr="00481EEA">
        <w:rPr>
          <w:rFonts w:eastAsia="Calibri"/>
        </w:rPr>
        <w:t>Resource P</w:t>
      </w:r>
      <w:r w:rsidRPr="00481EEA">
        <w:rPr>
          <w:rFonts w:eastAsia="Calibri"/>
        </w:rPr>
        <w:t xml:space="preserve">lan </w:t>
      </w:r>
      <w:r w:rsidR="0038273D" w:rsidRPr="00481EEA">
        <w:rPr>
          <w:rFonts w:eastAsia="Calibri"/>
        </w:rPr>
        <w:t>do not balance</w:t>
      </w:r>
      <w:r w:rsidR="009D507A" w:rsidRPr="00481EEA">
        <w:rPr>
          <w:rFonts w:eastAsia="Calibri"/>
        </w:rPr>
        <w:t xml:space="preserve"> the load forecast, </w:t>
      </w:r>
      <w:r w:rsidR="00E4613C" w:rsidRPr="00481EEA">
        <w:rPr>
          <w:rFonts w:eastAsia="Calibri"/>
        </w:rPr>
        <w:t>CA</w:t>
      </w:r>
      <w:r w:rsidR="000B6D3C" w:rsidRPr="00481EEA">
        <w:rPr>
          <w:rFonts w:eastAsia="Calibri"/>
        </w:rPr>
        <w:t xml:space="preserve">ISO will </w:t>
      </w:r>
      <w:r w:rsidR="000B4FAD" w:rsidRPr="00481EEA">
        <w:rPr>
          <w:rFonts w:eastAsia="Calibri"/>
        </w:rPr>
        <w:t xml:space="preserve">adjust </w:t>
      </w:r>
      <w:r w:rsidR="000B6D3C" w:rsidRPr="00481EEA">
        <w:rPr>
          <w:rFonts w:eastAsia="Calibri"/>
        </w:rPr>
        <w:t>the load Base S</w:t>
      </w:r>
      <w:r w:rsidRPr="00481EEA">
        <w:rPr>
          <w:rFonts w:eastAsia="Calibri"/>
        </w:rPr>
        <w:t>chedule to equal the scheduled generation</w:t>
      </w:r>
      <w:r w:rsidR="00CF554E" w:rsidRPr="00481EEA">
        <w:rPr>
          <w:rFonts w:eastAsia="Calibri"/>
        </w:rPr>
        <w:t xml:space="preserve"> and interchange</w:t>
      </w:r>
      <w:r w:rsidRPr="00481EEA">
        <w:rPr>
          <w:rFonts w:eastAsia="Calibri"/>
        </w:rPr>
        <w:t xml:space="preserve">, reduced by transmission losses. The resulting </w:t>
      </w:r>
      <w:r w:rsidR="00CF554E" w:rsidRPr="00481EEA">
        <w:rPr>
          <w:rFonts w:eastAsia="Calibri"/>
        </w:rPr>
        <w:t xml:space="preserve">difference </w:t>
      </w:r>
      <w:r w:rsidRPr="00481EEA">
        <w:rPr>
          <w:rFonts w:eastAsia="Calibri"/>
        </w:rPr>
        <w:t xml:space="preserve">will be settled through the EIM along with any applicable </w:t>
      </w:r>
      <w:r w:rsidRPr="00481EEA">
        <w:rPr>
          <w:rFonts w:eastAsia="Calibri"/>
        </w:rPr>
        <w:lastRenderedPageBreak/>
        <w:t xml:space="preserve">under-scheduling </w:t>
      </w:r>
      <w:r w:rsidR="00CF554E" w:rsidRPr="00481EEA">
        <w:rPr>
          <w:rFonts w:eastAsia="Calibri"/>
        </w:rPr>
        <w:t xml:space="preserve">or over-scheduling </w:t>
      </w:r>
      <w:r w:rsidRPr="00481EEA">
        <w:rPr>
          <w:rFonts w:eastAsia="Calibri"/>
        </w:rPr>
        <w:t xml:space="preserve">penalties as </w:t>
      </w:r>
      <w:r w:rsidR="003D3036" w:rsidRPr="00481EEA">
        <w:rPr>
          <w:rFonts w:eastAsia="Calibri"/>
        </w:rPr>
        <w:t>applicable</w:t>
      </w:r>
      <w:r w:rsidRPr="00481EEA">
        <w:rPr>
          <w:rFonts w:eastAsia="Calibri"/>
        </w:rPr>
        <w:t>.</w:t>
      </w:r>
      <w:r w:rsidR="00CB7C91" w:rsidRPr="00481EEA">
        <w:rPr>
          <w:rFonts w:eastAsia="Calibri"/>
        </w:rPr>
        <w:t xml:space="preserve"> The load Base Schedule is only used as a reference for calculating load imbalance energy for settlement. The market solution will use the applicable demand forecast for each interval in the market horizon.</w:t>
      </w:r>
    </w:p>
    <w:p w14:paraId="6B8A5C0F" w14:textId="1A60F8BC" w:rsidR="008817D0" w:rsidRPr="00BA2E6E" w:rsidRDefault="008C1669" w:rsidP="008C1669">
      <w:pPr>
        <w:ind w:left="1080"/>
        <w:rPr>
          <w:rFonts w:eastAsia="Calibri"/>
        </w:rPr>
      </w:pPr>
      <w:r w:rsidRPr="004A2ED2">
        <w:rPr>
          <w:rFonts w:eastAsia="Calibri"/>
        </w:rPr>
        <w:t>The forecasted demand for the trading hour may change based on the system conditions, so this information is updated up to 60 minutes before the trading</w:t>
      </w:r>
      <w:r>
        <w:rPr>
          <w:rFonts w:eastAsia="Calibri"/>
        </w:rPr>
        <w:t xml:space="preserve"> hour</w:t>
      </w:r>
      <w:r w:rsidRPr="004A2ED2">
        <w:rPr>
          <w:rFonts w:eastAsia="Calibri"/>
        </w:rPr>
        <w:t>. At 40 minutes before the trading hour, the forecast demand updated at 60 minutes before the trading hour is used to evaluate under-scheduling and over-scheduling penalties.</w:t>
      </w:r>
    </w:p>
    <w:p w14:paraId="2C16488E" w14:textId="5A4F3BAC" w:rsidR="002966D9" w:rsidRPr="002966D9" w:rsidRDefault="008817D0" w:rsidP="002966D9">
      <w:pPr>
        <w:pStyle w:val="ListParagraph"/>
        <w:numPr>
          <w:ilvl w:val="0"/>
          <w:numId w:val="13"/>
        </w:numPr>
      </w:pPr>
      <w:r w:rsidRPr="002966D9">
        <w:rPr>
          <w:rFonts w:eastAsia="Calibri"/>
          <w:b/>
          <w:bCs/>
        </w:rPr>
        <w:t xml:space="preserve">Under-Scheduling and Over-Scheduling Penalties and Resource Balancing Provisions:  </w:t>
      </w:r>
      <w:r w:rsidR="002966D9">
        <w:t>For each trade hour, the EIM Balancing Test determines whether the BAA’s  sum of base schedules (generation and net scheduled interchange, including base transfers) is within a 1% margin (over or under) of the hourly demand forecast. The hourly imbalance values are calculated based on the absolute difference between the sum of base schedules</w:t>
      </w:r>
      <w:r w:rsidR="002966D9" w:rsidDel="003F3CBA">
        <w:t xml:space="preserve"> </w:t>
      </w:r>
      <w:r w:rsidR="002966D9">
        <w:t>and the hourly demand forecast in the over or under direction.</w:t>
      </w:r>
      <w:r w:rsidR="002966D9" w:rsidRPr="002966D9">
        <w:rPr>
          <w:rFonts w:eastAsia="Calibri"/>
          <w:b/>
          <w:bCs/>
        </w:rPr>
        <w:t xml:space="preserve"> </w:t>
      </w:r>
      <w:r w:rsidR="002966D9" w:rsidRPr="002966D9">
        <w:rPr>
          <w:rFonts w:eastAsia="Calibri"/>
        </w:rPr>
        <w:t>If an EIM balancing authority elects to use the CAISO Demand Forecast and does not schedule resources within one percent of CAISO Demand Forecast</w:t>
      </w:r>
      <w:r w:rsidR="002966D9" w:rsidRPr="002966D9">
        <w:rPr>
          <w:color w:val="FF0000"/>
        </w:rPr>
        <w:t xml:space="preserve"> or the EIM Entity elects their own demand forecast</w:t>
      </w:r>
      <w:r w:rsidR="002966D9" w:rsidRPr="002966D9">
        <w:rPr>
          <w:rFonts w:eastAsia="Calibri"/>
        </w:rPr>
        <w:t>, then the EIM balancing authority will be subject to over-scheduling or under-scheduling assessment.  If the over-scheduling or under-scheduling assessment determines the EIM balancing authority metered load is five percent more or less than its load Base Schedule for that hour, over-scheduling or under-scheduling penalties will be applied. If an EIM balancing authority does not use CAISO’s forecast, then it will be subject to over-scheduling or under-scheduling penalties for actual load imbalances. The penalties collected will be allocated to the other balancing authorities who have not incurred a scheduling penalty for the Operating Day.</w:t>
      </w:r>
    </w:p>
    <w:p w14:paraId="0636797F" w14:textId="77777777" w:rsidR="002966D9" w:rsidRDefault="002966D9" w:rsidP="002966D9">
      <w:pPr>
        <w:ind w:left="1080"/>
        <w:rPr>
          <w:rFonts w:eastAsia="Calibri"/>
        </w:rPr>
      </w:pPr>
      <w:r>
        <w:rPr>
          <w:rFonts w:eastAsia="Calibri"/>
        </w:rPr>
        <w:t>Examples:</w:t>
      </w:r>
    </w:p>
    <w:tbl>
      <w:tblPr>
        <w:tblStyle w:val="TableGrid"/>
        <w:tblW w:w="0" w:type="auto"/>
        <w:tblLook w:val="04A0" w:firstRow="1" w:lastRow="0" w:firstColumn="1" w:lastColumn="0" w:noHBand="0" w:noVBand="1"/>
      </w:tblPr>
      <w:tblGrid>
        <w:gridCol w:w="538"/>
        <w:gridCol w:w="3306"/>
        <w:gridCol w:w="5506"/>
      </w:tblGrid>
      <w:tr w:rsidR="002966D9" w14:paraId="3169A502" w14:textId="77777777" w:rsidTr="002966D9">
        <w:trPr>
          <w:cantSplit/>
          <w:trHeight w:val="449"/>
          <w:tblHeader/>
        </w:trPr>
        <w:tc>
          <w:tcPr>
            <w:tcW w:w="0" w:type="auto"/>
            <w:shd w:val="clear" w:color="auto" w:fill="F2F2F2" w:themeFill="background1" w:themeFillShade="F2"/>
          </w:tcPr>
          <w:p w14:paraId="72DFB601" w14:textId="77777777" w:rsidR="002966D9" w:rsidRDefault="002966D9" w:rsidP="002966D9">
            <w:pPr>
              <w:jc w:val="center"/>
              <w:rPr>
                <w:rFonts w:cs="Arial"/>
                <w:b/>
                <w:bCs/>
              </w:rPr>
            </w:pPr>
            <w:r>
              <w:rPr>
                <w:rFonts w:cs="Arial"/>
                <w:b/>
                <w:bCs/>
              </w:rPr>
              <w:t>No.</w:t>
            </w:r>
          </w:p>
        </w:tc>
        <w:tc>
          <w:tcPr>
            <w:tcW w:w="0" w:type="auto"/>
            <w:shd w:val="clear" w:color="auto" w:fill="F2F2F2" w:themeFill="background1" w:themeFillShade="F2"/>
          </w:tcPr>
          <w:p w14:paraId="0B563F66" w14:textId="77777777" w:rsidR="002966D9" w:rsidRDefault="002966D9" w:rsidP="002966D9">
            <w:pPr>
              <w:rPr>
                <w:rFonts w:cs="Arial"/>
                <w:b/>
                <w:bCs/>
              </w:rPr>
            </w:pPr>
            <w:r>
              <w:rPr>
                <w:rFonts w:cs="Arial"/>
                <w:b/>
                <w:bCs/>
              </w:rPr>
              <w:t>Scenario Description</w:t>
            </w:r>
          </w:p>
        </w:tc>
        <w:tc>
          <w:tcPr>
            <w:tcW w:w="0" w:type="auto"/>
            <w:shd w:val="clear" w:color="auto" w:fill="F2F2F2" w:themeFill="background1" w:themeFillShade="F2"/>
          </w:tcPr>
          <w:p w14:paraId="06CAE96D" w14:textId="77777777" w:rsidR="002966D9" w:rsidRDefault="002966D9" w:rsidP="002966D9">
            <w:pPr>
              <w:rPr>
                <w:rFonts w:cs="Arial"/>
                <w:b/>
                <w:bCs/>
              </w:rPr>
            </w:pPr>
            <w:r>
              <w:rPr>
                <w:rFonts w:cs="Arial"/>
                <w:b/>
                <w:bCs/>
              </w:rPr>
              <w:t>Expected Results</w:t>
            </w:r>
          </w:p>
        </w:tc>
      </w:tr>
      <w:tr w:rsidR="002966D9" w14:paraId="28F60D5F" w14:textId="77777777" w:rsidTr="002966D9">
        <w:trPr>
          <w:cantSplit/>
          <w:trHeight w:val="2332"/>
        </w:trPr>
        <w:tc>
          <w:tcPr>
            <w:tcW w:w="0" w:type="auto"/>
          </w:tcPr>
          <w:p w14:paraId="3CEC1039" w14:textId="77777777" w:rsidR="002966D9" w:rsidRDefault="002966D9" w:rsidP="002966D9">
            <w:pPr>
              <w:jc w:val="center"/>
              <w:rPr>
                <w:rFonts w:cs="Arial"/>
                <w:b/>
                <w:bCs/>
              </w:rPr>
            </w:pPr>
            <w:r>
              <w:rPr>
                <w:rFonts w:cs="Arial"/>
                <w:b/>
                <w:bCs/>
              </w:rPr>
              <w:t>1</w:t>
            </w:r>
          </w:p>
        </w:tc>
        <w:tc>
          <w:tcPr>
            <w:tcW w:w="0" w:type="auto"/>
          </w:tcPr>
          <w:p w14:paraId="47373405" w14:textId="77777777" w:rsidR="002966D9" w:rsidRDefault="002966D9" w:rsidP="002966D9">
            <w:pPr>
              <w:rPr>
                <w:rFonts w:cs="Arial"/>
                <w:bCs/>
              </w:rPr>
            </w:pPr>
            <w:r w:rsidRPr="00767A7E">
              <w:rPr>
                <w:rFonts w:cs="Arial"/>
                <w:bCs/>
              </w:rPr>
              <w:t xml:space="preserve">EIM Balancing Test result </w:t>
            </w:r>
            <w:r>
              <w:rPr>
                <w:rFonts w:cs="Arial"/>
                <w:bCs/>
              </w:rPr>
              <w:t>fails (over):</w:t>
            </w:r>
          </w:p>
          <w:p w14:paraId="2BD39170" w14:textId="2CB12CFF" w:rsidR="002966D9" w:rsidRPr="00231A69" w:rsidRDefault="002966D9" w:rsidP="002966D9">
            <w:pPr>
              <w:pStyle w:val="ListParagraph"/>
              <w:numPr>
                <w:ilvl w:val="0"/>
                <w:numId w:val="79"/>
              </w:numPr>
              <w:spacing w:before="120" w:after="120" w:line="240" w:lineRule="exact"/>
              <w:ind w:left="158" w:hanging="158"/>
              <w:jc w:val="left"/>
              <w:rPr>
                <w:rFonts w:cs="Arial"/>
                <w:bCs/>
                <w:sz w:val="16"/>
              </w:rPr>
            </w:pPr>
            <w:r w:rsidRPr="00231A69">
              <w:rPr>
                <w:rFonts w:cs="Arial"/>
                <w:bCs/>
                <w:sz w:val="16"/>
              </w:rPr>
              <w:t xml:space="preserve">BAA </w:t>
            </w:r>
            <w:r>
              <w:t>sum of base schedules</w:t>
            </w:r>
            <w:r w:rsidRPr="00231A69" w:rsidDel="003F3CBA">
              <w:rPr>
                <w:rFonts w:cs="Arial"/>
                <w:bCs/>
                <w:sz w:val="16"/>
              </w:rPr>
              <w:t xml:space="preserve"> </w:t>
            </w:r>
            <w:r>
              <w:rPr>
                <w:rFonts w:cs="Arial"/>
                <w:bCs/>
                <w:sz w:val="16"/>
              </w:rPr>
              <w:t>= 3500 MW</w:t>
            </w:r>
          </w:p>
          <w:p w14:paraId="6E7F458F" w14:textId="77777777" w:rsidR="002966D9" w:rsidRPr="00767A7E" w:rsidRDefault="002966D9" w:rsidP="002966D9">
            <w:pPr>
              <w:pStyle w:val="ListParagraph"/>
              <w:numPr>
                <w:ilvl w:val="0"/>
                <w:numId w:val="79"/>
              </w:numPr>
              <w:spacing w:before="120" w:after="120" w:line="240" w:lineRule="exact"/>
              <w:ind w:left="158" w:hanging="158"/>
              <w:jc w:val="left"/>
              <w:rPr>
                <w:rFonts w:cs="Arial"/>
                <w:bCs/>
              </w:rPr>
            </w:pPr>
            <w:r w:rsidRPr="00231A69">
              <w:rPr>
                <w:rFonts w:cs="Arial"/>
                <w:bCs/>
                <w:sz w:val="16"/>
              </w:rPr>
              <w:t>BAA Hourly Demand Forecast</w:t>
            </w:r>
            <w:r>
              <w:rPr>
                <w:rFonts w:cs="Arial"/>
                <w:bCs/>
                <w:sz w:val="16"/>
              </w:rPr>
              <w:t xml:space="preserve"> = 3580 MW</w:t>
            </w:r>
          </w:p>
        </w:tc>
        <w:tc>
          <w:tcPr>
            <w:tcW w:w="0" w:type="auto"/>
          </w:tcPr>
          <w:p w14:paraId="239C70EB" w14:textId="77777777" w:rsidR="002966D9" w:rsidRPr="00DB5207" w:rsidRDefault="002966D9" w:rsidP="002966D9">
            <w:pPr>
              <w:pStyle w:val="NoSpacing"/>
            </w:pPr>
            <w:r w:rsidRPr="00DB5207">
              <w:t>Since absolute (3500 MW – 3580 MW) &gt; 0.01 * 3580 MW,</w:t>
            </w:r>
          </w:p>
          <w:p w14:paraId="43A4A57D" w14:textId="77777777" w:rsidR="002966D9" w:rsidRPr="00DB5207" w:rsidRDefault="002966D9" w:rsidP="002966D9">
            <w:pPr>
              <w:pStyle w:val="NoSpacing"/>
            </w:pPr>
            <w:r w:rsidRPr="00DB5207">
              <w:t>CMRI results shall provide records as follows:</w:t>
            </w:r>
          </w:p>
          <w:p w14:paraId="1E6D7624" w14:textId="77777777" w:rsidR="002966D9" w:rsidRDefault="002966D9" w:rsidP="002966D9">
            <w:pPr>
              <w:pStyle w:val="NoSpacing"/>
              <w:numPr>
                <w:ilvl w:val="0"/>
                <w:numId w:val="80"/>
              </w:numPr>
              <w:spacing w:before="120" w:after="0" w:line="240" w:lineRule="exact"/>
              <w:jc w:val="left"/>
              <w:rPr>
                <w:sz w:val="16"/>
                <w:szCs w:val="16"/>
              </w:rPr>
            </w:pPr>
            <w:r>
              <w:rPr>
                <w:sz w:val="16"/>
                <w:szCs w:val="16"/>
              </w:rPr>
              <w:t>Test Result:  Fail</w:t>
            </w:r>
          </w:p>
          <w:p w14:paraId="685A12BA" w14:textId="77777777" w:rsidR="002966D9" w:rsidRPr="00DB5207" w:rsidRDefault="002966D9" w:rsidP="002966D9">
            <w:pPr>
              <w:pStyle w:val="NoSpacing"/>
              <w:numPr>
                <w:ilvl w:val="0"/>
                <w:numId w:val="80"/>
              </w:numPr>
              <w:spacing w:before="120" w:after="0" w:line="240" w:lineRule="exact"/>
              <w:jc w:val="left"/>
              <w:rPr>
                <w:sz w:val="16"/>
              </w:rPr>
            </w:pPr>
            <w:r w:rsidRPr="00DB5207">
              <w:rPr>
                <w:sz w:val="16"/>
              </w:rPr>
              <w:t>Imbalance Direction:  UNDER</w:t>
            </w:r>
          </w:p>
          <w:p w14:paraId="628D46A1" w14:textId="77777777" w:rsidR="002966D9" w:rsidRPr="00DB5207" w:rsidRDefault="002966D9" w:rsidP="002966D9">
            <w:pPr>
              <w:pStyle w:val="NoSpacing"/>
              <w:numPr>
                <w:ilvl w:val="0"/>
                <w:numId w:val="80"/>
              </w:numPr>
              <w:spacing w:before="120" w:after="0" w:line="240" w:lineRule="exact"/>
              <w:jc w:val="left"/>
              <w:rPr>
                <w:sz w:val="16"/>
              </w:rPr>
            </w:pPr>
            <w:r w:rsidRPr="00DB5207">
              <w:rPr>
                <w:sz w:val="16"/>
              </w:rPr>
              <w:t>Imbalance Amount (MW):  80.0</w:t>
            </w:r>
          </w:p>
          <w:p w14:paraId="60DB7F41" w14:textId="77777777" w:rsidR="002966D9" w:rsidRPr="00DB5207" w:rsidRDefault="002966D9" w:rsidP="002966D9">
            <w:pPr>
              <w:pStyle w:val="NoSpacing"/>
              <w:numPr>
                <w:ilvl w:val="0"/>
                <w:numId w:val="80"/>
              </w:numPr>
              <w:spacing w:before="120" w:after="0" w:line="240" w:lineRule="exact"/>
              <w:jc w:val="left"/>
              <w:rPr>
                <w:sz w:val="16"/>
                <w:szCs w:val="16"/>
              </w:rPr>
            </w:pPr>
            <w:r w:rsidRPr="00DB5207">
              <w:rPr>
                <w:sz w:val="16"/>
                <w:szCs w:val="16"/>
              </w:rPr>
              <w:t>Imbalance Percentage (%):  2.23</w:t>
            </w:r>
          </w:p>
          <w:p w14:paraId="5FADC89D" w14:textId="77777777" w:rsidR="002966D9" w:rsidRPr="00DB5207" w:rsidRDefault="002966D9" w:rsidP="002966D9">
            <w:pPr>
              <w:pStyle w:val="NoSpacing"/>
              <w:numPr>
                <w:ilvl w:val="0"/>
                <w:numId w:val="80"/>
              </w:numPr>
              <w:spacing w:before="120" w:after="0" w:line="240" w:lineRule="exact"/>
              <w:jc w:val="left"/>
              <w:rPr>
                <w:sz w:val="16"/>
                <w:szCs w:val="16"/>
              </w:rPr>
            </w:pPr>
            <w:r w:rsidRPr="00DB5207">
              <w:rPr>
                <w:sz w:val="16"/>
                <w:szCs w:val="16"/>
              </w:rPr>
              <w:t>Requirement Amount (MW):  3,580.0</w:t>
            </w:r>
          </w:p>
        </w:tc>
      </w:tr>
      <w:tr w:rsidR="002966D9" w14:paraId="588D9BEE" w14:textId="77777777" w:rsidTr="002966D9">
        <w:trPr>
          <w:cantSplit/>
          <w:trHeight w:val="2332"/>
        </w:trPr>
        <w:tc>
          <w:tcPr>
            <w:tcW w:w="0" w:type="auto"/>
          </w:tcPr>
          <w:p w14:paraId="026BC34B" w14:textId="77777777" w:rsidR="002966D9" w:rsidRDefault="002966D9" w:rsidP="002966D9">
            <w:pPr>
              <w:jc w:val="center"/>
              <w:rPr>
                <w:rFonts w:cs="Arial"/>
                <w:b/>
                <w:bCs/>
              </w:rPr>
            </w:pPr>
            <w:r>
              <w:rPr>
                <w:rFonts w:cs="Arial"/>
                <w:b/>
                <w:bCs/>
              </w:rPr>
              <w:lastRenderedPageBreak/>
              <w:t>2</w:t>
            </w:r>
          </w:p>
        </w:tc>
        <w:tc>
          <w:tcPr>
            <w:tcW w:w="0" w:type="auto"/>
          </w:tcPr>
          <w:p w14:paraId="7B2FB62F" w14:textId="77777777" w:rsidR="002966D9" w:rsidRDefault="002966D9" w:rsidP="002966D9">
            <w:pPr>
              <w:rPr>
                <w:rFonts w:cs="Arial"/>
                <w:bCs/>
              </w:rPr>
            </w:pPr>
            <w:r w:rsidRPr="00767A7E">
              <w:rPr>
                <w:rFonts w:cs="Arial"/>
                <w:bCs/>
              </w:rPr>
              <w:t xml:space="preserve">EIM Balancing Test result </w:t>
            </w:r>
            <w:r>
              <w:rPr>
                <w:rFonts w:cs="Arial"/>
                <w:bCs/>
              </w:rPr>
              <w:t>fails (over):</w:t>
            </w:r>
          </w:p>
          <w:p w14:paraId="706D3424" w14:textId="2418019D" w:rsidR="002966D9" w:rsidRDefault="002966D9" w:rsidP="002966D9">
            <w:pPr>
              <w:pStyle w:val="ListParagraph"/>
              <w:numPr>
                <w:ilvl w:val="0"/>
                <w:numId w:val="79"/>
              </w:numPr>
              <w:spacing w:before="120" w:after="120" w:line="240" w:lineRule="exact"/>
              <w:ind w:left="158" w:hanging="158"/>
              <w:jc w:val="left"/>
              <w:rPr>
                <w:rFonts w:cs="Arial"/>
                <w:bCs/>
                <w:sz w:val="16"/>
              </w:rPr>
            </w:pPr>
            <w:r w:rsidRPr="00231A69">
              <w:rPr>
                <w:rFonts w:cs="Arial"/>
                <w:bCs/>
                <w:sz w:val="16"/>
              </w:rPr>
              <w:t xml:space="preserve">BAA </w:t>
            </w:r>
            <w:r>
              <w:t>sum of base schedules</w:t>
            </w:r>
            <w:r w:rsidRPr="00231A69" w:rsidDel="003F3CBA">
              <w:rPr>
                <w:rFonts w:cs="Arial"/>
                <w:bCs/>
                <w:sz w:val="16"/>
              </w:rPr>
              <w:t xml:space="preserve"> </w:t>
            </w:r>
            <w:r>
              <w:rPr>
                <w:rFonts w:cs="Arial"/>
                <w:bCs/>
                <w:sz w:val="16"/>
              </w:rPr>
              <w:t>= 3500 MW</w:t>
            </w:r>
          </w:p>
          <w:p w14:paraId="28763ECB" w14:textId="77777777" w:rsidR="002966D9" w:rsidRDefault="002966D9" w:rsidP="002966D9">
            <w:pPr>
              <w:pStyle w:val="ListParagraph"/>
              <w:numPr>
                <w:ilvl w:val="0"/>
                <w:numId w:val="79"/>
              </w:numPr>
              <w:spacing w:before="120" w:after="120" w:line="240" w:lineRule="exact"/>
              <w:ind w:left="158" w:hanging="158"/>
              <w:jc w:val="left"/>
              <w:rPr>
                <w:rFonts w:cs="Arial"/>
                <w:bCs/>
              </w:rPr>
            </w:pPr>
            <w:r w:rsidRPr="00231A69">
              <w:rPr>
                <w:rFonts w:cs="Arial"/>
                <w:bCs/>
                <w:sz w:val="16"/>
              </w:rPr>
              <w:t>BAA Hourly Demand Forecast</w:t>
            </w:r>
            <w:r>
              <w:rPr>
                <w:rFonts w:cs="Arial"/>
                <w:bCs/>
                <w:sz w:val="16"/>
              </w:rPr>
              <w:t xml:space="preserve"> = 3400 MW</w:t>
            </w:r>
          </w:p>
        </w:tc>
        <w:tc>
          <w:tcPr>
            <w:tcW w:w="0" w:type="auto"/>
          </w:tcPr>
          <w:p w14:paraId="5B53B302" w14:textId="77777777" w:rsidR="002966D9" w:rsidRPr="00DB5207" w:rsidRDefault="002966D9" w:rsidP="002966D9">
            <w:pPr>
              <w:pStyle w:val="NoSpacing"/>
            </w:pPr>
            <w:r w:rsidRPr="00DB5207">
              <w:t>Since absolute (3500 MW – 3400 MW) &gt; 0.01 * 3400 MW,</w:t>
            </w:r>
          </w:p>
          <w:p w14:paraId="35073595" w14:textId="77777777" w:rsidR="002966D9" w:rsidRPr="00DB5207" w:rsidRDefault="002966D9" w:rsidP="002966D9">
            <w:pPr>
              <w:pStyle w:val="NoSpacing"/>
            </w:pPr>
            <w:r w:rsidRPr="00DB5207">
              <w:t>CMRI results shall provide records as follows:</w:t>
            </w:r>
          </w:p>
          <w:p w14:paraId="709F7782" w14:textId="77777777" w:rsidR="002966D9" w:rsidRDefault="002966D9" w:rsidP="002966D9">
            <w:pPr>
              <w:pStyle w:val="NoSpacing"/>
              <w:numPr>
                <w:ilvl w:val="0"/>
                <w:numId w:val="81"/>
              </w:numPr>
              <w:spacing w:before="120" w:after="0" w:line="240" w:lineRule="exact"/>
              <w:jc w:val="left"/>
              <w:rPr>
                <w:sz w:val="16"/>
                <w:szCs w:val="16"/>
              </w:rPr>
            </w:pPr>
            <w:r>
              <w:rPr>
                <w:sz w:val="16"/>
                <w:szCs w:val="16"/>
              </w:rPr>
              <w:t>Test Result:  Fail</w:t>
            </w:r>
          </w:p>
          <w:p w14:paraId="30B8A306" w14:textId="77777777" w:rsidR="002966D9" w:rsidRPr="00DB5207" w:rsidRDefault="002966D9" w:rsidP="002966D9">
            <w:pPr>
              <w:pStyle w:val="NoSpacing"/>
              <w:numPr>
                <w:ilvl w:val="0"/>
                <w:numId w:val="81"/>
              </w:numPr>
              <w:spacing w:before="120" w:after="0" w:line="240" w:lineRule="exact"/>
              <w:jc w:val="left"/>
              <w:rPr>
                <w:sz w:val="16"/>
                <w:szCs w:val="16"/>
              </w:rPr>
            </w:pPr>
            <w:r w:rsidRPr="00DB5207">
              <w:rPr>
                <w:sz w:val="16"/>
                <w:szCs w:val="16"/>
              </w:rPr>
              <w:t>Imbalance Direction:  OVER</w:t>
            </w:r>
          </w:p>
          <w:p w14:paraId="3652ED21" w14:textId="77777777" w:rsidR="002966D9" w:rsidRPr="00DB5207" w:rsidRDefault="002966D9" w:rsidP="002966D9">
            <w:pPr>
              <w:pStyle w:val="NoSpacing"/>
              <w:numPr>
                <w:ilvl w:val="0"/>
                <w:numId w:val="81"/>
              </w:numPr>
              <w:spacing w:before="120" w:after="0" w:line="240" w:lineRule="exact"/>
              <w:jc w:val="left"/>
              <w:rPr>
                <w:sz w:val="16"/>
                <w:szCs w:val="16"/>
              </w:rPr>
            </w:pPr>
            <w:r w:rsidRPr="00DB5207">
              <w:rPr>
                <w:sz w:val="16"/>
                <w:szCs w:val="16"/>
              </w:rPr>
              <w:t>Imbalance Amount (MW):  100.0</w:t>
            </w:r>
          </w:p>
          <w:p w14:paraId="265FDD90" w14:textId="77777777" w:rsidR="002966D9" w:rsidRPr="00DB5207" w:rsidRDefault="002966D9" w:rsidP="002966D9">
            <w:pPr>
              <w:pStyle w:val="NoSpacing"/>
              <w:numPr>
                <w:ilvl w:val="0"/>
                <w:numId w:val="81"/>
              </w:numPr>
              <w:spacing w:before="120" w:after="0" w:line="240" w:lineRule="exact"/>
              <w:jc w:val="left"/>
              <w:rPr>
                <w:sz w:val="16"/>
                <w:szCs w:val="16"/>
              </w:rPr>
            </w:pPr>
            <w:r w:rsidRPr="00DB5207">
              <w:rPr>
                <w:sz w:val="16"/>
                <w:szCs w:val="16"/>
              </w:rPr>
              <w:t>Imbalance Percentage (%):  2.94</w:t>
            </w:r>
          </w:p>
          <w:p w14:paraId="46C3973B" w14:textId="77777777" w:rsidR="002966D9" w:rsidRPr="00DB5207" w:rsidRDefault="002966D9" w:rsidP="002966D9">
            <w:pPr>
              <w:pStyle w:val="NoSpacing"/>
              <w:numPr>
                <w:ilvl w:val="0"/>
                <w:numId w:val="81"/>
              </w:numPr>
              <w:spacing w:before="120" w:after="0" w:line="240" w:lineRule="exact"/>
              <w:jc w:val="left"/>
              <w:rPr>
                <w:sz w:val="16"/>
                <w:szCs w:val="16"/>
              </w:rPr>
            </w:pPr>
            <w:r w:rsidRPr="00DB5207">
              <w:rPr>
                <w:sz w:val="16"/>
                <w:szCs w:val="16"/>
              </w:rPr>
              <w:t>Requirement Amount (MW):  3,400.0</w:t>
            </w:r>
          </w:p>
        </w:tc>
      </w:tr>
      <w:tr w:rsidR="002966D9" w14:paraId="5B2F744F" w14:textId="77777777" w:rsidTr="002966D9">
        <w:trPr>
          <w:cantSplit/>
          <w:trHeight w:val="2332"/>
        </w:trPr>
        <w:tc>
          <w:tcPr>
            <w:tcW w:w="0" w:type="auto"/>
          </w:tcPr>
          <w:p w14:paraId="4BA3F012" w14:textId="77777777" w:rsidR="002966D9" w:rsidRDefault="002966D9" w:rsidP="002966D9">
            <w:pPr>
              <w:jc w:val="center"/>
              <w:rPr>
                <w:rFonts w:cs="Arial"/>
                <w:b/>
                <w:bCs/>
              </w:rPr>
            </w:pPr>
            <w:r>
              <w:rPr>
                <w:rFonts w:cs="Arial"/>
                <w:b/>
                <w:bCs/>
              </w:rPr>
              <w:t>3</w:t>
            </w:r>
          </w:p>
        </w:tc>
        <w:tc>
          <w:tcPr>
            <w:tcW w:w="0" w:type="auto"/>
          </w:tcPr>
          <w:p w14:paraId="6B3DD0FB" w14:textId="77777777" w:rsidR="002966D9" w:rsidRPr="002B79C3" w:rsidRDefault="002966D9" w:rsidP="002966D9">
            <w:pPr>
              <w:rPr>
                <w:rFonts w:cs="Arial"/>
                <w:bCs/>
                <w:sz w:val="16"/>
                <w:szCs w:val="16"/>
              </w:rPr>
            </w:pPr>
            <w:r w:rsidRPr="002B79C3">
              <w:rPr>
                <w:rFonts w:cs="Arial"/>
                <w:bCs/>
                <w:sz w:val="16"/>
                <w:szCs w:val="16"/>
              </w:rPr>
              <w:t>EIM Balancing Test result passes (over or under):</w:t>
            </w:r>
          </w:p>
          <w:p w14:paraId="3D872359" w14:textId="4802A8BF" w:rsidR="002966D9" w:rsidRPr="002B79C3" w:rsidRDefault="002966D9" w:rsidP="002966D9">
            <w:pPr>
              <w:pStyle w:val="ListParagraph"/>
              <w:numPr>
                <w:ilvl w:val="0"/>
                <w:numId w:val="79"/>
              </w:numPr>
              <w:spacing w:before="120" w:after="120" w:line="240" w:lineRule="exact"/>
              <w:ind w:left="158" w:hanging="158"/>
              <w:jc w:val="left"/>
              <w:rPr>
                <w:rFonts w:cs="Arial"/>
                <w:bCs/>
                <w:sz w:val="16"/>
                <w:szCs w:val="16"/>
              </w:rPr>
            </w:pPr>
            <w:r w:rsidRPr="002B79C3">
              <w:rPr>
                <w:rFonts w:cs="Arial"/>
                <w:bCs/>
                <w:sz w:val="16"/>
                <w:szCs w:val="16"/>
              </w:rPr>
              <w:t xml:space="preserve">BAA </w:t>
            </w:r>
            <w:r>
              <w:t>sum of base schedules</w:t>
            </w:r>
            <w:r w:rsidRPr="002B79C3" w:rsidDel="003F3CBA">
              <w:rPr>
                <w:rFonts w:cs="Arial"/>
                <w:bCs/>
                <w:sz w:val="16"/>
                <w:szCs w:val="16"/>
              </w:rPr>
              <w:t xml:space="preserve"> </w:t>
            </w:r>
            <w:r w:rsidRPr="002B79C3">
              <w:rPr>
                <w:rFonts w:cs="Arial"/>
                <w:bCs/>
                <w:sz w:val="16"/>
                <w:szCs w:val="16"/>
              </w:rPr>
              <w:t>= 3500 MW</w:t>
            </w:r>
          </w:p>
          <w:p w14:paraId="0463D20C" w14:textId="77777777" w:rsidR="002966D9" w:rsidRPr="002B79C3" w:rsidRDefault="002966D9" w:rsidP="002966D9">
            <w:pPr>
              <w:pStyle w:val="ListParagraph"/>
              <w:numPr>
                <w:ilvl w:val="0"/>
                <w:numId w:val="79"/>
              </w:numPr>
              <w:spacing w:before="120" w:after="120" w:line="240" w:lineRule="exact"/>
              <w:ind w:left="158" w:hanging="158"/>
              <w:jc w:val="left"/>
              <w:rPr>
                <w:rFonts w:cs="Arial"/>
                <w:bCs/>
                <w:sz w:val="16"/>
                <w:szCs w:val="16"/>
              </w:rPr>
            </w:pPr>
            <w:r w:rsidRPr="002B79C3">
              <w:rPr>
                <w:rFonts w:cs="Arial"/>
                <w:bCs/>
                <w:sz w:val="16"/>
                <w:szCs w:val="16"/>
              </w:rPr>
              <w:t>BAA Hourly Demand Forecast = 34</w:t>
            </w:r>
            <w:r>
              <w:rPr>
                <w:rFonts w:cs="Arial"/>
                <w:bCs/>
                <w:sz w:val="16"/>
                <w:szCs w:val="16"/>
              </w:rPr>
              <w:t>8</w:t>
            </w:r>
            <w:r w:rsidRPr="002B79C3">
              <w:rPr>
                <w:rFonts w:cs="Arial"/>
                <w:bCs/>
                <w:sz w:val="16"/>
                <w:szCs w:val="16"/>
              </w:rPr>
              <w:t>0 MW</w:t>
            </w:r>
          </w:p>
        </w:tc>
        <w:tc>
          <w:tcPr>
            <w:tcW w:w="0" w:type="auto"/>
          </w:tcPr>
          <w:p w14:paraId="047DB921" w14:textId="77777777" w:rsidR="002966D9" w:rsidRPr="00DB5207" w:rsidRDefault="002966D9" w:rsidP="002966D9">
            <w:pPr>
              <w:pStyle w:val="NoSpacing"/>
              <w:rPr>
                <w:szCs w:val="16"/>
              </w:rPr>
            </w:pPr>
            <w:r w:rsidRPr="00DB5207">
              <w:rPr>
                <w:szCs w:val="16"/>
              </w:rPr>
              <w:t>Since absolute (3500 MW – 3480 MW) &lt; 0.01 * 3480 MW,</w:t>
            </w:r>
          </w:p>
          <w:p w14:paraId="6633E540" w14:textId="77777777" w:rsidR="002966D9" w:rsidRPr="00DB5207" w:rsidRDefault="002966D9" w:rsidP="002966D9">
            <w:pPr>
              <w:pStyle w:val="NoSpacing"/>
              <w:rPr>
                <w:szCs w:val="16"/>
              </w:rPr>
            </w:pPr>
            <w:r w:rsidRPr="00DB5207">
              <w:rPr>
                <w:szCs w:val="16"/>
              </w:rPr>
              <w:t>CMRI results shall provide records as follows:</w:t>
            </w:r>
          </w:p>
          <w:p w14:paraId="6FEEC647" w14:textId="77777777" w:rsidR="002966D9" w:rsidRDefault="002966D9" w:rsidP="002966D9">
            <w:pPr>
              <w:pStyle w:val="NoSpacing"/>
              <w:numPr>
                <w:ilvl w:val="0"/>
                <w:numId w:val="82"/>
              </w:numPr>
              <w:spacing w:before="120" w:after="0" w:line="240" w:lineRule="exact"/>
              <w:jc w:val="left"/>
              <w:rPr>
                <w:sz w:val="16"/>
                <w:szCs w:val="16"/>
              </w:rPr>
            </w:pPr>
            <w:r>
              <w:rPr>
                <w:sz w:val="16"/>
                <w:szCs w:val="16"/>
              </w:rPr>
              <w:t>Test Result:  Pass</w:t>
            </w:r>
          </w:p>
          <w:p w14:paraId="36397F90" w14:textId="77777777" w:rsidR="002966D9" w:rsidRPr="00DB5207" w:rsidRDefault="002966D9" w:rsidP="002966D9">
            <w:pPr>
              <w:pStyle w:val="NoSpacing"/>
              <w:numPr>
                <w:ilvl w:val="0"/>
                <w:numId w:val="82"/>
              </w:numPr>
              <w:spacing w:before="120" w:after="0" w:line="240" w:lineRule="exact"/>
              <w:jc w:val="left"/>
              <w:rPr>
                <w:sz w:val="16"/>
                <w:szCs w:val="16"/>
              </w:rPr>
            </w:pPr>
            <w:r w:rsidRPr="00DB5207">
              <w:rPr>
                <w:sz w:val="16"/>
                <w:szCs w:val="16"/>
              </w:rPr>
              <w:t>Imbalance Direction:  OVER</w:t>
            </w:r>
          </w:p>
          <w:p w14:paraId="56DF9532" w14:textId="77777777" w:rsidR="002966D9" w:rsidRPr="00DB5207" w:rsidRDefault="002966D9" w:rsidP="002966D9">
            <w:pPr>
              <w:pStyle w:val="NoSpacing"/>
              <w:numPr>
                <w:ilvl w:val="0"/>
                <w:numId w:val="82"/>
              </w:numPr>
              <w:spacing w:before="120" w:after="0" w:line="240" w:lineRule="exact"/>
              <w:jc w:val="left"/>
              <w:rPr>
                <w:sz w:val="16"/>
                <w:szCs w:val="16"/>
              </w:rPr>
            </w:pPr>
            <w:r w:rsidRPr="00DB5207">
              <w:rPr>
                <w:sz w:val="16"/>
                <w:szCs w:val="16"/>
              </w:rPr>
              <w:t>Imbalance Amount (MW):  20.0</w:t>
            </w:r>
          </w:p>
          <w:p w14:paraId="5A6B8FDB" w14:textId="77777777" w:rsidR="002966D9" w:rsidRPr="00DB5207" w:rsidRDefault="002966D9" w:rsidP="002966D9">
            <w:pPr>
              <w:pStyle w:val="NoSpacing"/>
              <w:numPr>
                <w:ilvl w:val="0"/>
                <w:numId w:val="82"/>
              </w:numPr>
              <w:spacing w:before="120" w:after="0" w:line="240" w:lineRule="exact"/>
              <w:jc w:val="left"/>
              <w:rPr>
                <w:sz w:val="16"/>
                <w:szCs w:val="16"/>
              </w:rPr>
            </w:pPr>
            <w:r w:rsidRPr="00DB5207">
              <w:rPr>
                <w:sz w:val="16"/>
                <w:szCs w:val="16"/>
              </w:rPr>
              <w:t>Imbalance Percentage (%):  0.57</w:t>
            </w:r>
          </w:p>
          <w:p w14:paraId="6B7AA597" w14:textId="77777777" w:rsidR="002966D9" w:rsidRPr="00DB5207" w:rsidRDefault="002966D9" w:rsidP="002966D9">
            <w:pPr>
              <w:pStyle w:val="NoSpacing"/>
              <w:numPr>
                <w:ilvl w:val="0"/>
                <w:numId w:val="82"/>
              </w:numPr>
              <w:spacing w:before="120" w:after="0" w:line="240" w:lineRule="exact"/>
              <w:jc w:val="left"/>
              <w:rPr>
                <w:sz w:val="16"/>
                <w:szCs w:val="16"/>
              </w:rPr>
            </w:pPr>
            <w:r w:rsidRPr="00DB5207">
              <w:rPr>
                <w:sz w:val="16"/>
                <w:szCs w:val="16"/>
              </w:rPr>
              <w:t>Requirement Amount (MW):  3,480.0</w:t>
            </w:r>
          </w:p>
        </w:tc>
      </w:tr>
    </w:tbl>
    <w:p w14:paraId="468DEE9D" w14:textId="77777777" w:rsidR="002966D9" w:rsidRDefault="002966D9"/>
    <w:p w14:paraId="26825630" w14:textId="77777777" w:rsidR="002966D9" w:rsidRDefault="002966D9" w:rsidP="002966D9">
      <w:pPr>
        <w:pStyle w:val="ListParagraph"/>
        <w:ind w:left="1080"/>
      </w:pPr>
    </w:p>
    <w:p w14:paraId="5F710A66" w14:textId="49F1CE96" w:rsidR="003358BB" w:rsidRPr="002966D9" w:rsidRDefault="003358BB" w:rsidP="002966D9">
      <w:pPr>
        <w:pStyle w:val="ListParagraph"/>
        <w:numPr>
          <w:ilvl w:val="0"/>
          <w:numId w:val="13"/>
        </w:numPr>
        <w:rPr>
          <w:rFonts w:eastAsia="Calibri"/>
        </w:rPr>
      </w:pPr>
      <w:r>
        <w:t>CAISO shall set the histogram values described in Section 7.1.3 of the Market BPM to ensure the flexible ramp requirements stay within a reasonable level for a transitional period following implementation. This histogram value will be used until the ISO is able to collect sufficient production-quality data to accurately calculate the flexible requirements based on the historical information gathered from Production. These initial thresholds may be adjusted according to each balancing authority area’s conditions including factors and data observed during market simulation and parallel operations.  These thresholds will allow the Flexible Ramping Requirements to stay within a reasonable band during the transitional period until an accurate histogram can be calculated from Production data for the balancing authority area.</w:t>
      </w:r>
    </w:p>
    <w:p w14:paraId="7CF835A3" w14:textId="7FE72B2C" w:rsidR="002966D9" w:rsidRDefault="008817D0" w:rsidP="002966D9">
      <w:pPr>
        <w:numPr>
          <w:ilvl w:val="0"/>
          <w:numId w:val="13"/>
        </w:numPr>
        <w:rPr>
          <w:rFonts w:eastAsia="Calibri"/>
        </w:rPr>
      </w:pPr>
      <w:r w:rsidRPr="008817D0">
        <w:rPr>
          <w:rFonts w:eastAsia="Calibri"/>
          <w:b/>
          <w:bCs/>
        </w:rPr>
        <w:t xml:space="preserve">Capacity Test:  </w:t>
      </w:r>
      <w:r w:rsidR="002966D9" w:rsidRPr="003E1F12">
        <w:rPr>
          <w:rFonts w:ascii="Arial" w:eastAsia="Times New Roman" w:hAnsi="Arial" w:cs="Arial"/>
          <w:iCs/>
          <w:color w:val="000000"/>
          <w:sz w:val="20"/>
          <w:szCs w:val="20"/>
        </w:rPr>
        <w:t xml:space="preserve">At T-75, T-55, and T-40 </w:t>
      </w:r>
      <w:r w:rsidR="002966D9">
        <w:rPr>
          <w:rFonts w:ascii="Arial" w:eastAsia="Times New Roman" w:hAnsi="Arial" w:cs="Arial"/>
          <w:iCs/>
          <w:color w:val="000000"/>
          <w:sz w:val="20"/>
          <w:szCs w:val="20"/>
        </w:rPr>
        <w:t>minutes</w:t>
      </w:r>
      <w:r w:rsidR="002966D9" w:rsidRPr="008817D0">
        <w:rPr>
          <w:rFonts w:eastAsia="Calibri"/>
          <w:b/>
          <w:bCs/>
        </w:rPr>
        <w:t xml:space="preserve"> </w:t>
      </w:r>
      <w:r w:rsidR="002966D9">
        <w:rPr>
          <w:rFonts w:eastAsia="Calibri"/>
        </w:rPr>
        <w:t xml:space="preserve">prior to the start of the next trading hour, </w:t>
      </w:r>
      <w:r w:rsidR="002966D9" w:rsidRPr="008817D0">
        <w:rPr>
          <w:rFonts w:eastAsia="Calibri"/>
        </w:rPr>
        <w:t xml:space="preserve">CAISO will </w:t>
      </w:r>
      <w:r w:rsidR="002966D9">
        <w:rPr>
          <w:rFonts w:eastAsia="Calibri"/>
        </w:rPr>
        <w:t>independently evaluate all 15-minute intervals within the next trading hour for sufficient bid range capacity for both over and under capacity requirements.</w:t>
      </w:r>
      <w:r w:rsidR="002966D9" w:rsidRPr="008817D0">
        <w:rPr>
          <w:rFonts w:eastAsia="Calibri"/>
        </w:rPr>
        <w:t xml:space="preserve"> There must be a </w:t>
      </w:r>
      <w:r w:rsidR="002966D9">
        <w:rPr>
          <w:rFonts w:eastAsia="Calibri"/>
        </w:rPr>
        <w:t>sufficient EIM Participating R</w:t>
      </w:r>
      <w:r w:rsidR="002966D9" w:rsidRPr="008817D0">
        <w:rPr>
          <w:rFonts w:eastAsia="Calibri"/>
        </w:rPr>
        <w:t xml:space="preserve">esource capacity bid </w:t>
      </w:r>
      <w:r w:rsidR="002966D9">
        <w:rPr>
          <w:rFonts w:eastAsia="Calibri"/>
        </w:rPr>
        <w:t xml:space="preserve">range </w:t>
      </w:r>
      <w:r w:rsidR="002966D9" w:rsidRPr="008817D0">
        <w:rPr>
          <w:rFonts w:eastAsia="Calibri"/>
        </w:rPr>
        <w:t xml:space="preserve">in the EIM through incremental or decremental </w:t>
      </w:r>
      <w:r w:rsidR="002966D9">
        <w:rPr>
          <w:rFonts w:eastAsia="Calibri"/>
        </w:rPr>
        <w:t>energy bids above or below the Base S</w:t>
      </w:r>
      <w:r w:rsidR="002966D9" w:rsidRPr="008817D0">
        <w:rPr>
          <w:rFonts w:eastAsia="Calibri"/>
        </w:rPr>
        <w:t>chedules to meet the imbalance, positive</w:t>
      </w:r>
      <w:r w:rsidR="002966D9">
        <w:rPr>
          <w:rFonts w:eastAsia="Calibri"/>
        </w:rPr>
        <w:t xml:space="preserve"> (represents insufficiency)</w:t>
      </w:r>
      <w:r w:rsidR="002966D9" w:rsidRPr="008817D0">
        <w:rPr>
          <w:rFonts w:eastAsia="Calibri"/>
        </w:rPr>
        <w:t xml:space="preserve"> or negative</w:t>
      </w:r>
      <w:r w:rsidR="002966D9">
        <w:rPr>
          <w:rFonts w:eastAsia="Calibri"/>
        </w:rPr>
        <w:t xml:space="preserve"> (represents sufficiency)</w:t>
      </w:r>
      <w:r w:rsidR="002966D9" w:rsidRPr="008817D0">
        <w:rPr>
          <w:rFonts w:eastAsia="Calibri"/>
        </w:rPr>
        <w:t>. If the EIM balancing authority fails the capacity test</w:t>
      </w:r>
      <w:r w:rsidR="002966D9">
        <w:rPr>
          <w:rFonts w:eastAsia="Calibri"/>
        </w:rPr>
        <w:t xml:space="preserve"> for a 15-minute interval</w:t>
      </w:r>
      <w:r w:rsidR="002966D9" w:rsidRPr="008817D0">
        <w:rPr>
          <w:rFonts w:eastAsia="Calibri"/>
        </w:rPr>
        <w:t>, it will automatically fail the flexible ramp sufficiency test</w:t>
      </w:r>
      <w:r w:rsidR="002966D9">
        <w:rPr>
          <w:rFonts w:eastAsia="Calibri"/>
        </w:rPr>
        <w:t xml:space="preserve"> for the same 15-minute interval in the same direction (Failed over </w:t>
      </w:r>
      <w:r w:rsidR="002966D9">
        <w:rPr>
          <w:rFonts w:eastAsia="Calibri"/>
        </w:rPr>
        <w:lastRenderedPageBreak/>
        <w:t>capacity test will auto-fail upward flexible ramping sufficiency test. Failed under capacity test will auto-fail downward flexible ramping sufficiency test)</w:t>
      </w:r>
      <w:r w:rsidR="002966D9" w:rsidRPr="008817D0">
        <w:rPr>
          <w:rFonts w:eastAsia="Calibri"/>
        </w:rPr>
        <w:t>.</w:t>
      </w:r>
      <w:r w:rsidR="002966D9">
        <w:rPr>
          <w:rFonts w:eastAsia="Calibri"/>
        </w:rPr>
        <w:t xml:space="preserve">The capacity test is applicable to the CAISO BAA. </w:t>
      </w:r>
    </w:p>
    <w:p w14:paraId="592EB60F" w14:textId="77777777" w:rsidR="002966D9" w:rsidRDefault="002966D9" w:rsidP="002966D9">
      <w:pPr>
        <w:ind w:left="1080"/>
        <w:rPr>
          <w:rFonts w:eastAsia="Calibri"/>
        </w:rPr>
      </w:pPr>
      <w:r>
        <w:rPr>
          <w:rFonts w:eastAsia="Calibri"/>
        </w:rPr>
        <w:t xml:space="preserve">Regardless of the capacity test pass/fail results, CAISO will publish the worst 15-minute interval results (i.e. interval with highest bid insufficiency amount, or lowest sufficient amount if all intervals are sufficient) of the trade hour for each insufficiency direction. </w:t>
      </w:r>
    </w:p>
    <w:p w14:paraId="700B436D" w14:textId="77777777" w:rsidR="002966D9" w:rsidRDefault="002966D9" w:rsidP="002966D9">
      <w:pPr>
        <w:ind w:left="1080"/>
        <w:rPr>
          <w:rFonts w:eastAsia="Calibri"/>
        </w:rPr>
      </w:pPr>
      <w:r>
        <w:rPr>
          <w:rFonts w:eastAsia="Calibri"/>
        </w:rPr>
        <w:t>Examples:</w:t>
      </w:r>
    </w:p>
    <w:tbl>
      <w:tblPr>
        <w:tblStyle w:val="TableGrid"/>
        <w:tblW w:w="0" w:type="auto"/>
        <w:tblLook w:val="04A0" w:firstRow="1" w:lastRow="0" w:firstColumn="1" w:lastColumn="0" w:noHBand="0" w:noVBand="1"/>
      </w:tblPr>
      <w:tblGrid>
        <w:gridCol w:w="538"/>
        <w:gridCol w:w="3883"/>
        <w:gridCol w:w="4929"/>
      </w:tblGrid>
      <w:tr w:rsidR="002966D9" w14:paraId="4CC661C2" w14:textId="77777777" w:rsidTr="002966D9">
        <w:trPr>
          <w:cantSplit/>
          <w:tblHeader/>
        </w:trPr>
        <w:tc>
          <w:tcPr>
            <w:tcW w:w="0" w:type="auto"/>
            <w:shd w:val="clear" w:color="auto" w:fill="F2F2F2" w:themeFill="background1" w:themeFillShade="F2"/>
          </w:tcPr>
          <w:p w14:paraId="7B268E9A" w14:textId="77777777" w:rsidR="002966D9" w:rsidRDefault="002966D9" w:rsidP="002966D9">
            <w:pPr>
              <w:jc w:val="center"/>
              <w:rPr>
                <w:rFonts w:cs="Arial"/>
                <w:b/>
                <w:bCs/>
              </w:rPr>
            </w:pPr>
            <w:r>
              <w:rPr>
                <w:rFonts w:cs="Arial"/>
                <w:b/>
                <w:bCs/>
              </w:rPr>
              <w:t>No.</w:t>
            </w:r>
          </w:p>
        </w:tc>
        <w:tc>
          <w:tcPr>
            <w:tcW w:w="0" w:type="auto"/>
            <w:shd w:val="clear" w:color="auto" w:fill="F2F2F2" w:themeFill="background1" w:themeFillShade="F2"/>
          </w:tcPr>
          <w:p w14:paraId="11399A44" w14:textId="77777777" w:rsidR="002966D9" w:rsidRDefault="002966D9" w:rsidP="002966D9">
            <w:pPr>
              <w:rPr>
                <w:rFonts w:cs="Arial"/>
                <w:b/>
                <w:bCs/>
              </w:rPr>
            </w:pPr>
            <w:r>
              <w:rPr>
                <w:rFonts w:cs="Arial"/>
                <w:b/>
                <w:bCs/>
              </w:rPr>
              <w:t>Scenario Description</w:t>
            </w:r>
          </w:p>
        </w:tc>
        <w:tc>
          <w:tcPr>
            <w:tcW w:w="0" w:type="auto"/>
            <w:shd w:val="clear" w:color="auto" w:fill="F2F2F2" w:themeFill="background1" w:themeFillShade="F2"/>
          </w:tcPr>
          <w:p w14:paraId="69DFE0F7" w14:textId="77777777" w:rsidR="002966D9" w:rsidRDefault="002966D9" w:rsidP="002966D9">
            <w:pPr>
              <w:rPr>
                <w:rFonts w:cs="Arial"/>
                <w:b/>
                <w:bCs/>
              </w:rPr>
            </w:pPr>
            <w:r>
              <w:rPr>
                <w:rFonts w:cs="Arial"/>
                <w:b/>
                <w:bCs/>
              </w:rPr>
              <w:t>Expected Results</w:t>
            </w:r>
          </w:p>
        </w:tc>
      </w:tr>
      <w:tr w:rsidR="002966D9" w:rsidRPr="007A014B" w14:paraId="12F9A98E" w14:textId="77777777" w:rsidTr="002966D9">
        <w:trPr>
          <w:cantSplit/>
        </w:trPr>
        <w:tc>
          <w:tcPr>
            <w:tcW w:w="0" w:type="auto"/>
          </w:tcPr>
          <w:p w14:paraId="71A13D3E" w14:textId="77777777" w:rsidR="002966D9" w:rsidRDefault="002966D9" w:rsidP="002966D9">
            <w:pPr>
              <w:jc w:val="center"/>
              <w:rPr>
                <w:rFonts w:cs="Arial"/>
                <w:b/>
                <w:bCs/>
              </w:rPr>
            </w:pPr>
            <w:r>
              <w:rPr>
                <w:rFonts w:cs="Arial"/>
                <w:b/>
                <w:bCs/>
              </w:rPr>
              <w:t>1</w:t>
            </w:r>
          </w:p>
        </w:tc>
        <w:tc>
          <w:tcPr>
            <w:tcW w:w="0" w:type="auto"/>
          </w:tcPr>
          <w:p w14:paraId="51B777B2" w14:textId="77777777" w:rsidR="002966D9" w:rsidRPr="007A014B" w:rsidRDefault="002966D9" w:rsidP="002966D9">
            <w:pPr>
              <w:rPr>
                <w:rFonts w:cs="Arial"/>
                <w:bCs/>
                <w:sz w:val="16"/>
                <w:szCs w:val="16"/>
              </w:rPr>
            </w:pPr>
            <w:r>
              <w:rPr>
                <w:rFonts w:cs="Arial"/>
                <w:bCs/>
                <w:sz w:val="16"/>
                <w:szCs w:val="16"/>
              </w:rPr>
              <w:t xml:space="preserve">BAA’s </w:t>
            </w:r>
            <w:r w:rsidRPr="007A014B">
              <w:rPr>
                <w:rFonts w:cs="Arial"/>
                <w:bCs/>
                <w:sz w:val="16"/>
                <w:szCs w:val="16"/>
              </w:rPr>
              <w:t xml:space="preserve">EIM Capacity Test result fails for </w:t>
            </w:r>
            <w:r>
              <w:rPr>
                <w:rFonts w:cs="Arial"/>
                <w:bCs/>
                <w:sz w:val="16"/>
                <w:szCs w:val="16"/>
              </w:rPr>
              <w:t>a single</w:t>
            </w:r>
            <w:r w:rsidRPr="007A014B">
              <w:rPr>
                <w:rFonts w:cs="Arial"/>
                <w:bCs/>
                <w:sz w:val="16"/>
                <w:szCs w:val="16"/>
              </w:rPr>
              <w:t xml:space="preserve"> 15-min interval</w:t>
            </w:r>
            <w:r>
              <w:rPr>
                <w:rFonts w:cs="Arial"/>
                <w:bCs/>
                <w:sz w:val="16"/>
                <w:szCs w:val="16"/>
              </w:rPr>
              <w:t>, where the following conditions occur for trade hour</w:t>
            </w:r>
            <w:r w:rsidRPr="007A014B">
              <w:rPr>
                <w:rFonts w:cs="Arial"/>
                <w:bCs/>
                <w:sz w:val="16"/>
                <w:szCs w:val="16"/>
              </w:rPr>
              <w:t>:</w:t>
            </w:r>
          </w:p>
          <w:tbl>
            <w:tblPr>
              <w:tblStyle w:val="TableGrid"/>
              <w:tblW w:w="0" w:type="auto"/>
              <w:tblLook w:val="04A0" w:firstRow="1" w:lastRow="0" w:firstColumn="1" w:lastColumn="0" w:noHBand="0" w:noVBand="1"/>
            </w:tblPr>
            <w:tblGrid>
              <w:gridCol w:w="1264"/>
              <w:gridCol w:w="572"/>
              <w:gridCol w:w="584"/>
              <w:gridCol w:w="652"/>
              <w:gridCol w:w="585"/>
            </w:tblGrid>
            <w:tr w:rsidR="002966D9" w14:paraId="07B23D9A" w14:textId="77777777" w:rsidTr="002966D9">
              <w:tc>
                <w:tcPr>
                  <w:tcW w:w="2247" w:type="dxa"/>
                  <w:shd w:val="clear" w:color="auto" w:fill="F2F2F2" w:themeFill="background1" w:themeFillShade="F2"/>
                </w:tcPr>
                <w:p w14:paraId="0677D164" w14:textId="77777777" w:rsidR="002966D9" w:rsidRPr="007A014B" w:rsidRDefault="002966D9" w:rsidP="002966D9">
                  <w:pPr>
                    <w:pStyle w:val="NoSpacing"/>
                    <w:rPr>
                      <w:sz w:val="16"/>
                      <w:szCs w:val="16"/>
                    </w:rPr>
                  </w:pPr>
                  <w:r>
                    <w:rPr>
                      <w:sz w:val="16"/>
                      <w:szCs w:val="16"/>
                    </w:rPr>
                    <w:t>Value</w:t>
                  </w:r>
                </w:p>
              </w:tc>
              <w:tc>
                <w:tcPr>
                  <w:tcW w:w="572" w:type="dxa"/>
                  <w:shd w:val="clear" w:color="auto" w:fill="F2F2F2" w:themeFill="background1" w:themeFillShade="F2"/>
                </w:tcPr>
                <w:p w14:paraId="3DA8A81E" w14:textId="77777777" w:rsidR="002966D9" w:rsidRPr="007A014B" w:rsidRDefault="002966D9" w:rsidP="002966D9">
                  <w:pPr>
                    <w:pStyle w:val="NoSpacing"/>
                    <w:jc w:val="center"/>
                    <w:rPr>
                      <w:sz w:val="16"/>
                      <w:szCs w:val="16"/>
                    </w:rPr>
                  </w:pPr>
                  <w:r>
                    <w:rPr>
                      <w:sz w:val="16"/>
                      <w:szCs w:val="16"/>
                    </w:rPr>
                    <w:t>:15</w:t>
                  </w:r>
                </w:p>
              </w:tc>
              <w:tc>
                <w:tcPr>
                  <w:tcW w:w="623" w:type="dxa"/>
                  <w:shd w:val="clear" w:color="auto" w:fill="F2F2F2" w:themeFill="background1" w:themeFillShade="F2"/>
                </w:tcPr>
                <w:p w14:paraId="0A4668FC" w14:textId="77777777" w:rsidR="002966D9" w:rsidRPr="007A014B" w:rsidRDefault="002966D9" w:rsidP="002966D9">
                  <w:pPr>
                    <w:pStyle w:val="NoSpacing"/>
                    <w:jc w:val="center"/>
                    <w:rPr>
                      <w:sz w:val="16"/>
                      <w:szCs w:val="16"/>
                    </w:rPr>
                  </w:pPr>
                  <w:r>
                    <w:rPr>
                      <w:sz w:val="16"/>
                      <w:szCs w:val="16"/>
                    </w:rPr>
                    <w:t>:30</w:t>
                  </w:r>
                </w:p>
              </w:tc>
              <w:tc>
                <w:tcPr>
                  <w:tcW w:w="652" w:type="dxa"/>
                  <w:shd w:val="clear" w:color="auto" w:fill="F2F2F2" w:themeFill="background1" w:themeFillShade="F2"/>
                </w:tcPr>
                <w:p w14:paraId="4A36361B" w14:textId="77777777" w:rsidR="002966D9" w:rsidRPr="007A014B" w:rsidRDefault="002966D9" w:rsidP="002966D9">
                  <w:pPr>
                    <w:pStyle w:val="NoSpacing"/>
                    <w:jc w:val="center"/>
                    <w:rPr>
                      <w:sz w:val="16"/>
                      <w:szCs w:val="16"/>
                    </w:rPr>
                  </w:pPr>
                  <w:r>
                    <w:rPr>
                      <w:sz w:val="16"/>
                      <w:szCs w:val="16"/>
                    </w:rPr>
                    <w:t>:45</w:t>
                  </w:r>
                </w:p>
              </w:tc>
              <w:tc>
                <w:tcPr>
                  <w:tcW w:w="626" w:type="dxa"/>
                  <w:shd w:val="clear" w:color="auto" w:fill="F2F2F2" w:themeFill="background1" w:themeFillShade="F2"/>
                </w:tcPr>
                <w:p w14:paraId="1CC68A3E" w14:textId="77777777" w:rsidR="002966D9" w:rsidRPr="007A014B" w:rsidRDefault="002966D9" w:rsidP="002966D9">
                  <w:pPr>
                    <w:pStyle w:val="NoSpacing"/>
                    <w:jc w:val="center"/>
                    <w:rPr>
                      <w:sz w:val="16"/>
                      <w:szCs w:val="16"/>
                    </w:rPr>
                  </w:pPr>
                  <w:r>
                    <w:rPr>
                      <w:sz w:val="16"/>
                      <w:szCs w:val="16"/>
                    </w:rPr>
                    <w:t>:60</w:t>
                  </w:r>
                </w:p>
              </w:tc>
            </w:tr>
            <w:tr w:rsidR="002966D9" w14:paraId="2F3CA542" w14:textId="77777777" w:rsidTr="002966D9">
              <w:tc>
                <w:tcPr>
                  <w:tcW w:w="2247" w:type="dxa"/>
                </w:tcPr>
                <w:p w14:paraId="5BF1DE96" w14:textId="62704472" w:rsidR="002966D9" w:rsidRDefault="002966D9" w:rsidP="002966D9">
                  <w:pPr>
                    <w:pStyle w:val="NoSpacing"/>
                    <w:rPr>
                      <w:sz w:val="16"/>
                      <w:szCs w:val="16"/>
                    </w:rPr>
                  </w:pPr>
                  <w:r w:rsidRPr="00194563">
                    <w:rPr>
                      <w:sz w:val="16"/>
                      <w:szCs w:val="16"/>
                    </w:rPr>
                    <w:t>sum of base</w:t>
                  </w:r>
                  <w:r>
                    <w:t xml:space="preserve"> </w:t>
                  </w:r>
                  <w:r>
                    <w:rPr>
                      <w:sz w:val="16"/>
                      <w:szCs w:val="16"/>
                    </w:rPr>
                    <w:t>Schedules</w:t>
                  </w:r>
                </w:p>
              </w:tc>
              <w:tc>
                <w:tcPr>
                  <w:tcW w:w="572" w:type="dxa"/>
                </w:tcPr>
                <w:p w14:paraId="68F50FAF" w14:textId="77777777" w:rsidR="002966D9" w:rsidRDefault="002966D9" w:rsidP="002966D9">
                  <w:pPr>
                    <w:pStyle w:val="NoSpacing"/>
                    <w:jc w:val="center"/>
                    <w:rPr>
                      <w:sz w:val="16"/>
                      <w:szCs w:val="16"/>
                    </w:rPr>
                  </w:pPr>
                  <w:r>
                    <w:rPr>
                      <w:sz w:val="16"/>
                      <w:szCs w:val="16"/>
                    </w:rPr>
                    <w:t>1100</w:t>
                  </w:r>
                </w:p>
              </w:tc>
              <w:tc>
                <w:tcPr>
                  <w:tcW w:w="623" w:type="dxa"/>
                </w:tcPr>
                <w:p w14:paraId="1C679BB2" w14:textId="77777777" w:rsidR="002966D9" w:rsidRDefault="002966D9" w:rsidP="002966D9">
                  <w:pPr>
                    <w:pStyle w:val="NoSpacing"/>
                    <w:jc w:val="center"/>
                    <w:rPr>
                      <w:sz w:val="16"/>
                      <w:szCs w:val="16"/>
                    </w:rPr>
                  </w:pPr>
                  <w:r>
                    <w:rPr>
                      <w:sz w:val="16"/>
                      <w:szCs w:val="16"/>
                    </w:rPr>
                    <w:t>1100</w:t>
                  </w:r>
                </w:p>
              </w:tc>
              <w:tc>
                <w:tcPr>
                  <w:tcW w:w="652" w:type="dxa"/>
                </w:tcPr>
                <w:p w14:paraId="4DCCBD73" w14:textId="77777777" w:rsidR="002966D9" w:rsidRDefault="002966D9" w:rsidP="002966D9">
                  <w:pPr>
                    <w:pStyle w:val="NoSpacing"/>
                    <w:jc w:val="center"/>
                    <w:rPr>
                      <w:sz w:val="16"/>
                      <w:szCs w:val="16"/>
                    </w:rPr>
                  </w:pPr>
                  <w:r>
                    <w:rPr>
                      <w:sz w:val="16"/>
                      <w:szCs w:val="16"/>
                    </w:rPr>
                    <w:t>1100</w:t>
                  </w:r>
                </w:p>
              </w:tc>
              <w:tc>
                <w:tcPr>
                  <w:tcW w:w="626" w:type="dxa"/>
                </w:tcPr>
                <w:p w14:paraId="428CD10D" w14:textId="77777777" w:rsidR="002966D9" w:rsidRDefault="002966D9" w:rsidP="002966D9">
                  <w:pPr>
                    <w:pStyle w:val="NoSpacing"/>
                    <w:jc w:val="center"/>
                    <w:rPr>
                      <w:sz w:val="16"/>
                      <w:szCs w:val="16"/>
                    </w:rPr>
                  </w:pPr>
                  <w:r>
                    <w:rPr>
                      <w:sz w:val="16"/>
                      <w:szCs w:val="16"/>
                    </w:rPr>
                    <w:t>1100</w:t>
                  </w:r>
                </w:p>
              </w:tc>
            </w:tr>
            <w:tr w:rsidR="002966D9" w14:paraId="7C5EBD72" w14:textId="77777777" w:rsidTr="002966D9">
              <w:tc>
                <w:tcPr>
                  <w:tcW w:w="2247" w:type="dxa"/>
                </w:tcPr>
                <w:p w14:paraId="449C9E08" w14:textId="07FEC739" w:rsidR="002966D9" w:rsidRDefault="002966D9" w:rsidP="002966D9">
                  <w:pPr>
                    <w:pStyle w:val="NoSpacing"/>
                    <w:rPr>
                      <w:sz w:val="16"/>
                      <w:szCs w:val="16"/>
                    </w:rPr>
                  </w:pPr>
                  <w:r>
                    <w:rPr>
                      <w:sz w:val="16"/>
                      <w:szCs w:val="16"/>
                    </w:rPr>
                    <w:t>15-minute Demand Forecast</w:t>
                  </w:r>
                </w:p>
              </w:tc>
              <w:tc>
                <w:tcPr>
                  <w:tcW w:w="572" w:type="dxa"/>
                </w:tcPr>
                <w:p w14:paraId="47677691" w14:textId="77777777" w:rsidR="002966D9" w:rsidRDefault="002966D9" w:rsidP="002966D9">
                  <w:pPr>
                    <w:pStyle w:val="NoSpacing"/>
                    <w:jc w:val="center"/>
                    <w:rPr>
                      <w:sz w:val="16"/>
                      <w:szCs w:val="16"/>
                    </w:rPr>
                  </w:pPr>
                  <w:r>
                    <w:rPr>
                      <w:sz w:val="16"/>
                      <w:szCs w:val="16"/>
                    </w:rPr>
                    <w:t>975</w:t>
                  </w:r>
                </w:p>
              </w:tc>
              <w:tc>
                <w:tcPr>
                  <w:tcW w:w="623" w:type="dxa"/>
                </w:tcPr>
                <w:p w14:paraId="673C7476" w14:textId="77777777" w:rsidR="002966D9" w:rsidRDefault="002966D9" w:rsidP="002966D9">
                  <w:pPr>
                    <w:pStyle w:val="NoSpacing"/>
                    <w:jc w:val="center"/>
                    <w:rPr>
                      <w:sz w:val="16"/>
                      <w:szCs w:val="16"/>
                    </w:rPr>
                  </w:pPr>
                  <w:r>
                    <w:rPr>
                      <w:sz w:val="16"/>
                      <w:szCs w:val="16"/>
                    </w:rPr>
                    <w:t>1050</w:t>
                  </w:r>
                </w:p>
              </w:tc>
              <w:tc>
                <w:tcPr>
                  <w:tcW w:w="652" w:type="dxa"/>
                </w:tcPr>
                <w:p w14:paraId="154CC044" w14:textId="77777777" w:rsidR="002966D9" w:rsidRDefault="002966D9" w:rsidP="002966D9">
                  <w:pPr>
                    <w:pStyle w:val="NoSpacing"/>
                    <w:jc w:val="center"/>
                    <w:rPr>
                      <w:sz w:val="16"/>
                      <w:szCs w:val="16"/>
                    </w:rPr>
                  </w:pPr>
                  <w:r>
                    <w:rPr>
                      <w:sz w:val="16"/>
                      <w:szCs w:val="16"/>
                    </w:rPr>
                    <w:t>1125</w:t>
                  </w:r>
                </w:p>
              </w:tc>
              <w:tc>
                <w:tcPr>
                  <w:tcW w:w="626" w:type="dxa"/>
                </w:tcPr>
                <w:p w14:paraId="3C78ABAC" w14:textId="77777777" w:rsidR="002966D9" w:rsidRDefault="002966D9" w:rsidP="002966D9">
                  <w:pPr>
                    <w:pStyle w:val="NoSpacing"/>
                    <w:jc w:val="center"/>
                    <w:rPr>
                      <w:sz w:val="16"/>
                      <w:szCs w:val="16"/>
                    </w:rPr>
                  </w:pPr>
                  <w:r>
                    <w:rPr>
                      <w:sz w:val="16"/>
                      <w:szCs w:val="16"/>
                    </w:rPr>
                    <w:t>1025</w:t>
                  </w:r>
                </w:p>
              </w:tc>
            </w:tr>
            <w:tr w:rsidR="002966D9" w14:paraId="58403B02" w14:textId="77777777" w:rsidTr="002966D9">
              <w:tc>
                <w:tcPr>
                  <w:tcW w:w="2247" w:type="dxa"/>
                </w:tcPr>
                <w:p w14:paraId="5996C80E" w14:textId="77777777" w:rsidR="002966D9" w:rsidRDefault="002966D9" w:rsidP="002966D9">
                  <w:pPr>
                    <w:pStyle w:val="NoSpacing"/>
                    <w:rPr>
                      <w:sz w:val="16"/>
                      <w:szCs w:val="16"/>
                    </w:rPr>
                  </w:pPr>
                  <w:r>
                    <w:rPr>
                      <w:sz w:val="16"/>
                      <w:szCs w:val="16"/>
                    </w:rPr>
                    <w:t>Imbalance Direction</w:t>
                  </w:r>
                </w:p>
              </w:tc>
              <w:tc>
                <w:tcPr>
                  <w:tcW w:w="572" w:type="dxa"/>
                </w:tcPr>
                <w:p w14:paraId="0885B4DB" w14:textId="77777777" w:rsidR="002966D9" w:rsidRDefault="002966D9" w:rsidP="002966D9">
                  <w:pPr>
                    <w:pStyle w:val="NoSpacing"/>
                    <w:jc w:val="center"/>
                    <w:rPr>
                      <w:sz w:val="16"/>
                      <w:szCs w:val="16"/>
                    </w:rPr>
                  </w:pPr>
                  <w:r>
                    <w:rPr>
                      <w:sz w:val="16"/>
                      <w:szCs w:val="16"/>
                    </w:rPr>
                    <w:t>Over</w:t>
                  </w:r>
                </w:p>
              </w:tc>
              <w:tc>
                <w:tcPr>
                  <w:tcW w:w="623" w:type="dxa"/>
                </w:tcPr>
                <w:p w14:paraId="0C77DB07" w14:textId="77777777" w:rsidR="002966D9" w:rsidRDefault="002966D9" w:rsidP="002966D9">
                  <w:pPr>
                    <w:pStyle w:val="NoSpacing"/>
                    <w:jc w:val="center"/>
                    <w:rPr>
                      <w:sz w:val="16"/>
                      <w:szCs w:val="16"/>
                    </w:rPr>
                  </w:pPr>
                  <w:r>
                    <w:rPr>
                      <w:sz w:val="16"/>
                      <w:szCs w:val="16"/>
                    </w:rPr>
                    <w:t>Over</w:t>
                  </w:r>
                </w:p>
              </w:tc>
              <w:tc>
                <w:tcPr>
                  <w:tcW w:w="652" w:type="dxa"/>
                </w:tcPr>
                <w:p w14:paraId="6D1A481F" w14:textId="77777777" w:rsidR="002966D9" w:rsidRDefault="002966D9" w:rsidP="002966D9">
                  <w:pPr>
                    <w:pStyle w:val="NoSpacing"/>
                    <w:jc w:val="center"/>
                    <w:rPr>
                      <w:sz w:val="16"/>
                      <w:szCs w:val="16"/>
                    </w:rPr>
                  </w:pPr>
                  <w:r>
                    <w:rPr>
                      <w:sz w:val="16"/>
                      <w:szCs w:val="16"/>
                    </w:rPr>
                    <w:t>Under</w:t>
                  </w:r>
                </w:p>
              </w:tc>
              <w:tc>
                <w:tcPr>
                  <w:tcW w:w="626" w:type="dxa"/>
                </w:tcPr>
                <w:p w14:paraId="244DD063" w14:textId="77777777" w:rsidR="002966D9" w:rsidRDefault="002966D9" w:rsidP="002966D9">
                  <w:pPr>
                    <w:pStyle w:val="NoSpacing"/>
                    <w:jc w:val="center"/>
                    <w:rPr>
                      <w:sz w:val="16"/>
                      <w:szCs w:val="16"/>
                    </w:rPr>
                  </w:pPr>
                  <w:r>
                    <w:rPr>
                      <w:sz w:val="16"/>
                      <w:szCs w:val="16"/>
                    </w:rPr>
                    <w:t>Over</w:t>
                  </w:r>
                </w:p>
              </w:tc>
            </w:tr>
            <w:tr w:rsidR="002966D9" w14:paraId="06C6997B" w14:textId="77777777" w:rsidTr="002966D9">
              <w:tc>
                <w:tcPr>
                  <w:tcW w:w="2247" w:type="dxa"/>
                </w:tcPr>
                <w:p w14:paraId="33249BC9" w14:textId="77777777" w:rsidR="002966D9" w:rsidRPr="007A014B" w:rsidRDefault="002966D9" w:rsidP="002966D9">
                  <w:pPr>
                    <w:pStyle w:val="NoSpacing"/>
                    <w:rPr>
                      <w:sz w:val="16"/>
                      <w:szCs w:val="16"/>
                    </w:rPr>
                  </w:pPr>
                  <w:r>
                    <w:rPr>
                      <w:sz w:val="16"/>
                      <w:szCs w:val="16"/>
                    </w:rPr>
                    <w:t>Imbalance Amount</w:t>
                  </w:r>
                </w:p>
              </w:tc>
              <w:tc>
                <w:tcPr>
                  <w:tcW w:w="572" w:type="dxa"/>
                </w:tcPr>
                <w:p w14:paraId="1E79429E" w14:textId="77777777" w:rsidR="002966D9" w:rsidRPr="007A014B" w:rsidRDefault="002966D9" w:rsidP="002966D9">
                  <w:pPr>
                    <w:pStyle w:val="NoSpacing"/>
                    <w:jc w:val="center"/>
                    <w:rPr>
                      <w:sz w:val="16"/>
                      <w:szCs w:val="16"/>
                    </w:rPr>
                  </w:pPr>
                  <w:r>
                    <w:rPr>
                      <w:sz w:val="16"/>
                      <w:szCs w:val="16"/>
                    </w:rPr>
                    <w:t>125</w:t>
                  </w:r>
                </w:p>
              </w:tc>
              <w:tc>
                <w:tcPr>
                  <w:tcW w:w="623" w:type="dxa"/>
                </w:tcPr>
                <w:p w14:paraId="2CFD5DA6" w14:textId="77777777" w:rsidR="002966D9" w:rsidRPr="007A014B" w:rsidRDefault="002966D9" w:rsidP="002966D9">
                  <w:pPr>
                    <w:pStyle w:val="NoSpacing"/>
                    <w:jc w:val="center"/>
                    <w:rPr>
                      <w:sz w:val="16"/>
                      <w:szCs w:val="16"/>
                    </w:rPr>
                  </w:pPr>
                  <w:r>
                    <w:rPr>
                      <w:sz w:val="16"/>
                      <w:szCs w:val="16"/>
                    </w:rPr>
                    <w:t>50</w:t>
                  </w:r>
                </w:p>
              </w:tc>
              <w:tc>
                <w:tcPr>
                  <w:tcW w:w="652" w:type="dxa"/>
                </w:tcPr>
                <w:p w14:paraId="0EFE7044" w14:textId="77777777" w:rsidR="002966D9" w:rsidRPr="007A014B" w:rsidRDefault="002966D9" w:rsidP="002966D9">
                  <w:pPr>
                    <w:pStyle w:val="NoSpacing"/>
                    <w:jc w:val="center"/>
                    <w:rPr>
                      <w:sz w:val="16"/>
                      <w:szCs w:val="16"/>
                    </w:rPr>
                  </w:pPr>
                  <w:r>
                    <w:rPr>
                      <w:sz w:val="16"/>
                      <w:szCs w:val="16"/>
                    </w:rPr>
                    <w:t>25</w:t>
                  </w:r>
                </w:p>
              </w:tc>
              <w:tc>
                <w:tcPr>
                  <w:tcW w:w="626" w:type="dxa"/>
                </w:tcPr>
                <w:p w14:paraId="522594B4" w14:textId="77777777" w:rsidR="002966D9" w:rsidRPr="007A014B" w:rsidRDefault="002966D9" w:rsidP="002966D9">
                  <w:pPr>
                    <w:pStyle w:val="NoSpacing"/>
                    <w:jc w:val="center"/>
                    <w:rPr>
                      <w:sz w:val="16"/>
                      <w:szCs w:val="16"/>
                    </w:rPr>
                  </w:pPr>
                  <w:r>
                    <w:rPr>
                      <w:sz w:val="16"/>
                      <w:szCs w:val="16"/>
                    </w:rPr>
                    <w:t>75</w:t>
                  </w:r>
                </w:p>
              </w:tc>
            </w:tr>
            <w:tr w:rsidR="002966D9" w14:paraId="32302183" w14:textId="77777777" w:rsidTr="002966D9">
              <w:tc>
                <w:tcPr>
                  <w:tcW w:w="2247" w:type="dxa"/>
                </w:tcPr>
                <w:p w14:paraId="0BFAC03B" w14:textId="77777777" w:rsidR="002966D9" w:rsidRPr="007A014B" w:rsidRDefault="002966D9" w:rsidP="002966D9">
                  <w:pPr>
                    <w:pStyle w:val="NoSpacing"/>
                    <w:rPr>
                      <w:sz w:val="16"/>
                      <w:szCs w:val="16"/>
                    </w:rPr>
                  </w:pPr>
                  <w:r>
                    <w:rPr>
                      <w:sz w:val="16"/>
                      <w:szCs w:val="16"/>
                    </w:rPr>
                    <w:t>Bid Range Capacity (Up)</w:t>
                  </w:r>
                </w:p>
              </w:tc>
              <w:tc>
                <w:tcPr>
                  <w:tcW w:w="572" w:type="dxa"/>
                </w:tcPr>
                <w:p w14:paraId="2DAD41EB" w14:textId="77777777" w:rsidR="002966D9" w:rsidRPr="007A014B" w:rsidRDefault="002966D9" w:rsidP="002966D9">
                  <w:pPr>
                    <w:pStyle w:val="NoSpacing"/>
                    <w:jc w:val="center"/>
                    <w:rPr>
                      <w:sz w:val="16"/>
                      <w:szCs w:val="16"/>
                    </w:rPr>
                  </w:pPr>
                  <w:r>
                    <w:rPr>
                      <w:sz w:val="16"/>
                      <w:szCs w:val="16"/>
                    </w:rPr>
                    <w:t>100</w:t>
                  </w:r>
                </w:p>
              </w:tc>
              <w:tc>
                <w:tcPr>
                  <w:tcW w:w="623" w:type="dxa"/>
                </w:tcPr>
                <w:p w14:paraId="6AC6ADD5" w14:textId="77777777" w:rsidR="002966D9" w:rsidRPr="007A014B" w:rsidRDefault="002966D9" w:rsidP="002966D9">
                  <w:pPr>
                    <w:pStyle w:val="NoSpacing"/>
                    <w:jc w:val="center"/>
                    <w:rPr>
                      <w:sz w:val="16"/>
                      <w:szCs w:val="16"/>
                    </w:rPr>
                  </w:pPr>
                  <w:r>
                    <w:rPr>
                      <w:sz w:val="16"/>
                      <w:szCs w:val="16"/>
                    </w:rPr>
                    <w:t>100</w:t>
                  </w:r>
                </w:p>
              </w:tc>
              <w:tc>
                <w:tcPr>
                  <w:tcW w:w="652" w:type="dxa"/>
                </w:tcPr>
                <w:p w14:paraId="6307BFEF" w14:textId="77777777" w:rsidR="002966D9" w:rsidRPr="007A014B" w:rsidRDefault="002966D9" w:rsidP="002966D9">
                  <w:pPr>
                    <w:pStyle w:val="NoSpacing"/>
                    <w:jc w:val="center"/>
                    <w:rPr>
                      <w:sz w:val="16"/>
                      <w:szCs w:val="16"/>
                    </w:rPr>
                  </w:pPr>
                  <w:r>
                    <w:rPr>
                      <w:sz w:val="16"/>
                      <w:szCs w:val="16"/>
                    </w:rPr>
                    <w:t>100</w:t>
                  </w:r>
                </w:p>
              </w:tc>
              <w:tc>
                <w:tcPr>
                  <w:tcW w:w="626" w:type="dxa"/>
                </w:tcPr>
                <w:p w14:paraId="3B5B21E5" w14:textId="77777777" w:rsidR="002966D9" w:rsidRPr="007A014B" w:rsidRDefault="002966D9" w:rsidP="002966D9">
                  <w:pPr>
                    <w:pStyle w:val="NoSpacing"/>
                    <w:jc w:val="center"/>
                    <w:rPr>
                      <w:sz w:val="16"/>
                      <w:szCs w:val="16"/>
                    </w:rPr>
                  </w:pPr>
                  <w:r>
                    <w:rPr>
                      <w:sz w:val="16"/>
                      <w:szCs w:val="16"/>
                    </w:rPr>
                    <w:t>100</w:t>
                  </w:r>
                </w:p>
              </w:tc>
            </w:tr>
            <w:tr w:rsidR="002966D9" w14:paraId="11C0C413" w14:textId="77777777" w:rsidTr="002966D9">
              <w:tc>
                <w:tcPr>
                  <w:tcW w:w="2247" w:type="dxa"/>
                </w:tcPr>
                <w:p w14:paraId="7B8277D3" w14:textId="77777777" w:rsidR="002966D9" w:rsidRPr="007A014B" w:rsidRDefault="002966D9" w:rsidP="002966D9">
                  <w:pPr>
                    <w:pStyle w:val="NoSpacing"/>
                    <w:rPr>
                      <w:sz w:val="16"/>
                      <w:szCs w:val="16"/>
                    </w:rPr>
                  </w:pPr>
                  <w:r>
                    <w:rPr>
                      <w:sz w:val="16"/>
                      <w:szCs w:val="16"/>
                    </w:rPr>
                    <w:t>Bid Range Capacity (Down)</w:t>
                  </w:r>
                </w:p>
              </w:tc>
              <w:tc>
                <w:tcPr>
                  <w:tcW w:w="572" w:type="dxa"/>
                </w:tcPr>
                <w:p w14:paraId="573BE6AB" w14:textId="77777777" w:rsidR="002966D9" w:rsidRPr="007A014B" w:rsidRDefault="002966D9" w:rsidP="002966D9">
                  <w:pPr>
                    <w:pStyle w:val="NoSpacing"/>
                    <w:jc w:val="center"/>
                    <w:rPr>
                      <w:sz w:val="16"/>
                      <w:szCs w:val="16"/>
                    </w:rPr>
                  </w:pPr>
                  <w:r>
                    <w:rPr>
                      <w:sz w:val="16"/>
                      <w:szCs w:val="16"/>
                    </w:rPr>
                    <w:t>100</w:t>
                  </w:r>
                </w:p>
              </w:tc>
              <w:tc>
                <w:tcPr>
                  <w:tcW w:w="623" w:type="dxa"/>
                </w:tcPr>
                <w:p w14:paraId="300D0244" w14:textId="77777777" w:rsidR="002966D9" w:rsidRPr="007A014B" w:rsidRDefault="002966D9" w:rsidP="002966D9">
                  <w:pPr>
                    <w:pStyle w:val="NoSpacing"/>
                    <w:jc w:val="center"/>
                    <w:rPr>
                      <w:sz w:val="16"/>
                      <w:szCs w:val="16"/>
                    </w:rPr>
                  </w:pPr>
                  <w:r>
                    <w:rPr>
                      <w:sz w:val="16"/>
                      <w:szCs w:val="16"/>
                    </w:rPr>
                    <w:t>100</w:t>
                  </w:r>
                </w:p>
              </w:tc>
              <w:tc>
                <w:tcPr>
                  <w:tcW w:w="652" w:type="dxa"/>
                </w:tcPr>
                <w:p w14:paraId="7E1CC3DD" w14:textId="77777777" w:rsidR="002966D9" w:rsidRPr="007A014B" w:rsidRDefault="002966D9" w:rsidP="002966D9">
                  <w:pPr>
                    <w:pStyle w:val="NoSpacing"/>
                    <w:jc w:val="center"/>
                    <w:rPr>
                      <w:sz w:val="16"/>
                      <w:szCs w:val="16"/>
                    </w:rPr>
                  </w:pPr>
                  <w:r>
                    <w:rPr>
                      <w:sz w:val="16"/>
                      <w:szCs w:val="16"/>
                    </w:rPr>
                    <w:t>100</w:t>
                  </w:r>
                </w:p>
              </w:tc>
              <w:tc>
                <w:tcPr>
                  <w:tcW w:w="626" w:type="dxa"/>
                </w:tcPr>
                <w:p w14:paraId="3092FB55" w14:textId="77777777" w:rsidR="002966D9" w:rsidRPr="007A014B" w:rsidRDefault="002966D9" w:rsidP="002966D9">
                  <w:pPr>
                    <w:pStyle w:val="NoSpacing"/>
                    <w:jc w:val="center"/>
                    <w:rPr>
                      <w:sz w:val="16"/>
                      <w:szCs w:val="16"/>
                    </w:rPr>
                  </w:pPr>
                  <w:r>
                    <w:rPr>
                      <w:sz w:val="16"/>
                      <w:szCs w:val="16"/>
                    </w:rPr>
                    <w:t>100</w:t>
                  </w:r>
                </w:p>
              </w:tc>
            </w:tr>
          </w:tbl>
          <w:p w14:paraId="2B2EB85D" w14:textId="77777777" w:rsidR="002966D9" w:rsidRPr="007A014B" w:rsidRDefault="002966D9" w:rsidP="002966D9">
            <w:pPr>
              <w:rPr>
                <w:rFonts w:cs="Arial"/>
                <w:bCs/>
                <w:sz w:val="16"/>
                <w:szCs w:val="16"/>
              </w:rPr>
            </w:pPr>
          </w:p>
        </w:tc>
        <w:tc>
          <w:tcPr>
            <w:tcW w:w="0" w:type="auto"/>
          </w:tcPr>
          <w:p w14:paraId="3A6388C0" w14:textId="77777777" w:rsidR="002966D9" w:rsidRDefault="002966D9" w:rsidP="002966D9">
            <w:pPr>
              <w:rPr>
                <w:rFonts w:cs="Arial"/>
                <w:bCs/>
                <w:sz w:val="16"/>
                <w:szCs w:val="16"/>
              </w:rPr>
            </w:pPr>
            <w:r>
              <w:rPr>
                <w:rFonts w:cs="Arial"/>
                <w:bCs/>
                <w:sz w:val="16"/>
                <w:szCs w:val="16"/>
              </w:rPr>
              <w:t xml:space="preserve">CMRI reports will now provide Bid Range Capacity test results for both over and under directions each trade hour.  In each direction, the most-insufficient 15-minute interval result (presented in </w:t>
            </w:r>
            <w:r w:rsidRPr="000A1BA1">
              <w:rPr>
                <w:rFonts w:cs="Arial"/>
                <w:bCs/>
                <w:color w:val="0000FF"/>
                <w:sz w:val="16"/>
                <w:szCs w:val="16"/>
              </w:rPr>
              <w:t>blue text</w:t>
            </w:r>
            <w:r>
              <w:rPr>
                <w:rFonts w:cs="Arial"/>
                <w:bCs/>
                <w:sz w:val="16"/>
                <w:szCs w:val="16"/>
              </w:rPr>
              <w:t>) will displayed and broadcasted (e.g. :15 for the over direction, :45 for the under direction).  Only the intervals’ trade hour will be identified in the report.</w:t>
            </w:r>
          </w:p>
          <w:tbl>
            <w:tblPr>
              <w:tblStyle w:val="TableGrid"/>
              <w:tblW w:w="0" w:type="auto"/>
              <w:tblLook w:val="04A0" w:firstRow="1" w:lastRow="0" w:firstColumn="1" w:lastColumn="0" w:noHBand="0" w:noVBand="1"/>
            </w:tblPr>
            <w:tblGrid>
              <w:gridCol w:w="2095"/>
              <w:gridCol w:w="652"/>
              <w:gridCol w:w="652"/>
              <w:gridCol w:w="652"/>
              <w:gridCol w:w="652"/>
            </w:tblGrid>
            <w:tr w:rsidR="002966D9" w14:paraId="2C169D98" w14:textId="77777777" w:rsidTr="002966D9">
              <w:tc>
                <w:tcPr>
                  <w:tcW w:w="2566" w:type="dxa"/>
                  <w:tcBorders>
                    <w:bottom w:val="single" w:sz="12" w:space="0" w:color="auto"/>
                  </w:tcBorders>
                  <w:shd w:val="clear" w:color="auto" w:fill="F2F2F2" w:themeFill="background1" w:themeFillShade="F2"/>
                </w:tcPr>
                <w:p w14:paraId="1781F3BC" w14:textId="77777777" w:rsidR="002966D9" w:rsidRPr="007A014B" w:rsidRDefault="002966D9" w:rsidP="002966D9">
                  <w:pPr>
                    <w:pStyle w:val="NoSpacing"/>
                    <w:rPr>
                      <w:sz w:val="16"/>
                      <w:szCs w:val="16"/>
                    </w:rPr>
                  </w:pPr>
                  <w:r>
                    <w:rPr>
                      <w:sz w:val="16"/>
                      <w:szCs w:val="16"/>
                    </w:rPr>
                    <w:t>Value Description</w:t>
                  </w:r>
                </w:p>
              </w:tc>
              <w:tc>
                <w:tcPr>
                  <w:tcW w:w="652" w:type="dxa"/>
                  <w:tcBorders>
                    <w:bottom w:val="single" w:sz="18" w:space="0" w:color="auto"/>
                  </w:tcBorders>
                  <w:shd w:val="clear" w:color="auto" w:fill="F2F2F2" w:themeFill="background1" w:themeFillShade="F2"/>
                </w:tcPr>
                <w:p w14:paraId="6F703FCC" w14:textId="77777777" w:rsidR="002966D9" w:rsidRPr="00E82371" w:rsidRDefault="002966D9" w:rsidP="002966D9">
                  <w:pPr>
                    <w:pStyle w:val="NoSpacing"/>
                    <w:jc w:val="center"/>
                    <w:rPr>
                      <w:color w:val="0000FF"/>
                      <w:sz w:val="16"/>
                      <w:szCs w:val="16"/>
                    </w:rPr>
                  </w:pPr>
                  <w:r w:rsidRPr="00E82371">
                    <w:rPr>
                      <w:color w:val="0000FF"/>
                      <w:sz w:val="16"/>
                      <w:szCs w:val="16"/>
                    </w:rPr>
                    <w:t>:15</w:t>
                  </w:r>
                </w:p>
              </w:tc>
              <w:tc>
                <w:tcPr>
                  <w:tcW w:w="652" w:type="dxa"/>
                  <w:tcBorders>
                    <w:bottom w:val="single" w:sz="12" w:space="0" w:color="auto"/>
                  </w:tcBorders>
                  <w:shd w:val="clear" w:color="auto" w:fill="F2F2F2" w:themeFill="background1" w:themeFillShade="F2"/>
                </w:tcPr>
                <w:p w14:paraId="404C6068" w14:textId="77777777" w:rsidR="002966D9" w:rsidRPr="007A014B" w:rsidRDefault="002966D9" w:rsidP="002966D9">
                  <w:pPr>
                    <w:pStyle w:val="NoSpacing"/>
                    <w:jc w:val="center"/>
                    <w:rPr>
                      <w:sz w:val="16"/>
                      <w:szCs w:val="16"/>
                    </w:rPr>
                  </w:pPr>
                  <w:r>
                    <w:rPr>
                      <w:sz w:val="16"/>
                      <w:szCs w:val="16"/>
                    </w:rPr>
                    <w:t>:30</w:t>
                  </w:r>
                </w:p>
              </w:tc>
              <w:tc>
                <w:tcPr>
                  <w:tcW w:w="652" w:type="dxa"/>
                  <w:tcBorders>
                    <w:bottom w:val="single" w:sz="12" w:space="0" w:color="auto"/>
                  </w:tcBorders>
                  <w:shd w:val="clear" w:color="auto" w:fill="F2F2F2" w:themeFill="background1" w:themeFillShade="F2"/>
                </w:tcPr>
                <w:p w14:paraId="4D1B53D1" w14:textId="77777777" w:rsidR="002966D9" w:rsidRPr="00E82371" w:rsidRDefault="002966D9" w:rsidP="002966D9">
                  <w:pPr>
                    <w:pStyle w:val="NoSpacing"/>
                    <w:jc w:val="center"/>
                    <w:rPr>
                      <w:color w:val="0000FF"/>
                      <w:sz w:val="16"/>
                      <w:szCs w:val="16"/>
                    </w:rPr>
                  </w:pPr>
                  <w:r w:rsidRPr="00E82371">
                    <w:rPr>
                      <w:color w:val="0000FF"/>
                      <w:sz w:val="16"/>
                      <w:szCs w:val="16"/>
                    </w:rPr>
                    <w:t>:45</w:t>
                  </w:r>
                </w:p>
              </w:tc>
              <w:tc>
                <w:tcPr>
                  <w:tcW w:w="652" w:type="dxa"/>
                  <w:tcBorders>
                    <w:bottom w:val="single" w:sz="12" w:space="0" w:color="auto"/>
                  </w:tcBorders>
                  <w:shd w:val="clear" w:color="auto" w:fill="F2F2F2" w:themeFill="background1" w:themeFillShade="F2"/>
                </w:tcPr>
                <w:p w14:paraId="2C6B5131" w14:textId="77777777" w:rsidR="002966D9" w:rsidRPr="007A014B" w:rsidRDefault="002966D9" w:rsidP="002966D9">
                  <w:pPr>
                    <w:pStyle w:val="NoSpacing"/>
                    <w:jc w:val="center"/>
                    <w:rPr>
                      <w:sz w:val="16"/>
                      <w:szCs w:val="16"/>
                    </w:rPr>
                  </w:pPr>
                  <w:r>
                    <w:rPr>
                      <w:sz w:val="16"/>
                      <w:szCs w:val="16"/>
                    </w:rPr>
                    <w:t>:60</w:t>
                  </w:r>
                </w:p>
              </w:tc>
            </w:tr>
            <w:tr w:rsidR="002966D9" w14:paraId="3E4B944D" w14:textId="77777777" w:rsidTr="002966D9">
              <w:tc>
                <w:tcPr>
                  <w:tcW w:w="2566" w:type="dxa"/>
                  <w:tcBorders>
                    <w:top w:val="single" w:sz="12" w:space="0" w:color="auto"/>
                    <w:right w:val="single" w:sz="18" w:space="0" w:color="auto"/>
                  </w:tcBorders>
                </w:tcPr>
                <w:p w14:paraId="7AA88D0F" w14:textId="77777777" w:rsidR="002966D9" w:rsidRDefault="002966D9" w:rsidP="002966D9">
                  <w:pPr>
                    <w:pStyle w:val="NoSpacing"/>
                    <w:rPr>
                      <w:sz w:val="16"/>
                      <w:szCs w:val="16"/>
                    </w:rPr>
                  </w:pPr>
                  <w:r>
                    <w:rPr>
                      <w:sz w:val="16"/>
                      <w:szCs w:val="16"/>
                    </w:rPr>
                    <w:t>Test Status (Over)</w:t>
                  </w:r>
                </w:p>
              </w:tc>
              <w:tc>
                <w:tcPr>
                  <w:tcW w:w="652" w:type="dxa"/>
                  <w:tcBorders>
                    <w:top w:val="single" w:sz="18" w:space="0" w:color="auto"/>
                    <w:left w:val="single" w:sz="18" w:space="0" w:color="auto"/>
                    <w:right w:val="single" w:sz="18" w:space="0" w:color="auto"/>
                  </w:tcBorders>
                </w:tcPr>
                <w:p w14:paraId="2F38652C" w14:textId="77777777" w:rsidR="002966D9" w:rsidRPr="00E82371" w:rsidRDefault="002966D9" w:rsidP="002966D9">
                  <w:pPr>
                    <w:pStyle w:val="NoSpacing"/>
                    <w:jc w:val="center"/>
                    <w:rPr>
                      <w:color w:val="0000FF"/>
                      <w:sz w:val="16"/>
                      <w:szCs w:val="16"/>
                    </w:rPr>
                  </w:pPr>
                  <w:r w:rsidRPr="00E82371">
                    <w:rPr>
                      <w:color w:val="0000FF"/>
                      <w:sz w:val="16"/>
                      <w:szCs w:val="16"/>
                    </w:rPr>
                    <w:t>Fail</w:t>
                  </w:r>
                </w:p>
              </w:tc>
              <w:tc>
                <w:tcPr>
                  <w:tcW w:w="652" w:type="dxa"/>
                  <w:tcBorders>
                    <w:top w:val="single" w:sz="12" w:space="0" w:color="auto"/>
                    <w:left w:val="single" w:sz="18" w:space="0" w:color="auto"/>
                  </w:tcBorders>
                </w:tcPr>
                <w:p w14:paraId="218E120B" w14:textId="77777777" w:rsidR="002966D9" w:rsidRDefault="002966D9" w:rsidP="002966D9">
                  <w:pPr>
                    <w:pStyle w:val="NoSpacing"/>
                    <w:jc w:val="center"/>
                    <w:rPr>
                      <w:sz w:val="16"/>
                      <w:szCs w:val="16"/>
                    </w:rPr>
                  </w:pPr>
                  <w:r>
                    <w:rPr>
                      <w:sz w:val="16"/>
                      <w:szCs w:val="16"/>
                    </w:rPr>
                    <w:t>Pass</w:t>
                  </w:r>
                </w:p>
              </w:tc>
              <w:tc>
                <w:tcPr>
                  <w:tcW w:w="652" w:type="dxa"/>
                  <w:tcBorders>
                    <w:top w:val="single" w:sz="12" w:space="0" w:color="auto"/>
                  </w:tcBorders>
                </w:tcPr>
                <w:p w14:paraId="6256E74B" w14:textId="77777777" w:rsidR="002966D9" w:rsidRDefault="002966D9" w:rsidP="002966D9">
                  <w:pPr>
                    <w:pStyle w:val="NoSpacing"/>
                    <w:jc w:val="center"/>
                    <w:rPr>
                      <w:sz w:val="16"/>
                      <w:szCs w:val="16"/>
                    </w:rPr>
                  </w:pPr>
                  <w:r>
                    <w:rPr>
                      <w:sz w:val="16"/>
                      <w:szCs w:val="16"/>
                    </w:rPr>
                    <w:t>Pass</w:t>
                  </w:r>
                </w:p>
              </w:tc>
              <w:tc>
                <w:tcPr>
                  <w:tcW w:w="652" w:type="dxa"/>
                  <w:tcBorders>
                    <w:top w:val="single" w:sz="12" w:space="0" w:color="auto"/>
                  </w:tcBorders>
                </w:tcPr>
                <w:p w14:paraId="3AF40409" w14:textId="77777777" w:rsidR="002966D9" w:rsidRDefault="002966D9" w:rsidP="002966D9">
                  <w:pPr>
                    <w:pStyle w:val="NoSpacing"/>
                    <w:jc w:val="center"/>
                    <w:rPr>
                      <w:sz w:val="16"/>
                      <w:szCs w:val="16"/>
                    </w:rPr>
                  </w:pPr>
                  <w:r>
                    <w:rPr>
                      <w:sz w:val="16"/>
                      <w:szCs w:val="16"/>
                    </w:rPr>
                    <w:t>Pass</w:t>
                  </w:r>
                </w:p>
              </w:tc>
            </w:tr>
            <w:tr w:rsidR="002966D9" w14:paraId="33CF136F" w14:textId="77777777" w:rsidTr="002966D9">
              <w:tc>
                <w:tcPr>
                  <w:tcW w:w="2566" w:type="dxa"/>
                  <w:tcBorders>
                    <w:right w:val="single" w:sz="18" w:space="0" w:color="auto"/>
                  </w:tcBorders>
                </w:tcPr>
                <w:p w14:paraId="74852F4D" w14:textId="77777777" w:rsidR="002966D9" w:rsidRPr="007A014B" w:rsidRDefault="002966D9" w:rsidP="002966D9">
                  <w:pPr>
                    <w:pStyle w:val="NoSpacing"/>
                    <w:rPr>
                      <w:sz w:val="16"/>
                      <w:szCs w:val="16"/>
                    </w:rPr>
                  </w:pPr>
                  <w:r>
                    <w:rPr>
                      <w:sz w:val="16"/>
                      <w:szCs w:val="16"/>
                    </w:rPr>
                    <w:t>Insufficiency Direction (Over)</w:t>
                  </w:r>
                </w:p>
              </w:tc>
              <w:tc>
                <w:tcPr>
                  <w:tcW w:w="652" w:type="dxa"/>
                  <w:tcBorders>
                    <w:left w:val="single" w:sz="18" w:space="0" w:color="auto"/>
                    <w:right w:val="single" w:sz="18" w:space="0" w:color="auto"/>
                  </w:tcBorders>
                </w:tcPr>
                <w:p w14:paraId="34749B4E" w14:textId="77777777" w:rsidR="002966D9" w:rsidRPr="00E82371" w:rsidRDefault="002966D9" w:rsidP="002966D9">
                  <w:pPr>
                    <w:pStyle w:val="NoSpacing"/>
                    <w:jc w:val="center"/>
                    <w:rPr>
                      <w:color w:val="0000FF"/>
                      <w:sz w:val="16"/>
                      <w:szCs w:val="16"/>
                    </w:rPr>
                  </w:pPr>
                  <w:r w:rsidRPr="00E82371">
                    <w:rPr>
                      <w:color w:val="0000FF"/>
                      <w:sz w:val="16"/>
                      <w:szCs w:val="16"/>
                    </w:rPr>
                    <w:t>Over</w:t>
                  </w:r>
                </w:p>
              </w:tc>
              <w:tc>
                <w:tcPr>
                  <w:tcW w:w="652" w:type="dxa"/>
                  <w:tcBorders>
                    <w:left w:val="single" w:sz="18" w:space="0" w:color="auto"/>
                  </w:tcBorders>
                </w:tcPr>
                <w:p w14:paraId="7876BC66" w14:textId="77777777" w:rsidR="002966D9" w:rsidRPr="007A014B" w:rsidRDefault="002966D9" w:rsidP="002966D9">
                  <w:pPr>
                    <w:pStyle w:val="NoSpacing"/>
                    <w:jc w:val="center"/>
                    <w:rPr>
                      <w:sz w:val="16"/>
                      <w:szCs w:val="16"/>
                    </w:rPr>
                  </w:pPr>
                  <w:r>
                    <w:rPr>
                      <w:sz w:val="16"/>
                      <w:szCs w:val="16"/>
                    </w:rPr>
                    <w:t>Over</w:t>
                  </w:r>
                </w:p>
              </w:tc>
              <w:tc>
                <w:tcPr>
                  <w:tcW w:w="652" w:type="dxa"/>
                </w:tcPr>
                <w:p w14:paraId="7E2696AD" w14:textId="77777777" w:rsidR="002966D9" w:rsidRPr="007A014B" w:rsidRDefault="002966D9" w:rsidP="002966D9">
                  <w:pPr>
                    <w:pStyle w:val="NoSpacing"/>
                    <w:jc w:val="center"/>
                    <w:rPr>
                      <w:sz w:val="16"/>
                      <w:szCs w:val="16"/>
                    </w:rPr>
                  </w:pPr>
                  <w:r>
                    <w:rPr>
                      <w:sz w:val="16"/>
                      <w:szCs w:val="16"/>
                    </w:rPr>
                    <w:t>Over</w:t>
                  </w:r>
                </w:p>
              </w:tc>
              <w:tc>
                <w:tcPr>
                  <w:tcW w:w="652" w:type="dxa"/>
                </w:tcPr>
                <w:p w14:paraId="296F7458" w14:textId="77777777" w:rsidR="002966D9" w:rsidRPr="007A014B" w:rsidRDefault="002966D9" w:rsidP="002966D9">
                  <w:pPr>
                    <w:pStyle w:val="NoSpacing"/>
                    <w:jc w:val="center"/>
                    <w:rPr>
                      <w:sz w:val="16"/>
                      <w:szCs w:val="16"/>
                    </w:rPr>
                  </w:pPr>
                  <w:r>
                    <w:rPr>
                      <w:sz w:val="16"/>
                      <w:szCs w:val="16"/>
                    </w:rPr>
                    <w:t>Over</w:t>
                  </w:r>
                </w:p>
              </w:tc>
            </w:tr>
            <w:tr w:rsidR="002966D9" w14:paraId="14497B18" w14:textId="77777777" w:rsidTr="002966D9">
              <w:tc>
                <w:tcPr>
                  <w:tcW w:w="2566" w:type="dxa"/>
                  <w:tcBorders>
                    <w:bottom w:val="single" w:sz="4" w:space="0" w:color="auto"/>
                    <w:right w:val="single" w:sz="18" w:space="0" w:color="auto"/>
                  </w:tcBorders>
                </w:tcPr>
                <w:p w14:paraId="2A295D65" w14:textId="77777777" w:rsidR="002966D9" w:rsidRPr="007A014B" w:rsidRDefault="002966D9" w:rsidP="002966D9">
                  <w:pPr>
                    <w:pStyle w:val="NoSpacing"/>
                    <w:rPr>
                      <w:sz w:val="16"/>
                      <w:szCs w:val="16"/>
                    </w:rPr>
                  </w:pPr>
                  <w:r>
                    <w:rPr>
                      <w:sz w:val="16"/>
                      <w:szCs w:val="16"/>
                    </w:rPr>
                    <w:t>Insufficiency Percentage (%)</w:t>
                  </w:r>
                </w:p>
              </w:tc>
              <w:tc>
                <w:tcPr>
                  <w:tcW w:w="652" w:type="dxa"/>
                  <w:tcBorders>
                    <w:left w:val="single" w:sz="18" w:space="0" w:color="auto"/>
                    <w:bottom w:val="single" w:sz="4" w:space="0" w:color="auto"/>
                    <w:right w:val="single" w:sz="18" w:space="0" w:color="auto"/>
                  </w:tcBorders>
                </w:tcPr>
                <w:p w14:paraId="0FF0BDE4" w14:textId="77777777" w:rsidR="002966D9" w:rsidRPr="00E82371" w:rsidRDefault="002966D9" w:rsidP="002966D9">
                  <w:pPr>
                    <w:pStyle w:val="NoSpacing"/>
                    <w:jc w:val="center"/>
                    <w:rPr>
                      <w:color w:val="0000FF"/>
                      <w:sz w:val="14"/>
                      <w:szCs w:val="14"/>
                    </w:rPr>
                  </w:pPr>
                  <w:r w:rsidRPr="00E82371">
                    <w:rPr>
                      <w:color w:val="0000FF"/>
                      <w:sz w:val="14"/>
                      <w:szCs w:val="14"/>
                    </w:rPr>
                    <w:t>25.0</w:t>
                  </w:r>
                </w:p>
              </w:tc>
              <w:tc>
                <w:tcPr>
                  <w:tcW w:w="652" w:type="dxa"/>
                  <w:tcBorders>
                    <w:left w:val="single" w:sz="18" w:space="0" w:color="auto"/>
                    <w:bottom w:val="single" w:sz="4" w:space="0" w:color="auto"/>
                  </w:tcBorders>
                </w:tcPr>
                <w:p w14:paraId="21B19146" w14:textId="77777777" w:rsidR="002966D9" w:rsidRPr="00E82371" w:rsidRDefault="002966D9" w:rsidP="002966D9">
                  <w:pPr>
                    <w:pStyle w:val="NoSpacing"/>
                    <w:jc w:val="center"/>
                    <w:rPr>
                      <w:sz w:val="14"/>
                      <w:szCs w:val="14"/>
                    </w:rPr>
                  </w:pPr>
                  <w:r w:rsidRPr="00E82371">
                    <w:rPr>
                      <w:sz w:val="14"/>
                      <w:szCs w:val="14"/>
                    </w:rPr>
                    <w:t>-50.0</w:t>
                  </w:r>
                </w:p>
              </w:tc>
              <w:tc>
                <w:tcPr>
                  <w:tcW w:w="652" w:type="dxa"/>
                  <w:tcBorders>
                    <w:bottom w:val="single" w:sz="4" w:space="0" w:color="auto"/>
                  </w:tcBorders>
                </w:tcPr>
                <w:p w14:paraId="341EDBCF" w14:textId="77777777" w:rsidR="002966D9" w:rsidRPr="00E82371" w:rsidRDefault="002966D9" w:rsidP="002966D9">
                  <w:pPr>
                    <w:pStyle w:val="NoSpacing"/>
                    <w:jc w:val="center"/>
                    <w:rPr>
                      <w:sz w:val="14"/>
                      <w:szCs w:val="14"/>
                    </w:rPr>
                  </w:pPr>
                  <w:r w:rsidRPr="00E82371">
                    <w:rPr>
                      <w:sz w:val="14"/>
                      <w:szCs w:val="14"/>
                    </w:rPr>
                    <w:t>-125.0</w:t>
                  </w:r>
                </w:p>
              </w:tc>
              <w:tc>
                <w:tcPr>
                  <w:tcW w:w="652" w:type="dxa"/>
                  <w:tcBorders>
                    <w:bottom w:val="single" w:sz="4" w:space="0" w:color="auto"/>
                  </w:tcBorders>
                </w:tcPr>
                <w:p w14:paraId="1EE36294" w14:textId="77777777" w:rsidR="002966D9" w:rsidRPr="00E82371" w:rsidRDefault="002966D9" w:rsidP="002966D9">
                  <w:pPr>
                    <w:pStyle w:val="NoSpacing"/>
                    <w:jc w:val="center"/>
                    <w:rPr>
                      <w:sz w:val="14"/>
                      <w:szCs w:val="14"/>
                    </w:rPr>
                  </w:pPr>
                  <w:r w:rsidRPr="00E82371">
                    <w:rPr>
                      <w:sz w:val="14"/>
                      <w:szCs w:val="14"/>
                    </w:rPr>
                    <w:t>-25.0</w:t>
                  </w:r>
                </w:p>
              </w:tc>
            </w:tr>
            <w:tr w:rsidR="002966D9" w14:paraId="542EF0FE" w14:textId="77777777" w:rsidTr="002966D9">
              <w:tc>
                <w:tcPr>
                  <w:tcW w:w="2566" w:type="dxa"/>
                  <w:tcBorders>
                    <w:bottom w:val="single" w:sz="12" w:space="0" w:color="auto"/>
                    <w:right w:val="single" w:sz="18" w:space="0" w:color="auto"/>
                  </w:tcBorders>
                </w:tcPr>
                <w:p w14:paraId="62040B74" w14:textId="77777777" w:rsidR="002966D9" w:rsidRPr="007A014B" w:rsidRDefault="002966D9" w:rsidP="002966D9">
                  <w:pPr>
                    <w:pStyle w:val="NoSpacing"/>
                    <w:rPr>
                      <w:sz w:val="16"/>
                      <w:szCs w:val="16"/>
                    </w:rPr>
                  </w:pPr>
                  <w:r>
                    <w:rPr>
                      <w:sz w:val="16"/>
                      <w:szCs w:val="16"/>
                    </w:rPr>
                    <w:t>Insufficiency Amount (MW)</w:t>
                  </w:r>
                </w:p>
              </w:tc>
              <w:tc>
                <w:tcPr>
                  <w:tcW w:w="652" w:type="dxa"/>
                  <w:tcBorders>
                    <w:left w:val="single" w:sz="18" w:space="0" w:color="auto"/>
                    <w:bottom w:val="single" w:sz="18" w:space="0" w:color="auto"/>
                    <w:right w:val="single" w:sz="18" w:space="0" w:color="auto"/>
                  </w:tcBorders>
                </w:tcPr>
                <w:p w14:paraId="503842C6" w14:textId="77777777" w:rsidR="002966D9" w:rsidRPr="00E82371" w:rsidRDefault="002966D9" w:rsidP="002966D9">
                  <w:pPr>
                    <w:pStyle w:val="NoSpacing"/>
                    <w:jc w:val="center"/>
                    <w:rPr>
                      <w:color w:val="0000FF"/>
                      <w:sz w:val="16"/>
                      <w:szCs w:val="16"/>
                    </w:rPr>
                  </w:pPr>
                  <w:r w:rsidRPr="00E82371">
                    <w:rPr>
                      <w:color w:val="0000FF"/>
                      <w:sz w:val="16"/>
                      <w:szCs w:val="16"/>
                    </w:rPr>
                    <w:t>25</w:t>
                  </w:r>
                </w:p>
              </w:tc>
              <w:tc>
                <w:tcPr>
                  <w:tcW w:w="652" w:type="dxa"/>
                  <w:tcBorders>
                    <w:left w:val="single" w:sz="18" w:space="0" w:color="auto"/>
                    <w:bottom w:val="single" w:sz="12" w:space="0" w:color="auto"/>
                  </w:tcBorders>
                </w:tcPr>
                <w:p w14:paraId="19667369" w14:textId="77777777" w:rsidR="002966D9" w:rsidRPr="007A014B" w:rsidRDefault="002966D9" w:rsidP="002966D9">
                  <w:pPr>
                    <w:pStyle w:val="NoSpacing"/>
                    <w:jc w:val="center"/>
                    <w:rPr>
                      <w:sz w:val="16"/>
                      <w:szCs w:val="16"/>
                    </w:rPr>
                  </w:pPr>
                  <w:r>
                    <w:rPr>
                      <w:sz w:val="16"/>
                      <w:szCs w:val="16"/>
                    </w:rPr>
                    <w:t>-50</w:t>
                  </w:r>
                </w:p>
              </w:tc>
              <w:tc>
                <w:tcPr>
                  <w:tcW w:w="652" w:type="dxa"/>
                  <w:tcBorders>
                    <w:bottom w:val="single" w:sz="18" w:space="0" w:color="auto"/>
                  </w:tcBorders>
                </w:tcPr>
                <w:p w14:paraId="0A662F95" w14:textId="77777777" w:rsidR="002966D9" w:rsidRPr="007A014B" w:rsidRDefault="002966D9" w:rsidP="002966D9">
                  <w:pPr>
                    <w:pStyle w:val="NoSpacing"/>
                    <w:jc w:val="center"/>
                    <w:rPr>
                      <w:sz w:val="16"/>
                      <w:szCs w:val="16"/>
                    </w:rPr>
                  </w:pPr>
                  <w:r>
                    <w:rPr>
                      <w:sz w:val="16"/>
                      <w:szCs w:val="16"/>
                    </w:rPr>
                    <w:t>-125</w:t>
                  </w:r>
                </w:p>
              </w:tc>
              <w:tc>
                <w:tcPr>
                  <w:tcW w:w="652" w:type="dxa"/>
                  <w:tcBorders>
                    <w:bottom w:val="single" w:sz="12" w:space="0" w:color="auto"/>
                  </w:tcBorders>
                </w:tcPr>
                <w:p w14:paraId="0D3C0F98" w14:textId="77777777" w:rsidR="002966D9" w:rsidRPr="007A014B" w:rsidRDefault="002966D9" w:rsidP="002966D9">
                  <w:pPr>
                    <w:pStyle w:val="NoSpacing"/>
                    <w:jc w:val="center"/>
                    <w:rPr>
                      <w:sz w:val="16"/>
                      <w:szCs w:val="16"/>
                    </w:rPr>
                  </w:pPr>
                  <w:r>
                    <w:rPr>
                      <w:sz w:val="16"/>
                      <w:szCs w:val="16"/>
                    </w:rPr>
                    <w:t>-25</w:t>
                  </w:r>
                </w:p>
              </w:tc>
            </w:tr>
            <w:tr w:rsidR="002966D9" w14:paraId="0296C54D" w14:textId="77777777" w:rsidTr="002966D9">
              <w:tc>
                <w:tcPr>
                  <w:tcW w:w="2566" w:type="dxa"/>
                  <w:tcBorders>
                    <w:top w:val="single" w:sz="12" w:space="0" w:color="auto"/>
                  </w:tcBorders>
                </w:tcPr>
                <w:p w14:paraId="27E011A6" w14:textId="77777777" w:rsidR="002966D9" w:rsidRDefault="002966D9" w:rsidP="002966D9">
                  <w:pPr>
                    <w:pStyle w:val="NoSpacing"/>
                    <w:rPr>
                      <w:sz w:val="16"/>
                      <w:szCs w:val="16"/>
                    </w:rPr>
                  </w:pPr>
                  <w:r>
                    <w:rPr>
                      <w:sz w:val="16"/>
                      <w:szCs w:val="16"/>
                    </w:rPr>
                    <w:t>Test Status (Under)</w:t>
                  </w:r>
                </w:p>
              </w:tc>
              <w:tc>
                <w:tcPr>
                  <w:tcW w:w="652" w:type="dxa"/>
                  <w:tcBorders>
                    <w:top w:val="single" w:sz="18" w:space="0" w:color="auto"/>
                  </w:tcBorders>
                </w:tcPr>
                <w:p w14:paraId="5A11CAD2" w14:textId="77777777" w:rsidR="002966D9" w:rsidRDefault="002966D9" w:rsidP="002966D9">
                  <w:pPr>
                    <w:pStyle w:val="NoSpacing"/>
                    <w:jc w:val="center"/>
                    <w:rPr>
                      <w:sz w:val="16"/>
                      <w:szCs w:val="16"/>
                    </w:rPr>
                  </w:pPr>
                  <w:r>
                    <w:rPr>
                      <w:sz w:val="16"/>
                      <w:szCs w:val="16"/>
                    </w:rPr>
                    <w:t>Pass</w:t>
                  </w:r>
                </w:p>
              </w:tc>
              <w:tc>
                <w:tcPr>
                  <w:tcW w:w="652" w:type="dxa"/>
                  <w:tcBorders>
                    <w:top w:val="single" w:sz="12" w:space="0" w:color="auto"/>
                    <w:right w:val="single" w:sz="18" w:space="0" w:color="auto"/>
                  </w:tcBorders>
                </w:tcPr>
                <w:p w14:paraId="779EB8FF" w14:textId="77777777" w:rsidR="002966D9" w:rsidRDefault="002966D9" w:rsidP="002966D9">
                  <w:pPr>
                    <w:pStyle w:val="NoSpacing"/>
                    <w:jc w:val="center"/>
                    <w:rPr>
                      <w:sz w:val="16"/>
                      <w:szCs w:val="16"/>
                    </w:rPr>
                  </w:pPr>
                  <w:r>
                    <w:rPr>
                      <w:sz w:val="16"/>
                      <w:szCs w:val="16"/>
                    </w:rPr>
                    <w:t>Pass</w:t>
                  </w:r>
                </w:p>
              </w:tc>
              <w:tc>
                <w:tcPr>
                  <w:tcW w:w="652" w:type="dxa"/>
                  <w:tcBorders>
                    <w:top w:val="single" w:sz="18" w:space="0" w:color="auto"/>
                    <w:left w:val="single" w:sz="18" w:space="0" w:color="auto"/>
                    <w:right w:val="single" w:sz="18" w:space="0" w:color="auto"/>
                  </w:tcBorders>
                </w:tcPr>
                <w:p w14:paraId="1F2BFF42" w14:textId="77777777" w:rsidR="002966D9" w:rsidRPr="00E82371" w:rsidRDefault="002966D9" w:rsidP="002966D9">
                  <w:pPr>
                    <w:pStyle w:val="NoSpacing"/>
                    <w:jc w:val="center"/>
                    <w:rPr>
                      <w:color w:val="0000FF"/>
                      <w:sz w:val="16"/>
                      <w:szCs w:val="16"/>
                    </w:rPr>
                  </w:pPr>
                  <w:r w:rsidRPr="00E82371">
                    <w:rPr>
                      <w:color w:val="0000FF"/>
                      <w:sz w:val="16"/>
                      <w:szCs w:val="16"/>
                    </w:rPr>
                    <w:t>Pass</w:t>
                  </w:r>
                </w:p>
              </w:tc>
              <w:tc>
                <w:tcPr>
                  <w:tcW w:w="652" w:type="dxa"/>
                  <w:tcBorders>
                    <w:top w:val="single" w:sz="12" w:space="0" w:color="auto"/>
                    <w:left w:val="single" w:sz="18" w:space="0" w:color="auto"/>
                  </w:tcBorders>
                </w:tcPr>
                <w:p w14:paraId="75EC3AC0" w14:textId="77777777" w:rsidR="002966D9" w:rsidRDefault="002966D9" w:rsidP="002966D9">
                  <w:pPr>
                    <w:pStyle w:val="NoSpacing"/>
                    <w:jc w:val="center"/>
                    <w:rPr>
                      <w:sz w:val="16"/>
                      <w:szCs w:val="16"/>
                    </w:rPr>
                  </w:pPr>
                  <w:r>
                    <w:rPr>
                      <w:sz w:val="16"/>
                      <w:szCs w:val="16"/>
                    </w:rPr>
                    <w:t>Pass</w:t>
                  </w:r>
                </w:p>
              </w:tc>
            </w:tr>
            <w:tr w:rsidR="002966D9" w14:paraId="6F367CE0" w14:textId="77777777" w:rsidTr="002966D9">
              <w:tc>
                <w:tcPr>
                  <w:tcW w:w="2566" w:type="dxa"/>
                </w:tcPr>
                <w:p w14:paraId="6D1BBDA9" w14:textId="77777777" w:rsidR="002966D9" w:rsidRDefault="002966D9" w:rsidP="002966D9">
                  <w:pPr>
                    <w:pStyle w:val="NoSpacing"/>
                    <w:rPr>
                      <w:sz w:val="16"/>
                      <w:szCs w:val="16"/>
                    </w:rPr>
                  </w:pPr>
                  <w:r>
                    <w:rPr>
                      <w:sz w:val="16"/>
                      <w:szCs w:val="16"/>
                    </w:rPr>
                    <w:t>Insufficiency Direction (Under)</w:t>
                  </w:r>
                </w:p>
              </w:tc>
              <w:tc>
                <w:tcPr>
                  <w:tcW w:w="652" w:type="dxa"/>
                </w:tcPr>
                <w:p w14:paraId="5C48006B" w14:textId="77777777" w:rsidR="002966D9" w:rsidRDefault="002966D9" w:rsidP="002966D9">
                  <w:pPr>
                    <w:pStyle w:val="NoSpacing"/>
                    <w:jc w:val="center"/>
                    <w:rPr>
                      <w:sz w:val="16"/>
                      <w:szCs w:val="16"/>
                    </w:rPr>
                  </w:pPr>
                  <w:r>
                    <w:rPr>
                      <w:sz w:val="16"/>
                      <w:szCs w:val="16"/>
                    </w:rPr>
                    <w:t>Under</w:t>
                  </w:r>
                </w:p>
              </w:tc>
              <w:tc>
                <w:tcPr>
                  <w:tcW w:w="652" w:type="dxa"/>
                  <w:tcBorders>
                    <w:right w:val="single" w:sz="18" w:space="0" w:color="auto"/>
                  </w:tcBorders>
                </w:tcPr>
                <w:p w14:paraId="5144FBBC" w14:textId="77777777" w:rsidR="002966D9" w:rsidRDefault="002966D9" w:rsidP="002966D9">
                  <w:pPr>
                    <w:pStyle w:val="NoSpacing"/>
                    <w:jc w:val="center"/>
                    <w:rPr>
                      <w:sz w:val="16"/>
                      <w:szCs w:val="16"/>
                    </w:rPr>
                  </w:pPr>
                  <w:r>
                    <w:rPr>
                      <w:sz w:val="16"/>
                      <w:szCs w:val="16"/>
                    </w:rPr>
                    <w:t>Under</w:t>
                  </w:r>
                </w:p>
              </w:tc>
              <w:tc>
                <w:tcPr>
                  <w:tcW w:w="652" w:type="dxa"/>
                  <w:tcBorders>
                    <w:left w:val="single" w:sz="18" w:space="0" w:color="auto"/>
                    <w:right w:val="single" w:sz="18" w:space="0" w:color="auto"/>
                  </w:tcBorders>
                </w:tcPr>
                <w:p w14:paraId="5E7A4698" w14:textId="77777777" w:rsidR="002966D9" w:rsidRPr="00E82371" w:rsidRDefault="002966D9" w:rsidP="002966D9">
                  <w:pPr>
                    <w:pStyle w:val="NoSpacing"/>
                    <w:jc w:val="center"/>
                    <w:rPr>
                      <w:color w:val="0000FF"/>
                      <w:sz w:val="16"/>
                      <w:szCs w:val="16"/>
                    </w:rPr>
                  </w:pPr>
                  <w:r w:rsidRPr="00E82371">
                    <w:rPr>
                      <w:color w:val="0000FF"/>
                      <w:sz w:val="16"/>
                      <w:szCs w:val="16"/>
                    </w:rPr>
                    <w:t>Under</w:t>
                  </w:r>
                </w:p>
              </w:tc>
              <w:tc>
                <w:tcPr>
                  <w:tcW w:w="652" w:type="dxa"/>
                  <w:tcBorders>
                    <w:left w:val="single" w:sz="18" w:space="0" w:color="auto"/>
                  </w:tcBorders>
                </w:tcPr>
                <w:p w14:paraId="13F31342" w14:textId="77777777" w:rsidR="002966D9" w:rsidRDefault="002966D9" w:rsidP="002966D9">
                  <w:pPr>
                    <w:pStyle w:val="NoSpacing"/>
                    <w:jc w:val="center"/>
                    <w:rPr>
                      <w:sz w:val="16"/>
                      <w:szCs w:val="16"/>
                    </w:rPr>
                  </w:pPr>
                  <w:r>
                    <w:rPr>
                      <w:sz w:val="16"/>
                      <w:szCs w:val="16"/>
                    </w:rPr>
                    <w:t>Under</w:t>
                  </w:r>
                </w:p>
              </w:tc>
            </w:tr>
            <w:tr w:rsidR="002966D9" w14:paraId="5F179591" w14:textId="77777777" w:rsidTr="002966D9">
              <w:tc>
                <w:tcPr>
                  <w:tcW w:w="2566" w:type="dxa"/>
                  <w:tcBorders>
                    <w:bottom w:val="single" w:sz="4" w:space="0" w:color="auto"/>
                  </w:tcBorders>
                </w:tcPr>
                <w:p w14:paraId="18619C88" w14:textId="77777777" w:rsidR="002966D9" w:rsidRDefault="002966D9" w:rsidP="002966D9">
                  <w:pPr>
                    <w:pStyle w:val="NoSpacing"/>
                    <w:rPr>
                      <w:sz w:val="16"/>
                      <w:szCs w:val="16"/>
                    </w:rPr>
                  </w:pPr>
                  <w:r>
                    <w:rPr>
                      <w:sz w:val="16"/>
                      <w:szCs w:val="16"/>
                    </w:rPr>
                    <w:t>Insufficiency Percentage (%)</w:t>
                  </w:r>
                </w:p>
              </w:tc>
              <w:tc>
                <w:tcPr>
                  <w:tcW w:w="652" w:type="dxa"/>
                  <w:tcBorders>
                    <w:bottom w:val="single" w:sz="4" w:space="0" w:color="auto"/>
                  </w:tcBorders>
                </w:tcPr>
                <w:p w14:paraId="73BECA52" w14:textId="77777777" w:rsidR="002966D9" w:rsidRPr="00E82371" w:rsidRDefault="002966D9" w:rsidP="002966D9">
                  <w:pPr>
                    <w:pStyle w:val="NoSpacing"/>
                    <w:jc w:val="center"/>
                    <w:rPr>
                      <w:sz w:val="14"/>
                      <w:szCs w:val="14"/>
                    </w:rPr>
                  </w:pPr>
                  <w:r w:rsidRPr="00E82371">
                    <w:rPr>
                      <w:sz w:val="14"/>
                      <w:szCs w:val="14"/>
                    </w:rPr>
                    <w:t>-</w:t>
                  </w:r>
                  <w:r>
                    <w:rPr>
                      <w:sz w:val="14"/>
                      <w:szCs w:val="14"/>
                    </w:rPr>
                    <w:t>2</w:t>
                  </w:r>
                  <w:r w:rsidRPr="00E82371">
                    <w:rPr>
                      <w:sz w:val="14"/>
                      <w:szCs w:val="14"/>
                    </w:rPr>
                    <w:t>25.0</w:t>
                  </w:r>
                </w:p>
              </w:tc>
              <w:tc>
                <w:tcPr>
                  <w:tcW w:w="652" w:type="dxa"/>
                  <w:tcBorders>
                    <w:bottom w:val="single" w:sz="4" w:space="0" w:color="auto"/>
                    <w:right w:val="single" w:sz="18" w:space="0" w:color="auto"/>
                  </w:tcBorders>
                </w:tcPr>
                <w:p w14:paraId="79649F7A" w14:textId="77777777" w:rsidR="002966D9" w:rsidRPr="00E82371" w:rsidRDefault="002966D9" w:rsidP="002966D9">
                  <w:pPr>
                    <w:pStyle w:val="NoSpacing"/>
                    <w:jc w:val="center"/>
                    <w:rPr>
                      <w:sz w:val="14"/>
                      <w:szCs w:val="14"/>
                    </w:rPr>
                  </w:pPr>
                  <w:r w:rsidRPr="00E82371">
                    <w:rPr>
                      <w:sz w:val="14"/>
                      <w:szCs w:val="14"/>
                    </w:rPr>
                    <w:t>-</w:t>
                  </w:r>
                  <w:r>
                    <w:rPr>
                      <w:sz w:val="14"/>
                      <w:szCs w:val="14"/>
                    </w:rPr>
                    <w:t>1</w:t>
                  </w:r>
                  <w:r w:rsidRPr="00E82371">
                    <w:rPr>
                      <w:sz w:val="14"/>
                      <w:szCs w:val="14"/>
                    </w:rPr>
                    <w:t>50</w:t>
                  </w:r>
                  <w:r>
                    <w:rPr>
                      <w:sz w:val="14"/>
                      <w:szCs w:val="14"/>
                    </w:rPr>
                    <w:t>.0</w:t>
                  </w:r>
                </w:p>
              </w:tc>
              <w:tc>
                <w:tcPr>
                  <w:tcW w:w="652" w:type="dxa"/>
                  <w:tcBorders>
                    <w:left w:val="single" w:sz="18" w:space="0" w:color="auto"/>
                    <w:bottom w:val="single" w:sz="4" w:space="0" w:color="auto"/>
                    <w:right w:val="single" w:sz="18" w:space="0" w:color="auto"/>
                  </w:tcBorders>
                </w:tcPr>
                <w:p w14:paraId="2446F68B" w14:textId="77777777" w:rsidR="002966D9" w:rsidRPr="00E82371" w:rsidRDefault="002966D9" w:rsidP="002966D9">
                  <w:pPr>
                    <w:pStyle w:val="NoSpacing"/>
                    <w:jc w:val="center"/>
                    <w:rPr>
                      <w:color w:val="0000FF"/>
                      <w:sz w:val="14"/>
                      <w:szCs w:val="14"/>
                    </w:rPr>
                  </w:pPr>
                  <w:r>
                    <w:rPr>
                      <w:color w:val="0000FF"/>
                      <w:sz w:val="14"/>
                      <w:szCs w:val="14"/>
                    </w:rPr>
                    <w:t>-75</w:t>
                  </w:r>
                  <w:r w:rsidRPr="00E82371">
                    <w:rPr>
                      <w:color w:val="0000FF"/>
                      <w:sz w:val="14"/>
                      <w:szCs w:val="14"/>
                    </w:rPr>
                    <w:t>.0</w:t>
                  </w:r>
                </w:p>
              </w:tc>
              <w:tc>
                <w:tcPr>
                  <w:tcW w:w="652" w:type="dxa"/>
                  <w:tcBorders>
                    <w:left w:val="single" w:sz="18" w:space="0" w:color="auto"/>
                    <w:bottom w:val="single" w:sz="4" w:space="0" w:color="auto"/>
                  </w:tcBorders>
                </w:tcPr>
                <w:p w14:paraId="516D09A3" w14:textId="77777777" w:rsidR="002966D9" w:rsidRPr="00E82371" w:rsidRDefault="002966D9" w:rsidP="002966D9">
                  <w:pPr>
                    <w:pStyle w:val="NoSpacing"/>
                    <w:jc w:val="center"/>
                    <w:rPr>
                      <w:sz w:val="14"/>
                      <w:szCs w:val="14"/>
                    </w:rPr>
                  </w:pPr>
                  <w:r w:rsidRPr="00E82371">
                    <w:rPr>
                      <w:sz w:val="14"/>
                      <w:szCs w:val="14"/>
                    </w:rPr>
                    <w:t>-175.0</w:t>
                  </w:r>
                </w:p>
              </w:tc>
            </w:tr>
            <w:tr w:rsidR="002966D9" w14:paraId="117C693B" w14:textId="77777777" w:rsidTr="002966D9">
              <w:tc>
                <w:tcPr>
                  <w:tcW w:w="2566" w:type="dxa"/>
                  <w:tcBorders>
                    <w:bottom w:val="single" w:sz="12" w:space="0" w:color="auto"/>
                  </w:tcBorders>
                </w:tcPr>
                <w:p w14:paraId="26D1D656" w14:textId="77777777" w:rsidR="002966D9" w:rsidRDefault="002966D9" w:rsidP="002966D9">
                  <w:pPr>
                    <w:pStyle w:val="NoSpacing"/>
                    <w:rPr>
                      <w:sz w:val="16"/>
                      <w:szCs w:val="16"/>
                    </w:rPr>
                  </w:pPr>
                  <w:r>
                    <w:rPr>
                      <w:sz w:val="16"/>
                      <w:szCs w:val="16"/>
                    </w:rPr>
                    <w:t>Insufficiency Amount (MW)</w:t>
                  </w:r>
                </w:p>
              </w:tc>
              <w:tc>
                <w:tcPr>
                  <w:tcW w:w="652" w:type="dxa"/>
                  <w:tcBorders>
                    <w:bottom w:val="single" w:sz="12" w:space="0" w:color="auto"/>
                  </w:tcBorders>
                </w:tcPr>
                <w:p w14:paraId="5B1861FB" w14:textId="77777777" w:rsidR="002966D9" w:rsidRDefault="002966D9" w:rsidP="002966D9">
                  <w:pPr>
                    <w:pStyle w:val="NoSpacing"/>
                    <w:jc w:val="center"/>
                    <w:rPr>
                      <w:sz w:val="16"/>
                      <w:szCs w:val="16"/>
                    </w:rPr>
                  </w:pPr>
                  <w:r>
                    <w:rPr>
                      <w:sz w:val="16"/>
                      <w:szCs w:val="16"/>
                    </w:rPr>
                    <w:t>-225</w:t>
                  </w:r>
                </w:p>
              </w:tc>
              <w:tc>
                <w:tcPr>
                  <w:tcW w:w="652" w:type="dxa"/>
                  <w:tcBorders>
                    <w:bottom w:val="single" w:sz="12" w:space="0" w:color="auto"/>
                    <w:right w:val="single" w:sz="18" w:space="0" w:color="auto"/>
                  </w:tcBorders>
                </w:tcPr>
                <w:p w14:paraId="5173B1A0" w14:textId="77777777" w:rsidR="002966D9" w:rsidRDefault="002966D9" w:rsidP="002966D9">
                  <w:pPr>
                    <w:pStyle w:val="NoSpacing"/>
                    <w:jc w:val="center"/>
                    <w:rPr>
                      <w:sz w:val="16"/>
                      <w:szCs w:val="16"/>
                    </w:rPr>
                  </w:pPr>
                  <w:r>
                    <w:rPr>
                      <w:sz w:val="16"/>
                      <w:szCs w:val="16"/>
                    </w:rPr>
                    <w:t>-150</w:t>
                  </w:r>
                </w:p>
              </w:tc>
              <w:tc>
                <w:tcPr>
                  <w:tcW w:w="652" w:type="dxa"/>
                  <w:tcBorders>
                    <w:left w:val="single" w:sz="18" w:space="0" w:color="auto"/>
                    <w:bottom w:val="single" w:sz="18" w:space="0" w:color="auto"/>
                    <w:right w:val="single" w:sz="18" w:space="0" w:color="auto"/>
                  </w:tcBorders>
                </w:tcPr>
                <w:p w14:paraId="5E721FFD" w14:textId="77777777" w:rsidR="002966D9" w:rsidRPr="00E82371" w:rsidRDefault="002966D9" w:rsidP="002966D9">
                  <w:pPr>
                    <w:pStyle w:val="NoSpacing"/>
                    <w:jc w:val="center"/>
                    <w:rPr>
                      <w:color w:val="0000FF"/>
                      <w:sz w:val="16"/>
                      <w:szCs w:val="16"/>
                    </w:rPr>
                  </w:pPr>
                  <w:r w:rsidRPr="00E82371">
                    <w:rPr>
                      <w:color w:val="0000FF"/>
                      <w:sz w:val="16"/>
                      <w:szCs w:val="16"/>
                    </w:rPr>
                    <w:t>-75</w:t>
                  </w:r>
                </w:p>
              </w:tc>
              <w:tc>
                <w:tcPr>
                  <w:tcW w:w="652" w:type="dxa"/>
                  <w:tcBorders>
                    <w:left w:val="single" w:sz="18" w:space="0" w:color="auto"/>
                    <w:bottom w:val="single" w:sz="12" w:space="0" w:color="auto"/>
                  </w:tcBorders>
                </w:tcPr>
                <w:p w14:paraId="5B421715" w14:textId="77777777" w:rsidR="002966D9" w:rsidRDefault="002966D9" w:rsidP="002966D9">
                  <w:pPr>
                    <w:pStyle w:val="NoSpacing"/>
                    <w:jc w:val="center"/>
                    <w:rPr>
                      <w:sz w:val="16"/>
                      <w:szCs w:val="16"/>
                    </w:rPr>
                  </w:pPr>
                  <w:r>
                    <w:rPr>
                      <w:sz w:val="16"/>
                      <w:szCs w:val="16"/>
                    </w:rPr>
                    <w:t>-175</w:t>
                  </w:r>
                </w:p>
              </w:tc>
            </w:tr>
          </w:tbl>
          <w:p w14:paraId="6CDDC5C9" w14:textId="77777777" w:rsidR="002966D9" w:rsidRPr="007A014B" w:rsidRDefault="002966D9" w:rsidP="002966D9">
            <w:pPr>
              <w:rPr>
                <w:rFonts w:cs="Arial"/>
                <w:bCs/>
                <w:sz w:val="16"/>
                <w:szCs w:val="16"/>
              </w:rPr>
            </w:pPr>
            <w:r>
              <w:rPr>
                <w:rFonts w:cs="Arial"/>
                <w:bCs/>
                <w:sz w:val="16"/>
                <w:szCs w:val="16"/>
              </w:rPr>
              <w:t xml:space="preserve">Since one of the 15-minute intervals failed the “over” capacity test, </w:t>
            </w:r>
            <w:r w:rsidRPr="007A014B">
              <w:rPr>
                <w:rFonts w:cs="Arial"/>
                <w:bCs/>
                <w:sz w:val="16"/>
                <w:szCs w:val="16"/>
              </w:rPr>
              <w:t xml:space="preserve">the BAA’s </w:t>
            </w:r>
            <w:r>
              <w:rPr>
                <w:rFonts w:cs="Arial"/>
                <w:bCs/>
                <w:sz w:val="16"/>
                <w:szCs w:val="16"/>
              </w:rPr>
              <w:t>Flexible Ramping</w:t>
            </w:r>
            <w:r w:rsidRPr="007A014B">
              <w:rPr>
                <w:rFonts w:cs="Arial"/>
                <w:bCs/>
                <w:sz w:val="16"/>
                <w:szCs w:val="16"/>
              </w:rPr>
              <w:t xml:space="preserve"> </w:t>
            </w:r>
            <w:r>
              <w:rPr>
                <w:rFonts w:cs="Arial"/>
                <w:bCs/>
                <w:sz w:val="16"/>
                <w:szCs w:val="16"/>
              </w:rPr>
              <w:t>S</w:t>
            </w:r>
            <w:r w:rsidRPr="007A014B">
              <w:rPr>
                <w:rFonts w:cs="Arial"/>
                <w:bCs/>
                <w:sz w:val="16"/>
                <w:szCs w:val="16"/>
              </w:rPr>
              <w:t xml:space="preserve">ufficiency </w:t>
            </w:r>
            <w:r>
              <w:rPr>
                <w:rFonts w:cs="Arial"/>
                <w:bCs/>
                <w:sz w:val="16"/>
                <w:szCs w:val="16"/>
              </w:rPr>
              <w:t>T</w:t>
            </w:r>
            <w:r w:rsidRPr="007A014B">
              <w:rPr>
                <w:rFonts w:cs="Arial"/>
                <w:bCs/>
                <w:sz w:val="16"/>
                <w:szCs w:val="16"/>
              </w:rPr>
              <w:t xml:space="preserve">est </w:t>
            </w:r>
            <w:r>
              <w:rPr>
                <w:rFonts w:cs="Arial"/>
                <w:bCs/>
                <w:sz w:val="16"/>
                <w:szCs w:val="16"/>
              </w:rPr>
              <w:t>fails for the same 15-minute interval in the upward direction, reducing the BAA’s import EIM transfer limits</w:t>
            </w:r>
          </w:p>
        </w:tc>
      </w:tr>
      <w:tr w:rsidR="002966D9" w:rsidRPr="00767A7E" w14:paraId="0DDFC2CC" w14:textId="77777777" w:rsidTr="002966D9">
        <w:tc>
          <w:tcPr>
            <w:tcW w:w="0" w:type="auto"/>
          </w:tcPr>
          <w:p w14:paraId="0EEA780B" w14:textId="77777777" w:rsidR="002966D9" w:rsidRDefault="002966D9" w:rsidP="002966D9">
            <w:pPr>
              <w:jc w:val="center"/>
              <w:rPr>
                <w:rFonts w:cs="Arial"/>
                <w:b/>
                <w:bCs/>
              </w:rPr>
            </w:pPr>
            <w:r>
              <w:rPr>
                <w:rFonts w:cs="Arial"/>
                <w:b/>
                <w:bCs/>
              </w:rPr>
              <w:t>2</w:t>
            </w:r>
          </w:p>
        </w:tc>
        <w:tc>
          <w:tcPr>
            <w:tcW w:w="0" w:type="auto"/>
          </w:tcPr>
          <w:p w14:paraId="540BEE19" w14:textId="77777777" w:rsidR="002966D9" w:rsidRPr="007A014B" w:rsidRDefault="002966D9" w:rsidP="002966D9">
            <w:pPr>
              <w:rPr>
                <w:rFonts w:cs="Arial"/>
                <w:bCs/>
                <w:sz w:val="16"/>
                <w:szCs w:val="16"/>
              </w:rPr>
            </w:pPr>
            <w:r>
              <w:rPr>
                <w:rFonts w:cs="Arial"/>
                <w:bCs/>
                <w:sz w:val="16"/>
                <w:szCs w:val="16"/>
              </w:rPr>
              <w:t xml:space="preserve">BAA’s </w:t>
            </w:r>
            <w:r w:rsidRPr="007A014B">
              <w:rPr>
                <w:rFonts w:cs="Arial"/>
                <w:bCs/>
                <w:sz w:val="16"/>
                <w:szCs w:val="16"/>
              </w:rPr>
              <w:t xml:space="preserve">EIM Capacity Test result fails for </w:t>
            </w:r>
            <w:r>
              <w:rPr>
                <w:rFonts w:cs="Arial"/>
                <w:bCs/>
                <w:sz w:val="16"/>
                <w:szCs w:val="16"/>
              </w:rPr>
              <w:t>at least one 15-minute interval for each direction in same trade hour, where the following conditions occur</w:t>
            </w:r>
            <w:r w:rsidRPr="007A014B">
              <w:rPr>
                <w:rFonts w:cs="Arial"/>
                <w:bCs/>
                <w:sz w:val="16"/>
                <w:szCs w:val="16"/>
              </w:rPr>
              <w:t>:</w:t>
            </w:r>
          </w:p>
          <w:tbl>
            <w:tblPr>
              <w:tblStyle w:val="TableGrid"/>
              <w:tblW w:w="0" w:type="auto"/>
              <w:tblLook w:val="04A0" w:firstRow="1" w:lastRow="0" w:firstColumn="1" w:lastColumn="0" w:noHBand="0" w:noVBand="1"/>
            </w:tblPr>
            <w:tblGrid>
              <w:gridCol w:w="1200"/>
              <w:gridCol w:w="572"/>
              <w:gridCol w:w="581"/>
              <w:gridCol w:w="652"/>
              <w:gridCol w:w="652"/>
            </w:tblGrid>
            <w:tr w:rsidR="002966D9" w14:paraId="526CE5DA" w14:textId="77777777" w:rsidTr="002966D9">
              <w:tc>
                <w:tcPr>
                  <w:tcW w:w="2222" w:type="dxa"/>
                  <w:shd w:val="clear" w:color="auto" w:fill="F2F2F2" w:themeFill="background1" w:themeFillShade="F2"/>
                </w:tcPr>
                <w:p w14:paraId="68BA2672" w14:textId="77777777" w:rsidR="002966D9" w:rsidRDefault="002966D9" w:rsidP="002966D9">
                  <w:pPr>
                    <w:pStyle w:val="NoSpacing"/>
                    <w:rPr>
                      <w:sz w:val="16"/>
                      <w:szCs w:val="16"/>
                    </w:rPr>
                  </w:pPr>
                  <w:r>
                    <w:rPr>
                      <w:sz w:val="16"/>
                      <w:szCs w:val="16"/>
                    </w:rPr>
                    <w:t>Value</w:t>
                  </w:r>
                </w:p>
              </w:tc>
              <w:tc>
                <w:tcPr>
                  <w:tcW w:w="572" w:type="dxa"/>
                  <w:shd w:val="clear" w:color="auto" w:fill="F2F2F2" w:themeFill="background1" w:themeFillShade="F2"/>
                </w:tcPr>
                <w:p w14:paraId="4861DCCC" w14:textId="77777777" w:rsidR="002966D9" w:rsidRDefault="002966D9" w:rsidP="002966D9">
                  <w:pPr>
                    <w:pStyle w:val="NoSpacing"/>
                    <w:jc w:val="center"/>
                    <w:rPr>
                      <w:sz w:val="16"/>
                      <w:szCs w:val="16"/>
                    </w:rPr>
                  </w:pPr>
                  <w:r>
                    <w:rPr>
                      <w:sz w:val="16"/>
                      <w:szCs w:val="16"/>
                    </w:rPr>
                    <w:t>:15</w:t>
                  </w:r>
                </w:p>
              </w:tc>
              <w:tc>
                <w:tcPr>
                  <w:tcW w:w="622" w:type="dxa"/>
                  <w:shd w:val="clear" w:color="auto" w:fill="F2F2F2" w:themeFill="background1" w:themeFillShade="F2"/>
                </w:tcPr>
                <w:p w14:paraId="6D6061D6" w14:textId="77777777" w:rsidR="002966D9" w:rsidRDefault="002966D9" w:rsidP="002966D9">
                  <w:pPr>
                    <w:pStyle w:val="NoSpacing"/>
                    <w:jc w:val="center"/>
                    <w:rPr>
                      <w:sz w:val="16"/>
                      <w:szCs w:val="16"/>
                    </w:rPr>
                  </w:pPr>
                  <w:r>
                    <w:rPr>
                      <w:sz w:val="16"/>
                      <w:szCs w:val="16"/>
                    </w:rPr>
                    <w:t>:30</w:t>
                  </w:r>
                </w:p>
              </w:tc>
              <w:tc>
                <w:tcPr>
                  <w:tcW w:w="652" w:type="dxa"/>
                  <w:shd w:val="clear" w:color="auto" w:fill="F2F2F2" w:themeFill="background1" w:themeFillShade="F2"/>
                </w:tcPr>
                <w:p w14:paraId="259645E1" w14:textId="77777777" w:rsidR="002966D9" w:rsidRDefault="002966D9" w:rsidP="002966D9">
                  <w:pPr>
                    <w:pStyle w:val="NoSpacing"/>
                    <w:jc w:val="center"/>
                    <w:rPr>
                      <w:sz w:val="16"/>
                      <w:szCs w:val="16"/>
                    </w:rPr>
                  </w:pPr>
                  <w:r>
                    <w:rPr>
                      <w:sz w:val="16"/>
                      <w:szCs w:val="16"/>
                    </w:rPr>
                    <w:t>:45</w:t>
                  </w:r>
                </w:p>
              </w:tc>
              <w:tc>
                <w:tcPr>
                  <w:tcW w:w="652" w:type="dxa"/>
                  <w:shd w:val="clear" w:color="auto" w:fill="F2F2F2" w:themeFill="background1" w:themeFillShade="F2"/>
                </w:tcPr>
                <w:p w14:paraId="11039B63" w14:textId="77777777" w:rsidR="002966D9" w:rsidRDefault="002966D9" w:rsidP="002966D9">
                  <w:pPr>
                    <w:pStyle w:val="NoSpacing"/>
                    <w:jc w:val="center"/>
                    <w:rPr>
                      <w:sz w:val="16"/>
                      <w:szCs w:val="16"/>
                    </w:rPr>
                  </w:pPr>
                  <w:r>
                    <w:rPr>
                      <w:sz w:val="16"/>
                      <w:szCs w:val="16"/>
                    </w:rPr>
                    <w:t>:60</w:t>
                  </w:r>
                </w:p>
              </w:tc>
            </w:tr>
            <w:tr w:rsidR="002966D9" w14:paraId="368D16AC" w14:textId="77777777" w:rsidTr="002966D9">
              <w:tc>
                <w:tcPr>
                  <w:tcW w:w="2222" w:type="dxa"/>
                </w:tcPr>
                <w:p w14:paraId="36BAC193" w14:textId="542D8835" w:rsidR="002966D9" w:rsidRDefault="002966D9" w:rsidP="002966D9">
                  <w:pPr>
                    <w:pStyle w:val="NoSpacing"/>
                    <w:rPr>
                      <w:sz w:val="16"/>
                      <w:szCs w:val="16"/>
                    </w:rPr>
                  </w:pPr>
                  <w:r w:rsidRPr="00194563">
                    <w:rPr>
                      <w:sz w:val="16"/>
                      <w:szCs w:val="16"/>
                    </w:rPr>
                    <w:t xml:space="preserve">sum of base </w:t>
                  </w:r>
                  <w:r>
                    <w:rPr>
                      <w:sz w:val="16"/>
                      <w:szCs w:val="16"/>
                    </w:rPr>
                    <w:t>Schedules</w:t>
                  </w:r>
                </w:p>
              </w:tc>
              <w:tc>
                <w:tcPr>
                  <w:tcW w:w="572" w:type="dxa"/>
                </w:tcPr>
                <w:p w14:paraId="35A0F507" w14:textId="77777777" w:rsidR="002966D9" w:rsidRDefault="002966D9" w:rsidP="002966D9">
                  <w:pPr>
                    <w:pStyle w:val="NoSpacing"/>
                    <w:jc w:val="center"/>
                    <w:rPr>
                      <w:sz w:val="16"/>
                      <w:szCs w:val="16"/>
                    </w:rPr>
                  </w:pPr>
                  <w:r>
                    <w:rPr>
                      <w:sz w:val="16"/>
                      <w:szCs w:val="16"/>
                    </w:rPr>
                    <w:t>1100</w:t>
                  </w:r>
                </w:p>
              </w:tc>
              <w:tc>
                <w:tcPr>
                  <w:tcW w:w="622" w:type="dxa"/>
                </w:tcPr>
                <w:p w14:paraId="7AE4D219" w14:textId="77777777" w:rsidR="002966D9" w:rsidRDefault="002966D9" w:rsidP="002966D9">
                  <w:pPr>
                    <w:pStyle w:val="NoSpacing"/>
                    <w:jc w:val="center"/>
                    <w:rPr>
                      <w:sz w:val="16"/>
                      <w:szCs w:val="16"/>
                    </w:rPr>
                  </w:pPr>
                  <w:r>
                    <w:rPr>
                      <w:sz w:val="16"/>
                      <w:szCs w:val="16"/>
                    </w:rPr>
                    <w:t>1100</w:t>
                  </w:r>
                </w:p>
              </w:tc>
              <w:tc>
                <w:tcPr>
                  <w:tcW w:w="652" w:type="dxa"/>
                </w:tcPr>
                <w:p w14:paraId="375D1101" w14:textId="77777777" w:rsidR="002966D9" w:rsidRDefault="002966D9" w:rsidP="002966D9">
                  <w:pPr>
                    <w:pStyle w:val="NoSpacing"/>
                    <w:jc w:val="center"/>
                    <w:rPr>
                      <w:sz w:val="16"/>
                      <w:szCs w:val="16"/>
                    </w:rPr>
                  </w:pPr>
                  <w:r>
                    <w:rPr>
                      <w:sz w:val="16"/>
                      <w:szCs w:val="16"/>
                    </w:rPr>
                    <w:t>1100</w:t>
                  </w:r>
                </w:p>
              </w:tc>
              <w:tc>
                <w:tcPr>
                  <w:tcW w:w="652" w:type="dxa"/>
                </w:tcPr>
                <w:p w14:paraId="08621A06" w14:textId="77777777" w:rsidR="002966D9" w:rsidRDefault="002966D9" w:rsidP="002966D9">
                  <w:pPr>
                    <w:pStyle w:val="NoSpacing"/>
                    <w:jc w:val="center"/>
                    <w:rPr>
                      <w:sz w:val="16"/>
                      <w:szCs w:val="16"/>
                    </w:rPr>
                  </w:pPr>
                  <w:r>
                    <w:rPr>
                      <w:sz w:val="16"/>
                      <w:szCs w:val="16"/>
                    </w:rPr>
                    <w:t>1100</w:t>
                  </w:r>
                </w:p>
              </w:tc>
            </w:tr>
            <w:tr w:rsidR="002966D9" w14:paraId="3449C219" w14:textId="77777777" w:rsidTr="002966D9">
              <w:tc>
                <w:tcPr>
                  <w:tcW w:w="2222" w:type="dxa"/>
                </w:tcPr>
                <w:p w14:paraId="5DAB8AB1" w14:textId="71CF436D" w:rsidR="002966D9" w:rsidRDefault="002966D9" w:rsidP="002966D9">
                  <w:pPr>
                    <w:pStyle w:val="NoSpacing"/>
                    <w:rPr>
                      <w:sz w:val="16"/>
                      <w:szCs w:val="16"/>
                    </w:rPr>
                  </w:pPr>
                  <w:r>
                    <w:rPr>
                      <w:sz w:val="16"/>
                      <w:szCs w:val="16"/>
                    </w:rPr>
                    <w:t>15-minute Demand Forecast</w:t>
                  </w:r>
                </w:p>
              </w:tc>
              <w:tc>
                <w:tcPr>
                  <w:tcW w:w="572" w:type="dxa"/>
                </w:tcPr>
                <w:p w14:paraId="18F489B6" w14:textId="77777777" w:rsidR="002966D9" w:rsidRDefault="002966D9" w:rsidP="002966D9">
                  <w:pPr>
                    <w:pStyle w:val="NoSpacing"/>
                    <w:jc w:val="center"/>
                    <w:rPr>
                      <w:sz w:val="16"/>
                      <w:szCs w:val="16"/>
                    </w:rPr>
                  </w:pPr>
                  <w:r>
                    <w:rPr>
                      <w:sz w:val="16"/>
                      <w:szCs w:val="16"/>
                    </w:rPr>
                    <w:t>975</w:t>
                  </w:r>
                </w:p>
              </w:tc>
              <w:tc>
                <w:tcPr>
                  <w:tcW w:w="622" w:type="dxa"/>
                </w:tcPr>
                <w:p w14:paraId="7853C3AF" w14:textId="77777777" w:rsidR="002966D9" w:rsidRDefault="002966D9" w:rsidP="002966D9">
                  <w:pPr>
                    <w:pStyle w:val="NoSpacing"/>
                    <w:jc w:val="center"/>
                    <w:rPr>
                      <w:sz w:val="16"/>
                      <w:szCs w:val="16"/>
                    </w:rPr>
                  </w:pPr>
                  <w:r>
                    <w:rPr>
                      <w:sz w:val="16"/>
                      <w:szCs w:val="16"/>
                    </w:rPr>
                    <w:t>950</w:t>
                  </w:r>
                </w:p>
              </w:tc>
              <w:tc>
                <w:tcPr>
                  <w:tcW w:w="652" w:type="dxa"/>
                </w:tcPr>
                <w:p w14:paraId="40871619" w14:textId="77777777" w:rsidR="002966D9" w:rsidRDefault="002966D9" w:rsidP="002966D9">
                  <w:pPr>
                    <w:pStyle w:val="NoSpacing"/>
                    <w:jc w:val="center"/>
                    <w:rPr>
                      <w:sz w:val="16"/>
                      <w:szCs w:val="16"/>
                    </w:rPr>
                  </w:pPr>
                  <w:r>
                    <w:rPr>
                      <w:sz w:val="16"/>
                      <w:szCs w:val="16"/>
                    </w:rPr>
                    <w:t>1110</w:t>
                  </w:r>
                </w:p>
              </w:tc>
              <w:tc>
                <w:tcPr>
                  <w:tcW w:w="652" w:type="dxa"/>
                </w:tcPr>
                <w:p w14:paraId="19678AEF" w14:textId="77777777" w:rsidR="002966D9" w:rsidRDefault="002966D9" w:rsidP="002966D9">
                  <w:pPr>
                    <w:pStyle w:val="NoSpacing"/>
                    <w:jc w:val="center"/>
                    <w:rPr>
                      <w:sz w:val="16"/>
                      <w:szCs w:val="16"/>
                    </w:rPr>
                  </w:pPr>
                  <w:r>
                    <w:rPr>
                      <w:sz w:val="16"/>
                      <w:szCs w:val="16"/>
                    </w:rPr>
                    <w:t>1225</w:t>
                  </w:r>
                </w:p>
              </w:tc>
            </w:tr>
            <w:tr w:rsidR="002966D9" w14:paraId="3F364F12" w14:textId="77777777" w:rsidTr="002966D9">
              <w:tc>
                <w:tcPr>
                  <w:tcW w:w="2222" w:type="dxa"/>
                </w:tcPr>
                <w:p w14:paraId="0CA819AB" w14:textId="77777777" w:rsidR="002966D9" w:rsidRDefault="002966D9" w:rsidP="002966D9">
                  <w:pPr>
                    <w:pStyle w:val="NoSpacing"/>
                    <w:rPr>
                      <w:sz w:val="16"/>
                      <w:szCs w:val="16"/>
                    </w:rPr>
                  </w:pPr>
                  <w:r>
                    <w:rPr>
                      <w:sz w:val="16"/>
                      <w:szCs w:val="16"/>
                    </w:rPr>
                    <w:t>Imbalance Direction</w:t>
                  </w:r>
                </w:p>
              </w:tc>
              <w:tc>
                <w:tcPr>
                  <w:tcW w:w="572" w:type="dxa"/>
                </w:tcPr>
                <w:p w14:paraId="27ED6DC5" w14:textId="77777777" w:rsidR="002966D9" w:rsidRDefault="002966D9" w:rsidP="002966D9">
                  <w:pPr>
                    <w:pStyle w:val="NoSpacing"/>
                    <w:jc w:val="center"/>
                    <w:rPr>
                      <w:sz w:val="16"/>
                      <w:szCs w:val="16"/>
                    </w:rPr>
                  </w:pPr>
                  <w:r>
                    <w:rPr>
                      <w:sz w:val="16"/>
                      <w:szCs w:val="16"/>
                    </w:rPr>
                    <w:t>Over</w:t>
                  </w:r>
                </w:p>
              </w:tc>
              <w:tc>
                <w:tcPr>
                  <w:tcW w:w="622" w:type="dxa"/>
                </w:tcPr>
                <w:p w14:paraId="5A98DE54" w14:textId="77777777" w:rsidR="002966D9" w:rsidRDefault="002966D9" w:rsidP="002966D9">
                  <w:pPr>
                    <w:pStyle w:val="NoSpacing"/>
                    <w:jc w:val="center"/>
                    <w:rPr>
                      <w:sz w:val="16"/>
                      <w:szCs w:val="16"/>
                    </w:rPr>
                  </w:pPr>
                  <w:r>
                    <w:rPr>
                      <w:sz w:val="16"/>
                      <w:szCs w:val="16"/>
                    </w:rPr>
                    <w:t>Over</w:t>
                  </w:r>
                </w:p>
              </w:tc>
              <w:tc>
                <w:tcPr>
                  <w:tcW w:w="652" w:type="dxa"/>
                </w:tcPr>
                <w:p w14:paraId="35962C76" w14:textId="77777777" w:rsidR="002966D9" w:rsidRDefault="002966D9" w:rsidP="002966D9">
                  <w:pPr>
                    <w:pStyle w:val="NoSpacing"/>
                    <w:jc w:val="center"/>
                    <w:rPr>
                      <w:sz w:val="16"/>
                      <w:szCs w:val="16"/>
                    </w:rPr>
                  </w:pPr>
                  <w:r>
                    <w:rPr>
                      <w:sz w:val="16"/>
                      <w:szCs w:val="16"/>
                    </w:rPr>
                    <w:t>Under</w:t>
                  </w:r>
                </w:p>
              </w:tc>
              <w:tc>
                <w:tcPr>
                  <w:tcW w:w="652" w:type="dxa"/>
                </w:tcPr>
                <w:p w14:paraId="5D346C94" w14:textId="77777777" w:rsidR="002966D9" w:rsidRDefault="002966D9" w:rsidP="002966D9">
                  <w:pPr>
                    <w:pStyle w:val="NoSpacing"/>
                    <w:jc w:val="center"/>
                    <w:rPr>
                      <w:sz w:val="16"/>
                      <w:szCs w:val="16"/>
                    </w:rPr>
                  </w:pPr>
                  <w:r>
                    <w:rPr>
                      <w:sz w:val="16"/>
                      <w:szCs w:val="16"/>
                    </w:rPr>
                    <w:t>Under</w:t>
                  </w:r>
                </w:p>
              </w:tc>
            </w:tr>
            <w:tr w:rsidR="002966D9" w:rsidRPr="007A014B" w14:paraId="21FB6A04" w14:textId="77777777" w:rsidTr="002966D9">
              <w:tc>
                <w:tcPr>
                  <w:tcW w:w="2222" w:type="dxa"/>
                </w:tcPr>
                <w:p w14:paraId="21842F32" w14:textId="77777777" w:rsidR="002966D9" w:rsidRPr="007A014B" w:rsidRDefault="002966D9" w:rsidP="002966D9">
                  <w:pPr>
                    <w:pStyle w:val="NoSpacing"/>
                    <w:rPr>
                      <w:sz w:val="16"/>
                      <w:szCs w:val="16"/>
                    </w:rPr>
                  </w:pPr>
                  <w:r>
                    <w:rPr>
                      <w:sz w:val="16"/>
                      <w:szCs w:val="16"/>
                    </w:rPr>
                    <w:lastRenderedPageBreak/>
                    <w:t>Imbalance Amount</w:t>
                  </w:r>
                </w:p>
              </w:tc>
              <w:tc>
                <w:tcPr>
                  <w:tcW w:w="572" w:type="dxa"/>
                </w:tcPr>
                <w:p w14:paraId="671359D8" w14:textId="77777777" w:rsidR="002966D9" w:rsidRPr="007A014B" w:rsidRDefault="002966D9" w:rsidP="002966D9">
                  <w:pPr>
                    <w:pStyle w:val="NoSpacing"/>
                    <w:jc w:val="center"/>
                    <w:rPr>
                      <w:sz w:val="16"/>
                      <w:szCs w:val="16"/>
                    </w:rPr>
                  </w:pPr>
                  <w:r>
                    <w:rPr>
                      <w:sz w:val="16"/>
                      <w:szCs w:val="16"/>
                    </w:rPr>
                    <w:t>125</w:t>
                  </w:r>
                </w:p>
              </w:tc>
              <w:tc>
                <w:tcPr>
                  <w:tcW w:w="622" w:type="dxa"/>
                </w:tcPr>
                <w:p w14:paraId="6C6A94A6" w14:textId="77777777" w:rsidR="002966D9" w:rsidRPr="007A014B" w:rsidRDefault="002966D9" w:rsidP="002966D9">
                  <w:pPr>
                    <w:pStyle w:val="NoSpacing"/>
                    <w:jc w:val="center"/>
                    <w:rPr>
                      <w:sz w:val="16"/>
                      <w:szCs w:val="16"/>
                    </w:rPr>
                  </w:pPr>
                  <w:r>
                    <w:rPr>
                      <w:sz w:val="16"/>
                      <w:szCs w:val="16"/>
                    </w:rPr>
                    <w:t>150</w:t>
                  </w:r>
                </w:p>
              </w:tc>
              <w:tc>
                <w:tcPr>
                  <w:tcW w:w="652" w:type="dxa"/>
                </w:tcPr>
                <w:p w14:paraId="4FD594B2" w14:textId="77777777" w:rsidR="002966D9" w:rsidRPr="007A014B" w:rsidRDefault="002966D9" w:rsidP="002966D9">
                  <w:pPr>
                    <w:pStyle w:val="NoSpacing"/>
                    <w:jc w:val="center"/>
                    <w:rPr>
                      <w:sz w:val="16"/>
                      <w:szCs w:val="16"/>
                    </w:rPr>
                  </w:pPr>
                  <w:r>
                    <w:rPr>
                      <w:sz w:val="16"/>
                      <w:szCs w:val="16"/>
                    </w:rPr>
                    <w:t>10</w:t>
                  </w:r>
                </w:p>
              </w:tc>
              <w:tc>
                <w:tcPr>
                  <w:tcW w:w="652" w:type="dxa"/>
                </w:tcPr>
                <w:p w14:paraId="4FB65C2F" w14:textId="77777777" w:rsidR="002966D9" w:rsidRPr="007A014B" w:rsidRDefault="002966D9" w:rsidP="002966D9">
                  <w:pPr>
                    <w:pStyle w:val="NoSpacing"/>
                    <w:jc w:val="center"/>
                    <w:rPr>
                      <w:sz w:val="16"/>
                      <w:szCs w:val="16"/>
                    </w:rPr>
                  </w:pPr>
                  <w:r>
                    <w:rPr>
                      <w:sz w:val="16"/>
                      <w:szCs w:val="16"/>
                    </w:rPr>
                    <w:t>125</w:t>
                  </w:r>
                </w:p>
              </w:tc>
            </w:tr>
            <w:tr w:rsidR="002966D9" w:rsidRPr="007A014B" w14:paraId="40D582D7" w14:textId="77777777" w:rsidTr="002966D9">
              <w:tc>
                <w:tcPr>
                  <w:tcW w:w="2222" w:type="dxa"/>
                </w:tcPr>
                <w:p w14:paraId="451EE75B" w14:textId="77777777" w:rsidR="002966D9" w:rsidRPr="007A014B" w:rsidRDefault="002966D9" w:rsidP="002966D9">
                  <w:pPr>
                    <w:pStyle w:val="NoSpacing"/>
                    <w:rPr>
                      <w:sz w:val="16"/>
                      <w:szCs w:val="16"/>
                    </w:rPr>
                  </w:pPr>
                  <w:r>
                    <w:rPr>
                      <w:sz w:val="16"/>
                      <w:szCs w:val="16"/>
                    </w:rPr>
                    <w:t>Bid Range Capacity (Up)</w:t>
                  </w:r>
                </w:p>
              </w:tc>
              <w:tc>
                <w:tcPr>
                  <w:tcW w:w="572" w:type="dxa"/>
                </w:tcPr>
                <w:p w14:paraId="4D9E67F9" w14:textId="77777777" w:rsidR="002966D9" w:rsidRPr="007A014B" w:rsidRDefault="002966D9" w:rsidP="002966D9">
                  <w:pPr>
                    <w:pStyle w:val="NoSpacing"/>
                    <w:jc w:val="center"/>
                    <w:rPr>
                      <w:sz w:val="16"/>
                      <w:szCs w:val="16"/>
                    </w:rPr>
                  </w:pPr>
                  <w:r>
                    <w:rPr>
                      <w:sz w:val="16"/>
                      <w:szCs w:val="16"/>
                    </w:rPr>
                    <w:t>100</w:t>
                  </w:r>
                </w:p>
              </w:tc>
              <w:tc>
                <w:tcPr>
                  <w:tcW w:w="622" w:type="dxa"/>
                </w:tcPr>
                <w:p w14:paraId="51079419" w14:textId="77777777" w:rsidR="002966D9" w:rsidRPr="007A014B" w:rsidRDefault="002966D9" w:rsidP="002966D9">
                  <w:pPr>
                    <w:pStyle w:val="NoSpacing"/>
                    <w:jc w:val="center"/>
                    <w:rPr>
                      <w:sz w:val="16"/>
                      <w:szCs w:val="16"/>
                    </w:rPr>
                  </w:pPr>
                  <w:r>
                    <w:rPr>
                      <w:sz w:val="16"/>
                      <w:szCs w:val="16"/>
                    </w:rPr>
                    <w:t>100</w:t>
                  </w:r>
                </w:p>
              </w:tc>
              <w:tc>
                <w:tcPr>
                  <w:tcW w:w="652" w:type="dxa"/>
                </w:tcPr>
                <w:p w14:paraId="2AC9585A" w14:textId="77777777" w:rsidR="002966D9" w:rsidRPr="007A014B" w:rsidRDefault="002966D9" w:rsidP="002966D9">
                  <w:pPr>
                    <w:pStyle w:val="NoSpacing"/>
                    <w:jc w:val="center"/>
                    <w:rPr>
                      <w:sz w:val="16"/>
                      <w:szCs w:val="16"/>
                    </w:rPr>
                  </w:pPr>
                  <w:r>
                    <w:rPr>
                      <w:sz w:val="16"/>
                      <w:szCs w:val="16"/>
                    </w:rPr>
                    <w:t>100</w:t>
                  </w:r>
                </w:p>
              </w:tc>
              <w:tc>
                <w:tcPr>
                  <w:tcW w:w="652" w:type="dxa"/>
                </w:tcPr>
                <w:p w14:paraId="094F434C" w14:textId="77777777" w:rsidR="002966D9" w:rsidRPr="007A014B" w:rsidRDefault="002966D9" w:rsidP="002966D9">
                  <w:pPr>
                    <w:pStyle w:val="NoSpacing"/>
                    <w:jc w:val="center"/>
                    <w:rPr>
                      <w:sz w:val="16"/>
                      <w:szCs w:val="16"/>
                    </w:rPr>
                  </w:pPr>
                  <w:r>
                    <w:rPr>
                      <w:sz w:val="16"/>
                      <w:szCs w:val="16"/>
                    </w:rPr>
                    <w:t>100</w:t>
                  </w:r>
                </w:p>
              </w:tc>
            </w:tr>
            <w:tr w:rsidR="002966D9" w:rsidRPr="007A014B" w14:paraId="50FE9341" w14:textId="77777777" w:rsidTr="002966D9">
              <w:tc>
                <w:tcPr>
                  <w:tcW w:w="2222" w:type="dxa"/>
                </w:tcPr>
                <w:p w14:paraId="5A094FD7" w14:textId="77777777" w:rsidR="002966D9" w:rsidRPr="007A014B" w:rsidRDefault="002966D9" w:rsidP="002966D9">
                  <w:pPr>
                    <w:pStyle w:val="NoSpacing"/>
                    <w:rPr>
                      <w:sz w:val="16"/>
                      <w:szCs w:val="16"/>
                    </w:rPr>
                  </w:pPr>
                  <w:r>
                    <w:rPr>
                      <w:sz w:val="16"/>
                      <w:szCs w:val="16"/>
                    </w:rPr>
                    <w:t>Bid Range Capacity (Down)</w:t>
                  </w:r>
                </w:p>
              </w:tc>
              <w:tc>
                <w:tcPr>
                  <w:tcW w:w="572" w:type="dxa"/>
                </w:tcPr>
                <w:p w14:paraId="3248CDDD" w14:textId="77777777" w:rsidR="002966D9" w:rsidRPr="007A014B" w:rsidRDefault="002966D9" w:rsidP="002966D9">
                  <w:pPr>
                    <w:pStyle w:val="NoSpacing"/>
                    <w:jc w:val="center"/>
                    <w:rPr>
                      <w:sz w:val="16"/>
                      <w:szCs w:val="16"/>
                    </w:rPr>
                  </w:pPr>
                  <w:r>
                    <w:rPr>
                      <w:sz w:val="16"/>
                      <w:szCs w:val="16"/>
                    </w:rPr>
                    <w:t>100</w:t>
                  </w:r>
                </w:p>
              </w:tc>
              <w:tc>
                <w:tcPr>
                  <w:tcW w:w="622" w:type="dxa"/>
                </w:tcPr>
                <w:p w14:paraId="2E0E5A33" w14:textId="77777777" w:rsidR="002966D9" w:rsidRPr="007A014B" w:rsidRDefault="002966D9" w:rsidP="002966D9">
                  <w:pPr>
                    <w:pStyle w:val="NoSpacing"/>
                    <w:jc w:val="center"/>
                    <w:rPr>
                      <w:sz w:val="16"/>
                      <w:szCs w:val="16"/>
                    </w:rPr>
                  </w:pPr>
                  <w:r>
                    <w:rPr>
                      <w:sz w:val="16"/>
                      <w:szCs w:val="16"/>
                    </w:rPr>
                    <w:t>100</w:t>
                  </w:r>
                </w:p>
              </w:tc>
              <w:tc>
                <w:tcPr>
                  <w:tcW w:w="652" w:type="dxa"/>
                </w:tcPr>
                <w:p w14:paraId="77A711DE" w14:textId="77777777" w:rsidR="002966D9" w:rsidRPr="007A014B" w:rsidRDefault="002966D9" w:rsidP="002966D9">
                  <w:pPr>
                    <w:pStyle w:val="NoSpacing"/>
                    <w:jc w:val="center"/>
                    <w:rPr>
                      <w:sz w:val="16"/>
                      <w:szCs w:val="16"/>
                    </w:rPr>
                  </w:pPr>
                  <w:r>
                    <w:rPr>
                      <w:sz w:val="16"/>
                      <w:szCs w:val="16"/>
                    </w:rPr>
                    <w:t>100</w:t>
                  </w:r>
                </w:p>
              </w:tc>
              <w:tc>
                <w:tcPr>
                  <w:tcW w:w="652" w:type="dxa"/>
                </w:tcPr>
                <w:p w14:paraId="5F656C74" w14:textId="77777777" w:rsidR="002966D9" w:rsidRPr="007A014B" w:rsidRDefault="002966D9" w:rsidP="002966D9">
                  <w:pPr>
                    <w:pStyle w:val="NoSpacing"/>
                    <w:jc w:val="center"/>
                    <w:rPr>
                      <w:sz w:val="16"/>
                      <w:szCs w:val="16"/>
                    </w:rPr>
                  </w:pPr>
                  <w:r>
                    <w:rPr>
                      <w:sz w:val="16"/>
                      <w:szCs w:val="16"/>
                    </w:rPr>
                    <w:t>100</w:t>
                  </w:r>
                </w:p>
              </w:tc>
            </w:tr>
          </w:tbl>
          <w:p w14:paraId="5163FAC8" w14:textId="77777777" w:rsidR="002966D9" w:rsidRPr="004C419C" w:rsidRDefault="002966D9" w:rsidP="002966D9">
            <w:pPr>
              <w:rPr>
                <w:rFonts w:cs="Arial"/>
                <w:bCs/>
              </w:rPr>
            </w:pPr>
          </w:p>
        </w:tc>
        <w:tc>
          <w:tcPr>
            <w:tcW w:w="0" w:type="auto"/>
          </w:tcPr>
          <w:p w14:paraId="0398A027" w14:textId="77777777" w:rsidR="002966D9" w:rsidRDefault="002966D9" w:rsidP="002966D9">
            <w:pPr>
              <w:rPr>
                <w:rFonts w:cs="Arial"/>
                <w:bCs/>
                <w:sz w:val="16"/>
                <w:szCs w:val="16"/>
              </w:rPr>
            </w:pPr>
            <w:r>
              <w:rPr>
                <w:rFonts w:cs="Arial"/>
                <w:bCs/>
                <w:sz w:val="16"/>
                <w:szCs w:val="16"/>
              </w:rPr>
              <w:lastRenderedPageBreak/>
              <w:t>For this scenario, CMRI shall report the most-insufficient 15-minute interval results (</w:t>
            </w:r>
            <w:r w:rsidRPr="008A3981">
              <w:rPr>
                <w:rFonts w:cs="Arial"/>
                <w:bCs/>
                <w:color w:val="0000FF"/>
                <w:sz w:val="16"/>
                <w:szCs w:val="16"/>
              </w:rPr>
              <w:t>in blue text</w:t>
            </w:r>
            <w:r>
              <w:rPr>
                <w:rFonts w:cs="Arial"/>
                <w:bCs/>
                <w:sz w:val="16"/>
                <w:szCs w:val="16"/>
              </w:rPr>
              <w:t>) for interval :30 results for the “over” direction, and interval :60 results for the “under” direction.  Only the intervals’ trade hour will be identified in the report.</w:t>
            </w:r>
          </w:p>
          <w:tbl>
            <w:tblPr>
              <w:tblStyle w:val="TableGrid"/>
              <w:tblW w:w="0" w:type="auto"/>
              <w:tblLook w:val="04A0" w:firstRow="1" w:lastRow="0" w:firstColumn="1" w:lastColumn="0" w:noHBand="0" w:noVBand="1"/>
            </w:tblPr>
            <w:tblGrid>
              <w:gridCol w:w="2095"/>
              <w:gridCol w:w="652"/>
              <w:gridCol w:w="652"/>
              <w:gridCol w:w="652"/>
              <w:gridCol w:w="652"/>
            </w:tblGrid>
            <w:tr w:rsidR="002966D9" w14:paraId="52AC9F8F" w14:textId="77777777" w:rsidTr="002966D9">
              <w:tc>
                <w:tcPr>
                  <w:tcW w:w="2566" w:type="dxa"/>
                  <w:tcBorders>
                    <w:bottom w:val="single" w:sz="12" w:space="0" w:color="auto"/>
                  </w:tcBorders>
                  <w:shd w:val="clear" w:color="auto" w:fill="F2F2F2" w:themeFill="background1" w:themeFillShade="F2"/>
                </w:tcPr>
                <w:p w14:paraId="1144B550" w14:textId="77777777" w:rsidR="002966D9" w:rsidRPr="007A014B" w:rsidRDefault="002966D9" w:rsidP="002966D9">
                  <w:pPr>
                    <w:pStyle w:val="NoSpacing"/>
                    <w:rPr>
                      <w:sz w:val="16"/>
                      <w:szCs w:val="16"/>
                    </w:rPr>
                  </w:pPr>
                  <w:r>
                    <w:rPr>
                      <w:sz w:val="16"/>
                      <w:szCs w:val="16"/>
                    </w:rPr>
                    <w:t>Description</w:t>
                  </w:r>
                </w:p>
              </w:tc>
              <w:tc>
                <w:tcPr>
                  <w:tcW w:w="652" w:type="dxa"/>
                  <w:tcBorders>
                    <w:bottom w:val="single" w:sz="12" w:space="0" w:color="auto"/>
                  </w:tcBorders>
                  <w:shd w:val="clear" w:color="auto" w:fill="F2F2F2" w:themeFill="background1" w:themeFillShade="F2"/>
                </w:tcPr>
                <w:p w14:paraId="13EC79EF"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:15</w:t>
                  </w:r>
                </w:p>
              </w:tc>
              <w:tc>
                <w:tcPr>
                  <w:tcW w:w="652" w:type="dxa"/>
                  <w:tcBorders>
                    <w:bottom w:val="single" w:sz="18" w:space="0" w:color="auto"/>
                  </w:tcBorders>
                  <w:shd w:val="clear" w:color="auto" w:fill="F2F2F2" w:themeFill="background1" w:themeFillShade="F2"/>
                </w:tcPr>
                <w:p w14:paraId="720E7E51" w14:textId="77777777" w:rsidR="002966D9" w:rsidRPr="002C270B" w:rsidRDefault="002966D9" w:rsidP="002966D9">
                  <w:pPr>
                    <w:pStyle w:val="NoSpacing"/>
                    <w:jc w:val="center"/>
                    <w:rPr>
                      <w:color w:val="0000FF"/>
                      <w:sz w:val="16"/>
                      <w:szCs w:val="16"/>
                    </w:rPr>
                  </w:pPr>
                  <w:r w:rsidRPr="002C270B">
                    <w:rPr>
                      <w:color w:val="0000FF"/>
                      <w:sz w:val="16"/>
                      <w:szCs w:val="16"/>
                    </w:rPr>
                    <w:t>:30</w:t>
                  </w:r>
                </w:p>
              </w:tc>
              <w:tc>
                <w:tcPr>
                  <w:tcW w:w="652" w:type="dxa"/>
                  <w:tcBorders>
                    <w:bottom w:val="single" w:sz="12" w:space="0" w:color="auto"/>
                  </w:tcBorders>
                  <w:shd w:val="clear" w:color="auto" w:fill="F2F2F2" w:themeFill="background1" w:themeFillShade="F2"/>
                </w:tcPr>
                <w:p w14:paraId="3110E7FB"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:45</w:t>
                  </w:r>
                </w:p>
              </w:tc>
              <w:tc>
                <w:tcPr>
                  <w:tcW w:w="652" w:type="dxa"/>
                  <w:tcBorders>
                    <w:bottom w:val="single" w:sz="12" w:space="0" w:color="auto"/>
                  </w:tcBorders>
                  <w:shd w:val="clear" w:color="auto" w:fill="F2F2F2" w:themeFill="background1" w:themeFillShade="F2"/>
                </w:tcPr>
                <w:p w14:paraId="70A05A14" w14:textId="77777777" w:rsidR="002966D9" w:rsidRPr="002C270B" w:rsidRDefault="002966D9" w:rsidP="002966D9">
                  <w:pPr>
                    <w:pStyle w:val="NoSpacing"/>
                    <w:jc w:val="center"/>
                    <w:rPr>
                      <w:color w:val="0000FF"/>
                      <w:sz w:val="16"/>
                      <w:szCs w:val="16"/>
                    </w:rPr>
                  </w:pPr>
                  <w:r w:rsidRPr="002C270B">
                    <w:rPr>
                      <w:color w:val="0000FF"/>
                      <w:sz w:val="16"/>
                      <w:szCs w:val="16"/>
                    </w:rPr>
                    <w:t>:60</w:t>
                  </w:r>
                </w:p>
              </w:tc>
            </w:tr>
            <w:tr w:rsidR="002966D9" w14:paraId="79DA780C" w14:textId="77777777" w:rsidTr="002966D9">
              <w:tc>
                <w:tcPr>
                  <w:tcW w:w="2566" w:type="dxa"/>
                  <w:tcBorders>
                    <w:top w:val="single" w:sz="12" w:space="0" w:color="auto"/>
                  </w:tcBorders>
                </w:tcPr>
                <w:p w14:paraId="4372192D" w14:textId="77777777" w:rsidR="002966D9" w:rsidRDefault="002966D9" w:rsidP="002966D9">
                  <w:pPr>
                    <w:pStyle w:val="NoSpacing"/>
                    <w:rPr>
                      <w:sz w:val="16"/>
                      <w:szCs w:val="16"/>
                    </w:rPr>
                  </w:pPr>
                  <w:r>
                    <w:rPr>
                      <w:sz w:val="16"/>
                      <w:szCs w:val="16"/>
                    </w:rPr>
                    <w:t>Test Status (Over)</w:t>
                  </w:r>
                </w:p>
              </w:tc>
              <w:tc>
                <w:tcPr>
                  <w:tcW w:w="652" w:type="dxa"/>
                  <w:tcBorders>
                    <w:top w:val="single" w:sz="12" w:space="0" w:color="auto"/>
                    <w:right w:val="single" w:sz="18" w:space="0" w:color="auto"/>
                  </w:tcBorders>
                </w:tcPr>
                <w:p w14:paraId="0B3CA03A"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Fail</w:t>
                  </w:r>
                </w:p>
              </w:tc>
              <w:tc>
                <w:tcPr>
                  <w:tcW w:w="652" w:type="dxa"/>
                  <w:tcBorders>
                    <w:top w:val="single" w:sz="18" w:space="0" w:color="auto"/>
                    <w:left w:val="single" w:sz="18" w:space="0" w:color="auto"/>
                    <w:right w:val="single" w:sz="18" w:space="0" w:color="auto"/>
                  </w:tcBorders>
                </w:tcPr>
                <w:p w14:paraId="2FDB927C" w14:textId="77777777" w:rsidR="002966D9" w:rsidRPr="002C270B" w:rsidRDefault="002966D9" w:rsidP="002966D9">
                  <w:pPr>
                    <w:pStyle w:val="NoSpacing"/>
                    <w:jc w:val="center"/>
                    <w:rPr>
                      <w:color w:val="0000FF"/>
                      <w:sz w:val="16"/>
                      <w:szCs w:val="16"/>
                    </w:rPr>
                  </w:pPr>
                  <w:r w:rsidRPr="002C270B">
                    <w:rPr>
                      <w:color w:val="0000FF"/>
                      <w:sz w:val="16"/>
                      <w:szCs w:val="16"/>
                    </w:rPr>
                    <w:t>Fail</w:t>
                  </w:r>
                </w:p>
              </w:tc>
              <w:tc>
                <w:tcPr>
                  <w:tcW w:w="652" w:type="dxa"/>
                  <w:tcBorders>
                    <w:top w:val="single" w:sz="12" w:space="0" w:color="auto"/>
                    <w:left w:val="single" w:sz="18" w:space="0" w:color="auto"/>
                  </w:tcBorders>
                </w:tcPr>
                <w:p w14:paraId="158F687B"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c>
                <w:tcPr>
                  <w:tcW w:w="652" w:type="dxa"/>
                  <w:tcBorders>
                    <w:top w:val="single" w:sz="12" w:space="0" w:color="auto"/>
                  </w:tcBorders>
                </w:tcPr>
                <w:p w14:paraId="39A7EA76"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r>
            <w:tr w:rsidR="002966D9" w14:paraId="3E5894D5" w14:textId="77777777" w:rsidTr="002966D9">
              <w:tc>
                <w:tcPr>
                  <w:tcW w:w="2566" w:type="dxa"/>
                </w:tcPr>
                <w:p w14:paraId="4D3C53A1" w14:textId="77777777" w:rsidR="002966D9" w:rsidRPr="007A014B" w:rsidRDefault="002966D9" w:rsidP="002966D9">
                  <w:pPr>
                    <w:pStyle w:val="NoSpacing"/>
                    <w:rPr>
                      <w:sz w:val="16"/>
                      <w:szCs w:val="16"/>
                    </w:rPr>
                  </w:pPr>
                  <w:r>
                    <w:rPr>
                      <w:sz w:val="16"/>
                      <w:szCs w:val="16"/>
                    </w:rPr>
                    <w:t>Insufficiency Direction (Over)</w:t>
                  </w:r>
                </w:p>
              </w:tc>
              <w:tc>
                <w:tcPr>
                  <w:tcW w:w="652" w:type="dxa"/>
                  <w:tcBorders>
                    <w:right w:val="single" w:sz="18" w:space="0" w:color="auto"/>
                  </w:tcBorders>
                </w:tcPr>
                <w:p w14:paraId="1E61174A"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Over</w:t>
                  </w:r>
                </w:p>
              </w:tc>
              <w:tc>
                <w:tcPr>
                  <w:tcW w:w="652" w:type="dxa"/>
                  <w:tcBorders>
                    <w:left w:val="single" w:sz="18" w:space="0" w:color="auto"/>
                    <w:right w:val="single" w:sz="18" w:space="0" w:color="auto"/>
                  </w:tcBorders>
                </w:tcPr>
                <w:p w14:paraId="0DC73685" w14:textId="77777777" w:rsidR="002966D9" w:rsidRPr="002C270B" w:rsidRDefault="002966D9" w:rsidP="002966D9">
                  <w:pPr>
                    <w:pStyle w:val="NoSpacing"/>
                    <w:jc w:val="center"/>
                    <w:rPr>
                      <w:color w:val="0000FF"/>
                      <w:sz w:val="16"/>
                      <w:szCs w:val="16"/>
                    </w:rPr>
                  </w:pPr>
                  <w:r w:rsidRPr="002C270B">
                    <w:rPr>
                      <w:color w:val="0000FF"/>
                      <w:sz w:val="16"/>
                      <w:szCs w:val="16"/>
                    </w:rPr>
                    <w:t>Over</w:t>
                  </w:r>
                </w:p>
              </w:tc>
              <w:tc>
                <w:tcPr>
                  <w:tcW w:w="652" w:type="dxa"/>
                  <w:tcBorders>
                    <w:left w:val="single" w:sz="18" w:space="0" w:color="auto"/>
                  </w:tcBorders>
                </w:tcPr>
                <w:p w14:paraId="2E834E7B"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Over</w:t>
                  </w:r>
                </w:p>
              </w:tc>
              <w:tc>
                <w:tcPr>
                  <w:tcW w:w="652" w:type="dxa"/>
                </w:tcPr>
                <w:p w14:paraId="7E668711"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Over</w:t>
                  </w:r>
                </w:p>
              </w:tc>
            </w:tr>
            <w:tr w:rsidR="002966D9" w14:paraId="1E825E61" w14:textId="77777777" w:rsidTr="002966D9">
              <w:tc>
                <w:tcPr>
                  <w:tcW w:w="2566" w:type="dxa"/>
                  <w:tcBorders>
                    <w:bottom w:val="single" w:sz="4" w:space="0" w:color="auto"/>
                  </w:tcBorders>
                </w:tcPr>
                <w:p w14:paraId="67527A61" w14:textId="77777777" w:rsidR="002966D9" w:rsidRPr="007A014B" w:rsidRDefault="002966D9" w:rsidP="002966D9">
                  <w:pPr>
                    <w:pStyle w:val="NoSpacing"/>
                    <w:rPr>
                      <w:sz w:val="16"/>
                      <w:szCs w:val="16"/>
                    </w:rPr>
                  </w:pPr>
                  <w:r>
                    <w:rPr>
                      <w:sz w:val="16"/>
                      <w:szCs w:val="16"/>
                    </w:rPr>
                    <w:t>Insufficiency Percentage (%)</w:t>
                  </w:r>
                </w:p>
              </w:tc>
              <w:tc>
                <w:tcPr>
                  <w:tcW w:w="652" w:type="dxa"/>
                  <w:tcBorders>
                    <w:bottom w:val="single" w:sz="4" w:space="0" w:color="auto"/>
                    <w:right w:val="single" w:sz="18" w:space="0" w:color="auto"/>
                  </w:tcBorders>
                </w:tcPr>
                <w:p w14:paraId="622DD49F" w14:textId="77777777" w:rsidR="002966D9" w:rsidRPr="002C270B" w:rsidRDefault="002966D9" w:rsidP="002966D9">
                  <w:pPr>
                    <w:pStyle w:val="NoSpacing"/>
                    <w:jc w:val="center"/>
                    <w:rPr>
                      <w:color w:val="000000" w:themeColor="text1"/>
                      <w:sz w:val="14"/>
                      <w:szCs w:val="14"/>
                    </w:rPr>
                  </w:pPr>
                  <w:r w:rsidRPr="002C270B">
                    <w:rPr>
                      <w:color w:val="000000" w:themeColor="text1"/>
                      <w:sz w:val="14"/>
                      <w:szCs w:val="14"/>
                    </w:rPr>
                    <w:t>25.0</w:t>
                  </w:r>
                </w:p>
              </w:tc>
              <w:tc>
                <w:tcPr>
                  <w:tcW w:w="652" w:type="dxa"/>
                  <w:tcBorders>
                    <w:left w:val="single" w:sz="18" w:space="0" w:color="auto"/>
                    <w:bottom w:val="single" w:sz="4" w:space="0" w:color="auto"/>
                    <w:right w:val="single" w:sz="18" w:space="0" w:color="auto"/>
                  </w:tcBorders>
                </w:tcPr>
                <w:p w14:paraId="1342BB7F" w14:textId="77777777" w:rsidR="002966D9" w:rsidRPr="002C270B" w:rsidRDefault="002966D9" w:rsidP="002966D9">
                  <w:pPr>
                    <w:pStyle w:val="NoSpacing"/>
                    <w:jc w:val="center"/>
                    <w:rPr>
                      <w:color w:val="0000FF"/>
                      <w:sz w:val="14"/>
                      <w:szCs w:val="14"/>
                    </w:rPr>
                  </w:pPr>
                  <w:r w:rsidRPr="002C270B">
                    <w:rPr>
                      <w:color w:val="0000FF"/>
                      <w:sz w:val="14"/>
                      <w:szCs w:val="14"/>
                    </w:rPr>
                    <w:t>50.0</w:t>
                  </w:r>
                </w:p>
              </w:tc>
              <w:tc>
                <w:tcPr>
                  <w:tcW w:w="652" w:type="dxa"/>
                  <w:tcBorders>
                    <w:left w:val="single" w:sz="18" w:space="0" w:color="auto"/>
                    <w:bottom w:val="single" w:sz="4" w:space="0" w:color="auto"/>
                  </w:tcBorders>
                </w:tcPr>
                <w:p w14:paraId="021FA18D" w14:textId="77777777" w:rsidR="002966D9" w:rsidRPr="002C270B" w:rsidRDefault="002966D9" w:rsidP="002966D9">
                  <w:pPr>
                    <w:pStyle w:val="NoSpacing"/>
                    <w:jc w:val="center"/>
                    <w:rPr>
                      <w:color w:val="000000" w:themeColor="text1"/>
                      <w:sz w:val="14"/>
                      <w:szCs w:val="14"/>
                    </w:rPr>
                  </w:pPr>
                  <w:r>
                    <w:rPr>
                      <w:color w:val="000000" w:themeColor="text1"/>
                      <w:sz w:val="14"/>
                      <w:szCs w:val="14"/>
                    </w:rPr>
                    <w:t>-110.0</w:t>
                  </w:r>
                </w:p>
              </w:tc>
              <w:tc>
                <w:tcPr>
                  <w:tcW w:w="652" w:type="dxa"/>
                  <w:tcBorders>
                    <w:bottom w:val="single" w:sz="4" w:space="0" w:color="auto"/>
                  </w:tcBorders>
                </w:tcPr>
                <w:p w14:paraId="12854A5C" w14:textId="77777777" w:rsidR="002966D9" w:rsidRPr="002C270B" w:rsidRDefault="002966D9" w:rsidP="002966D9">
                  <w:pPr>
                    <w:pStyle w:val="NoSpacing"/>
                    <w:jc w:val="center"/>
                    <w:rPr>
                      <w:color w:val="000000" w:themeColor="text1"/>
                      <w:sz w:val="14"/>
                      <w:szCs w:val="14"/>
                    </w:rPr>
                  </w:pPr>
                  <w:r>
                    <w:rPr>
                      <w:color w:val="000000" w:themeColor="text1"/>
                      <w:sz w:val="14"/>
                      <w:szCs w:val="14"/>
                    </w:rPr>
                    <w:t>-225.0</w:t>
                  </w:r>
                </w:p>
              </w:tc>
            </w:tr>
            <w:tr w:rsidR="002966D9" w14:paraId="1E3B07C7" w14:textId="77777777" w:rsidTr="002966D9">
              <w:tc>
                <w:tcPr>
                  <w:tcW w:w="2566" w:type="dxa"/>
                  <w:tcBorders>
                    <w:bottom w:val="single" w:sz="12" w:space="0" w:color="auto"/>
                  </w:tcBorders>
                </w:tcPr>
                <w:p w14:paraId="0A6B6723" w14:textId="77777777" w:rsidR="002966D9" w:rsidRPr="007A014B" w:rsidRDefault="002966D9" w:rsidP="002966D9">
                  <w:pPr>
                    <w:pStyle w:val="NoSpacing"/>
                    <w:rPr>
                      <w:sz w:val="16"/>
                      <w:szCs w:val="16"/>
                    </w:rPr>
                  </w:pPr>
                  <w:r>
                    <w:rPr>
                      <w:sz w:val="16"/>
                      <w:szCs w:val="16"/>
                    </w:rPr>
                    <w:lastRenderedPageBreak/>
                    <w:t>Insufficiency Amount (MW)</w:t>
                  </w:r>
                </w:p>
              </w:tc>
              <w:tc>
                <w:tcPr>
                  <w:tcW w:w="652" w:type="dxa"/>
                  <w:tcBorders>
                    <w:bottom w:val="single" w:sz="12" w:space="0" w:color="auto"/>
                    <w:right w:val="single" w:sz="18" w:space="0" w:color="auto"/>
                  </w:tcBorders>
                </w:tcPr>
                <w:p w14:paraId="55607085"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25</w:t>
                  </w:r>
                </w:p>
              </w:tc>
              <w:tc>
                <w:tcPr>
                  <w:tcW w:w="652" w:type="dxa"/>
                  <w:tcBorders>
                    <w:left w:val="single" w:sz="18" w:space="0" w:color="auto"/>
                    <w:bottom w:val="single" w:sz="18" w:space="0" w:color="auto"/>
                    <w:right w:val="single" w:sz="18" w:space="0" w:color="auto"/>
                  </w:tcBorders>
                </w:tcPr>
                <w:p w14:paraId="6FC9911B" w14:textId="77777777" w:rsidR="002966D9" w:rsidRPr="002C270B" w:rsidRDefault="002966D9" w:rsidP="002966D9">
                  <w:pPr>
                    <w:pStyle w:val="NoSpacing"/>
                    <w:jc w:val="center"/>
                    <w:rPr>
                      <w:color w:val="0000FF"/>
                      <w:sz w:val="16"/>
                      <w:szCs w:val="16"/>
                    </w:rPr>
                  </w:pPr>
                  <w:r w:rsidRPr="002C270B">
                    <w:rPr>
                      <w:color w:val="0000FF"/>
                      <w:sz w:val="16"/>
                      <w:szCs w:val="16"/>
                    </w:rPr>
                    <w:t>50</w:t>
                  </w:r>
                </w:p>
              </w:tc>
              <w:tc>
                <w:tcPr>
                  <w:tcW w:w="652" w:type="dxa"/>
                  <w:tcBorders>
                    <w:left w:val="single" w:sz="18" w:space="0" w:color="auto"/>
                    <w:bottom w:val="single" w:sz="12" w:space="0" w:color="auto"/>
                  </w:tcBorders>
                </w:tcPr>
                <w:p w14:paraId="22D09D24" w14:textId="77777777" w:rsidR="002966D9" w:rsidRPr="002C270B" w:rsidRDefault="002966D9" w:rsidP="002966D9">
                  <w:pPr>
                    <w:pStyle w:val="NoSpacing"/>
                    <w:jc w:val="center"/>
                    <w:rPr>
                      <w:color w:val="000000" w:themeColor="text1"/>
                      <w:sz w:val="16"/>
                      <w:szCs w:val="16"/>
                    </w:rPr>
                  </w:pPr>
                  <w:r>
                    <w:rPr>
                      <w:color w:val="000000" w:themeColor="text1"/>
                      <w:sz w:val="16"/>
                      <w:szCs w:val="16"/>
                    </w:rPr>
                    <w:t>-110</w:t>
                  </w:r>
                </w:p>
              </w:tc>
              <w:tc>
                <w:tcPr>
                  <w:tcW w:w="652" w:type="dxa"/>
                  <w:tcBorders>
                    <w:bottom w:val="single" w:sz="18" w:space="0" w:color="auto"/>
                  </w:tcBorders>
                </w:tcPr>
                <w:p w14:paraId="382929F2" w14:textId="77777777" w:rsidR="002966D9" w:rsidRPr="002C270B" w:rsidRDefault="002966D9" w:rsidP="002966D9">
                  <w:pPr>
                    <w:pStyle w:val="NoSpacing"/>
                    <w:jc w:val="center"/>
                    <w:rPr>
                      <w:color w:val="000000" w:themeColor="text1"/>
                      <w:sz w:val="16"/>
                      <w:szCs w:val="16"/>
                    </w:rPr>
                  </w:pPr>
                  <w:r>
                    <w:rPr>
                      <w:color w:val="000000" w:themeColor="text1"/>
                      <w:sz w:val="16"/>
                      <w:szCs w:val="16"/>
                    </w:rPr>
                    <w:t>-225</w:t>
                  </w:r>
                </w:p>
              </w:tc>
            </w:tr>
            <w:tr w:rsidR="002966D9" w14:paraId="02866772" w14:textId="77777777" w:rsidTr="002966D9">
              <w:tc>
                <w:tcPr>
                  <w:tcW w:w="2566" w:type="dxa"/>
                  <w:tcBorders>
                    <w:top w:val="single" w:sz="12" w:space="0" w:color="auto"/>
                  </w:tcBorders>
                </w:tcPr>
                <w:p w14:paraId="59A60F1E" w14:textId="77777777" w:rsidR="002966D9" w:rsidRDefault="002966D9" w:rsidP="002966D9">
                  <w:pPr>
                    <w:pStyle w:val="NoSpacing"/>
                    <w:rPr>
                      <w:sz w:val="16"/>
                      <w:szCs w:val="16"/>
                    </w:rPr>
                  </w:pPr>
                  <w:r>
                    <w:rPr>
                      <w:sz w:val="16"/>
                      <w:szCs w:val="16"/>
                    </w:rPr>
                    <w:t>Test Status (Under)</w:t>
                  </w:r>
                </w:p>
              </w:tc>
              <w:tc>
                <w:tcPr>
                  <w:tcW w:w="652" w:type="dxa"/>
                  <w:tcBorders>
                    <w:top w:val="single" w:sz="12" w:space="0" w:color="auto"/>
                  </w:tcBorders>
                </w:tcPr>
                <w:p w14:paraId="529EEA15"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c>
                <w:tcPr>
                  <w:tcW w:w="652" w:type="dxa"/>
                  <w:tcBorders>
                    <w:top w:val="single" w:sz="18" w:space="0" w:color="auto"/>
                  </w:tcBorders>
                </w:tcPr>
                <w:p w14:paraId="35870EF5"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c>
                <w:tcPr>
                  <w:tcW w:w="652" w:type="dxa"/>
                  <w:tcBorders>
                    <w:top w:val="single" w:sz="12" w:space="0" w:color="auto"/>
                    <w:right w:val="single" w:sz="18" w:space="0" w:color="auto"/>
                  </w:tcBorders>
                </w:tcPr>
                <w:p w14:paraId="195592FD"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c>
                <w:tcPr>
                  <w:tcW w:w="652" w:type="dxa"/>
                  <w:tcBorders>
                    <w:top w:val="single" w:sz="18" w:space="0" w:color="auto"/>
                    <w:left w:val="single" w:sz="18" w:space="0" w:color="auto"/>
                    <w:right w:val="single" w:sz="18" w:space="0" w:color="auto"/>
                  </w:tcBorders>
                </w:tcPr>
                <w:p w14:paraId="02F4C06A" w14:textId="77777777" w:rsidR="002966D9" w:rsidRPr="002C270B" w:rsidRDefault="002966D9" w:rsidP="002966D9">
                  <w:pPr>
                    <w:pStyle w:val="NoSpacing"/>
                    <w:jc w:val="center"/>
                    <w:rPr>
                      <w:color w:val="0000FF"/>
                      <w:sz w:val="16"/>
                      <w:szCs w:val="16"/>
                    </w:rPr>
                  </w:pPr>
                  <w:r>
                    <w:rPr>
                      <w:color w:val="0000FF"/>
                      <w:sz w:val="16"/>
                      <w:szCs w:val="16"/>
                    </w:rPr>
                    <w:t>Fail</w:t>
                  </w:r>
                </w:p>
              </w:tc>
            </w:tr>
            <w:tr w:rsidR="002966D9" w14:paraId="0E09B5B9" w14:textId="77777777" w:rsidTr="002966D9">
              <w:tc>
                <w:tcPr>
                  <w:tcW w:w="2566" w:type="dxa"/>
                </w:tcPr>
                <w:p w14:paraId="793B3816" w14:textId="77777777" w:rsidR="002966D9" w:rsidRDefault="002966D9" w:rsidP="002966D9">
                  <w:pPr>
                    <w:pStyle w:val="NoSpacing"/>
                    <w:rPr>
                      <w:sz w:val="16"/>
                      <w:szCs w:val="16"/>
                    </w:rPr>
                  </w:pPr>
                  <w:r>
                    <w:rPr>
                      <w:sz w:val="16"/>
                      <w:szCs w:val="16"/>
                    </w:rPr>
                    <w:t>Insufficiency Direction (Under)</w:t>
                  </w:r>
                </w:p>
              </w:tc>
              <w:tc>
                <w:tcPr>
                  <w:tcW w:w="652" w:type="dxa"/>
                </w:tcPr>
                <w:p w14:paraId="6FE39341"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Under</w:t>
                  </w:r>
                </w:p>
              </w:tc>
              <w:tc>
                <w:tcPr>
                  <w:tcW w:w="652" w:type="dxa"/>
                </w:tcPr>
                <w:p w14:paraId="08951323"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Under</w:t>
                  </w:r>
                </w:p>
              </w:tc>
              <w:tc>
                <w:tcPr>
                  <w:tcW w:w="652" w:type="dxa"/>
                  <w:tcBorders>
                    <w:right w:val="single" w:sz="18" w:space="0" w:color="auto"/>
                  </w:tcBorders>
                </w:tcPr>
                <w:p w14:paraId="5A0BD631"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Under</w:t>
                  </w:r>
                </w:p>
              </w:tc>
              <w:tc>
                <w:tcPr>
                  <w:tcW w:w="652" w:type="dxa"/>
                  <w:tcBorders>
                    <w:left w:val="single" w:sz="18" w:space="0" w:color="auto"/>
                    <w:right w:val="single" w:sz="18" w:space="0" w:color="auto"/>
                  </w:tcBorders>
                </w:tcPr>
                <w:p w14:paraId="132503A6" w14:textId="77777777" w:rsidR="002966D9" w:rsidRPr="002C270B" w:rsidRDefault="002966D9" w:rsidP="002966D9">
                  <w:pPr>
                    <w:pStyle w:val="NoSpacing"/>
                    <w:jc w:val="center"/>
                    <w:rPr>
                      <w:color w:val="0000FF"/>
                      <w:sz w:val="16"/>
                      <w:szCs w:val="16"/>
                    </w:rPr>
                  </w:pPr>
                  <w:r w:rsidRPr="002C270B">
                    <w:rPr>
                      <w:color w:val="0000FF"/>
                      <w:sz w:val="16"/>
                      <w:szCs w:val="16"/>
                    </w:rPr>
                    <w:t>Under</w:t>
                  </w:r>
                </w:p>
              </w:tc>
            </w:tr>
            <w:tr w:rsidR="002966D9" w14:paraId="3144CC54" w14:textId="77777777" w:rsidTr="002966D9">
              <w:tc>
                <w:tcPr>
                  <w:tcW w:w="2566" w:type="dxa"/>
                  <w:tcBorders>
                    <w:bottom w:val="single" w:sz="4" w:space="0" w:color="auto"/>
                  </w:tcBorders>
                </w:tcPr>
                <w:p w14:paraId="258D3973" w14:textId="77777777" w:rsidR="002966D9" w:rsidRDefault="002966D9" w:rsidP="002966D9">
                  <w:pPr>
                    <w:pStyle w:val="NoSpacing"/>
                    <w:rPr>
                      <w:sz w:val="16"/>
                      <w:szCs w:val="16"/>
                    </w:rPr>
                  </w:pPr>
                  <w:r>
                    <w:rPr>
                      <w:sz w:val="16"/>
                      <w:szCs w:val="16"/>
                    </w:rPr>
                    <w:t>Insufficiency Percentage (%)</w:t>
                  </w:r>
                </w:p>
              </w:tc>
              <w:tc>
                <w:tcPr>
                  <w:tcW w:w="652" w:type="dxa"/>
                  <w:tcBorders>
                    <w:bottom w:val="single" w:sz="4" w:space="0" w:color="auto"/>
                  </w:tcBorders>
                </w:tcPr>
                <w:p w14:paraId="35E1AFF1" w14:textId="77777777" w:rsidR="002966D9" w:rsidRPr="002C270B" w:rsidRDefault="002966D9" w:rsidP="002966D9">
                  <w:pPr>
                    <w:pStyle w:val="NoSpacing"/>
                    <w:jc w:val="center"/>
                    <w:rPr>
                      <w:color w:val="000000" w:themeColor="text1"/>
                      <w:sz w:val="14"/>
                      <w:szCs w:val="14"/>
                    </w:rPr>
                  </w:pPr>
                  <w:r w:rsidRPr="002C270B">
                    <w:rPr>
                      <w:color w:val="000000" w:themeColor="text1"/>
                      <w:sz w:val="14"/>
                      <w:szCs w:val="14"/>
                    </w:rPr>
                    <w:t>-225.0</w:t>
                  </w:r>
                </w:p>
              </w:tc>
              <w:tc>
                <w:tcPr>
                  <w:tcW w:w="652" w:type="dxa"/>
                  <w:tcBorders>
                    <w:bottom w:val="single" w:sz="4" w:space="0" w:color="auto"/>
                  </w:tcBorders>
                </w:tcPr>
                <w:p w14:paraId="2E278F1D" w14:textId="77777777" w:rsidR="002966D9" w:rsidRPr="002C270B" w:rsidRDefault="002966D9" w:rsidP="002966D9">
                  <w:pPr>
                    <w:pStyle w:val="NoSpacing"/>
                    <w:jc w:val="center"/>
                    <w:rPr>
                      <w:color w:val="000000" w:themeColor="text1"/>
                      <w:sz w:val="14"/>
                      <w:szCs w:val="14"/>
                    </w:rPr>
                  </w:pPr>
                  <w:r>
                    <w:rPr>
                      <w:color w:val="000000" w:themeColor="text1"/>
                      <w:sz w:val="14"/>
                      <w:szCs w:val="14"/>
                    </w:rPr>
                    <w:t>-250.0</w:t>
                  </w:r>
                </w:p>
              </w:tc>
              <w:tc>
                <w:tcPr>
                  <w:tcW w:w="652" w:type="dxa"/>
                  <w:tcBorders>
                    <w:bottom w:val="single" w:sz="4" w:space="0" w:color="auto"/>
                    <w:right w:val="single" w:sz="18" w:space="0" w:color="auto"/>
                  </w:tcBorders>
                </w:tcPr>
                <w:p w14:paraId="3EAA07DA" w14:textId="77777777" w:rsidR="002966D9" w:rsidRPr="002C270B" w:rsidRDefault="002966D9" w:rsidP="002966D9">
                  <w:pPr>
                    <w:pStyle w:val="NoSpacing"/>
                    <w:jc w:val="center"/>
                    <w:rPr>
                      <w:color w:val="000000" w:themeColor="text1"/>
                      <w:sz w:val="14"/>
                      <w:szCs w:val="14"/>
                    </w:rPr>
                  </w:pPr>
                  <w:r>
                    <w:rPr>
                      <w:color w:val="000000" w:themeColor="text1"/>
                      <w:sz w:val="14"/>
                      <w:szCs w:val="14"/>
                    </w:rPr>
                    <w:t>-90.0</w:t>
                  </w:r>
                </w:p>
              </w:tc>
              <w:tc>
                <w:tcPr>
                  <w:tcW w:w="652" w:type="dxa"/>
                  <w:tcBorders>
                    <w:left w:val="single" w:sz="18" w:space="0" w:color="auto"/>
                    <w:bottom w:val="single" w:sz="4" w:space="0" w:color="auto"/>
                    <w:right w:val="single" w:sz="18" w:space="0" w:color="auto"/>
                  </w:tcBorders>
                </w:tcPr>
                <w:p w14:paraId="1BFC1881" w14:textId="77777777" w:rsidR="002966D9" w:rsidRPr="002C270B" w:rsidRDefault="002966D9" w:rsidP="002966D9">
                  <w:pPr>
                    <w:pStyle w:val="NoSpacing"/>
                    <w:jc w:val="center"/>
                    <w:rPr>
                      <w:color w:val="0000FF"/>
                      <w:sz w:val="14"/>
                      <w:szCs w:val="14"/>
                    </w:rPr>
                  </w:pPr>
                  <w:r w:rsidRPr="002C270B">
                    <w:rPr>
                      <w:color w:val="0000FF"/>
                      <w:sz w:val="14"/>
                      <w:szCs w:val="14"/>
                    </w:rPr>
                    <w:t>25.0</w:t>
                  </w:r>
                </w:p>
              </w:tc>
            </w:tr>
            <w:tr w:rsidR="002966D9" w14:paraId="05FB9975" w14:textId="77777777" w:rsidTr="002966D9">
              <w:tc>
                <w:tcPr>
                  <w:tcW w:w="2566" w:type="dxa"/>
                  <w:tcBorders>
                    <w:bottom w:val="single" w:sz="12" w:space="0" w:color="auto"/>
                  </w:tcBorders>
                </w:tcPr>
                <w:p w14:paraId="375F8696" w14:textId="77777777" w:rsidR="002966D9" w:rsidRDefault="002966D9" w:rsidP="002966D9">
                  <w:pPr>
                    <w:pStyle w:val="NoSpacing"/>
                    <w:rPr>
                      <w:sz w:val="16"/>
                      <w:szCs w:val="16"/>
                    </w:rPr>
                  </w:pPr>
                  <w:r>
                    <w:rPr>
                      <w:sz w:val="16"/>
                      <w:szCs w:val="16"/>
                    </w:rPr>
                    <w:t>Insufficiency Amount (MW)</w:t>
                  </w:r>
                </w:p>
              </w:tc>
              <w:tc>
                <w:tcPr>
                  <w:tcW w:w="652" w:type="dxa"/>
                  <w:tcBorders>
                    <w:bottom w:val="single" w:sz="12" w:space="0" w:color="auto"/>
                  </w:tcBorders>
                </w:tcPr>
                <w:p w14:paraId="66BAFAB0"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-225</w:t>
                  </w:r>
                </w:p>
              </w:tc>
              <w:tc>
                <w:tcPr>
                  <w:tcW w:w="652" w:type="dxa"/>
                  <w:tcBorders>
                    <w:bottom w:val="single" w:sz="12" w:space="0" w:color="auto"/>
                  </w:tcBorders>
                </w:tcPr>
                <w:p w14:paraId="2E3015BE" w14:textId="77777777" w:rsidR="002966D9" w:rsidRPr="002C270B" w:rsidRDefault="002966D9" w:rsidP="002966D9">
                  <w:pPr>
                    <w:pStyle w:val="NoSpacing"/>
                    <w:jc w:val="center"/>
                    <w:rPr>
                      <w:color w:val="000000" w:themeColor="text1"/>
                      <w:sz w:val="16"/>
                      <w:szCs w:val="16"/>
                    </w:rPr>
                  </w:pPr>
                  <w:r>
                    <w:rPr>
                      <w:color w:val="000000" w:themeColor="text1"/>
                      <w:sz w:val="16"/>
                      <w:szCs w:val="16"/>
                    </w:rPr>
                    <w:t>-250</w:t>
                  </w:r>
                </w:p>
              </w:tc>
              <w:tc>
                <w:tcPr>
                  <w:tcW w:w="652" w:type="dxa"/>
                  <w:tcBorders>
                    <w:bottom w:val="single" w:sz="12" w:space="0" w:color="auto"/>
                    <w:right w:val="single" w:sz="18" w:space="0" w:color="auto"/>
                  </w:tcBorders>
                </w:tcPr>
                <w:p w14:paraId="05BEF1C5" w14:textId="77777777" w:rsidR="002966D9" w:rsidRPr="002C270B" w:rsidRDefault="002966D9" w:rsidP="002966D9">
                  <w:pPr>
                    <w:pStyle w:val="NoSpacing"/>
                    <w:jc w:val="center"/>
                    <w:rPr>
                      <w:color w:val="000000" w:themeColor="text1"/>
                      <w:sz w:val="16"/>
                      <w:szCs w:val="16"/>
                    </w:rPr>
                  </w:pPr>
                  <w:r>
                    <w:rPr>
                      <w:color w:val="000000" w:themeColor="text1"/>
                      <w:sz w:val="16"/>
                      <w:szCs w:val="16"/>
                    </w:rPr>
                    <w:t>-90</w:t>
                  </w:r>
                </w:p>
              </w:tc>
              <w:tc>
                <w:tcPr>
                  <w:tcW w:w="652" w:type="dxa"/>
                  <w:tcBorders>
                    <w:left w:val="single" w:sz="18" w:space="0" w:color="auto"/>
                    <w:bottom w:val="single" w:sz="18" w:space="0" w:color="auto"/>
                    <w:right w:val="single" w:sz="18" w:space="0" w:color="auto"/>
                  </w:tcBorders>
                </w:tcPr>
                <w:p w14:paraId="094DBA95" w14:textId="77777777" w:rsidR="002966D9" w:rsidRPr="002C270B" w:rsidRDefault="002966D9" w:rsidP="002966D9">
                  <w:pPr>
                    <w:pStyle w:val="NoSpacing"/>
                    <w:jc w:val="center"/>
                    <w:rPr>
                      <w:color w:val="0000FF"/>
                      <w:sz w:val="16"/>
                      <w:szCs w:val="16"/>
                    </w:rPr>
                  </w:pPr>
                  <w:r w:rsidRPr="002C270B">
                    <w:rPr>
                      <w:color w:val="0000FF"/>
                      <w:sz w:val="16"/>
                      <w:szCs w:val="16"/>
                    </w:rPr>
                    <w:t>25</w:t>
                  </w:r>
                </w:p>
              </w:tc>
            </w:tr>
          </w:tbl>
          <w:p w14:paraId="203AE13E" w14:textId="77777777" w:rsidR="002966D9" w:rsidRPr="00767A7E" w:rsidRDefault="002966D9" w:rsidP="002966D9">
            <w:pPr>
              <w:rPr>
                <w:rFonts w:cs="Arial"/>
                <w:bCs/>
              </w:rPr>
            </w:pPr>
            <w:r>
              <w:rPr>
                <w:rFonts w:cs="Arial"/>
                <w:bCs/>
                <w:sz w:val="16"/>
                <w:szCs w:val="16"/>
              </w:rPr>
              <w:t xml:space="preserve">Since the 15-minute intervals failed the BAA’s capacity test (intervals :15 and :30 in over direction, interval :60 in under direction), </w:t>
            </w:r>
            <w:r w:rsidRPr="007A014B">
              <w:rPr>
                <w:rFonts w:cs="Arial"/>
                <w:bCs/>
                <w:sz w:val="16"/>
                <w:szCs w:val="16"/>
              </w:rPr>
              <w:t xml:space="preserve">the BAA’s </w:t>
            </w:r>
            <w:r>
              <w:rPr>
                <w:rFonts w:cs="Arial"/>
                <w:bCs/>
                <w:sz w:val="16"/>
                <w:szCs w:val="16"/>
              </w:rPr>
              <w:t>Flexible Ramping</w:t>
            </w:r>
            <w:r w:rsidRPr="007A014B">
              <w:rPr>
                <w:rFonts w:cs="Arial"/>
                <w:bCs/>
                <w:sz w:val="16"/>
                <w:szCs w:val="16"/>
              </w:rPr>
              <w:t xml:space="preserve"> </w:t>
            </w:r>
            <w:r>
              <w:rPr>
                <w:rFonts w:cs="Arial"/>
                <w:bCs/>
                <w:sz w:val="16"/>
                <w:szCs w:val="16"/>
              </w:rPr>
              <w:t>S</w:t>
            </w:r>
            <w:r w:rsidRPr="007A014B">
              <w:rPr>
                <w:rFonts w:cs="Arial"/>
                <w:bCs/>
                <w:sz w:val="16"/>
                <w:szCs w:val="16"/>
              </w:rPr>
              <w:t xml:space="preserve">ufficiency </w:t>
            </w:r>
            <w:r>
              <w:rPr>
                <w:rFonts w:cs="Arial"/>
                <w:bCs/>
                <w:sz w:val="16"/>
                <w:szCs w:val="16"/>
              </w:rPr>
              <w:t>T</w:t>
            </w:r>
            <w:r w:rsidRPr="007A014B">
              <w:rPr>
                <w:rFonts w:cs="Arial"/>
                <w:bCs/>
                <w:sz w:val="16"/>
                <w:szCs w:val="16"/>
              </w:rPr>
              <w:t xml:space="preserve">est </w:t>
            </w:r>
            <w:r>
              <w:rPr>
                <w:rFonts w:cs="Arial"/>
                <w:bCs/>
                <w:sz w:val="16"/>
                <w:szCs w:val="16"/>
              </w:rPr>
              <w:t>(FRST) automatically fails for the same 15-minute intervals in the associated direction. Intervals :15 and :30 will fail in the upward direction (reducing the import EIM Transfer Limit), and Interval :60 in the downward direction (reducing the export EIM Transfer Limit).</w:t>
            </w:r>
          </w:p>
        </w:tc>
      </w:tr>
      <w:tr w:rsidR="002966D9" w:rsidRPr="00767A7E" w14:paraId="0CDE8EF3" w14:textId="77777777" w:rsidTr="002966D9">
        <w:tc>
          <w:tcPr>
            <w:tcW w:w="0" w:type="auto"/>
          </w:tcPr>
          <w:p w14:paraId="5C40B338" w14:textId="77777777" w:rsidR="002966D9" w:rsidRDefault="002966D9" w:rsidP="002966D9">
            <w:pPr>
              <w:jc w:val="center"/>
              <w:rPr>
                <w:rFonts w:cs="Arial"/>
                <w:b/>
                <w:bCs/>
              </w:rPr>
            </w:pPr>
            <w:r>
              <w:rPr>
                <w:rFonts w:cs="Arial"/>
                <w:b/>
                <w:bCs/>
              </w:rPr>
              <w:lastRenderedPageBreak/>
              <w:t>3</w:t>
            </w:r>
          </w:p>
        </w:tc>
        <w:tc>
          <w:tcPr>
            <w:tcW w:w="0" w:type="auto"/>
          </w:tcPr>
          <w:p w14:paraId="39286481" w14:textId="77777777" w:rsidR="002966D9" w:rsidRPr="007A014B" w:rsidRDefault="002966D9" w:rsidP="002966D9">
            <w:pPr>
              <w:rPr>
                <w:rFonts w:cs="Arial"/>
                <w:bCs/>
                <w:sz w:val="16"/>
                <w:szCs w:val="16"/>
              </w:rPr>
            </w:pPr>
            <w:r>
              <w:rPr>
                <w:rFonts w:cs="Arial"/>
                <w:bCs/>
                <w:sz w:val="16"/>
                <w:szCs w:val="16"/>
              </w:rPr>
              <w:t xml:space="preserve">BAA’s </w:t>
            </w:r>
            <w:r w:rsidRPr="007A014B">
              <w:rPr>
                <w:rFonts w:cs="Arial"/>
                <w:bCs/>
                <w:sz w:val="16"/>
                <w:szCs w:val="16"/>
              </w:rPr>
              <w:t xml:space="preserve">EIM Capacity Test result </w:t>
            </w:r>
            <w:r>
              <w:rPr>
                <w:rFonts w:cs="Arial"/>
                <w:bCs/>
                <w:sz w:val="16"/>
                <w:szCs w:val="16"/>
              </w:rPr>
              <w:t>passe</w:t>
            </w:r>
            <w:r w:rsidRPr="007A014B">
              <w:rPr>
                <w:rFonts w:cs="Arial"/>
                <w:bCs/>
                <w:sz w:val="16"/>
                <w:szCs w:val="16"/>
              </w:rPr>
              <w:t xml:space="preserve">s for </w:t>
            </w:r>
            <w:r>
              <w:rPr>
                <w:rFonts w:cs="Arial"/>
                <w:bCs/>
                <w:sz w:val="16"/>
                <w:szCs w:val="16"/>
              </w:rPr>
              <w:t>all 15-minute interval for each direction in same trade hour, where the following conditions occur</w:t>
            </w:r>
            <w:r w:rsidRPr="007A014B">
              <w:rPr>
                <w:rFonts w:cs="Arial"/>
                <w:bCs/>
                <w:sz w:val="16"/>
                <w:szCs w:val="16"/>
              </w:rPr>
              <w:t>:</w:t>
            </w:r>
          </w:p>
          <w:tbl>
            <w:tblPr>
              <w:tblStyle w:val="TableGrid"/>
              <w:tblW w:w="0" w:type="auto"/>
              <w:tblLook w:val="04A0" w:firstRow="1" w:lastRow="0" w:firstColumn="1" w:lastColumn="0" w:noHBand="0" w:noVBand="1"/>
            </w:tblPr>
            <w:tblGrid>
              <w:gridCol w:w="1200"/>
              <w:gridCol w:w="572"/>
              <w:gridCol w:w="581"/>
              <w:gridCol w:w="652"/>
              <w:gridCol w:w="652"/>
            </w:tblGrid>
            <w:tr w:rsidR="002966D9" w14:paraId="5644BA66" w14:textId="77777777" w:rsidTr="002966D9">
              <w:tc>
                <w:tcPr>
                  <w:tcW w:w="2222" w:type="dxa"/>
                  <w:shd w:val="clear" w:color="auto" w:fill="F2F2F2" w:themeFill="background1" w:themeFillShade="F2"/>
                </w:tcPr>
                <w:p w14:paraId="5DA477B0" w14:textId="77777777" w:rsidR="002966D9" w:rsidRDefault="002966D9" w:rsidP="002966D9">
                  <w:pPr>
                    <w:pStyle w:val="NoSpacing"/>
                    <w:rPr>
                      <w:sz w:val="16"/>
                      <w:szCs w:val="16"/>
                    </w:rPr>
                  </w:pPr>
                  <w:r>
                    <w:rPr>
                      <w:sz w:val="16"/>
                      <w:szCs w:val="16"/>
                    </w:rPr>
                    <w:t>Value</w:t>
                  </w:r>
                </w:p>
              </w:tc>
              <w:tc>
                <w:tcPr>
                  <w:tcW w:w="572" w:type="dxa"/>
                  <w:shd w:val="clear" w:color="auto" w:fill="F2F2F2" w:themeFill="background1" w:themeFillShade="F2"/>
                </w:tcPr>
                <w:p w14:paraId="09907814" w14:textId="77777777" w:rsidR="002966D9" w:rsidRDefault="002966D9" w:rsidP="002966D9">
                  <w:pPr>
                    <w:pStyle w:val="NoSpacing"/>
                    <w:jc w:val="center"/>
                    <w:rPr>
                      <w:sz w:val="16"/>
                      <w:szCs w:val="16"/>
                    </w:rPr>
                  </w:pPr>
                  <w:r>
                    <w:rPr>
                      <w:sz w:val="16"/>
                      <w:szCs w:val="16"/>
                    </w:rPr>
                    <w:t>:15</w:t>
                  </w:r>
                </w:p>
              </w:tc>
              <w:tc>
                <w:tcPr>
                  <w:tcW w:w="622" w:type="dxa"/>
                  <w:shd w:val="clear" w:color="auto" w:fill="F2F2F2" w:themeFill="background1" w:themeFillShade="F2"/>
                </w:tcPr>
                <w:p w14:paraId="065B4247" w14:textId="77777777" w:rsidR="002966D9" w:rsidRDefault="002966D9" w:rsidP="002966D9">
                  <w:pPr>
                    <w:pStyle w:val="NoSpacing"/>
                    <w:jc w:val="center"/>
                    <w:rPr>
                      <w:sz w:val="16"/>
                      <w:szCs w:val="16"/>
                    </w:rPr>
                  </w:pPr>
                  <w:r>
                    <w:rPr>
                      <w:sz w:val="16"/>
                      <w:szCs w:val="16"/>
                    </w:rPr>
                    <w:t>:30</w:t>
                  </w:r>
                </w:p>
              </w:tc>
              <w:tc>
                <w:tcPr>
                  <w:tcW w:w="652" w:type="dxa"/>
                  <w:shd w:val="clear" w:color="auto" w:fill="F2F2F2" w:themeFill="background1" w:themeFillShade="F2"/>
                </w:tcPr>
                <w:p w14:paraId="760A5B4E" w14:textId="77777777" w:rsidR="002966D9" w:rsidRDefault="002966D9" w:rsidP="002966D9">
                  <w:pPr>
                    <w:pStyle w:val="NoSpacing"/>
                    <w:jc w:val="center"/>
                    <w:rPr>
                      <w:sz w:val="16"/>
                      <w:szCs w:val="16"/>
                    </w:rPr>
                  </w:pPr>
                  <w:r>
                    <w:rPr>
                      <w:sz w:val="16"/>
                      <w:szCs w:val="16"/>
                    </w:rPr>
                    <w:t>:45</w:t>
                  </w:r>
                </w:p>
              </w:tc>
              <w:tc>
                <w:tcPr>
                  <w:tcW w:w="652" w:type="dxa"/>
                  <w:shd w:val="clear" w:color="auto" w:fill="F2F2F2" w:themeFill="background1" w:themeFillShade="F2"/>
                </w:tcPr>
                <w:p w14:paraId="065DC46A" w14:textId="77777777" w:rsidR="002966D9" w:rsidRDefault="002966D9" w:rsidP="002966D9">
                  <w:pPr>
                    <w:pStyle w:val="NoSpacing"/>
                    <w:jc w:val="center"/>
                    <w:rPr>
                      <w:sz w:val="16"/>
                      <w:szCs w:val="16"/>
                    </w:rPr>
                  </w:pPr>
                  <w:r>
                    <w:rPr>
                      <w:sz w:val="16"/>
                      <w:szCs w:val="16"/>
                    </w:rPr>
                    <w:t>:60</w:t>
                  </w:r>
                </w:p>
              </w:tc>
            </w:tr>
            <w:tr w:rsidR="002966D9" w14:paraId="3BB761BA" w14:textId="77777777" w:rsidTr="002966D9">
              <w:tc>
                <w:tcPr>
                  <w:tcW w:w="2222" w:type="dxa"/>
                </w:tcPr>
                <w:p w14:paraId="25AFB51F" w14:textId="375A9533" w:rsidR="002966D9" w:rsidRDefault="002966D9" w:rsidP="002966D9">
                  <w:pPr>
                    <w:pStyle w:val="NoSpacing"/>
                    <w:rPr>
                      <w:sz w:val="16"/>
                      <w:szCs w:val="16"/>
                    </w:rPr>
                  </w:pPr>
                  <w:r w:rsidRPr="00194563">
                    <w:rPr>
                      <w:sz w:val="16"/>
                      <w:szCs w:val="16"/>
                    </w:rPr>
                    <w:t xml:space="preserve">sum of base </w:t>
                  </w:r>
                  <w:r>
                    <w:rPr>
                      <w:sz w:val="16"/>
                      <w:szCs w:val="16"/>
                    </w:rPr>
                    <w:t>Schedules</w:t>
                  </w:r>
                </w:p>
              </w:tc>
              <w:tc>
                <w:tcPr>
                  <w:tcW w:w="572" w:type="dxa"/>
                </w:tcPr>
                <w:p w14:paraId="60C42679" w14:textId="77777777" w:rsidR="002966D9" w:rsidRDefault="002966D9" w:rsidP="002966D9">
                  <w:pPr>
                    <w:pStyle w:val="NoSpacing"/>
                    <w:jc w:val="center"/>
                    <w:rPr>
                      <w:sz w:val="16"/>
                      <w:szCs w:val="16"/>
                    </w:rPr>
                  </w:pPr>
                  <w:r>
                    <w:rPr>
                      <w:sz w:val="16"/>
                      <w:szCs w:val="16"/>
                    </w:rPr>
                    <w:t>1100</w:t>
                  </w:r>
                </w:p>
              </w:tc>
              <w:tc>
                <w:tcPr>
                  <w:tcW w:w="622" w:type="dxa"/>
                </w:tcPr>
                <w:p w14:paraId="6004E358" w14:textId="77777777" w:rsidR="002966D9" w:rsidRDefault="002966D9" w:rsidP="002966D9">
                  <w:pPr>
                    <w:pStyle w:val="NoSpacing"/>
                    <w:jc w:val="center"/>
                    <w:rPr>
                      <w:sz w:val="16"/>
                      <w:szCs w:val="16"/>
                    </w:rPr>
                  </w:pPr>
                  <w:r>
                    <w:rPr>
                      <w:sz w:val="16"/>
                      <w:szCs w:val="16"/>
                    </w:rPr>
                    <w:t>1100</w:t>
                  </w:r>
                </w:p>
              </w:tc>
              <w:tc>
                <w:tcPr>
                  <w:tcW w:w="652" w:type="dxa"/>
                </w:tcPr>
                <w:p w14:paraId="36929CAF" w14:textId="77777777" w:rsidR="002966D9" w:rsidRDefault="002966D9" w:rsidP="002966D9">
                  <w:pPr>
                    <w:pStyle w:val="NoSpacing"/>
                    <w:jc w:val="center"/>
                    <w:rPr>
                      <w:sz w:val="16"/>
                      <w:szCs w:val="16"/>
                    </w:rPr>
                  </w:pPr>
                  <w:r>
                    <w:rPr>
                      <w:sz w:val="16"/>
                      <w:szCs w:val="16"/>
                    </w:rPr>
                    <w:t>1100</w:t>
                  </w:r>
                </w:p>
              </w:tc>
              <w:tc>
                <w:tcPr>
                  <w:tcW w:w="652" w:type="dxa"/>
                </w:tcPr>
                <w:p w14:paraId="3191A6C3" w14:textId="77777777" w:rsidR="002966D9" w:rsidRDefault="002966D9" w:rsidP="002966D9">
                  <w:pPr>
                    <w:pStyle w:val="NoSpacing"/>
                    <w:jc w:val="center"/>
                    <w:rPr>
                      <w:sz w:val="16"/>
                      <w:szCs w:val="16"/>
                    </w:rPr>
                  </w:pPr>
                  <w:r>
                    <w:rPr>
                      <w:sz w:val="16"/>
                      <w:szCs w:val="16"/>
                    </w:rPr>
                    <w:t>1100</w:t>
                  </w:r>
                </w:p>
              </w:tc>
            </w:tr>
            <w:tr w:rsidR="002966D9" w14:paraId="1CD15B67" w14:textId="77777777" w:rsidTr="002966D9">
              <w:tc>
                <w:tcPr>
                  <w:tcW w:w="2222" w:type="dxa"/>
                </w:tcPr>
                <w:p w14:paraId="052D0313" w14:textId="291A8EE2" w:rsidR="002966D9" w:rsidRDefault="002966D9" w:rsidP="002966D9">
                  <w:pPr>
                    <w:pStyle w:val="NoSpacing"/>
                    <w:rPr>
                      <w:sz w:val="16"/>
                      <w:szCs w:val="16"/>
                    </w:rPr>
                  </w:pPr>
                  <w:r>
                    <w:rPr>
                      <w:sz w:val="16"/>
                      <w:szCs w:val="16"/>
                    </w:rPr>
                    <w:t>15-minute Demand Forecast</w:t>
                  </w:r>
                </w:p>
              </w:tc>
              <w:tc>
                <w:tcPr>
                  <w:tcW w:w="572" w:type="dxa"/>
                </w:tcPr>
                <w:p w14:paraId="2ADBB5F6" w14:textId="77777777" w:rsidR="002966D9" w:rsidRDefault="002966D9" w:rsidP="002966D9">
                  <w:pPr>
                    <w:pStyle w:val="NoSpacing"/>
                    <w:jc w:val="center"/>
                    <w:rPr>
                      <w:sz w:val="16"/>
                      <w:szCs w:val="16"/>
                    </w:rPr>
                  </w:pPr>
                  <w:r>
                    <w:rPr>
                      <w:sz w:val="16"/>
                      <w:szCs w:val="16"/>
                    </w:rPr>
                    <w:t>1050</w:t>
                  </w:r>
                </w:p>
              </w:tc>
              <w:tc>
                <w:tcPr>
                  <w:tcW w:w="622" w:type="dxa"/>
                </w:tcPr>
                <w:p w14:paraId="49E071D6" w14:textId="77777777" w:rsidR="002966D9" w:rsidRDefault="002966D9" w:rsidP="002966D9">
                  <w:pPr>
                    <w:pStyle w:val="NoSpacing"/>
                    <w:jc w:val="center"/>
                    <w:rPr>
                      <w:sz w:val="16"/>
                      <w:szCs w:val="16"/>
                    </w:rPr>
                  </w:pPr>
                  <w:r>
                    <w:rPr>
                      <w:sz w:val="16"/>
                      <w:szCs w:val="16"/>
                    </w:rPr>
                    <w:t>1075</w:t>
                  </w:r>
                </w:p>
              </w:tc>
              <w:tc>
                <w:tcPr>
                  <w:tcW w:w="652" w:type="dxa"/>
                </w:tcPr>
                <w:p w14:paraId="427C05EB" w14:textId="77777777" w:rsidR="002966D9" w:rsidRDefault="002966D9" w:rsidP="002966D9">
                  <w:pPr>
                    <w:pStyle w:val="NoSpacing"/>
                    <w:jc w:val="center"/>
                    <w:rPr>
                      <w:sz w:val="16"/>
                      <w:szCs w:val="16"/>
                    </w:rPr>
                  </w:pPr>
                  <w:r>
                    <w:rPr>
                      <w:sz w:val="16"/>
                      <w:szCs w:val="16"/>
                    </w:rPr>
                    <w:t>1125</w:t>
                  </w:r>
                </w:p>
              </w:tc>
              <w:tc>
                <w:tcPr>
                  <w:tcW w:w="652" w:type="dxa"/>
                </w:tcPr>
                <w:p w14:paraId="2AFBE6C8" w14:textId="77777777" w:rsidR="002966D9" w:rsidRDefault="002966D9" w:rsidP="002966D9">
                  <w:pPr>
                    <w:pStyle w:val="NoSpacing"/>
                    <w:jc w:val="center"/>
                    <w:rPr>
                      <w:sz w:val="16"/>
                      <w:szCs w:val="16"/>
                    </w:rPr>
                  </w:pPr>
                  <w:r>
                    <w:rPr>
                      <w:sz w:val="16"/>
                      <w:szCs w:val="16"/>
                    </w:rPr>
                    <w:t>1150</w:t>
                  </w:r>
                </w:p>
              </w:tc>
            </w:tr>
            <w:tr w:rsidR="002966D9" w14:paraId="3F249A25" w14:textId="77777777" w:rsidTr="002966D9">
              <w:tc>
                <w:tcPr>
                  <w:tcW w:w="2222" w:type="dxa"/>
                </w:tcPr>
                <w:p w14:paraId="26AC429B" w14:textId="77777777" w:rsidR="002966D9" w:rsidRDefault="002966D9" w:rsidP="002966D9">
                  <w:pPr>
                    <w:pStyle w:val="NoSpacing"/>
                    <w:rPr>
                      <w:sz w:val="16"/>
                      <w:szCs w:val="16"/>
                    </w:rPr>
                  </w:pPr>
                  <w:r>
                    <w:rPr>
                      <w:sz w:val="16"/>
                      <w:szCs w:val="16"/>
                    </w:rPr>
                    <w:t>Imbalance Direction</w:t>
                  </w:r>
                </w:p>
              </w:tc>
              <w:tc>
                <w:tcPr>
                  <w:tcW w:w="572" w:type="dxa"/>
                </w:tcPr>
                <w:p w14:paraId="3983F306" w14:textId="77777777" w:rsidR="002966D9" w:rsidRDefault="002966D9" w:rsidP="002966D9">
                  <w:pPr>
                    <w:pStyle w:val="NoSpacing"/>
                    <w:jc w:val="center"/>
                    <w:rPr>
                      <w:sz w:val="16"/>
                      <w:szCs w:val="16"/>
                    </w:rPr>
                  </w:pPr>
                  <w:r>
                    <w:rPr>
                      <w:sz w:val="16"/>
                      <w:szCs w:val="16"/>
                    </w:rPr>
                    <w:t>Over</w:t>
                  </w:r>
                </w:p>
              </w:tc>
              <w:tc>
                <w:tcPr>
                  <w:tcW w:w="622" w:type="dxa"/>
                </w:tcPr>
                <w:p w14:paraId="160F084C" w14:textId="77777777" w:rsidR="002966D9" w:rsidRDefault="002966D9" w:rsidP="002966D9">
                  <w:pPr>
                    <w:pStyle w:val="NoSpacing"/>
                    <w:jc w:val="center"/>
                    <w:rPr>
                      <w:sz w:val="16"/>
                      <w:szCs w:val="16"/>
                    </w:rPr>
                  </w:pPr>
                  <w:r>
                    <w:rPr>
                      <w:sz w:val="16"/>
                      <w:szCs w:val="16"/>
                    </w:rPr>
                    <w:t>Over</w:t>
                  </w:r>
                </w:p>
              </w:tc>
              <w:tc>
                <w:tcPr>
                  <w:tcW w:w="652" w:type="dxa"/>
                </w:tcPr>
                <w:p w14:paraId="59BDFA4A" w14:textId="77777777" w:rsidR="002966D9" w:rsidRDefault="002966D9" w:rsidP="002966D9">
                  <w:pPr>
                    <w:pStyle w:val="NoSpacing"/>
                    <w:jc w:val="center"/>
                    <w:rPr>
                      <w:sz w:val="16"/>
                      <w:szCs w:val="16"/>
                    </w:rPr>
                  </w:pPr>
                  <w:r>
                    <w:rPr>
                      <w:sz w:val="16"/>
                      <w:szCs w:val="16"/>
                    </w:rPr>
                    <w:t>Under</w:t>
                  </w:r>
                </w:p>
              </w:tc>
              <w:tc>
                <w:tcPr>
                  <w:tcW w:w="652" w:type="dxa"/>
                </w:tcPr>
                <w:p w14:paraId="6837C8F0" w14:textId="77777777" w:rsidR="002966D9" w:rsidRDefault="002966D9" w:rsidP="002966D9">
                  <w:pPr>
                    <w:pStyle w:val="NoSpacing"/>
                    <w:jc w:val="center"/>
                    <w:rPr>
                      <w:sz w:val="16"/>
                      <w:szCs w:val="16"/>
                    </w:rPr>
                  </w:pPr>
                  <w:r>
                    <w:rPr>
                      <w:sz w:val="16"/>
                      <w:szCs w:val="16"/>
                    </w:rPr>
                    <w:t>Under</w:t>
                  </w:r>
                </w:p>
              </w:tc>
            </w:tr>
            <w:tr w:rsidR="002966D9" w:rsidRPr="007A014B" w14:paraId="727B9E66" w14:textId="77777777" w:rsidTr="002966D9">
              <w:tc>
                <w:tcPr>
                  <w:tcW w:w="2222" w:type="dxa"/>
                </w:tcPr>
                <w:p w14:paraId="7A3A5A0D" w14:textId="77777777" w:rsidR="002966D9" w:rsidRPr="007A014B" w:rsidRDefault="002966D9" w:rsidP="002966D9">
                  <w:pPr>
                    <w:pStyle w:val="NoSpacing"/>
                    <w:rPr>
                      <w:sz w:val="16"/>
                      <w:szCs w:val="16"/>
                    </w:rPr>
                  </w:pPr>
                  <w:r>
                    <w:rPr>
                      <w:sz w:val="16"/>
                      <w:szCs w:val="16"/>
                    </w:rPr>
                    <w:t>Imbalance Amount</w:t>
                  </w:r>
                </w:p>
              </w:tc>
              <w:tc>
                <w:tcPr>
                  <w:tcW w:w="572" w:type="dxa"/>
                </w:tcPr>
                <w:p w14:paraId="2B9D920B" w14:textId="77777777" w:rsidR="002966D9" w:rsidRPr="007A014B" w:rsidRDefault="002966D9" w:rsidP="002966D9">
                  <w:pPr>
                    <w:pStyle w:val="NoSpacing"/>
                    <w:jc w:val="center"/>
                    <w:rPr>
                      <w:sz w:val="16"/>
                      <w:szCs w:val="16"/>
                    </w:rPr>
                  </w:pPr>
                  <w:r>
                    <w:rPr>
                      <w:sz w:val="16"/>
                      <w:szCs w:val="16"/>
                    </w:rPr>
                    <w:t>50</w:t>
                  </w:r>
                </w:p>
              </w:tc>
              <w:tc>
                <w:tcPr>
                  <w:tcW w:w="622" w:type="dxa"/>
                </w:tcPr>
                <w:p w14:paraId="56F88A6F" w14:textId="77777777" w:rsidR="002966D9" w:rsidRPr="007A014B" w:rsidRDefault="002966D9" w:rsidP="002966D9">
                  <w:pPr>
                    <w:pStyle w:val="NoSpacing"/>
                    <w:jc w:val="center"/>
                    <w:rPr>
                      <w:sz w:val="16"/>
                      <w:szCs w:val="16"/>
                    </w:rPr>
                  </w:pPr>
                  <w:r>
                    <w:rPr>
                      <w:sz w:val="16"/>
                      <w:szCs w:val="16"/>
                    </w:rPr>
                    <w:t>25</w:t>
                  </w:r>
                </w:p>
              </w:tc>
              <w:tc>
                <w:tcPr>
                  <w:tcW w:w="652" w:type="dxa"/>
                </w:tcPr>
                <w:p w14:paraId="17E3A762" w14:textId="77777777" w:rsidR="002966D9" w:rsidRPr="007A014B" w:rsidRDefault="002966D9" w:rsidP="002966D9">
                  <w:pPr>
                    <w:pStyle w:val="NoSpacing"/>
                    <w:jc w:val="center"/>
                    <w:rPr>
                      <w:sz w:val="16"/>
                      <w:szCs w:val="16"/>
                    </w:rPr>
                  </w:pPr>
                  <w:r>
                    <w:rPr>
                      <w:sz w:val="16"/>
                      <w:szCs w:val="16"/>
                    </w:rPr>
                    <w:t>25</w:t>
                  </w:r>
                </w:p>
              </w:tc>
              <w:tc>
                <w:tcPr>
                  <w:tcW w:w="652" w:type="dxa"/>
                </w:tcPr>
                <w:p w14:paraId="13991307" w14:textId="77777777" w:rsidR="002966D9" w:rsidRPr="007A014B" w:rsidRDefault="002966D9" w:rsidP="002966D9">
                  <w:pPr>
                    <w:pStyle w:val="NoSpacing"/>
                    <w:jc w:val="center"/>
                    <w:rPr>
                      <w:sz w:val="16"/>
                      <w:szCs w:val="16"/>
                    </w:rPr>
                  </w:pPr>
                  <w:r>
                    <w:rPr>
                      <w:sz w:val="16"/>
                      <w:szCs w:val="16"/>
                    </w:rPr>
                    <w:t>50</w:t>
                  </w:r>
                </w:p>
              </w:tc>
            </w:tr>
            <w:tr w:rsidR="002966D9" w:rsidRPr="007A014B" w14:paraId="4F81ED57" w14:textId="77777777" w:rsidTr="002966D9">
              <w:tc>
                <w:tcPr>
                  <w:tcW w:w="2222" w:type="dxa"/>
                </w:tcPr>
                <w:p w14:paraId="0B78AB5D" w14:textId="77777777" w:rsidR="002966D9" w:rsidRPr="007A014B" w:rsidRDefault="002966D9" w:rsidP="002966D9">
                  <w:pPr>
                    <w:pStyle w:val="NoSpacing"/>
                    <w:rPr>
                      <w:sz w:val="16"/>
                      <w:szCs w:val="16"/>
                    </w:rPr>
                  </w:pPr>
                  <w:r>
                    <w:rPr>
                      <w:sz w:val="16"/>
                      <w:szCs w:val="16"/>
                    </w:rPr>
                    <w:t>Bid Range Capacity (Up)</w:t>
                  </w:r>
                </w:p>
              </w:tc>
              <w:tc>
                <w:tcPr>
                  <w:tcW w:w="572" w:type="dxa"/>
                </w:tcPr>
                <w:p w14:paraId="2F52CF73" w14:textId="77777777" w:rsidR="002966D9" w:rsidRPr="007A014B" w:rsidRDefault="002966D9" w:rsidP="002966D9">
                  <w:pPr>
                    <w:pStyle w:val="NoSpacing"/>
                    <w:jc w:val="center"/>
                    <w:rPr>
                      <w:sz w:val="16"/>
                      <w:szCs w:val="16"/>
                    </w:rPr>
                  </w:pPr>
                  <w:r>
                    <w:rPr>
                      <w:sz w:val="16"/>
                      <w:szCs w:val="16"/>
                    </w:rPr>
                    <w:t>100</w:t>
                  </w:r>
                </w:p>
              </w:tc>
              <w:tc>
                <w:tcPr>
                  <w:tcW w:w="622" w:type="dxa"/>
                </w:tcPr>
                <w:p w14:paraId="16ED3F41" w14:textId="77777777" w:rsidR="002966D9" w:rsidRPr="007A014B" w:rsidRDefault="002966D9" w:rsidP="002966D9">
                  <w:pPr>
                    <w:pStyle w:val="NoSpacing"/>
                    <w:jc w:val="center"/>
                    <w:rPr>
                      <w:sz w:val="16"/>
                      <w:szCs w:val="16"/>
                    </w:rPr>
                  </w:pPr>
                  <w:r>
                    <w:rPr>
                      <w:sz w:val="16"/>
                      <w:szCs w:val="16"/>
                    </w:rPr>
                    <w:t>100</w:t>
                  </w:r>
                </w:p>
              </w:tc>
              <w:tc>
                <w:tcPr>
                  <w:tcW w:w="652" w:type="dxa"/>
                </w:tcPr>
                <w:p w14:paraId="26A0573D" w14:textId="77777777" w:rsidR="002966D9" w:rsidRPr="007A014B" w:rsidRDefault="002966D9" w:rsidP="002966D9">
                  <w:pPr>
                    <w:pStyle w:val="NoSpacing"/>
                    <w:jc w:val="center"/>
                    <w:rPr>
                      <w:sz w:val="16"/>
                      <w:szCs w:val="16"/>
                    </w:rPr>
                  </w:pPr>
                  <w:r>
                    <w:rPr>
                      <w:sz w:val="16"/>
                      <w:szCs w:val="16"/>
                    </w:rPr>
                    <w:t>100</w:t>
                  </w:r>
                </w:p>
              </w:tc>
              <w:tc>
                <w:tcPr>
                  <w:tcW w:w="652" w:type="dxa"/>
                </w:tcPr>
                <w:p w14:paraId="703F8298" w14:textId="77777777" w:rsidR="002966D9" w:rsidRPr="007A014B" w:rsidRDefault="002966D9" w:rsidP="002966D9">
                  <w:pPr>
                    <w:pStyle w:val="NoSpacing"/>
                    <w:jc w:val="center"/>
                    <w:rPr>
                      <w:sz w:val="16"/>
                      <w:szCs w:val="16"/>
                    </w:rPr>
                  </w:pPr>
                  <w:r>
                    <w:rPr>
                      <w:sz w:val="16"/>
                      <w:szCs w:val="16"/>
                    </w:rPr>
                    <w:t>100</w:t>
                  </w:r>
                </w:p>
              </w:tc>
            </w:tr>
            <w:tr w:rsidR="002966D9" w:rsidRPr="007A014B" w14:paraId="3ABC6F32" w14:textId="77777777" w:rsidTr="002966D9">
              <w:tc>
                <w:tcPr>
                  <w:tcW w:w="2222" w:type="dxa"/>
                </w:tcPr>
                <w:p w14:paraId="467B00A4" w14:textId="77777777" w:rsidR="002966D9" w:rsidRPr="007A014B" w:rsidRDefault="002966D9" w:rsidP="002966D9">
                  <w:pPr>
                    <w:pStyle w:val="NoSpacing"/>
                    <w:rPr>
                      <w:sz w:val="16"/>
                      <w:szCs w:val="16"/>
                    </w:rPr>
                  </w:pPr>
                  <w:r>
                    <w:rPr>
                      <w:sz w:val="16"/>
                      <w:szCs w:val="16"/>
                    </w:rPr>
                    <w:t>Bid Range Capacity (Down)</w:t>
                  </w:r>
                </w:p>
              </w:tc>
              <w:tc>
                <w:tcPr>
                  <w:tcW w:w="572" w:type="dxa"/>
                </w:tcPr>
                <w:p w14:paraId="77D46BD7" w14:textId="77777777" w:rsidR="002966D9" w:rsidRPr="007A014B" w:rsidRDefault="002966D9" w:rsidP="002966D9">
                  <w:pPr>
                    <w:pStyle w:val="NoSpacing"/>
                    <w:jc w:val="center"/>
                    <w:rPr>
                      <w:sz w:val="16"/>
                      <w:szCs w:val="16"/>
                    </w:rPr>
                  </w:pPr>
                  <w:r>
                    <w:rPr>
                      <w:sz w:val="16"/>
                      <w:szCs w:val="16"/>
                    </w:rPr>
                    <w:t>100</w:t>
                  </w:r>
                </w:p>
              </w:tc>
              <w:tc>
                <w:tcPr>
                  <w:tcW w:w="622" w:type="dxa"/>
                </w:tcPr>
                <w:p w14:paraId="2B3A1643" w14:textId="77777777" w:rsidR="002966D9" w:rsidRPr="007A014B" w:rsidRDefault="002966D9" w:rsidP="002966D9">
                  <w:pPr>
                    <w:pStyle w:val="NoSpacing"/>
                    <w:jc w:val="center"/>
                    <w:rPr>
                      <w:sz w:val="16"/>
                      <w:szCs w:val="16"/>
                    </w:rPr>
                  </w:pPr>
                  <w:r>
                    <w:rPr>
                      <w:sz w:val="16"/>
                      <w:szCs w:val="16"/>
                    </w:rPr>
                    <w:t>100</w:t>
                  </w:r>
                </w:p>
              </w:tc>
              <w:tc>
                <w:tcPr>
                  <w:tcW w:w="652" w:type="dxa"/>
                </w:tcPr>
                <w:p w14:paraId="6E74C541" w14:textId="77777777" w:rsidR="002966D9" w:rsidRPr="007A014B" w:rsidRDefault="002966D9" w:rsidP="002966D9">
                  <w:pPr>
                    <w:pStyle w:val="NoSpacing"/>
                    <w:jc w:val="center"/>
                    <w:rPr>
                      <w:sz w:val="16"/>
                      <w:szCs w:val="16"/>
                    </w:rPr>
                  </w:pPr>
                  <w:r>
                    <w:rPr>
                      <w:sz w:val="16"/>
                      <w:szCs w:val="16"/>
                    </w:rPr>
                    <w:t>100</w:t>
                  </w:r>
                </w:p>
              </w:tc>
              <w:tc>
                <w:tcPr>
                  <w:tcW w:w="652" w:type="dxa"/>
                </w:tcPr>
                <w:p w14:paraId="10C0424E" w14:textId="77777777" w:rsidR="002966D9" w:rsidRPr="007A014B" w:rsidRDefault="002966D9" w:rsidP="002966D9">
                  <w:pPr>
                    <w:pStyle w:val="NoSpacing"/>
                    <w:jc w:val="center"/>
                    <w:rPr>
                      <w:sz w:val="16"/>
                      <w:szCs w:val="16"/>
                    </w:rPr>
                  </w:pPr>
                  <w:r>
                    <w:rPr>
                      <w:sz w:val="16"/>
                      <w:szCs w:val="16"/>
                    </w:rPr>
                    <w:t>100</w:t>
                  </w:r>
                </w:p>
              </w:tc>
            </w:tr>
          </w:tbl>
          <w:p w14:paraId="6A02A83A" w14:textId="77777777" w:rsidR="002966D9" w:rsidRPr="005D101D" w:rsidRDefault="002966D9" w:rsidP="002966D9">
            <w:pPr>
              <w:rPr>
                <w:rFonts w:cs="Arial"/>
                <w:bCs/>
              </w:rPr>
            </w:pPr>
          </w:p>
        </w:tc>
        <w:tc>
          <w:tcPr>
            <w:tcW w:w="0" w:type="auto"/>
          </w:tcPr>
          <w:p w14:paraId="02FCBBD3" w14:textId="77777777" w:rsidR="002966D9" w:rsidRDefault="002966D9" w:rsidP="002966D9">
            <w:pPr>
              <w:rPr>
                <w:rFonts w:cs="Arial"/>
                <w:bCs/>
                <w:sz w:val="16"/>
                <w:szCs w:val="16"/>
              </w:rPr>
            </w:pPr>
            <w:r>
              <w:rPr>
                <w:rFonts w:cs="Arial"/>
                <w:bCs/>
                <w:sz w:val="16"/>
                <w:szCs w:val="16"/>
              </w:rPr>
              <w:t>For this scenario, CMRI shall report the most-insufficient 15-minute interval results (</w:t>
            </w:r>
            <w:r w:rsidRPr="001A4A19">
              <w:rPr>
                <w:rFonts w:cs="Arial"/>
                <w:bCs/>
                <w:color w:val="0000FF"/>
                <w:sz w:val="16"/>
                <w:szCs w:val="16"/>
              </w:rPr>
              <w:t>in blue text</w:t>
            </w:r>
            <w:r>
              <w:rPr>
                <w:rFonts w:cs="Arial"/>
                <w:bCs/>
                <w:sz w:val="16"/>
                <w:szCs w:val="16"/>
              </w:rPr>
              <w:t>) (using interval :30 results for the over direction, interval :60 results for the under direction).  Only the intervals’ trade hour will be identified in the report.</w:t>
            </w:r>
          </w:p>
          <w:tbl>
            <w:tblPr>
              <w:tblStyle w:val="TableGrid"/>
              <w:tblW w:w="0" w:type="auto"/>
              <w:tblLook w:val="04A0" w:firstRow="1" w:lastRow="0" w:firstColumn="1" w:lastColumn="0" w:noHBand="0" w:noVBand="1"/>
            </w:tblPr>
            <w:tblGrid>
              <w:gridCol w:w="2095"/>
              <w:gridCol w:w="652"/>
              <w:gridCol w:w="652"/>
              <w:gridCol w:w="652"/>
              <w:gridCol w:w="652"/>
            </w:tblGrid>
            <w:tr w:rsidR="002966D9" w14:paraId="25657FCC" w14:textId="77777777" w:rsidTr="002966D9">
              <w:tc>
                <w:tcPr>
                  <w:tcW w:w="2566" w:type="dxa"/>
                  <w:tcBorders>
                    <w:bottom w:val="single" w:sz="12" w:space="0" w:color="auto"/>
                  </w:tcBorders>
                  <w:shd w:val="clear" w:color="auto" w:fill="F2F2F2" w:themeFill="background1" w:themeFillShade="F2"/>
                </w:tcPr>
                <w:p w14:paraId="34BE3FB5" w14:textId="77777777" w:rsidR="002966D9" w:rsidRPr="007A014B" w:rsidRDefault="002966D9" w:rsidP="002966D9">
                  <w:pPr>
                    <w:pStyle w:val="NoSpacing"/>
                    <w:rPr>
                      <w:sz w:val="16"/>
                      <w:szCs w:val="16"/>
                    </w:rPr>
                  </w:pPr>
                  <w:r>
                    <w:rPr>
                      <w:sz w:val="16"/>
                      <w:szCs w:val="16"/>
                    </w:rPr>
                    <w:t>Description</w:t>
                  </w:r>
                </w:p>
              </w:tc>
              <w:tc>
                <w:tcPr>
                  <w:tcW w:w="652" w:type="dxa"/>
                  <w:tcBorders>
                    <w:bottom w:val="single" w:sz="12" w:space="0" w:color="auto"/>
                  </w:tcBorders>
                  <w:shd w:val="clear" w:color="auto" w:fill="F2F2F2" w:themeFill="background1" w:themeFillShade="F2"/>
                </w:tcPr>
                <w:p w14:paraId="019EC320" w14:textId="77777777" w:rsidR="002966D9" w:rsidRPr="00A96386" w:rsidRDefault="002966D9" w:rsidP="002966D9">
                  <w:pPr>
                    <w:pStyle w:val="NoSpacing"/>
                    <w:jc w:val="center"/>
                    <w:rPr>
                      <w:sz w:val="16"/>
                      <w:szCs w:val="16"/>
                    </w:rPr>
                  </w:pPr>
                  <w:r w:rsidRPr="00A96386">
                    <w:rPr>
                      <w:sz w:val="16"/>
                      <w:szCs w:val="16"/>
                    </w:rPr>
                    <w:t>:15</w:t>
                  </w:r>
                </w:p>
              </w:tc>
              <w:tc>
                <w:tcPr>
                  <w:tcW w:w="652" w:type="dxa"/>
                  <w:tcBorders>
                    <w:bottom w:val="single" w:sz="18" w:space="0" w:color="auto"/>
                  </w:tcBorders>
                  <w:shd w:val="clear" w:color="auto" w:fill="F2F2F2" w:themeFill="background1" w:themeFillShade="F2"/>
                </w:tcPr>
                <w:p w14:paraId="42B047DD" w14:textId="77777777" w:rsidR="002966D9" w:rsidRPr="00A96386" w:rsidRDefault="002966D9" w:rsidP="002966D9">
                  <w:pPr>
                    <w:pStyle w:val="NoSpacing"/>
                    <w:jc w:val="center"/>
                    <w:rPr>
                      <w:color w:val="0000FF"/>
                      <w:sz w:val="16"/>
                      <w:szCs w:val="16"/>
                    </w:rPr>
                  </w:pPr>
                  <w:r w:rsidRPr="00A96386">
                    <w:rPr>
                      <w:color w:val="0000FF"/>
                      <w:sz w:val="16"/>
                      <w:szCs w:val="16"/>
                    </w:rPr>
                    <w:t>:30</w:t>
                  </w:r>
                </w:p>
              </w:tc>
              <w:tc>
                <w:tcPr>
                  <w:tcW w:w="652" w:type="dxa"/>
                  <w:tcBorders>
                    <w:bottom w:val="single" w:sz="12" w:space="0" w:color="auto"/>
                  </w:tcBorders>
                  <w:shd w:val="clear" w:color="auto" w:fill="F2F2F2" w:themeFill="background1" w:themeFillShade="F2"/>
                </w:tcPr>
                <w:p w14:paraId="7FC1CDB0" w14:textId="77777777" w:rsidR="002966D9" w:rsidRPr="00A96386" w:rsidRDefault="002966D9" w:rsidP="002966D9">
                  <w:pPr>
                    <w:pStyle w:val="NoSpacing"/>
                    <w:jc w:val="center"/>
                    <w:rPr>
                      <w:sz w:val="16"/>
                      <w:szCs w:val="16"/>
                    </w:rPr>
                  </w:pPr>
                  <w:r w:rsidRPr="00A96386">
                    <w:rPr>
                      <w:sz w:val="16"/>
                      <w:szCs w:val="16"/>
                    </w:rPr>
                    <w:t>:45</w:t>
                  </w:r>
                </w:p>
              </w:tc>
              <w:tc>
                <w:tcPr>
                  <w:tcW w:w="652" w:type="dxa"/>
                  <w:tcBorders>
                    <w:bottom w:val="single" w:sz="12" w:space="0" w:color="auto"/>
                  </w:tcBorders>
                  <w:shd w:val="clear" w:color="auto" w:fill="F2F2F2" w:themeFill="background1" w:themeFillShade="F2"/>
                </w:tcPr>
                <w:p w14:paraId="48FCCD87" w14:textId="77777777" w:rsidR="002966D9" w:rsidRPr="00A96386" w:rsidRDefault="002966D9" w:rsidP="002966D9">
                  <w:pPr>
                    <w:pStyle w:val="NoSpacing"/>
                    <w:jc w:val="center"/>
                    <w:rPr>
                      <w:sz w:val="16"/>
                      <w:szCs w:val="16"/>
                    </w:rPr>
                  </w:pPr>
                  <w:r w:rsidRPr="00A96386">
                    <w:rPr>
                      <w:color w:val="0000FF"/>
                      <w:sz w:val="16"/>
                      <w:szCs w:val="16"/>
                    </w:rPr>
                    <w:t>:60</w:t>
                  </w:r>
                </w:p>
              </w:tc>
            </w:tr>
            <w:tr w:rsidR="002966D9" w14:paraId="41326647" w14:textId="77777777" w:rsidTr="002966D9">
              <w:tc>
                <w:tcPr>
                  <w:tcW w:w="2566" w:type="dxa"/>
                  <w:tcBorders>
                    <w:top w:val="single" w:sz="12" w:space="0" w:color="auto"/>
                  </w:tcBorders>
                </w:tcPr>
                <w:p w14:paraId="41E48116" w14:textId="77777777" w:rsidR="002966D9" w:rsidRDefault="002966D9" w:rsidP="002966D9">
                  <w:pPr>
                    <w:pStyle w:val="NoSpacing"/>
                    <w:rPr>
                      <w:sz w:val="16"/>
                      <w:szCs w:val="16"/>
                    </w:rPr>
                  </w:pPr>
                  <w:r>
                    <w:rPr>
                      <w:sz w:val="16"/>
                      <w:szCs w:val="16"/>
                    </w:rPr>
                    <w:t>Test Status (Over)</w:t>
                  </w:r>
                </w:p>
              </w:tc>
              <w:tc>
                <w:tcPr>
                  <w:tcW w:w="652" w:type="dxa"/>
                  <w:tcBorders>
                    <w:top w:val="single" w:sz="12" w:space="0" w:color="auto"/>
                    <w:right w:val="single" w:sz="18" w:space="0" w:color="auto"/>
                  </w:tcBorders>
                </w:tcPr>
                <w:p w14:paraId="763909DF" w14:textId="77777777" w:rsidR="002966D9" w:rsidRPr="00A96386" w:rsidRDefault="002966D9" w:rsidP="002966D9">
                  <w:pPr>
                    <w:pStyle w:val="NoSpacing"/>
                    <w:jc w:val="center"/>
                    <w:rPr>
                      <w:sz w:val="16"/>
                      <w:szCs w:val="16"/>
                    </w:rPr>
                  </w:pPr>
                  <w:r w:rsidRPr="00A96386">
                    <w:rPr>
                      <w:sz w:val="16"/>
                      <w:szCs w:val="16"/>
                    </w:rPr>
                    <w:t>Pass</w:t>
                  </w:r>
                </w:p>
              </w:tc>
              <w:tc>
                <w:tcPr>
                  <w:tcW w:w="652" w:type="dxa"/>
                  <w:tcBorders>
                    <w:top w:val="single" w:sz="18" w:space="0" w:color="auto"/>
                    <w:left w:val="single" w:sz="18" w:space="0" w:color="auto"/>
                    <w:right w:val="single" w:sz="18" w:space="0" w:color="auto"/>
                  </w:tcBorders>
                </w:tcPr>
                <w:p w14:paraId="053CAAE6" w14:textId="77777777" w:rsidR="002966D9" w:rsidRPr="00A96386" w:rsidRDefault="002966D9" w:rsidP="002966D9">
                  <w:pPr>
                    <w:pStyle w:val="NoSpacing"/>
                    <w:jc w:val="center"/>
                    <w:rPr>
                      <w:color w:val="0000FF"/>
                      <w:sz w:val="16"/>
                      <w:szCs w:val="16"/>
                    </w:rPr>
                  </w:pPr>
                  <w:r w:rsidRPr="00A96386">
                    <w:rPr>
                      <w:color w:val="0000FF"/>
                      <w:sz w:val="16"/>
                      <w:szCs w:val="16"/>
                    </w:rPr>
                    <w:t>Pass</w:t>
                  </w:r>
                </w:p>
              </w:tc>
              <w:tc>
                <w:tcPr>
                  <w:tcW w:w="652" w:type="dxa"/>
                  <w:tcBorders>
                    <w:top w:val="single" w:sz="12" w:space="0" w:color="auto"/>
                    <w:left w:val="single" w:sz="18" w:space="0" w:color="auto"/>
                  </w:tcBorders>
                </w:tcPr>
                <w:p w14:paraId="0374E8D7" w14:textId="77777777" w:rsidR="002966D9" w:rsidRPr="00A96386" w:rsidRDefault="002966D9" w:rsidP="002966D9">
                  <w:pPr>
                    <w:pStyle w:val="NoSpacing"/>
                    <w:jc w:val="center"/>
                    <w:rPr>
                      <w:sz w:val="16"/>
                      <w:szCs w:val="16"/>
                    </w:rPr>
                  </w:pPr>
                  <w:r w:rsidRPr="00A96386">
                    <w:rPr>
                      <w:sz w:val="16"/>
                      <w:szCs w:val="16"/>
                    </w:rPr>
                    <w:t>Pass</w:t>
                  </w:r>
                </w:p>
              </w:tc>
              <w:tc>
                <w:tcPr>
                  <w:tcW w:w="652" w:type="dxa"/>
                  <w:tcBorders>
                    <w:top w:val="single" w:sz="12" w:space="0" w:color="auto"/>
                  </w:tcBorders>
                </w:tcPr>
                <w:p w14:paraId="371524D2" w14:textId="77777777" w:rsidR="002966D9" w:rsidRPr="00A96386" w:rsidRDefault="002966D9" w:rsidP="002966D9">
                  <w:pPr>
                    <w:pStyle w:val="NoSpacing"/>
                    <w:jc w:val="center"/>
                    <w:rPr>
                      <w:sz w:val="16"/>
                      <w:szCs w:val="16"/>
                    </w:rPr>
                  </w:pPr>
                  <w:r w:rsidRPr="00A96386">
                    <w:rPr>
                      <w:sz w:val="16"/>
                      <w:szCs w:val="16"/>
                    </w:rPr>
                    <w:t>Pass</w:t>
                  </w:r>
                </w:p>
              </w:tc>
            </w:tr>
            <w:tr w:rsidR="002966D9" w14:paraId="2A95258F" w14:textId="77777777" w:rsidTr="002966D9">
              <w:tc>
                <w:tcPr>
                  <w:tcW w:w="2566" w:type="dxa"/>
                </w:tcPr>
                <w:p w14:paraId="458A9167" w14:textId="77777777" w:rsidR="002966D9" w:rsidRPr="007A014B" w:rsidRDefault="002966D9" w:rsidP="002966D9">
                  <w:pPr>
                    <w:pStyle w:val="NoSpacing"/>
                    <w:rPr>
                      <w:sz w:val="16"/>
                      <w:szCs w:val="16"/>
                    </w:rPr>
                  </w:pPr>
                  <w:r>
                    <w:rPr>
                      <w:sz w:val="16"/>
                      <w:szCs w:val="16"/>
                    </w:rPr>
                    <w:t>Insufficiency Direction (Over)</w:t>
                  </w:r>
                </w:p>
              </w:tc>
              <w:tc>
                <w:tcPr>
                  <w:tcW w:w="652" w:type="dxa"/>
                  <w:tcBorders>
                    <w:right w:val="single" w:sz="18" w:space="0" w:color="auto"/>
                  </w:tcBorders>
                </w:tcPr>
                <w:p w14:paraId="6FF8ED90" w14:textId="77777777" w:rsidR="002966D9" w:rsidRPr="00A96386" w:rsidRDefault="002966D9" w:rsidP="002966D9">
                  <w:pPr>
                    <w:pStyle w:val="NoSpacing"/>
                    <w:jc w:val="center"/>
                    <w:rPr>
                      <w:sz w:val="16"/>
                      <w:szCs w:val="16"/>
                    </w:rPr>
                  </w:pPr>
                  <w:r w:rsidRPr="00A96386">
                    <w:rPr>
                      <w:sz w:val="16"/>
                      <w:szCs w:val="16"/>
                    </w:rPr>
                    <w:t>Over</w:t>
                  </w:r>
                </w:p>
              </w:tc>
              <w:tc>
                <w:tcPr>
                  <w:tcW w:w="652" w:type="dxa"/>
                  <w:tcBorders>
                    <w:left w:val="single" w:sz="18" w:space="0" w:color="auto"/>
                    <w:right w:val="single" w:sz="18" w:space="0" w:color="auto"/>
                  </w:tcBorders>
                </w:tcPr>
                <w:p w14:paraId="3BBEA2A7" w14:textId="77777777" w:rsidR="002966D9" w:rsidRPr="00A96386" w:rsidRDefault="002966D9" w:rsidP="002966D9">
                  <w:pPr>
                    <w:pStyle w:val="NoSpacing"/>
                    <w:jc w:val="center"/>
                    <w:rPr>
                      <w:color w:val="0000FF"/>
                      <w:sz w:val="16"/>
                      <w:szCs w:val="16"/>
                    </w:rPr>
                  </w:pPr>
                  <w:r w:rsidRPr="00A96386">
                    <w:rPr>
                      <w:color w:val="0000FF"/>
                      <w:sz w:val="16"/>
                      <w:szCs w:val="16"/>
                    </w:rPr>
                    <w:t>Over</w:t>
                  </w:r>
                </w:p>
              </w:tc>
              <w:tc>
                <w:tcPr>
                  <w:tcW w:w="652" w:type="dxa"/>
                  <w:tcBorders>
                    <w:left w:val="single" w:sz="18" w:space="0" w:color="auto"/>
                  </w:tcBorders>
                </w:tcPr>
                <w:p w14:paraId="1B72A588" w14:textId="77777777" w:rsidR="002966D9" w:rsidRPr="00A96386" w:rsidRDefault="002966D9" w:rsidP="002966D9">
                  <w:pPr>
                    <w:pStyle w:val="NoSpacing"/>
                    <w:jc w:val="center"/>
                    <w:rPr>
                      <w:sz w:val="16"/>
                      <w:szCs w:val="16"/>
                    </w:rPr>
                  </w:pPr>
                  <w:r w:rsidRPr="00A96386">
                    <w:rPr>
                      <w:sz w:val="16"/>
                      <w:szCs w:val="16"/>
                    </w:rPr>
                    <w:t>Over</w:t>
                  </w:r>
                </w:p>
              </w:tc>
              <w:tc>
                <w:tcPr>
                  <w:tcW w:w="652" w:type="dxa"/>
                </w:tcPr>
                <w:p w14:paraId="1845031D" w14:textId="77777777" w:rsidR="002966D9" w:rsidRPr="00A96386" w:rsidRDefault="002966D9" w:rsidP="002966D9">
                  <w:pPr>
                    <w:pStyle w:val="NoSpacing"/>
                    <w:jc w:val="center"/>
                    <w:rPr>
                      <w:sz w:val="16"/>
                      <w:szCs w:val="16"/>
                    </w:rPr>
                  </w:pPr>
                  <w:r w:rsidRPr="00A96386">
                    <w:rPr>
                      <w:sz w:val="16"/>
                      <w:szCs w:val="16"/>
                    </w:rPr>
                    <w:t>Over</w:t>
                  </w:r>
                </w:p>
              </w:tc>
            </w:tr>
            <w:tr w:rsidR="002966D9" w14:paraId="6E2668CA" w14:textId="77777777" w:rsidTr="002966D9">
              <w:tc>
                <w:tcPr>
                  <w:tcW w:w="2566" w:type="dxa"/>
                  <w:tcBorders>
                    <w:bottom w:val="single" w:sz="4" w:space="0" w:color="auto"/>
                  </w:tcBorders>
                </w:tcPr>
                <w:p w14:paraId="36CEB75E" w14:textId="77777777" w:rsidR="002966D9" w:rsidRPr="007A014B" w:rsidRDefault="002966D9" w:rsidP="002966D9">
                  <w:pPr>
                    <w:pStyle w:val="NoSpacing"/>
                    <w:rPr>
                      <w:sz w:val="16"/>
                      <w:szCs w:val="16"/>
                    </w:rPr>
                  </w:pPr>
                  <w:r>
                    <w:rPr>
                      <w:sz w:val="16"/>
                      <w:szCs w:val="16"/>
                    </w:rPr>
                    <w:t>Insufficiency Percentage (%)</w:t>
                  </w:r>
                </w:p>
              </w:tc>
              <w:tc>
                <w:tcPr>
                  <w:tcW w:w="652" w:type="dxa"/>
                  <w:tcBorders>
                    <w:bottom w:val="single" w:sz="4" w:space="0" w:color="auto"/>
                    <w:right w:val="single" w:sz="18" w:space="0" w:color="auto"/>
                  </w:tcBorders>
                </w:tcPr>
                <w:p w14:paraId="335D5183" w14:textId="77777777" w:rsidR="002966D9" w:rsidRPr="00A96386" w:rsidRDefault="002966D9" w:rsidP="002966D9">
                  <w:pPr>
                    <w:pStyle w:val="NoSpacing"/>
                    <w:jc w:val="center"/>
                    <w:rPr>
                      <w:sz w:val="14"/>
                      <w:szCs w:val="14"/>
                    </w:rPr>
                  </w:pPr>
                  <w:r w:rsidRPr="00A96386">
                    <w:rPr>
                      <w:sz w:val="14"/>
                      <w:szCs w:val="14"/>
                    </w:rPr>
                    <w:t>-50.0</w:t>
                  </w:r>
                </w:p>
              </w:tc>
              <w:tc>
                <w:tcPr>
                  <w:tcW w:w="652" w:type="dxa"/>
                  <w:tcBorders>
                    <w:left w:val="single" w:sz="18" w:space="0" w:color="auto"/>
                    <w:bottom w:val="single" w:sz="4" w:space="0" w:color="auto"/>
                    <w:right w:val="single" w:sz="18" w:space="0" w:color="auto"/>
                  </w:tcBorders>
                </w:tcPr>
                <w:p w14:paraId="1E0CE98E" w14:textId="77777777" w:rsidR="002966D9" w:rsidRPr="00A96386" w:rsidRDefault="002966D9" w:rsidP="002966D9">
                  <w:pPr>
                    <w:pStyle w:val="NoSpacing"/>
                    <w:jc w:val="center"/>
                    <w:rPr>
                      <w:color w:val="0000FF"/>
                      <w:sz w:val="14"/>
                      <w:szCs w:val="14"/>
                    </w:rPr>
                  </w:pPr>
                  <w:r w:rsidRPr="00A96386">
                    <w:rPr>
                      <w:color w:val="0000FF"/>
                      <w:sz w:val="14"/>
                      <w:szCs w:val="14"/>
                    </w:rPr>
                    <w:t>-25.0</w:t>
                  </w:r>
                </w:p>
              </w:tc>
              <w:tc>
                <w:tcPr>
                  <w:tcW w:w="652" w:type="dxa"/>
                  <w:tcBorders>
                    <w:left w:val="single" w:sz="18" w:space="0" w:color="auto"/>
                    <w:bottom w:val="single" w:sz="4" w:space="0" w:color="auto"/>
                  </w:tcBorders>
                </w:tcPr>
                <w:p w14:paraId="7068B3B1" w14:textId="77777777" w:rsidR="002966D9" w:rsidRPr="00A96386" w:rsidRDefault="002966D9" w:rsidP="002966D9">
                  <w:pPr>
                    <w:pStyle w:val="NoSpacing"/>
                    <w:jc w:val="center"/>
                    <w:rPr>
                      <w:sz w:val="14"/>
                      <w:szCs w:val="14"/>
                    </w:rPr>
                  </w:pPr>
                  <w:r w:rsidRPr="00A96386">
                    <w:rPr>
                      <w:sz w:val="14"/>
                      <w:szCs w:val="14"/>
                    </w:rPr>
                    <w:t>-125.0</w:t>
                  </w:r>
                </w:p>
              </w:tc>
              <w:tc>
                <w:tcPr>
                  <w:tcW w:w="652" w:type="dxa"/>
                  <w:tcBorders>
                    <w:bottom w:val="single" w:sz="4" w:space="0" w:color="auto"/>
                  </w:tcBorders>
                </w:tcPr>
                <w:p w14:paraId="7BC27599" w14:textId="77777777" w:rsidR="002966D9" w:rsidRPr="00A96386" w:rsidRDefault="002966D9" w:rsidP="002966D9">
                  <w:pPr>
                    <w:pStyle w:val="NoSpacing"/>
                    <w:jc w:val="center"/>
                    <w:rPr>
                      <w:sz w:val="14"/>
                      <w:szCs w:val="14"/>
                    </w:rPr>
                  </w:pPr>
                  <w:r w:rsidRPr="00A96386">
                    <w:rPr>
                      <w:sz w:val="14"/>
                      <w:szCs w:val="14"/>
                    </w:rPr>
                    <w:t>-150.0</w:t>
                  </w:r>
                </w:p>
              </w:tc>
            </w:tr>
            <w:tr w:rsidR="002966D9" w14:paraId="3A8F37CB" w14:textId="77777777" w:rsidTr="002966D9">
              <w:tc>
                <w:tcPr>
                  <w:tcW w:w="2566" w:type="dxa"/>
                  <w:tcBorders>
                    <w:bottom w:val="single" w:sz="12" w:space="0" w:color="auto"/>
                  </w:tcBorders>
                </w:tcPr>
                <w:p w14:paraId="528EF11D" w14:textId="77777777" w:rsidR="002966D9" w:rsidRPr="007A014B" w:rsidRDefault="002966D9" w:rsidP="002966D9">
                  <w:pPr>
                    <w:pStyle w:val="NoSpacing"/>
                    <w:rPr>
                      <w:sz w:val="16"/>
                      <w:szCs w:val="16"/>
                    </w:rPr>
                  </w:pPr>
                  <w:r>
                    <w:rPr>
                      <w:sz w:val="16"/>
                      <w:szCs w:val="16"/>
                    </w:rPr>
                    <w:t>Insufficiency Amount (MW)</w:t>
                  </w:r>
                </w:p>
              </w:tc>
              <w:tc>
                <w:tcPr>
                  <w:tcW w:w="652" w:type="dxa"/>
                  <w:tcBorders>
                    <w:bottom w:val="single" w:sz="12" w:space="0" w:color="auto"/>
                    <w:right w:val="single" w:sz="18" w:space="0" w:color="auto"/>
                  </w:tcBorders>
                </w:tcPr>
                <w:p w14:paraId="50C4B662" w14:textId="77777777" w:rsidR="002966D9" w:rsidRPr="00A96386" w:rsidRDefault="002966D9" w:rsidP="002966D9">
                  <w:pPr>
                    <w:pStyle w:val="NoSpacing"/>
                    <w:jc w:val="center"/>
                    <w:rPr>
                      <w:sz w:val="16"/>
                      <w:szCs w:val="16"/>
                    </w:rPr>
                  </w:pPr>
                  <w:r w:rsidRPr="00A96386">
                    <w:rPr>
                      <w:sz w:val="16"/>
                      <w:szCs w:val="16"/>
                    </w:rPr>
                    <w:t>-50</w:t>
                  </w:r>
                </w:p>
              </w:tc>
              <w:tc>
                <w:tcPr>
                  <w:tcW w:w="652" w:type="dxa"/>
                  <w:tcBorders>
                    <w:left w:val="single" w:sz="18" w:space="0" w:color="auto"/>
                    <w:bottom w:val="single" w:sz="18" w:space="0" w:color="auto"/>
                    <w:right w:val="single" w:sz="18" w:space="0" w:color="auto"/>
                  </w:tcBorders>
                </w:tcPr>
                <w:p w14:paraId="2595A711" w14:textId="77777777" w:rsidR="002966D9" w:rsidRPr="00A96386" w:rsidRDefault="002966D9" w:rsidP="002966D9">
                  <w:pPr>
                    <w:pStyle w:val="NoSpacing"/>
                    <w:jc w:val="center"/>
                    <w:rPr>
                      <w:color w:val="0000FF"/>
                      <w:sz w:val="16"/>
                      <w:szCs w:val="16"/>
                    </w:rPr>
                  </w:pPr>
                  <w:r w:rsidRPr="00A96386">
                    <w:rPr>
                      <w:color w:val="0000FF"/>
                      <w:sz w:val="16"/>
                      <w:szCs w:val="16"/>
                    </w:rPr>
                    <w:t>-25</w:t>
                  </w:r>
                </w:p>
              </w:tc>
              <w:tc>
                <w:tcPr>
                  <w:tcW w:w="652" w:type="dxa"/>
                  <w:tcBorders>
                    <w:left w:val="single" w:sz="18" w:space="0" w:color="auto"/>
                    <w:bottom w:val="single" w:sz="12" w:space="0" w:color="auto"/>
                  </w:tcBorders>
                </w:tcPr>
                <w:p w14:paraId="79370C5E" w14:textId="77777777" w:rsidR="002966D9" w:rsidRPr="00A96386" w:rsidRDefault="002966D9" w:rsidP="002966D9">
                  <w:pPr>
                    <w:pStyle w:val="NoSpacing"/>
                    <w:jc w:val="center"/>
                    <w:rPr>
                      <w:sz w:val="16"/>
                      <w:szCs w:val="16"/>
                    </w:rPr>
                  </w:pPr>
                  <w:r w:rsidRPr="00A96386">
                    <w:rPr>
                      <w:sz w:val="16"/>
                      <w:szCs w:val="16"/>
                    </w:rPr>
                    <w:t>-125</w:t>
                  </w:r>
                </w:p>
              </w:tc>
              <w:tc>
                <w:tcPr>
                  <w:tcW w:w="652" w:type="dxa"/>
                  <w:tcBorders>
                    <w:bottom w:val="single" w:sz="18" w:space="0" w:color="auto"/>
                  </w:tcBorders>
                </w:tcPr>
                <w:p w14:paraId="4FE26024" w14:textId="77777777" w:rsidR="002966D9" w:rsidRPr="00A96386" w:rsidRDefault="002966D9" w:rsidP="002966D9">
                  <w:pPr>
                    <w:pStyle w:val="NoSpacing"/>
                    <w:jc w:val="center"/>
                    <w:rPr>
                      <w:sz w:val="16"/>
                      <w:szCs w:val="16"/>
                    </w:rPr>
                  </w:pPr>
                  <w:r w:rsidRPr="00A96386">
                    <w:rPr>
                      <w:sz w:val="16"/>
                      <w:szCs w:val="16"/>
                    </w:rPr>
                    <w:t>-150</w:t>
                  </w:r>
                </w:p>
              </w:tc>
            </w:tr>
            <w:tr w:rsidR="002966D9" w14:paraId="1FEC30A0" w14:textId="77777777" w:rsidTr="002966D9">
              <w:tc>
                <w:tcPr>
                  <w:tcW w:w="2566" w:type="dxa"/>
                  <w:tcBorders>
                    <w:top w:val="single" w:sz="12" w:space="0" w:color="auto"/>
                  </w:tcBorders>
                </w:tcPr>
                <w:p w14:paraId="235C441C" w14:textId="77777777" w:rsidR="002966D9" w:rsidRDefault="002966D9" w:rsidP="002966D9">
                  <w:pPr>
                    <w:pStyle w:val="NoSpacing"/>
                    <w:rPr>
                      <w:sz w:val="16"/>
                      <w:szCs w:val="16"/>
                    </w:rPr>
                  </w:pPr>
                  <w:r>
                    <w:rPr>
                      <w:sz w:val="16"/>
                      <w:szCs w:val="16"/>
                    </w:rPr>
                    <w:t>Test Status (Under)</w:t>
                  </w:r>
                </w:p>
              </w:tc>
              <w:tc>
                <w:tcPr>
                  <w:tcW w:w="652" w:type="dxa"/>
                  <w:tcBorders>
                    <w:top w:val="single" w:sz="12" w:space="0" w:color="auto"/>
                  </w:tcBorders>
                </w:tcPr>
                <w:p w14:paraId="25ADA616"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Pass</w:t>
                  </w:r>
                </w:p>
              </w:tc>
              <w:tc>
                <w:tcPr>
                  <w:tcW w:w="652" w:type="dxa"/>
                  <w:tcBorders>
                    <w:top w:val="single" w:sz="18" w:space="0" w:color="auto"/>
                  </w:tcBorders>
                </w:tcPr>
                <w:p w14:paraId="11C97183" w14:textId="77777777" w:rsidR="002966D9" w:rsidRPr="00A96386" w:rsidRDefault="002966D9" w:rsidP="002966D9">
                  <w:pPr>
                    <w:pStyle w:val="NoSpacing"/>
                    <w:jc w:val="center"/>
                    <w:rPr>
                      <w:sz w:val="16"/>
                      <w:szCs w:val="16"/>
                    </w:rPr>
                  </w:pPr>
                  <w:r w:rsidRPr="00A96386">
                    <w:rPr>
                      <w:sz w:val="16"/>
                      <w:szCs w:val="16"/>
                    </w:rPr>
                    <w:t>Pass</w:t>
                  </w:r>
                </w:p>
              </w:tc>
              <w:tc>
                <w:tcPr>
                  <w:tcW w:w="652" w:type="dxa"/>
                  <w:tcBorders>
                    <w:top w:val="single" w:sz="12" w:space="0" w:color="auto"/>
                    <w:right w:val="single" w:sz="18" w:space="0" w:color="auto"/>
                  </w:tcBorders>
                </w:tcPr>
                <w:p w14:paraId="7814680F" w14:textId="77777777" w:rsidR="002966D9" w:rsidRPr="00A96386" w:rsidRDefault="002966D9" w:rsidP="002966D9">
                  <w:pPr>
                    <w:pStyle w:val="NoSpacing"/>
                    <w:jc w:val="center"/>
                    <w:rPr>
                      <w:sz w:val="16"/>
                      <w:szCs w:val="16"/>
                    </w:rPr>
                  </w:pPr>
                  <w:r w:rsidRPr="00A96386">
                    <w:rPr>
                      <w:sz w:val="16"/>
                      <w:szCs w:val="16"/>
                    </w:rPr>
                    <w:t>Pass</w:t>
                  </w:r>
                </w:p>
              </w:tc>
              <w:tc>
                <w:tcPr>
                  <w:tcW w:w="652" w:type="dxa"/>
                  <w:tcBorders>
                    <w:top w:val="single" w:sz="18" w:space="0" w:color="auto"/>
                    <w:left w:val="single" w:sz="18" w:space="0" w:color="auto"/>
                    <w:right w:val="single" w:sz="18" w:space="0" w:color="auto"/>
                  </w:tcBorders>
                </w:tcPr>
                <w:p w14:paraId="41E8ED80" w14:textId="77777777" w:rsidR="002966D9" w:rsidRPr="00A96386" w:rsidRDefault="002966D9" w:rsidP="002966D9">
                  <w:pPr>
                    <w:pStyle w:val="NoSpacing"/>
                    <w:jc w:val="center"/>
                    <w:rPr>
                      <w:color w:val="0000FF"/>
                      <w:sz w:val="16"/>
                      <w:szCs w:val="16"/>
                    </w:rPr>
                  </w:pPr>
                  <w:r w:rsidRPr="00A96386">
                    <w:rPr>
                      <w:color w:val="0000FF"/>
                      <w:sz w:val="16"/>
                      <w:szCs w:val="16"/>
                    </w:rPr>
                    <w:t>Pass</w:t>
                  </w:r>
                </w:p>
              </w:tc>
            </w:tr>
            <w:tr w:rsidR="002966D9" w14:paraId="5FB51966" w14:textId="77777777" w:rsidTr="002966D9">
              <w:tc>
                <w:tcPr>
                  <w:tcW w:w="2566" w:type="dxa"/>
                </w:tcPr>
                <w:p w14:paraId="43123DE5" w14:textId="77777777" w:rsidR="002966D9" w:rsidRDefault="002966D9" w:rsidP="002966D9">
                  <w:pPr>
                    <w:pStyle w:val="NoSpacing"/>
                    <w:rPr>
                      <w:sz w:val="16"/>
                      <w:szCs w:val="16"/>
                    </w:rPr>
                  </w:pPr>
                  <w:r>
                    <w:rPr>
                      <w:sz w:val="16"/>
                      <w:szCs w:val="16"/>
                    </w:rPr>
                    <w:t>Insufficiency Direction (Under)</w:t>
                  </w:r>
                </w:p>
              </w:tc>
              <w:tc>
                <w:tcPr>
                  <w:tcW w:w="652" w:type="dxa"/>
                </w:tcPr>
                <w:p w14:paraId="2DDD56E1" w14:textId="77777777" w:rsidR="002966D9" w:rsidRPr="002C270B" w:rsidRDefault="002966D9" w:rsidP="002966D9">
                  <w:pPr>
                    <w:pStyle w:val="NoSpacing"/>
                    <w:jc w:val="center"/>
                    <w:rPr>
                      <w:color w:val="000000" w:themeColor="text1"/>
                      <w:sz w:val="16"/>
                      <w:szCs w:val="16"/>
                    </w:rPr>
                  </w:pPr>
                  <w:r w:rsidRPr="002C270B">
                    <w:rPr>
                      <w:color w:val="000000" w:themeColor="text1"/>
                      <w:sz w:val="16"/>
                      <w:szCs w:val="16"/>
                    </w:rPr>
                    <w:t>Under</w:t>
                  </w:r>
                </w:p>
              </w:tc>
              <w:tc>
                <w:tcPr>
                  <w:tcW w:w="652" w:type="dxa"/>
                </w:tcPr>
                <w:p w14:paraId="1F5AC3AB" w14:textId="77777777" w:rsidR="002966D9" w:rsidRPr="00A96386" w:rsidRDefault="002966D9" w:rsidP="002966D9">
                  <w:pPr>
                    <w:pStyle w:val="NoSpacing"/>
                    <w:jc w:val="center"/>
                    <w:rPr>
                      <w:sz w:val="16"/>
                      <w:szCs w:val="16"/>
                    </w:rPr>
                  </w:pPr>
                  <w:r w:rsidRPr="00A96386">
                    <w:rPr>
                      <w:sz w:val="16"/>
                      <w:szCs w:val="16"/>
                    </w:rPr>
                    <w:t>Under</w:t>
                  </w:r>
                </w:p>
              </w:tc>
              <w:tc>
                <w:tcPr>
                  <w:tcW w:w="652" w:type="dxa"/>
                  <w:tcBorders>
                    <w:right w:val="single" w:sz="18" w:space="0" w:color="auto"/>
                  </w:tcBorders>
                </w:tcPr>
                <w:p w14:paraId="781126FF" w14:textId="77777777" w:rsidR="002966D9" w:rsidRPr="00A96386" w:rsidRDefault="002966D9" w:rsidP="002966D9">
                  <w:pPr>
                    <w:pStyle w:val="NoSpacing"/>
                    <w:jc w:val="center"/>
                    <w:rPr>
                      <w:sz w:val="16"/>
                      <w:szCs w:val="16"/>
                    </w:rPr>
                  </w:pPr>
                  <w:r w:rsidRPr="00A96386">
                    <w:rPr>
                      <w:sz w:val="16"/>
                      <w:szCs w:val="16"/>
                    </w:rPr>
                    <w:t>Under</w:t>
                  </w:r>
                </w:p>
              </w:tc>
              <w:tc>
                <w:tcPr>
                  <w:tcW w:w="652" w:type="dxa"/>
                  <w:tcBorders>
                    <w:left w:val="single" w:sz="18" w:space="0" w:color="auto"/>
                    <w:right w:val="single" w:sz="18" w:space="0" w:color="auto"/>
                  </w:tcBorders>
                </w:tcPr>
                <w:p w14:paraId="45120776" w14:textId="77777777" w:rsidR="002966D9" w:rsidRPr="00A96386" w:rsidRDefault="002966D9" w:rsidP="002966D9">
                  <w:pPr>
                    <w:pStyle w:val="NoSpacing"/>
                    <w:jc w:val="center"/>
                    <w:rPr>
                      <w:color w:val="0000FF"/>
                      <w:sz w:val="16"/>
                      <w:szCs w:val="16"/>
                    </w:rPr>
                  </w:pPr>
                  <w:r w:rsidRPr="00A96386">
                    <w:rPr>
                      <w:color w:val="0000FF"/>
                      <w:sz w:val="16"/>
                      <w:szCs w:val="16"/>
                    </w:rPr>
                    <w:t>Under</w:t>
                  </w:r>
                </w:p>
              </w:tc>
            </w:tr>
            <w:tr w:rsidR="002966D9" w14:paraId="27B710A9" w14:textId="77777777" w:rsidTr="002966D9">
              <w:tc>
                <w:tcPr>
                  <w:tcW w:w="2566" w:type="dxa"/>
                  <w:tcBorders>
                    <w:bottom w:val="single" w:sz="4" w:space="0" w:color="auto"/>
                  </w:tcBorders>
                </w:tcPr>
                <w:p w14:paraId="419C4E99" w14:textId="77777777" w:rsidR="002966D9" w:rsidRDefault="002966D9" w:rsidP="002966D9">
                  <w:pPr>
                    <w:pStyle w:val="NoSpacing"/>
                    <w:rPr>
                      <w:sz w:val="16"/>
                      <w:szCs w:val="16"/>
                    </w:rPr>
                  </w:pPr>
                  <w:r>
                    <w:rPr>
                      <w:sz w:val="16"/>
                      <w:szCs w:val="16"/>
                    </w:rPr>
                    <w:t>Insufficiency Percentage (%)</w:t>
                  </w:r>
                </w:p>
              </w:tc>
              <w:tc>
                <w:tcPr>
                  <w:tcW w:w="652" w:type="dxa"/>
                  <w:tcBorders>
                    <w:bottom w:val="single" w:sz="4" w:space="0" w:color="auto"/>
                  </w:tcBorders>
                </w:tcPr>
                <w:p w14:paraId="248016AE" w14:textId="77777777" w:rsidR="002966D9" w:rsidRPr="002C270B" w:rsidRDefault="002966D9" w:rsidP="002966D9">
                  <w:pPr>
                    <w:pStyle w:val="NoSpacing"/>
                    <w:jc w:val="center"/>
                    <w:rPr>
                      <w:color w:val="000000" w:themeColor="text1"/>
                      <w:sz w:val="14"/>
                      <w:szCs w:val="14"/>
                    </w:rPr>
                  </w:pPr>
                  <w:r>
                    <w:rPr>
                      <w:color w:val="000000" w:themeColor="text1"/>
                      <w:sz w:val="14"/>
                      <w:szCs w:val="14"/>
                    </w:rPr>
                    <w:t>-150.0</w:t>
                  </w:r>
                </w:p>
              </w:tc>
              <w:tc>
                <w:tcPr>
                  <w:tcW w:w="652" w:type="dxa"/>
                  <w:tcBorders>
                    <w:bottom w:val="single" w:sz="4" w:space="0" w:color="auto"/>
                  </w:tcBorders>
                </w:tcPr>
                <w:p w14:paraId="60F2D58B" w14:textId="77777777" w:rsidR="002966D9" w:rsidRPr="00A96386" w:rsidRDefault="002966D9" w:rsidP="002966D9">
                  <w:pPr>
                    <w:pStyle w:val="NoSpacing"/>
                    <w:jc w:val="center"/>
                    <w:rPr>
                      <w:sz w:val="14"/>
                      <w:szCs w:val="14"/>
                    </w:rPr>
                  </w:pPr>
                  <w:r w:rsidRPr="00A96386">
                    <w:rPr>
                      <w:sz w:val="14"/>
                      <w:szCs w:val="14"/>
                    </w:rPr>
                    <w:t>-125.0</w:t>
                  </w:r>
                </w:p>
              </w:tc>
              <w:tc>
                <w:tcPr>
                  <w:tcW w:w="652" w:type="dxa"/>
                  <w:tcBorders>
                    <w:bottom w:val="single" w:sz="4" w:space="0" w:color="auto"/>
                    <w:right w:val="single" w:sz="18" w:space="0" w:color="auto"/>
                  </w:tcBorders>
                </w:tcPr>
                <w:p w14:paraId="5EF72882" w14:textId="77777777" w:rsidR="002966D9" w:rsidRPr="00A96386" w:rsidRDefault="002966D9" w:rsidP="002966D9">
                  <w:pPr>
                    <w:pStyle w:val="NoSpacing"/>
                    <w:jc w:val="center"/>
                    <w:rPr>
                      <w:sz w:val="14"/>
                      <w:szCs w:val="14"/>
                    </w:rPr>
                  </w:pPr>
                  <w:r w:rsidRPr="00A96386">
                    <w:rPr>
                      <w:sz w:val="14"/>
                      <w:szCs w:val="14"/>
                    </w:rPr>
                    <w:t>-75.0</w:t>
                  </w:r>
                </w:p>
              </w:tc>
              <w:tc>
                <w:tcPr>
                  <w:tcW w:w="652" w:type="dxa"/>
                  <w:tcBorders>
                    <w:left w:val="single" w:sz="18" w:space="0" w:color="auto"/>
                    <w:bottom w:val="single" w:sz="4" w:space="0" w:color="auto"/>
                    <w:right w:val="single" w:sz="18" w:space="0" w:color="auto"/>
                  </w:tcBorders>
                </w:tcPr>
                <w:p w14:paraId="4AD9FC76" w14:textId="77777777" w:rsidR="002966D9" w:rsidRPr="00A96386" w:rsidRDefault="002966D9" w:rsidP="002966D9">
                  <w:pPr>
                    <w:pStyle w:val="NoSpacing"/>
                    <w:jc w:val="center"/>
                    <w:rPr>
                      <w:color w:val="0000FF"/>
                      <w:sz w:val="14"/>
                      <w:szCs w:val="14"/>
                    </w:rPr>
                  </w:pPr>
                  <w:r w:rsidRPr="00A96386">
                    <w:rPr>
                      <w:color w:val="0000FF"/>
                      <w:sz w:val="14"/>
                      <w:szCs w:val="14"/>
                    </w:rPr>
                    <w:t>-50</w:t>
                  </w:r>
                </w:p>
              </w:tc>
            </w:tr>
            <w:tr w:rsidR="002966D9" w14:paraId="552FA371" w14:textId="77777777" w:rsidTr="002966D9">
              <w:tc>
                <w:tcPr>
                  <w:tcW w:w="2566" w:type="dxa"/>
                  <w:tcBorders>
                    <w:bottom w:val="single" w:sz="12" w:space="0" w:color="auto"/>
                  </w:tcBorders>
                </w:tcPr>
                <w:p w14:paraId="3506FC69" w14:textId="77777777" w:rsidR="002966D9" w:rsidRDefault="002966D9" w:rsidP="002966D9">
                  <w:pPr>
                    <w:pStyle w:val="NoSpacing"/>
                    <w:rPr>
                      <w:sz w:val="16"/>
                      <w:szCs w:val="16"/>
                    </w:rPr>
                  </w:pPr>
                  <w:r>
                    <w:rPr>
                      <w:sz w:val="16"/>
                      <w:szCs w:val="16"/>
                    </w:rPr>
                    <w:t>Insufficiency Amount (MW)</w:t>
                  </w:r>
                </w:p>
              </w:tc>
              <w:tc>
                <w:tcPr>
                  <w:tcW w:w="652" w:type="dxa"/>
                  <w:tcBorders>
                    <w:bottom w:val="single" w:sz="12" w:space="0" w:color="auto"/>
                  </w:tcBorders>
                </w:tcPr>
                <w:p w14:paraId="680E19E4" w14:textId="77777777" w:rsidR="002966D9" w:rsidRPr="002C270B" w:rsidRDefault="002966D9" w:rsidP="002966D9">
                  <w:pPr>
                    <w:pStyle w:val="NoSpacing"/>
                    <w:jc w:val="center"/>
                    <w:rPr>
                      <w:color w:val="000000" w:themeColor="text1"/>
                      <w:sz w:val="16"/>
                      <w:szCs w:val="16"/>
                    </w:rPr>
                  </w:pPr>
                  <w:r>
                    <w:rPr>
                      <w:color w:val="000000" w:themeColor="text1"/>
                      <w:sz w:val="16"/>
                      <w:szCs w:val="16"/>
                    </w:rPr>
                    <w:t>-150</w:t>
                  </w:r>
                </w:p>
              </w:tc>
              <w:tc>
                <w:tcPr>
                  <w:tcW w:w="652" w:type="dxa"/>
                  <w:tcBorders>
                    <w:bottom w:val="single" w:sz="12" w:space="0" w:color="auto"/>
                  </w:tcBorders>
                </w:tcPr>
                <w:p w14:paraId="00042031" w14:textId="77777777" w:rsidR="002966D9" w:rsidRPr="00A96386" w:rsidRDefault="002966D9" w:rsidP="002966D9">
                  <w:pPr>
                    <w:pStyle w:val="NoSpacing"/>
                    <w:jc w:val="center"/>
                    <w:rPr>
                      <w:sz w:val="16"/>
                      <w:szCs w:val="16"/>
                    </w:rPr>
                  </w:pPr>
                  <w:r w:rsidRPr="00A96386">
                    <w:rPr>
                      <w:sz w:val="16"/>
                      <w:szCs w:val="16"/>
                    </w:rPr>
                    <w:t>-125</w:t>
                  </w:r>
                </w:p>
              </w:tc>
              <w:tc>
                <w:tcPr>
                  <w:tcW w:w="652" w:type="dxa"/>
                  <w:tcBorders>
                    <w:bottom w:val="single" w:sz="12" w:space="0" w:color="auto"/>
                    <w:right w:val="single" w:sz="18" w:space="0" w:color="auto"/>
                  </w:tcBorders>
                </w:tcPr>
                <w:p w14:paraId="39539B8B" w14:textId="77777777" w:rsidR="002966D9" w:rsidRPr="00A96386" w:rsidRDefault="002966D9" w:rsidP="002966D9">
                  <w:pPr>
                    <w:pStyle w:val="NoSpacing"/>
                    <w:jc w:val="center"/>
                    <w:rPr>
                      <w:sz w:val="16"/>
                      <w:szCs w:val="16"/>
                    </w:rPr>
                  </w:pPr>
                  <w:r w:rsidRPr="00A96386">
                    <w:rPr>
                      <w:sz w:val="16"/>
                      <w:szCs w:val="16"/>
                    </w:rPr>
                    <w:t>-75</w:t>
                  </w:r>
                </w:p>
              </w:tc>
              <w:tc>
                <w:tcPr>
                  <w:tcW w:w="652" w:type="dxa"/>
                  <w:tcBorders>
                    <w:left w:val="single" w:sz="18" w:space="0" w:color="auto"/>
                    <w:bottom w:val="single" w:sz="18" w:space="0" w:color="auto"/>
                    <w:right w:val="single" w:sz="18" w:space="0" w:color="auto"/>
                  </w:tcBorders>
                </w:tcPr>
                <w:p w14:paraId="5782EFA0" w14:textId="77777777" w:rsidR="002966D9" w:rsidRPr="00A96386" w:rsidRDefault="002966D9" w:rsidP="002966D9">
                  <w:pPr>
                    <w:pStyle w:val="NoSpacing"/>
                    <w:jc w:val="center"/>
                    <w:rPr>
                      <w:color w:val="0000FF"/>
                      <w:sz w:val="16"/>
                      <w:szCs w:val="16"/>
                    </w:rPr>
                  </w:pPr>
                  <w:r w:rsidRPr="00A96386">
                    <w:rPr>
                      <w:color w:val="0000FF"/>
                      <w:sz w:val="16"/>
                      <w:szCs w:val="16"/>
                    </w:rPr>
                    <w:t>-50</w:t>
                  </w:r>
                </w:p>
              </w:tc>
            </w:tr>
          </w:tbl>
          <w:p w14:paraId="1F9E097C" w14:textId="77777777" w:rsidR="002966D9" w:rsidRPr="00767A7E" w:rsidRDefault="002966D9" w:rsidP="002966D9">
            <w:pPr>
              <w:rPr>
                <w:rFonts w:cs="Arial"/>
                <w:bCs/>
              </w:rPr>
            </w:pPr>
            <w:r>
              <w:rPr>
                <w:rFonts w:cs="Arial"/>
                <w:bCs/>
                <w:sz w:val="16"/>
                <w:szCs w:val="16"/>
              </w:rPr>
              <w:t>Since none of the 15-minute intervals failed the BAA’s capacity test, no EIM transfer limits will be reduced for any of the intervals within the trade hour in either the import or export direction.</w:t>
            </w:r>
          </w:p>
        </w:tc>
      </w:tr>
    </w:tbl>
    <w:p w14:paraId="511EBCE5" w14:textId="77777777" w:rsidR="002966D9" w:rsidRDefault="002966D9"/>
    <w:p w14:paraId="6C80F872" w14:textId="02BC1A08" w:rsidR="008817D0" w:rsidRPr="008817D0" w:rsidRDefault="008817D0" w:rsidP="002966D9">
      <w:pPr>
        <w:ind w:left="1080"/>
        <w:rPr>
          <w:rFonts w:eastAsia="Calibri"/>
        </w:rPr>
      </w:pPr>
    </w:p>
    <w:p w14:paraId="6238DA01" w14:textId="6A462474" w:rsidR="00366DC7" w:rsidRDefault="008817D0" w:rsidP="00366DC7">
      <w:pPr>
        <w:numPr>
          <w:ilvl w:val="0"/>
          <w:numId w:val="13"/>
        </w:numPr>
        <w:rPr>
          <w:rFonts w:eastAsia="Calibri"/>
        </w:rPr>
      </w:pPr>
      <w:r w:rsidRPr="008817D0">
        <w:rPr>
          <w:rFonts w:eastAsia="Calibri"/>
          <w:b/>
          <w:bCs/>
        </w:rPr>
        <w:t xml:space="preserve">Flexible Ramping Sufficiency Test:  </w:t>
      </w:r>
      <w:r w:rsidR="00366DC7" w:rsidRPr="003E1F12">
        <w:rPr>
          <w:rFonts w:ascii="Arial" w:eastAsia="Times New Roman" w:hAnsi="Arial" w:cs="Arial"/>
          <w:iCs/>
          <w:color w:val="000000"/>
          <w:sz w:val="20"/>
          <w:szCs w:val="20"/>
        </w:rPr>
        <w:t xml:space="preserve">At T-75, T-55, and T-40 </w:t>
      </w:r>
      <w:r w:rsidR="00366DC7">
        <w:rPr>
          <w:rFonts w:ascii="Arial" w:eastAsia="Times New Roman" w:hAnsi="Arial" w:cs="Arial"/>
          <w:iCs/>
          <w:color w:val="000000"/>
          <w:sz w:val="20"/>
          <w:szCs w:val="20"/>
        </w:rPr>
        <w:t>minutes</w:t>
      </w:r>
      <w:r w:rsidR="00366DC7" w:rsidRPr="008817D0">
        <w:rPr>
          <w:rFonts w:eastAsia="Calibri"/>
          <w:b/>
          <w:bCs/>
        </w:rPr>
        <w:t xml:space="preserve"> </w:t>
      </w:r>
      <w:r w:rsidR="00366DC7">
        <w:rPr>
          <w:rFonts w:eastAsia="Calibri"/>
        </w:rPr>
        <w:t xml:space="preserve">prior to start of the next trading hour, </w:t>
      </w:r>
      <w:r w:rsidR="00366DC7" w:rsidRPr="008817D0">
        <w:rPr>
          <w:rFonts w:eastAsia="Calibri"/>
        </w:rPr>
        <w:t xml:space="preserve">CAISO will </w:t>
      </w:r>
      <w:r w:rsidR="00366DC7">
        <w:rPr>
          <w:rFonts w:eastAsia="Calibri"/>
        </w:rPr>
        <w:t xml:space="preserve">independently evaluate flexible ramping sufficiency test for each BAA within the EIM area for each 15-minute interval of that trading hour. </w:t>
      </w:r>
      <w:r w:rsidR="00366DC7" w:rsidRPr="008817D0">
        <w:rPr>
          <w:rFonts w:eastAsia="Calibri"/>
        </w:rPr>
        <w:t xml:space="preserve">The </w:t>
      </w:r>
      <w:r w:rsidR="00366DC7">
        <w:rPr>
          <w:rFonts w:eastAsia="Calibri"/>
        </w:rPr>
        <w:t xml:space="preserve">flexible </w:t>
      </w:r>
      <w:r w:rsidR="00366DC7">
        <w:rPr>
          <w:rFonts w:eastAsia="Calibri"/>
        </w:rPr>
        <w:lastRenderedPageBreak/>
        <w:t xml:space="preserve">ramping </w:t>
      </w:r>
      <w:r w:rsidR="00366DC7" w:rsidRPr="008817D0">
        <w:rPr>
          <w:rFonts w:eastAsia="Calibri"/>
        </w:rPr>
        <w:t xml:space="preserve">requirement is based on the </w:t>
      </w:r>
      <w:r w:rsidR="00366DC7">
        <w:rPr>
          <w:rFonts w:eastAsia="Calibri"/>
        </w:rPr>
        <w:t xml:space="preserve">historical error in the </w:t>
      </w:r>
      <w:r w:rsidR="00366DC7" w:rsidRPr="008817D0">
        <w:rPr>
          <w:rFonts w:eastAsia="Calibri"/>
        </w:rPr>
        <w:t>CAISO load forecast</w:t>
      </w:r>
      <w:r w:rsidR="00366DC7">
        <w:rPr>
          <w:rFonts w:eastAsia="Calibri"/>
        </w:rPr>
        <w:t xml:space="preserve"> and</w:t>
      </w:r>
      <w:r w:rsidR="00366DC7" w:rsidRPr="008817D0">
        <w:rPr>
          <w:rFonts w:eastAsia="Calibri"/>
        </w:rPr>
        <w:t xml:space="preserve"> the CAISO variable en</w:t>
      </w:r>
      <w:r w:rsidR="00366DC7">
        <w:rPr>
          <w:rFonts w:eastAsia="Calibri"/>
        </w:rPr>
        <w:t xml:space="preserve">ergy resource forecast. The test assesses whether there is sufficient </w:t>
      </w:r>
      <w:r w:rsidR="00366DC7" w:rsidRPr="008817D0">
        <w:rPr>
          <w:rFonts w:eastAsia="Calibri"/>
        </w:rPr>
        <w:t xml:space="preserve">ramping capability </w:t>
      </w:r>
      <w:r w:rsidR="00366DC7">
        <w:rPr>
          <w:rFonts w:eastAsia="Calibri"/>
        </w:rPr>
        <w:t>among all resources in the BAA</w:t>
      </w:r>
      <w:r w:rsidR="00366DC7" w:rsidRPr="008817D0">
        <w:rPr>
          <w:rFonts w:eastAsia="Calibri"/>
        </w:rPr>
        <w:t xml:space="preserve"> to meet </w:t>
      </w:r>
      <w:r w:rsidR="00366DC7">
        <w:rPr>
          <w:rFonts w:eastAsia="Calibri"/>
        </w:rPr>
        <w:t>the forecasted demand change across intervals plus a high/low percentile of the historical uncertainty</w:t>
      </w:r>
      <w:r w:rsidR="00366DC7" w:rsidRPr="008817D0">
        <w:rPr>
          <w:rFonts w:eastAsia="Calibri"/>
        </w:rPr>
        <w:t xml:space="preserve">. </w:t>
      </w:r>
    </w:p>
    <w:p w14:paraId="3A104576" w14:textId="77777777" w:rsidR="00366DC7" w:rsidRDefault="00366DC7" w:rsidP="00F55122">
      <w:pPr>
        <w:ind w:left="1080"/>
        <w:rPr>
          <w:rFonts w:eastAsia="Calibri"/>
        </w:rPr>
      </w:pPr>
      <w:r>
        <w:rPr>
          <w:rFonts w:eastAsia="Calibri"/>
        </w:rPr>
        <w:t>A 1% (one percent) tolerance band threshold or 1 MW (one MW) will be applied to the flexible ramping uncertainty requirement (both upward and downward) for a given 15-minute interval for each EIM BAA. Resulting amount (both upward and downward) is calculated as follows;</w:t>
      </w:r>
    </w:p>
    <w:p w14:paraId="1D458554" w14:textId="77777777" w:rsidR="00366DC7" w:rsidRDefault="00366DC7" w:rsidP="00F55122">
      <w:pPr>
        <w:ind w:left="1080"/>
        <w:rPr>
          <w:rFonts w:eastAsia="Calibri"/>
          <w:iCs/>
          <w:sz w:val="24"/>
          <w:szCs w:val="24"/>
        </w:rPr>
      </w:pPr>
      <w:r w:rsidRPr="005F33ED">
        <w:rPr>
          <w:rFonts w:eastAsia="Calibri"/>
        </w:rPr>
        <w:t xml:space="preserve"> T</w:t>
      </w:r>
      <w:r w:rsidRPr="00120A86">
        <w:rPr>
          <w:rFonts w:eastAsia="Calibri"/>
        </w:rPr>
        <w:t xml:space="preserve">he </w:t>
      </w:r>
      <m:oMath>
        <m:func>
          <m:funcPr>
            <m:ctrlPr>
              <w:rPr>
                <w:rFonts w:ascii="Cambria Math" w:hAnsi="Cambria Math"/>
                <w:i/>
                <w:iCs/>
                <w:sz w:val="24"/>
                <w:szCs w:val="24"/>
              </w:rPr>
            </m:ctrlPr>
          </m:funcPr>
          <m:fName>
            <m:r>
              <m:rPr>
                <m:sty m:val="p"/>
              </m:rPr>
              <w:rPr>
                <w:rFonts w:ascii="Cambria Math" w:hAnsi="Cambria Math"/>
              </w:rPr>
              <m:t>max</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rPr>
                      <m:t>ϵ</m:t>
                    </m:r>
                  </m:e>
                  <m:sub>
                    <m:r>
                      <w:rPr>
                        <w:rFonts w:ascii="Cambria Math" w:hAnsi="Cambria Math"/>
                      </w:rPr>
                      <m:t>r</m:t>
                    </m:r>
                  </m:sub>
                </m:sSub>
                <m:r>
                  <w:rPr>
                    <w:rFonts w:ascii="Cambria Math" w:hAnsi="Cambria Math"/>
                  </w:rPr>
                  <m:t xml:space="preserve"> </m:t>
                </m:r>
                <m:sSub>
                  <m:sSubPr>
                    <m:ctrlPr>
                      <w:rPr>
                        <w:rFonts w:ascii="Cambria Math" w:hAnsi="Cambria Math"/>
                        <w:i/>
                        <w:iCs/>
                        <w:sz w:val="24"/>
                        <w:szCs w:val="24"/>
                      </w:rPr>
                    </m:ctrlPr>
                  </m:sSubPr>
                  <m:e>
                    <m:r>
                      <w:rPr>
                        <w:rFonts w:ascii="Cambria Math" w:hAnsi="Cambria Math"/>
                      </w:rPr>
                      <m:t>FRUR</m:t>
                    </m:r>
                  </m:e>
                  <m:sub>
                    <m:r>
                      <w:rPr>
                        <w:rFonts w:ascii="Cambria Math" w:hAnsi="Cambria Math"/>
                      </w:rPr>
                      <m:t>i</m:t>
                    </m:r>
                  </m:sub>
                </m:sSub>
                <m:r>
                  <w:rPr>
                    <w:rFonts w:ascii="Cambria Math" w:hAnsi="Cambria Math"/>
                  </w:rPr>
                  <m:t>,</m:t>
                </m:r>
                <m:sSub>
                  <m:sSubPr>
                    <m:ctrlPr>
                      <w:rPr>
                        <w:rFonts w:ascii="Cambria Math" w:hAnsi="Cambria Math"/>
                        <w:i/>
                        <w:iCs/>
                        <w:sz w:val="24"/>
                        <w:szCs w:val="24"/>
                      </w:rPr>
                    </m:ctrlPr>
                  </m:sSubPr>
                  <m:e>
                    <m:r>
                      <w:rPr>
                        <w:rFonts w:ascii="Cambria Math" w:hAnsi="Cambria Math"/>
                      </w:rPr>
                      <m:t>ε</m:t>
                    </m:r>
                  </m:e>
                  <m:sub>
                    <m:r>
                      <w:rPr>
                        <w:rFonts w:ascii="Cambria Math" w:hAnsi="Cambria Math"/>
                      </w:rPr>
                      <m:t>a</m:t>
                    </m:r>
                  </m:sub>
                </m:sSub>
              </m:e>
            </m:d>
          </m:e>
        </m:func>
      </m:oMath>
      <w:r w:rsidRPr="00120A86">
        <w:rPr>
          <w:rFonts w:eastAsia="Calibri"/>
        </w:rPr>
        <w:t xml:space="preserve"> </w:t>
      </w:r>
      <w:r>
        <w:rPr>
          <w:rFonts w:eastAsia="Calibri"/>
        </w:rPr>
        <w:t xml:space="preserve">will be subtracted from </w:t>
      </w:r>
      <m:oMath>
        <m:r>
          <w:rPr>
            <w:rFonts w:ascii="Cambria Math" w:hAnsi="Cambria Math"/>
            <w:sz w:val="24"/>
            <w:szCs w:val="24"/>
          </w:rPr>
          <m:t>FRUR'</m:t>
        </m:r>
      </m:oMath>
      <w:r>
        <w:rPr>
          <w:rFonts w:eastAsia="Calibri"/>
          <w:iCs/>
          <w:sz w:val="24"/>
          <w:szCs w:val="24"/>
        </w:rPr>
        <w:t xml:space="preserve"> for flexible ramping up</w:t>
      </w:r>
    </w:p>
    <w:p w14:paraId="0F18A99B" w14:textId="77777777" w:rsidR="00366DC7" w:rsidRDefault="00366DC7" w:rsidP="00F55122">
      <w:pPr>
        <w:ind w:left="1080"/>
        <w:rPr>
          <w:rFonts w:eastAsia="Calibri"/>
          <w:iCs/>
          <w:sz w:val="24"/>
          <w:szCs w:val="24"/>
        </w:rPr>
      </w:pPr>
      <w:r w:rsidRPr="005F33ED">
        <w:rPr>
          <w:rFonts w:eastAsia="Calibri"/>
        </w:rPr>
        <w:t>T</w:t>
      </w:r>
      <w:r w:rsidRPr="00E14545">
        <w:rPr>
          <w:rFonts w:eastAsia="Calibri"/>
        </w:rPr>
        <w:t xml:space="preserve">he </w:t>
      </w:r>
      <m:oMath>
        <m:func>
          <m:funcPr>
            <m:ctrlPr>
              <w:rPr>
                <w:rFonts w:ascii="Cambria Math" w:hAnsi="Cambria Math"/>
                <w:i/>
                <w:iCs/>
                <w:sz w:val="24"/>
                <w:szCs w:val="24"/>
              </w:rPr>
            </m:ctrlPr>
          </m:funcPr>
          <m:fName>
            <m:r>
              <m:rPr>
                <m:sty m:val="p"/>
              </m:rPr>
              <w:rPr>
                <w:rFonts w:ascii="Cambria Math" w:hAnsi="Cambria Math"/>
              </w:rPr>
              <m:t>max</m:t>
            </m:r>
          </m:fName>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rPr>
                      <m:t>ϵ</m:t>
                    </m:r>
                  </m:e>
                  <m:sub>
                    <m:r>
                      <w:rPr>
                        <w:rFonts w:ascii="Cambria Math" w:hAnsi="Cambria Math"/>
                      </w:rPr>
                      <m:t>r</m:t>
                    </m:r>
                  </m:sub>
                </m:sSub>
                <m:r>
                  <w:rPr>
                    <w:rFonts w:ascii="Cambria Math" w:hAnsi="Cambria Math"/>
                  </w:rPr>
                  <m:t xml:space="preserve"> </m:t>
                </m:r>
                <m:sSub>
                  <m:sSubPr>
                    <m:ctrlPr>
                      <w:rPr>
                        <w:rFonts w:ascii="Cambria Math" w:hAnsi="Cambria Math"/>
                        <w:i/>
                        <w:iCs/>
                        <w:sz w:val="24"/>
                        <w:szCs w:val="24"/>
                      </w:rPr>
                    </m:ctrlPr>
                  </m:sSubPr>
                  <m:e>
                    <m:r>
                      <w:rPr>
                        <w:rFonts w:ascii="Cambria Math" w:hAnsi="Cambria Math"/>
                      </w:rPr>
                      <m:t>FRDR</m:t>
                    </m:r>
                  </m:e>
                  <m:sub>
                    <m:r>
                      <w:rPr>
                        <w:rFonts w:ascii="Cambria Math" w:hAnsi="Cambria Math"/>
                      </w:rPr>
                      <m:t>i</m:t>
                    </m:r>
                  </m:sub>
                </m:sSub>
                <m:r>
                  <w:rPr>
                    <w:rFonts w:ascii="Cambria Math" w:hAnsi="Cambria Math"/>
                  </w:rPr>
                  <m:t>,</m:t>
                </m:r>
                <m:sSub>
                  <m:sSubPr>
                    <m:ctrlPr>
                      <w:rPr>
                        <w:rFonts w:ascii="Cambria Math" w:hAnsi="Cambria Math"/>
                        <w:i/>
                        <w:iCs/>
                        <w:sz w:val="24"/>
                        <w:szCs w:val="24"/>
                      </w:rPr>
                    </m:ctrlPr>
                  </m:sSubPr>
                  <m:e>
                    <m:r>
                      <w:rPr>
                        <w:rFonts w:ascii="Cambria Math" w:hAnsi="Cambria Math"/>
                      </w:rPr>
                      <m:t>ε</m:t>
                    </m:r>
                  </m:e>
                  <m:sub>
                    <m:r>
                      <w:rPr>
                        <w:rFonts w:ascii="Cambria Math" w:hAnsi="Cambria Math"/>
                      </w:rPr>
                      <m:t>a</m:t>
                    </m:r>
                  </m:sub>
                </m:sSub>
              </m:e>
            </m:d>
          </m:e>
        </m:func>
      </m:oMath>
      <w:r w:rsidRPr="00E14545">
        <w:rPr>
          <w:rFonts w:eastAsia="Calibri"/>
        </w:rPr>
        <w:t xml:space="preserve"> </w:t>
      </w:r>
      <w:r>
        <w:rPr>
          <w:rFonts w:eastAsia="Calibri"/>
        </w:rPr>
        <w:t xml:space="preserve">will be subtracted from </w:t>
      </w:r>
      <m:oMath>
        <m:r>
          <w:rPr>
            <w:rFonts w:ascii="Cambria Math" w:hAnsi="Cambria Math"/>
            <w:sz w:val="24"/>
            <w:szCs w:val="24"/>
          </w:rPr>
          <m:t>FRDR'</m:t>
        </m:r>
      </m:oMath>
      <w:r>
        <w:rPr>
          <w:rFonts w:eastAsia="Calibri"/>
          <w:iCs/>
          <w:sz w:val="24"/>
          <w:szCs w:val="24"/>
        </w:rPr>
        <w:t xml:space="preserve"> for flexible ramping down</w:t>
      </w:r>
    </w:p>
    <w:p w14:paraId="402F5ABA" w14:textId="77777777" w:rsidR="00366DC7" w:rsidRDefault="00366DC7" w:rsidP="00F55122">
      <w:pPr>
        <w:ind w:left="1080"/>
        <w:rPr>
          <w:rFonts w:eastAsia="Calibri"/>
        </w:rPr>
      </w:pPr>
      <w:r>
        <w:rPr>
          <w:rFonts w:eastAsia="Calibri"/>
        </w:rPr>
        <w:t>Where:</w:t>
      </w:r>
    </w:p>
    <w:p w14:paraId="73B86CFB" w14:textId="77777777" w:rsidR="00366DC7" w:rsidRPr="00DE0DDD" w:rsidRDefault="00366DC7" w:rsidP="00F55122">
      <w:pPr>
        <w:ind w:left="1080"/>
        <w:rPr>
          <w:rFonts w:eastAsia="Calibri"/>
        </w:rPr>
      </w:pPr>
      <w:r w:rsidRPr="00DE0DDD">
        <w:rPr>
          <w:rFonts w:eastAsia="Calibri"/>
        </w:rPr>
        <w:t>εr</w:t>
      </w:r>
      <w:r w:rsidRPr="00DE0DDD">
        <w:rPr>
          <w:rFonts w:eastAsia="Calibri"/>
        </w:rPr>
        <w:tab/>
      </w:r>
      <w:r>
        <w:rPr>
          <w:rFonts w:eastAsia="Calibri"/>
        </w:rPr>
        <w:tab/>
      </w:r>
      <w:r w:rsidRPr="00DE0DDD">
        <w:rPr>
          <w:rFonts w:eastAsia="Calibri"/>
        </w:rPr>
        <w:t>Flexible Ramping sufficiency test relative tolerance (%).</w:t>
      </w:r>
    </w:p>
    <w:p w14:paraId="0539CA1B" w14:textId="77777777" w:rsidR="00366DC7" w:rsidRDefault="00366DC7" w:rsidP="00F55122">
      <w:pPr>
        <w:ind w:left="1080"/>
        <w:rPr>
          <w:rFonts w:eastAsia="Calibri"/>
        </w:rPr>
      </w:pPr>
      <w:r w:rsidRPr="00DE0DDD">
        <w:rPr>
          <w:rFonts w:eastAsia="Calibri"/>
        </w:rPr>
        <w:t>εa</w:t>
      </w:r>
      <w:r w:rsidRPr="00DE0DDD">
        <w:rPr>
          <w:rFonts w:eastAsia="Calibri"/>
        </w:rPr>
        <w:tab/>
      </w:r>
      <w:r>
        <w:rPr>
          <w:rFonts w:eastAsia="Calibri"/>
        </w:rPr>
        <w:tab/>
      </w:r>
      <w:r w:rsidRPr="00DE0DDD">
        <w:rPr>
          <w:rFonts w:eastAsia="Calibri"/>
        </w:rPr>
        <w:t>Flexible Ramping sufficiency test absolute tolerance (MW).</w:t>
      </w:r>
    </w:p>
    <w:p w14:paraId="150B1719" w14:textId="77777777" w:rsidR="00366DC7" w:rsidRDefault="00366DC7" w:rsidP="00F55122">
      <w:pPr>
        <w:ind w:left="2160" w:hanging="1080"/>
        <w:rPr>
          <w:rFonts w:eastAsia="Calibri"/>
        </w:rPr>
      </w:pPr>
      <w:r w:rsidRPr="00DE0DDD">
        <w:rPr>
          <w:rFonts w:eastAsia="Calibri"/>
        </w:rPr>
        <w:t>FRUR</w:t>
      </w:r>
      <w:r>
        <w:rPr>
          <w:rFonts w:eastAsia="Calibri"/>
        </w:rPr>
        <w:t>i</w:t>
      </w:r>
      <w:r>
        <w:rPr>
          <w:rFonts w:eastAsia="Calibri"/>
        </w:rPr>
        <w:tab/>
      </w:r>
      <w:r w:rsidRPr="00DE0DDD">
        <w:rPr>
          <w:rFonts w:eastAsia="Calibri"/>
        </w:rPr>
        <w:t>is the flexible ramp up uncertainty requirement for a given 15-minute interval in the next hour for EIM Entity i without diversity benefit;</w:t>
      </w:r>
    </w:p>
    <w:p w14:paraId="6581D0C7" w14:textId="77777777" w:rsidR="00366DC7" w:rsidRDefault="00366DC7" w:rsidP="00F55122">
      <w:pPr>
        <w:ind w:left="2160" w:hanging="1080"/>
        <w:rPr>
          <w:rFonts w:eastAsia="Calibri"/>
        </w:rPr>
      </w:pPr>
      <w:r w:rsidRPr="00DE0DDD">
        <w:rPr>
          <w:rFonts w:eastAsia="Calibri"/>
        </w:rPr>
        <w:t>FRDRi</w:t>
      </w:r>
      <w:r w:rsidRPr="00DE0DDD">
        <w:rPr>
          <w:rFonts w:eastAsia="Calibri"/>
        </w:rPr>
        <w:tab/>
        <w:t>is the flexible ramp down uncertainty requirement for a given 15-minute interval in the next hour for EIM Entity i without diversity benefit (negative);</w:t>
      </w:r>
    </w:p>
    <w:p w14:paraId="4033530F" w14:textId="77777777" w:rsidR="00366DC7" w:rsidRDefault="00366DC7" w:rsidP="00F55122">
      <w:pPr>
        <w:ind w:left="2160" w:hanging="1080"/>
        <w:rPr>
          <w:rFonts w:eastAsia="Calibri"/>
        </w:rPr>
      </w:pPr>
      <w:r w:rsidRPr="00DE0DDD">
        <w:rPr>
          <w:rFonts w:eastAsia="Calibri"/>
        </w:rPr>
        <w:t>FRUR'i</w:t>
      </w:r>
      <w:r w:rsidRPr="00DE0DDD">
        <w:rPr>
          <w:rFonts w:eastAsia="Calibri"/>
        </w:rPr>
        <w:tab/>
        <w:t>is the cumulative flexible ramp up requirement from the last 15-minute interval of the current hour to a given 15-minute interval in the next hour for EIM Entity i; it includes the effects of EIM diversity benefit and credit;</w:t>
      </w:r>
      <w:r>
        <w:rPr>
          <w:rFonts w:eastAsia="Calibri"/>
        </w:rPr>
        <w:t xml:space="preserve"> and</w:t>
      </w:r>
    </w:p>
    <w:p w14:paraId="0C064E74" w14:textId="77777777" w:rsidR="00366DC7" w:rsidRDefault="00366DC7" w:rsidP="00F55122">
      <w:pPr>
        <w:ind w:left="2160" w:hanging="1080"/>
        <w:rPr>
          <w:rFonts w:eastAsia="Calibri"/>
        </w:rPr>
      </w:pPr>
      <w:r w:rsidRPr="00DE0DDD">
        <w:rPr>
          <w:rFonts w:eastAsia="Calibri"/>
        </w:rPr>
        <w:t>FR</w:t>
      </w:r>
      <w:r>
        <w:rPr>
          <w:rFonts w:eastAsia="Calibri"/>
        </w:rPr>
        <w:t>D</w:t>
      </w:r>
      <w:r w:rsidRPr="00DE0DDD">
        <w:rPr>
          <w:rFonts w:eastAsia="Calibri"/>
        </w:rPr>
        <w:t>R'i</w:t>
      </w:r>
      <w:r w:rsidRPr="00DE0DDD">
        <w:rPr>
          <w:rFonts w:eastAsia="Calibri"/>
        </w:rPr>
        <w:tab/>
        <w:t xml:space="preserve">is the cumulative flexible ramp </w:t>
      </w:r>
      <w:r>
        <w:rPr>
          <w:rFonts w:eastAsia="Calibri"/>
        </w:rPr>
        <w:t>down</w:t>
      </w:r>
      <w:r w:rsidRPr="00DE0DDD">
        <w:rPr>
          <w:rFonts w:eastAsia="Calibri"/>
        </w:rPr>
        <w:t xml:space="preserve"> requirement from the last 15-minute interval of the current hour to a given 15-minute interval in the next hour for EIM Entity i; it includes the effects of EIM diversity benefit and credit</w:t>
      </w:r>
      <w:r>
        <w:rPr>
          <w:rFonts w:eastAsia="Calibri"/>
        </w:rPr>
        <w:t>.</w:t>
      </w:r>
    </w:p>
    <w:p w14:paraId="68FC701C" w14:textId="08149C2B" w:rsidR="00366DC7" w:rsidRDefault="00366DC7" w:rsidP="00F55122">
      <w:pPr>
        <w:ind w:left="720"/>
        <w:rPr>
          <w:rFonts w:ascii="Arial" w:eastAsia="Times New Roman" w:hAnsi="Arial" w:cs="Arial"/>
          <w:iCs/>
          <w:color w:val="000000"/>
          <w:sz w:val="20"/>
          <w:szCs w:val="20"/>
        </w:rPr>
      </w:pPr>
      <w:r w:rsidRPr="00626B90">
        <w:rPr>
          <w:rFonts w:ascii="Arial" w:eastAsia="Times New Roman" w:hAnsi="Arial" w:cs="Arial"/>
          <w:iCs/>
          <w:color w:val="000000"/>
          <w:sz w:val="20"/>
          <w:szCs w:val="20"/>
        </w:rPr>
        <w:t xml:space="preserve">For each BAA in the EIM Area that fails its Flexible Ramping Up or </w:t>
      </w:r>
      <w:r>
        <w:rPr>
          <w:rFonts w:ascii="Arial" w:eastAsia="Times New Roman" w:hAnsi="Arial" w:cs="Arial"/>
          <w:iCs/>
          <w:color w:val="000000"/>
          <w:sz w:val="20"/>
          <w:szCs w:val="20"/>
        </w:rPr>
        <w:t>Flexible R</w:t>
      </w:r>
      <w:r w:rsidRPr="00626B90">
        <w:rPr>
          <w:rFonts w:ascii="Arial" w:eastAsia="Times New Roman" w:hAnsi="Arial" w:cs="Arial"/>
          <w:iCs/>
          <w:color w:val="000000"/>
          <w:sz w:val="20"/>
          <w:szCs w:val="20"/>
        </w:rPr>
        <w:t>amping</w:t>
      </w:r>
      <w:r>
        <w:rPr>
          <w:rFonts w:ascii="Arial" w:eastAsia="Times New Roman" w:hAnsi="Arial" w:cs="Arial"/>
          <w:iCs/>
          <w:color w:val="000000"/>
          <w:sz w:val="20"/>
          <w:szCs w:val="20"/>
        </w:rPr>
        <w:t xml:space="preserve"> Down sufficiency t</w:t>
      </w:r>
      <w:r w:rsidRPr="00626B90">
        <w:rPr>
          <w:rFonts w:ascii="Arial" w:eastAsia="Times New Roman" w:hAnsi="Arial" w:cs="Arial"/>
          <w:iCs/>
          <w:color w:val="000000"/>
          <w:sz w:val="20"/>
          <w:szCs w:val="20"/>
        </w:rPr>
        <w:t>est for a 15-minute interval in the next trad</w:t>
      </w:r>
      <w:r>
        <w:rPr>
          <w:rFonts w:ascii="Arial" w:eastAsia="Times New Roman" w:hAnsi="Arial" w:cs="Arial"/>
          <w:iCs/>
          <w:color w:val="000000"/>
          <w:sz w:val="20"/>
          <w:szCs w:val="20"/>
        </w:rPr>
        <w:t>ing</w:t>
      </w:r>
      <w:r w:rsidRPr="00626B90">
        <w:rPr>
          <w:rFonts w:ascii="Arial" w:eastAsia="Times New Roman" w:hAnsi="Arial" w:cs="Arial"/>
          <w:iCs/>
          <w:color w:val="000000"/>
          <w:sz w:val="20"/>
          <w:szCs w:val="20"/>
        </w:rPr>
        <w:t xml:space="preserve"> hour, the market shall limit the net EIM transfer from below</w:t>
      </w:r>
      <w:r>
        <w:rPr>
          <w:rFonts w:ascii="Arial" w:eastAsia="Times New Roman" w:hAnsi="Arial" w:cs="Arial"/>
          <w:iCs/>
          <w:color w:val="000000"/>
          <w:sz w:val="20"/>
          <w:szCs w:val="20"/>
        </w:rPr>
        <w:t xml:space="preserve"> (import)</w:t>
      </w:r>
      <w:r w:rsidRPr="00626B90">
        <w:rPr>
          <w:rFonts w:ascii="Arial" w:eastAsia="Times New Roman" w:hAnsi="Arial" w:cs="Arial"/>
          <w:iCs/>
          <w:color w:val="000000"/>
          <w:sz w:val="20"/>
          <w:szCs w:val="20"/>
        </w:rPr>
        <w:t xml:space="preserve"> for upward failure and from above </w:t>
      </w:r>
      <w:r>
        <w:rPr>
          <w:rFonts w:ascii="Arial" w:eastAsia="Times New Roman" w:hAnsi="Arial" w:cs="Arial"/>
          <w:iCs/>
          <w:color w:val="000000"/>
          <w:sz w:val="20"/>
          <w:szCs w:val="20"/>
        </w:rPr>
        <w:t xml:space="preserve">(export) </w:t>
      </w:r>
      <w:r w:rsidRPr="00626B90">
        <w:rPr>
          <w:rFonts w:ascii="Arial" w:eastAsia="Times New Roman" w:hAnsi="Arial" w:cs="Arial"/>
          <w:iCs/>
          <w:color w:val="000000"/>
          <w:sz w:val="20"/>
          <w:szCs w:val="20"/>
        </w:rPr>
        <w:t>for downward failure, to the less-restrictive of the following values:</w:t>
      </w:r>
    </w:p>
    <w:p w14:paraId="3765D650" w14:textId="77777777" w:rsidR="00366DC7" w:rsidRPr="00120A86" w:rsidRDefault="00366DC7" w:rsidP="00366DC7">
      <w:pPr>
        <w:pStyle w:val="ListParagraph"/>
        <w:numPr>
          <w:ilvl w:val="0"/>
          <w:numId w:val="83"/>
        </w:numPr>
        <w:rPr>
          <w:rFonts w:ascii="Arial" w:eastAsia="Times New Roman" w:hAnsi="Arial" w:cs="Arial"/>
          <w:iCs/>
          <w:color w:val="000000"/>
          <w:sz w:val="20"/>
          <w:szCs w:val="20"/>
        </w:rPr>
      </w:pPr>
      <w:r w:rsidRPr="00120A86">
        <w:rPr>
          <w:rFonts w:ascii="Arial" w:eastAsia="Times New Roman" w:hAnsi="Arial" w:cs="Arial"/>
          <w:iCs/>
          <w:color w:val="000000"/>
          <w:sz w:val="20"/>
          <w:szCs w:val="20"/>
        </w:rPr>
        <w:t>Base Transfer Schedule for the failed 15-minute interval</w:t>
      </w:r>
      <w:r>
        <w:rPr>
          <w:rFonts w:ascii="Arial" w:eastAsia="Times New Roman" w:hAnsi="Arial" w:cs="Arial"/>
          <w:iCs/>
          <w:color w:val="000000"/>
          <w:sz w:val="20"/>
          <w:szCs w:val="20"/>
        </w:rPr>
        <w:t>; or</w:t>
      </w:r>
    </w:p>
    <w:p w14:paraId="58DB835E" w14:textId="77777777" w:rsidR="00366DC7" w:rsidRPr="00120A86" w:rsidRDefault="00366DC7" w:rsidP="00366DC7">
      <w:pPr>
        <w:pStyle w:val="ListParagraph"/>
        <w:numPr>
          <w:ilvl w:val="0"/>
          <w:numId w:val="83"/>
        </w:numPr>
        <w:rPr>
          <w:rFonts w:ascii="Arial" w:eastAsia="Times New Roman" w:hAnsi="Arial" w:cs="Arial"/>
          <w:iCs/>
          <w:color w:val="000000"/>
          <w:sz w:val="20"/>
          <w:szCs w:val="20"/>
        </w:rPr>
      </w:pPr>
      <w:r w:rsidRPr="00120A86">
        <w:rPr>
          <w:rFonts w:ascii="Arial" w:eastAsia="Times New Roman" w:hAnsi="Arial" w:cs="Arial"/>
          <w:iCs/>
          <w:color w:val="000000"/>
          <w:sz w:val="20"/>
          <w:szCs w:val="20"/>
        </w:rPr>
        <w:t>Net EIM transfer schedule for the interval prior to the failed 15-minute interval as provided by the last successful FMM market run (i.e. the “last previous” 15-minute interval)</w:t>
      </w:r>
    </w:p>
    <w:p w14:paraId="784B91D9" w14:textId="77777777" w:rsidR="00366DC7" w:rsidRDefault="00366DC7" w:rsidP="00F55122">
      <w:pPr>
        <w:ind w:left="720"/>
        <w:rPr>
          <w:rFonts w:eastAsia="Calibri"/>
        </w:rPr>
      </w:pPr>
      <w:r>
        <w:rPr>
          <w:rFonts w:eastAsia="Calibri"/>
        </w:rPr>
        <w:t>In addition, the following rules will be applied to the 15-minute interval sufficiency test;</w:t>
      </w:r>
    </w:p>
    <w:p w14:paraId="062736D5" w14:textId="77777777" w:rsidR="00366DC7" w:rsidRPr="00AD4CFA" w:rsidRDefault="00366DC7" w:rsidP="00366DC7">
      <w:pPr>
        <w:pStyle w:val="ListParagraph"/>
        <w:numPr>
          <w:ilvl w:val="0"/>
          <w:numId w:val="83"/>
        </w:numPr>
        <w:rPr>
          <w:rFonts w:eastAsia="Calibri"/>
        </w:rPr>
      </w:pPr>
      <w:r w:rsidRPr="00AD4CFA">
        <w:rPr>
          <w:rFonts w:eastAsia="Calibri"/>
        </w:rPr>
        <w:t xml:space="preserve">For the sufficiency test at T-75, RUC schedule is used for assessing CISO BAA. For the sufficiency test performed at T-55 and T-40, the latest FMM results are used for assessing CISO BAA. </w:t>
      </w:r>
    </w:p>
    <w:p w14:paraId="296F4CBE" w14:textId="77777777" w:rsidR="00366DC7" w:rsidRPr="00120A86" w:rsidRDefault="00366DC7" w:rsidP="00366DC7">
      <w:pPr>
        <w:pStyle w:val="ListParagraph"/>
        <w:numPr>
          <w:ilvl w:val="0"/>
          <w:numId w:val="83"/>
        </w:numPr>
        <w:rPr>
          <w:rFonts w:eastAsia="Calibri"/>
        </w:rPr>
      </w:pPr>
      <w:r w:rsidRPr="00120A86">
        <w:rPr>
          <w:rFonts w:eastAsia="Calibri"/>
        </w:rPr>
        <w:lastRenderedPageBreak/>
        <w:t>The same EIM transfer limit applied to the failed 15-minute interval shall also apply to its three corresponding 5-minute market intervals</w:t>
      </w:r>
    </w:p>
    <w:p w14:paraId="2DDFD3D1" w14:textId="77777777" w:rsidR="00366DC7" w:rsidRPr="00120A86" w:rsidRDefault="00366DC7" w:rsidP="00366DC7">
      <w:pPr>
        <w:pStyle w:val="ListParagraph"/>
        <w:numPr>
          <w:ilvl w:val="0"/>
          <w:numId w:val="83"/>
        </w:numPr>
        <w:rPr>
          <w:rFonts w:eastAsia="Calibri"/>
        </w:rPr>
      </w:pPr>
      <w:r w:rsidRPr="00120A86">
        <w:rPr>
          <w:rFonts w:eastAsia="Calibri"/>
        </w:rPr>
        <w:t xml:space="preserve">The last previous 15-minute interval </w:t>
      </w:r>
      <w:r>
        <w:rPr>
          <w:rFonts w:eastAsia="Calibri"/>
        </w:rPr>
        <w:t xml:space="preserve">will </w:t>
      </w:r>
      <w:r w:rsidRPr="00120A86">
        <w:rPr>
          <w:rFonts w:eastAsia="Calibri"/>
        </w:rPr>
        <w:t xml:space="preserve">be </w:t>
      </w:r>
      <w:r>
        <w:rPr>
          <w:rFonts w:eastAsia="Calibri"/>
        </w:rPr>
        <w:t xml:space="preserve">the </w:t>
      </w:r>
      <w:r w:rsidRPr="00120A86">
        <w:rPr>
          <w:rFonts w:eastAsia="Calibri"/>
        </w:rPr>
        <w:t>last 15-minute interval of the current hour if the 15-minute interval that fails the FRU/FRD test is the first 15-minute interval of the next hour</w:t>
      </w:r>
    </w:p>
    <w:p w14:paraId="7ECDB4A4" w14:textId="77777777" w:rsidR="00366DC7" w:rsidRPr="00120A86" w:rsidRDefault="00366DC7" w:rsidP="00366DC7">
      <w:pPr>
        <w:pStyle w:val="ListParagraph"/>
        <w:numPr>
          <w:ilvl w:val="0"/>
          <w:numId w:val="83"/>
        </w:numPr>
        <w:rPr>
          <w:rFonts w:eastAsia="Calibri"/>
        </w:rPr>
      </w:pPr>
      <w:r w:rsidRPr="00120A86">
        <w:rPr>
          <w:rFonts w:eastAsia="Calibri"/>
        </w:rPr>
        <w:t>Likewise, the same is true if the 15-min interval that fails the FRU/FRD test is the second, third, or fourth 15-minute interval in the second hour of the HASP time horizon for which there is no previous solution for the immediately prior 15-minute interval</w:t>
      </w:r>
    </w:p>
    <w:p w14:paraId="3497EEDD" w14:textId="77777777" w:rsidR="00366DC7" w:rsidRPr="00120A86" w:rsidRDefault="00366DC7" w:rsidP="00366DC7">
      <w:pPr>
        <w:pStyle w:val="ListParagraph"/>
        <w:numPr>
          <w:ilvl w:val="0"/>
          <w:numId w:val="83"/>
        </w:numPr>
        <w:rPr>
          <w:rFonts w:eastAsia="Calibri"/>
        </w:rPr>
      </w:pPr>
      <w:r w:rsidRPr="00120A86">
        <w:rPr>
          <w:rFonts w:eastAsia="Calibri"/>
        </w:rPr>
        <w:t>If a FMM run, other than HASP, fails, the EIM Transfer schedules from the last FMM run that has succeeded shall be used to derive the EIM Transfer limits for the 15-minute intervals that fail the FRU/FRD test</w:t>
      </w:r>
    </w:p>
    <w:p w14:paraId="43B374B8" w14:textId="77777777" w:rsidR="00366DC7" w:rsidRDefault="00366DC7" w:rsidP="00366DC7">
      <w:pPr>
        <w:pStyle w:val="ListParagraph"/>
        <w:numPr>
          <w:ilvl w:val="0"/>
          <w:numId w:val="83"/>
        </w:numPr>
        <w:rPr>
          <w:rFonts w:eastAsia="Calibri"/>
        </w:rPr>
      </w:pPr>
      <w:r w:rsidRPr="00120A86">
        <w:rPr>
          <w:rFonts w:eastAsia="Calibri"/>
        </w:rPr>
        <w:t xml:space="preserve">If HASP or all prior FMM runs fail, the base EIM Transfer </w:t>
      </w:r>
      <w:r>
        <w:rPr>
          <w:rFonts w:eastAsia="Calibri"/>
        </w:rPr>
        <w:t>will</w:t>
      </w:r>
      <w:r w:rsidRPr="00120A86">
        <w:rPr>
          <w:rFonts w:eastAsia="Calibri"/>
        </w:rPr>
        <w:t xml:space="preserve"> be used</w:t>
      </w:r>
      <w:r>
        <w:rPr>
          <w:rFonts w:eastAsia="Calibri"/>
        </w:rPr>
        <w:t>.</w:t>
      </w:r>
    </w:p>
    <w:p w14:paraId="569187EA" w14:textId="77777777" w:rsidR="00366DC7" w:rsidRPr="00120A86" w:rsidRDefault="00366DC7" w:rsidP="00F55122">
      <w:pPr>
        <w:pStyle w:val="ListParagraph"/>
        <w:ind w:left="1440"/>
        <w:rPr>
          <w:rFonts w:eastAsia="Calibri"/>
        </w:rPr>
      </w:pPr>
    </w:p>
    <w:p w14:paraId="326A1F4C" w14:textId="77777777" w:rsidR="00366DC7" w:rsidRDefault="00366DC7">
      <w:r>
        <w:t>Examples:</w:t>
      </w:r>
    </w:p>
    <w:p w14:paraId="2C3F6866" w14:textId="77777777" w:rsidR="00366DC7" w:rsidRDefault="00366DC7">
      <w:r>
        <w:t>This example shows how the EIM transfer limit will be curtailed for the 15-minute intervals and associated 5-minute intervals with failed FRU/FRD sufficiency test.</w:t>
      </w:r>
    </w:p>
    <w:tbl>
      <w:tblPr>
        <w:tblStyle w:val="TableGrid"/>
        <w:tblW w:w="0" w:type="auto"/>
        <w:tblLook w:val="04A0" w:firstRow="1" w:lastRow="0" w:firstColumn="1" w:lastColumn="0" w:noHBand="0" w:noVBand="1"/>
      </w:tblPr>
      <w:tblGrid>
        <w:gridCol w:w="888"/>
        <w:gridCol w:w="1064"/>
        <w:gridCol w:w="1787"/>
        <w:gridCol w:w="1043"/>
        <w:gridCol w:w="1058"/>
        <w:gridCol w:w="1170"/>
        <w:gridCol w:w="1170"/>
        <w:gridCol w:w="1170"/>
      </w:tblGrid>
      <w:tr w:rsidR="00366DC7" w:rsidRPr="00D65A2F" w14:paraId="6FDD04C1" w14:textId="77777777" w:rsidTr="00F55122">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94D6F7" w14:textId="77777777" w:rsidR="00366DC7" w:rsidRPr="00D65A2F" w:rsidRDefault="00366DC7" w:rsidP="00F55122">
            <w:pPr>
              <w:jc w:val="center"/>
              <w:rPr>
                <w:rFonts w:cs="Arial"/>
                <w:b/>
              </w:rPr>
            </w:pPr>
            <w:r w:rsidRPr="00D65A2F">
              <w:rPr>
                <w:rFonts w:cs="Arial"/>
                <w:b/>
              </w:rPr>
              <w:t>Market Run</w:t>
            </w:r>
          </w:p>
        </w:tc>
        <w:tc>
          <w:tcPr>
            <w:tcW w:w="0" w:type="auto"/>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078744" w14:textId="77777777" w:rsidR="00366DC7" w:rsidRPr="00D65A2F" w:rsidRDefault="00366DC7" w:rsidP="00F55122">
            <w:pPr>
              <w:keepNext/>
              <w:jc w:val="center"/>
              <w:rPr>
                <w:rFonts w:cs="Arial"/>
                <w:b/>
              </w:rPr>
            </w:pPr>
            <w:r>
              <w:rPr>
                <w:rFonts w:cs="Arial"/>
                <w:b/>
              </w:rPr>
              <w:t>15-min</w:t>
            </w:r>
            <w:r w:rsidRPr="00D65A2F">
              <w:rPr>
                <w:rFonts w:cs="Arial"/>
                <w:b/>
              </w:rPr>
              <w:t xml:space="preserve"> Interval</w:t>
            </w:r>
          </w:p>
        </w:tc>
      </w:tr>
      <w:tr w:rsidR="00366DC7" w:rsidRPr="00D65A2F" w14:paraId="4FE1D0E7" w14:textId="77777777" w:rsidTr="00F55122">
        <w:trPr>
          <w:cantSplit/>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0C6424" w14:textId="77777777" w:rsidR="00366DC7" w:rsidRPr="00D65A2F" w:rsidRDefault="00366DC7" w:rsidP="00F55122">
            <w:pPr>
              <w:jc w:val="center"/>
              <w:rPr>
                <w:rFonts w:cs="Arial"/>
                <w:b/>
              </w:rPr>
            </w:pPr>
            <w:r w:rsidRPr="00D65A2F">
              <w:rPr>
                <w:rFonts w:cs="Arial"/>
                <w:b/>
              </w:rPr>
              <w:t>Market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F6A6EA7" w14:textId="77777777" w:rsidR="00366DC7" w:rsidRPr="00D65A2F" w:rsidRDefault="00366DC7" w:rsidP="00F55122">
            <w:pPr>
              <w:keepNext/>
              <w:jc w:val="center"/>
              <w:rPr>
                <w:rFonts w:cs="Arial"/>
                <w:b/>
              </w:rPr>
            </w:pPr>
            <w:r w:rsidRPr="00D65A2F">
              <w:rPr>
                <w:rFonts w:cs="Arial"/>
                <w:b/>
              </w:rPr>
              <w:t>Run Time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23D1A4" w14:textId="77777777" w:rsidR="00366DC7" w:rsidRPr="00D65A2F" w:rsidRDefault="00366DC7" w:rsidP="00F55122">
            <w:pPr>
              <w:keepNext/>
              <w:jc w:val="center"/>
              <w:rPr>
                <w:rFonts w:cs="Arial"/>
                <w:b/>
              </w:rPr>
            </w:pPr>
            <w:r w:rsidRPr="00D65A2F">
              <w:rPr>
                <w:rFonts w:cs="Arial"/>
                <w:b/>
              </w:rPr>
              <w:t>Result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62E334D" w14:textId="77777777" w:rsidR="00366DC7" w:rsidRPr="00D65A2F" w:rsidRDefault="00366DC7" w:rsidP="00F55122">
            <w:pPr>
              <w:keepNext/>
              <w:jc w:val="center"/>
              <w:rPr>
                <w:rFonts w:cs="Arial"/>
                <w:b/>
              </w:rPr>
            </w:pPr>
            <w:r w:rsidRPr="00D65A2F">
              <w:rPr>
                <w:rFonts w:cs="Arial"/>
                <w:b/>
              </w:rPr>
              <w:t>0 (</w:t>
            </w:r>
            <w:r w:rsidRPr="00D65A2F">
              <w:rPr>
                <w:rFonts w:cs="Arial"/>
                <w:b/>
                <w:i/>
              </w:rPr>
              <w:t>T</w:t>
            </w:r>
            <w:r w:rsidRPr="00D65A2F">
              <w:rPr>
                <w:rFonts w:cs="Arial"/>
                <w:b/>
              </w:rPr>
              <w:t>–7.5')</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73100D" w14:textId="77777777" w:rsidR="00366DC7" w:rsidRPr="00D65A2F" w:rsidRDefault="00366DC7" w:rsidP="00F55122">
            <w:pPr>
              <w:keepNext/>
              <w:jc w:val="center"/>
              <w:rPr>
                <w:rFonts w:cs="Arial"/>
                <w:b/>
              </w:rPr>
            </w:pPr>
            <w:r w:rsidRPr="00D65A2F">
              <w:rPr>
                <w:rFonts w:cs="Arial"/>
                <w:b/>
              </w:rPr>
              <w:t>1 (</w:t>
            </w:r>
            <w:r w:rsidRPr="00D65A2F">
              <w:rPr>
                <w:rFonts w:cs="Arial"/>
                <w:b/>
                <w:i/>
              </w:rPr>
              <w:t>T</w:t>
            </w:r>
            <w:r w:rsidRPr="00D65A2F">
              <w:rPr>
                <w:rFonts w:cs="Arial"/>
                <w:b/>
              </w:rPr>
              <w:t>+7.5')</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3B9EF7" w14:textId="77777777" w:rsidR="00366DC7" w:rsidRPr="00D65A2F" w:rsidRDefault="00366DC7" w:rsidP="00F55122">
            <w:pPr>
              <w:keepNext/>
              <w:jc w:val="center"/>
              <w:rPr>
                <w:rFonts w:cs="Arial"/>
                <w:b/>
              </w:rPr>
            </w:pPr>
            <w:r w:rsidRPr="00D65A2F">
              <w:rPr>
                <w:rFonts w:cs="Arial"/>
                <w:b/>
              </w:rPr>
              <w:t>2 (</w:t>
            </w:r>
            <w:r w:rsidRPr="00D65A2F">
              <w:rPr>
                <w:rFonts w:cs="Arial"/>
                <w:b/>
                <w:i/>
              </w:rPr>
              <w:t>T</w:t>
            </w:r>
            <w:r w:rsidRPr="00D65A2F">
              <w:rPr>
                <w:rFonts w:cs="Arial"/>
                <w:b/>
              </w:rPr>
              <w:t>+22.5')</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C4E0DD9" w14:textId="77777777" w:rsidR="00366DC7" w:rsidRPr="00D65A2F" w:rsidRDefault="00366DC7" w:rsidP="00F55122">
            <w:pPr>
              <w:keepNext/>
              <w:jc w:val="center"/>
              <w:rPr>
                <w:rFonts w:cs="Arial"/>
                <w:b/>
              </w:rPr>
            </w:pPr>
            <w:r w:rsidRPr="00D65A2F">
              <w:rPr>
                <w:rFonts w:cs="Arial"/>
                <w:b/>
              </w:rPr>
              <w:t>3 (</w:t>
            </w:r>
            <w:r w:rsidRPr="00D65A2F">
              <w:rPr>
                <w:rFonts w:cs="Arial"/>
                <w:b/>
                <w:i/>
              </w:rPr>
              <w:t>T</w:t>
            </w:r>
            <w:r w:rsidRPr="00D65A2F">
              <w:rPr>
                <w:rFonts w:cs="Arial"/>
                <w:b/>
              </w:rPr>
              <w:t>+37.5')</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760670" w14:textId="77777777" w:rsidR="00366DC7" w:rsidRPr="00D65A2F" w:rsidRDefault="00366DC7" w:rsidP="00F55122">
            <w:pPr>
              <w:keepNext/>
              <w:jc w:val="center"/>
              <w:rPr>
                <w:rFonts w:cs="Arial"/>
                <w:b/>
              </w:rPr>
            </w:pPr>
            <w:r w:rsidRPr="00D65A2F">
              <w:rPr>
                <w:rFonts w:cs="Arial"/>
                <w:b/>
              </w:rPr>
              <w:t>4 (</w:t>
            </w:r>
            <w:r w:rsidRPr="00D65A2F">
              <w:rPr>
                <w:rFonts w:cs="Arial"/>
                <w:b/>
                <w:i/>
              </w:rPr>
              <w:t>T</w:t>
            </w:r>
            <w:r w:rsidRPr="00D65A2F">
              <w:rPr>
                <w:rFonts w:cs="Arial"/>
                <w:b/>
              </w:rPr>
              <w:t>+52.5')</w:t>
            </w:r>
          </w:p>
        </w:tc>
      </w:tr>
      <w:tr w:rsidR="00366DC7" w:rsidRPr="00D65A2F" w14:paraId="60894CF8" w14:textId="77777777" w:rsidTr="00F55122">
        <w:trPr>
          <w:cantSplit/>
        </w:trPr>
        <w:tc>
          <w:tcPr>
            <w:tcW w:w="0" w:type="auto"/>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2517FC12"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242E0353" w14:textId="77777777" w:rsidR="00366DC7" w:rsidRPr="00D65A2F" w:rsidRDefault="00366DC7" w:rsidP="00F55122">
            <w:pPr>
              <w:pStyle w:val="NoSpacing"/>
              <w:rPr>
                <w:rFonts w:cs="Arial"/>
                <w:i/>
                <w:sz w:val="18"/>
                <w:szCs w:val="18"/>
              </w:rPr>
            </w:pPr>
            <w:r w:rsidRPr="00D65A2F">
              <w:rPr>
                <w:rFonts w:cs="Arial"/>
                <w:i/>
                <w:sz w:val="18"/>
                <w:szCs w:val="18"/>
              </w:rPr>
              <w:t>T</w:t>
            </w:r>
            <w:r w:rsidRPr="00D65A2F">
              <w:rPr>
                <w:rFonts w:cs="Arial"/>
                <w:sz w:val="18"/>
                <w:szCs w:val="18"/>
              </w:rPr>
              <w:t>–82.5'</w:t>
            </w: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14425741"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hideMark/>
          </w:tcPr>
          <w:p w14:paraId="501A12C2" w14:textId="77777777" w:rsidR="00366DC7" w:rsidRPr="0021467C" w:rsidRDefault="00366DC7" w:rsidP="00F55122">
            <w:pPr>
              <w:pStyle w:val="NoSpacing"/>
              <w:jc w:val="center"/>
              <w:rPr>
                <w:rFonts w:cs="Arial"/>
                <w:sz w:val="18"/>
                <w:szCs w:val="18"/>
              </w:rPr>
            </w:pPr>
            <w:r w:rsidRPr="0021467C">
              <w:rPr>
                <w:rFonts w:cs="Arial"/>
                <w:sz w:val="18"/>
                <w:szCs w:val="18"/>
              </w:rPr>
              <w:t>–200</w:t>
            </w:r>
          </w:p>
        </w:tc>
        <w:tc>
          <w:tcPr>
            <w:tcW w:w="0" w:type="auto"/>
            <w:tcBorders>
              <w:top w:val="single" w:sz="4" w:space="0" w:color="auto"/>
              <w:left w:val="single" w:sz="4" w:space="0" w:color="auto"/>
              <w:bottom w:val="single" w:sz="18" w:space="0" w:color="auto"/>
              <w:right w:val="single" w:sz="4" w:space="0" w:color="auto"/>
            </w:tcBorders>
            <w:vAlign w:val="center"/>
          </w:tcPr>
          <w:p w14:paraId="134E7485"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43D8D634"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709E5218"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04C04E52" w14:textId="77777777" w:rsidR="00366DC7" w:rsidRPr="00D65A2F" w:rsidRDefault="00366DC7" w:rsidP="00F55122">
            <w:pPr>
              <w:pStyle w:val="NoSpacing"/>
              <w:jc w:val="center"/>
              <w:rPr>
                <w:rFonts w:cs="Arial"/>
                <w:sz w:val="18"/>
                <w:szCs w:val="18"/>
              </w:rPr>
            </w:pPr>
          </w:p>
        </w:tc>
      </w:tr>
      <w:tr w:rsidR="00366DC7" w:rsidRPr="00D65A2F" w14:paraId="4801E55A" w14:textId="77777777" w:rsidTr="00F55122">
        <w:trPr>
          <w:cantSplit/>
        </w:trPr>
        <w:tc>
          <w:tcPr>
            <w:tcW w:w="0" w:type="auto"/>
            <w:vMerge w:val="restart"/>
            <w:tcBorders>
              <w:top w:val="single" w:sz="18" w:space="0" w:color="auto"/>
              <w:left w:val="single" w:sz="4" w:space="0" w:color="auto"/>
              <w:bottom w:val="single" w:sz="4" w:space="0" w:color="auto"/>
              <w:right w:val="single" w:sz="4" w:space="0" w:color="auto"/>
            </w:tcBorders>
            <w:shd w:val="clear" w:color="auto" w:fill="FDE9D9" w:themeFill="accent6" w:themeFillTint="33"/>
            <w:vAlign w:val="center"/>
            <w:hideMark/>
          </w:tcPr>
          <w:p w14:paraId="0E5AB43E" w14:textId="77777777" w:rsidR="00366DC7" w:rsidRPr="009B759C" w:rsidRDefault="00366DC7" w:rsidP="00F55122">
            <w:pPr>
              <w:pStyle w:val="NoSpacing"/>
              <w:rPr>
                <w:rFonts w:cs="Arial"/>
                <w:b/>
                <w:sz w:val="18"/>
                <w:szCs w:val="18"/>
              </w:rPr>
            </w:pPr>
            <w:r w:rsidRPr="009B759C">
              <w:rPr>
                <w:rFonts w:cs="Arial"/>
                <w:b/>
                <w:sz w:val="18"/>
                <w:szCs w:val="18"/>
              </w:rPr>
              <w:t>RTBS</w:t>
            </w:r>
          </w:p>
        </w:tc>
        <w:tc>
          <w:tcPr>
            <w:tcW w:w="0" w:type="auto"/>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14:paraId="48C16273" w14:textId="77777777" w:rsidR="00366DC7" w:rsidRPr="009B759C" w:rsidRDefault="00366DC7" w:rsidP="00F55122">
            <w:pPr>
              <w:pStyle w:val="NoSpacing"/>
              <w:rPr>
                <w:rFonts w:cs="Arial"/>
                <w:b/>
                <w:sz w:val="18"/>
                <w:szCs w:val="18"/>
              </w:rPr>
            </w:pPr>
            <w:r w:rsidRPr="009B759C">
              <w:rPr>
                <w:rFonts w:cs="Arial"/>
                <w:b/>
                <w:i/>
                <w:sz w:val="18"/>
                <w:szCs w:val="18"/>
              </w:rPr>
              <w:t>T</w:t>
            </w:r>
            <w:r w:rsidRPr="009B759C">
              <w:rPr>
                <w:rFonts w:cs="Arial"/>
                <w:b/>
                <w:sz w:val="18"/>
                <w:szCs w:val="18"/>
              </w:rPr>
              <w:t>–75'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3DEAAAE5" w14:textId="77777777" w:rsidR="00366DC7" w:rsidRPr="00D65A2F" w:rsidRDefault="00366DC7" w:rsidP="00F55122">
            <w:pPr>
              <w:pStyle w:val="NoSpacing"/>
              <w:rPr>
                <w:rFonts w:cs="Arial"/>
                <w:sz w:val="18"/>
                <w:szCs w:val="18"/>
              </w:rPr>
            </w:pPr>
            <w:r w:rsidRPr="00D65A2F">
              <w:rPr>
                <w:rFonts w:cs="Arial"/>
                <w:sz w:val="18"/>
                <w:szCs w:val="18"/>
              </w:rPr>
              <w:t>Base Transfer (MW)</w:t>
            </w:r>
          </w:p>
        </w:tc>
        <w:tc>
          <w:tcPr>
            <w:tcW w:w="0" w:type="auto"/>
            <w:tcBorders>
              <w:top w:val="single" w:sz="18" w:space="0" w:color="auto"/>
              <w:left w:val="single" w:sz="4" w:space="0" w:color="auto"/>
              <w:bottom w:val="single" w:sz="4" w:space="0" w:color="auto"/>
              <w:right w:val="single" w:sz="4" w:space="0" w:color="auto"/>
            </w:tcBorders>
            <w:vAlign w:val="center"/>
          </w:tcPr>
          <w:p w14:paraId="6EAAFA37"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hideMark/>
          </w:tcPr>
          <w:p w14:paraId="304E06D1" w14:textId="77777777" w:rsidR="00366DC7" w:rsidRPr="009B759C" w:rsidRDefault="00366DC7" w:rsidP="00F55122">
            <w:pPr>
              <w:pStyle w:val="NoSpacing"/>
              <w:jc w:val="center"/>
              <w:rPr>
                <w:rFonts w:cs="Arial"/>
                <w:sz w:val="18"/>
                <w:szCs w:val="18"/>
              </w:rPr>
            </w:pPr>
            <w:r w:rsidRPr="009B759C">
              <w:rPr>
                <w:rFonts w:cs="Arial"/>
                <w:sz w:val="18"/>
                <w:szCs w:val="18"/>
              </w:rPr>
              <w:t>–300</w:t>
            </w:r>
          </w:p>
        </w:tc>
        <w:tc>
          <w:tcPr>
            <w:tcW w:w="0" w:type="auto"/>
            <w:tcBorders>
              <w:top w:val="single" w:sz="18" w:space="0" w:color="auto"/>
              <w:left w:val="single" w:sz="4" w:space="0" w:color="auto"/>
              <w:bottom w:val="single" w:sz="4" w:space="0" w:color="auto"/>
              <w:right w:val="single" w:sz="4" w:space="0" w:color="auto"/>
            </w:tcBorders>
            <w:vAlign w:val="center"/>
            <w:hideMark/>
          </w:tcPr>
          <w:p w14:paraId="3C685D10" w14:textId="77777777" w:rsidR="00366DC7" w:rsidRPr="00D65A2F" w:rsidRDefault="00366DC7" w:rsidP="00F55122">
            <w:pPr>
              <w:pStyle w:val="NoSpacing"/>
              <w:jc w:val="center"/>
              <w:rPr>
                <w:rFonts w:cs="Arial"/>
                <w:sz w:val="18"/>
                <w:szCs w:val="18"/>
              </w:rPr>
            </w:pPr>
            <w:r w:rsidRPr="00D65A2F">
              <w:rPr>
                <w:rFonts w:cs="Arial"/>
                <w:sz w:val="18"/>
                <w:szCs w:val="18"/>
              </w:rPr>
              <w:t>–300</w:t>
            </w:r>
          </w:p>
        </w:tc>
        <w:tc>
          <w:tcPr>
            <w:tcW w:w="0" w:type="auto"/>
            <w:tcBorders>
              <w:top w:val="single" w:sz="18" w:space="0" w:color="auto"/>
              <w:left w:val="single" w:sz="4" w:space="0" w:color="auto"/>
              <w:bottom w:val="single" w:sz="4" w:space="0" w:color="auto"/>
              <w:right w:val="single" w:sz="4" w:space="0" w:color="auto"/>
            </w:tcBorders>
            <w:vAlign w:val="center"/>
            <w:hideMark/>
          </w:tcPr>
          <w:p w14:paraId="0AC70030" w14:textId="77777777" w:rsidR="00366DC7" w:rsidRPr="00D65A2F" w:rsidRDefault="00366DC7" w:rsidP="00F55122">
            <w:pPr>
              <w:pStyle w:val="NoSpacing"/>
              <w:jc w:val="center"/>
              <w:rPr>
                <w:rFonts w:cs="Arial"/>
                <w:sz w:val="18"/>
                <w:szCs w:val="18"/>
              </w:rPr>
            </w:pPr>
            <w:r w:rsidRPr="00D65A2F">
              <w:rPr>
                <w:rFonts w:cs="Arial"/>
                <w:sz w:val="18"/>
                <w:szCs w:val="18"/>
              </w:rPr>
              <w:t>–300</w:t>
            </w:r>
          </w:p>
        </w:tc>
        <w:tc>
          <w:tcPr>
            <w:tcW w:w="0" w:type="auto"/>
            <w:tcBorders>
              <w:top w:val="single" w:sz="18" w:space="0" w:color="auto"/>
              <w:left w:val="single" w:sz="4" w:space="0" w:color="auto"/>
              <w:bottom w:val="single" w:sz="4" w:space="0" w:color="auto"/>
              <w:right w:val="single" w:sz="4" w:space="0" w:color="auto"/>
            </w:tcBorders>
            <w:vAlign w:val="center"/>
            <w:hideMark/>
          </w:tcPr>
          <w:p w14:paraId="0F5EEEF5" w14:textId="77777777" w:rsidR="00366DC7" w:rsidRPr="00D65A2F" w:rsidRDefault="00366DC7" w:rsidP="00F55122">
            <w:pPr>
              <w:pStyle w:val="NoSpacing"/>
              <w:jc w:val="center"/>
              <w:rPr>
                <w:rFonts w:cs="Arial"/>
                <w:sz w:val="18"/>
                <w:szCs w:val="18"/>
              </w:rPr>
            </w:pPr>
            <w:r w:rsidRPr="00D65A2F">
              <w:rPr>
                <w:rFonts w:cs="Arial"/>
                <w:sz w:val="18"/>
                <w:szCs w:val="18"/>
              </w:rPr>
              <w:t>–300</w:t>
            </w:r>
          </w:p>
        </w:tc>
      </w:tr>
      <w:tr w:rsidR="00366DC7" w:rsidRPr="00D65A2F" w14:paraId="73A9E3A2" w14:textId="77777777" w:rsidTr="00F55122">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BC877F4"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AE7F58"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58132E" w14:textId="77777777" w:rsidR="00366DC7" w:rsidRPr="00D65A2F" w:rsidRDefault="00366DC7" w:rsidP="00F55122">
            <w:pPr>
              <w:pStyle w:val="NoSpacing"/>
              <w:rPr>
                <w:rFonts w:cs="Arial"/>
                <w:sz w:val="18"/>
                <w:szCs w:val="18"/>
              </w:rPr>
            </w:pPr>
            <w:r w:rsidRPr="00D65A2F">
              <w:rPr>
                <w:rFonts w:cs="Arial"/>
                <w:sz w:val="18"/>
                <w:szCs w:val="18"/>
              </w:rPr>
              <w:t>FRU Test</w:t>
            </w:r>
          </w:p>
        </w:tc>
        <w:tc>
          <w:tcPr>
            <w:tcW w:w="0" w:type="auto"/>
            <w:tcBorders>
              <w:top w:val="single" w:sz="4" w:space="0" w:color="auto"/>
              <w:left w:val="single" w:sz="4" w:space="0" w:color="auto"/>
              <w:bottom w:val="single" w:sz="4" w:space="0" w:color="auto"/>
              <w:right w:val="single" w:sz="4" w:space="0" w:color="auto"/>
            </w:tcBorders>
            <w:vAlign w:val="center"/>
          </w:tcPr>
          <w:p w14:paraId="2EE4BF1A"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88417CC" w14:textId="77777777" w:rsidR="00366DC7" w:rsidRPr="00841E5E" w:rsidRDefault="00366DC7" w:rsidP="00F55122">
            <w:pPr>
              <w:pStyle w:val="NoSpacing"/>
              <w:jc w:val="center"/>
              <w:rPr>
                <w:rFonts w:cs="Arial"/>
                <w:b/>
                <w:sz w:val="18"/>
                <w:szCs w:val="18"/>
              </w:rPr>
            </w:pPr>
            <w:r w:rsidRPr="00841E5E">
              <w:rPr>
                <w:rFonts w:cs="Arial"/>
                <w:b/>
                <w:sz w:val="18"/>
                <w:szCs w:val="18"/>
              </w:rPr>
              <w:t>Pass</w:t>
            </w:r>
          </w:p>
        </w:tc>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91AE4D" w14:textId="77777777" w:rsidR="00366DC7" w:rsidRPr="00841E5E" w:rsidRDefault="00366DC7" w:rsidP="00F55122">
            <w:pPr>
              <w:pStyle w:val="NoSpacing"/>
              <w:jc w:val="center"/>
              <w:rPr>
                <w:rFonts w:cs="Arial"/>
                <w:b/>
                <w:sz w:val="18"/>
                <w:szCs w:val="18"/>
              </w:rPr>
            </w:pPr>
            <w:r w:rsidRPr="00841E5E">
              <w:rPr>
                <w:rFonts w:cs="Arial"/>
                <w:b/>
                <w:sz w:val="18"/>
                <w:szCs w:val="18"/>
              </w:rPr>
              <w:t>Pass</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55D8747F" w14:textId="77777777" w:rsidR="00366DC7" w:rsidRPr="0021467C" w:rsidRDefault="00366DC7" w:rsidP="00F55122">
            <w:pPr>
              <w:pStyle w:val="NoSpacing"/>
              <w:jc w:val="center"/>
              <w:rPr>
                <w:rFonts w:cs="Arial"/>
                <w:b/>
                <w:sz w:val="18"/>
                <w:szCs w:val="18"/>
              </w:rPr>
            </w:pPr>
            <w:r w:rsidRPr="0021467C">
              <w:rPr>
                <w:rFonts w:cs="Arial"/>
                <w:b/>
                <w:sz w:val="18"/>
                <w:szCs w:val="18"/>
              </w:rPr>
              <w:t>Fail</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6BFA12A3" w14:textId="77777777" w:rsidR="00366DC7" w:rsidRPr="0021467C" w:rsidRDefault="00366DC7" w:rsidP="00F55122">
            <w:pPr>
              <w:pStyle w:val="NoSpacing"/>
              <w:jc w:val="center"/>
              <w:rPr>
                <w:rFonts w:cs="Arial"/>
                <w:b/>
                <w:sz w:val="18"/>
                <w:szCs w:val="18"/>
              </w:rPr>
            </w:pPr>
            <w:r w:rsidRPr="0021467C">
              <w:rPr>
                <w:rFonts w:cs="Arial"/>
                <w:b/>
                <w:sz w:val="18"/>
                <w:szCs w:val="18"/>
              </w:rPr>
              <w:t>Fail</w:t>
            </w:r>
          </w:p>
        </w:tc>
      </w:tr>
      <w:tr w:rsidR="00366DC7" w:rsidRPr="00D65A2F" w14:paraId="6EE4CB2C" w14:textId="77777777" w:rsidTr="00F55122">
        <w:trPr>
          <w:cantSplit/>
        </w:trPr>
        <w:tc>
          <w:tcPr>
            <w:tcW w:w="0" w:type="auto"/>
            <w:vMerge w:val="restart"/>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578EB7C2"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4" w:space="0" w:color="auto"/>
              <w:left w:val="single" w:sz="4" w:space="0" w:color="auto"/>
              <w:bottom w:val="single" w:sz="18" w:space="0" w:color="auto"/>
              <w:right w:val="single" w:sz="4" w:space="0" w:color="auto"/>
            </w:tcBorders>
            <w:shd w:val="clear" w:color="auto" w:fill="auto"/>
            <w:vAlign w:val="center"/>
            <w:hideMark/>
          </w:tcPr>
          <w:p w14:paraId="192C7BB3" w14:textId="77777777" w:rsidR="00366DC7" w:rsidRPr="00D65A2F" w:rsidRDefault="00366DC7" w:rsidP="00F55122">
            <w:pPr>
              <w:pStyle w:val="NoSpacing"/>
              <w:rPr>
                <w:rFonts w:cs="Arial"/>
                <w:i/>
                <w:sz w:val="18"/>
                <w:szCs w:val="18"/>
              </w:rPr>
            </w:pPr>
            <w:r w:rsidRPr="00D65A2F">
              <w:rPr>
                <w:rFonts w:cs="Arial"/>
                <w:i/>
                <w:sz w:val="18"/>
                <w:szCs w:val="18"/>
              </w:rPr>
              <w:t>T</w:t>
            </w:r>
            <w:r w:rsidRPr="00D65A2F">
              <w:rPr>
                <w:rFonts w:cs="Arial"/>
                <w:sz w:val="18"/>
                <w:szCs w:val="18"/>
              </w:rPr>
              <w:t>–67.5'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923CEB"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4" w:space="0" w:color="auto"/>
              <w:left w:val="single" w:sz="4" w:space="0" w:color="auto"/>
              <w:bottom w:val="single" w:sz="4" w:space="0" w:color="auto"/>
              <w:right w:val="single" w:sz="4" w:space="0" w:color="auto"/>
            </w:tcBorders>
            <w:vAlign w:val="center"/>
          </w:tcPr>
          <w:p w14:paraId="3737FABC"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99ABF55"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0AB1332"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7E0C2D9E" w14:textId="77777777" w:rsidR="00366DC7" w:rsidRPr="0021467C" w:rsidRDefault="00366DC7" w:rsidP="00F55122">
            <w:pPr>
              <w:pStyle w:val="NoSpacing"/>
              <w:jc w:val="center"/>
              <w:rPr>
                <w:rFonts w:cs="Arial"/>
                <w:b/>
                <w:sz w:val="18"/>
                <w:szCs w:val="18"/>
              </w:rPr>
            </w:pPr>
            <w:r w:rsidRPr="0021467C">
              <w:rPr>
                <w:rFonts w:cs="Arial"/>
                <w:b/>
                <w:sz w:val="18"/>
                <w:szCs w:val="18"/>
              </w:rPr>
              <w:t>–300</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343EF90A" w14:textId="77777777" w:rsidR="00366DC7" w:rsidRPr="0021467C" w:rsidRDefault="00366DC7" w:rsidP="00F55122">
            <w:pPr>
              <w:pStyle w:val="NoSpacing"/>
              <w:jc w:val="center"/>
              <w:rPr>
                <w:rFonts w:cs="Arial"/>
                <w:b/>
                <w:sz w:val="18"/>
                <w:szCs w:val="18"/>
              </w:rPr>
            </w:pPr>
            <w:r w:rsidRPr="0021467C">
              <w:rPr>
                <w:rFonts w:cs="Arial"/>
                <w:b/>
                <w:sz w:val="18"/>
                <w:szCs w:val="18"/>
              </w:rPr>
              <w:t>–300</w:t>
            </w:r>
          </w:p>
        </w:tc>
      </w:tr>
      <w:tr w:rsidR="00366DC7" w:rsidRPr="00D65A2F" w14:paraId="45BFF26D"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5A534F51"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4916CBD7" w14:textId="77777777" w:rsidR="00366DC7" w:rsidRPr="00D65A2F" w:rsidRDefault="00366DC7" w:rsidP="00F55122">
            <w:pPr>
              <w:pStyle w:val="NoSpacing"/>
              <w:rPr>
                <w:rFonts w:cs="Arial"/>
                <w:i/>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0A96C2C9"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54BB5E07"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3313178C" w14:textId="77777777" w:rsidR="00366DC7" w:rsidRPr="0021467C" w:rsidRDefault="00366DC7" w:rsidP="00F55122">
            <w:pPr>
              <w:pStyle w:val="NoSpacing"/>
              <w:jc w:val="center"/>
              <w:rPr>
                <w:rFonts w:cs="Arial"/>
                <w:sz w:val="18"/>
                <w:szCs w:val="18"/>
              </w:rPr>
            </w:pPr>
            <w:r w:rsidRPr="0021467C">
              <w:rPr>
                <w:rFonts w:cs="Arial"/>
                <w:sz w:val="18"/>
                <w:szCs w:val="18"/>
              </w:rPr>
              <w:t>–400</w:t>
            </w:r>
          </w:p>
        </w:tc>
        <w:tc>
          <w:tcPr>
            <w:tcW w:w="0" w:type="auto"/>
            <w:tcBorders>
              <w:top w:val="single" w:sz="4" w:space="0" w:color="auto"/>
              <w:left w:val="single" w:sz="4" w:space="0" w:color="auto"/>
              <w:bottom w:val="single" w:sz="18" w:space="0" w:color="auto"/>
              <w:right w:val="single" w:sz="4" w:space="0" w:color="auto"/>
            </w:tcBorders>
            <w:vAlign w:val="center"/>
            <w:hideMark/>
          </w:tcPr>
          <w:p w14:paraId="7E7B2A00" w14:textId="77777777" w:rsidR="00366DC7" w:rsidRPr="0021467C" w:rsidRDefault="00366DC7" w:rsidP="00F55122">
            <w:pPr>
              <w:pStyle w:val="NoSpacing"/>
              <w:jc w:val="center"/>
              <w:rPr>
                <w:rFonts w:cs="Arial"/>
                <w:sz w:val="18"/>
                <w:szCs w:val="18"/>
              </w:rPr>
            </w:pPr>
            <w:r w:rsidRPr="0021467C">
              <w:rPr>
                <w:rFonts w:cs="Arial"/>
                <w:sz w:val="18"/>
                <w:szCs w:val="18"/>
              </w:rPr>
              <w:t>–320</w:t>
            </w:r>
          </w:p>
        </w:tc>
        <w:tc>
          <w:tcPr>
            <w:tcW w:w="0" w:type="auto"/>
            <w:tcBorders>
              <w:top w:val="single" w:sz="4" w:space="0" w:color="auto"/>
              <w:left w:val="single" w:sz="4" w:space="0" w:color="auto"/>
              <w:bottom w:val="single" w:sz="18" w:space="0" w:color="auto"/>
              <w:right w:val="single" w:sz="4" w:space="0" w:color="auto"/>
            </w:tcBorders>
            <w:vAlign w:val="center"/>
            <w:hideMark/>
          </w:tcPr>
          <w:p w14:paraId="56074187" w14:textId="77777777" w:rsidR="00366DC7" w:rsidRPr="0021467C" w:rsidRDefault="00366DC7" w:rsidP="00F55122">
            <w:pPr>
              <w:pStyle w:val="NoSpacing"/>
              <w:jc w:val="center"/>
              <w:rPr>
                <w:rFonts w:cs="Arial"/>
                <w:sz w:val="18"/>
                <w:szCs w:val="18"/>
              </w:rPr>
            </w:pPr>
            <w:r w:rsidRPr="0021467C">
              <w:rPr>
                <w:rFonts w:cs="Arial"/>
                <w:sz w:val="18"/>
                <w:szCs w:val="18"/>
              </w:rPr>
              <w:t>–210</w:t>
            </w:r>
          </w:p>
        </w:tc>
        <w:tc>
          <w:tcPr>
            <w:tcW w:w="0" w:type="auto"/>
            <w:tcBorders>
              <w:top w:val="single" w:sz="4" w:space="0" w:color="auto"/>
              <w:left w:val="single" w:sz="4" w:space="0" w:color="auto"/>
              <w:bottom w:val="single" w:sz="18" w:space="0" w:color="auto"/>
              <w:right w:val="single" w:sz="4" w:space="0" w:color="auto"/>
            </w:tcBorders>
            <w:vAlign w:val="center"/>
            <w:hideMark/>
          </w:tcPr>
          <w:p w14:paraId="6F69B7E0" w14:textId="77777777" w:rsidR="00366DC7" w:rsidRPr="00D65A2F" w:rsidRDefault="00366DC7" w:rsidP="00F55122">
            <w:pPr>
              <w:pStyle w:val="NoSpacing"/>
              <w:jc w:val="center"/>
              <w:rPr>
                <w:rFonts w:cs="Arial"/>
                <w:sz w:val="18"/>
                <w:szCs w:val="18"/>
              </w:rPr>
            </w:pPr>
            <w:r w:rsidRPr="00D65A2F">
              <w:rPr>
                <w:rFonts w:cs="Arial"/>
                <w:sz w:val="18"/>
                <w:szCs w:val="18"/>
              </w:rPr>
              <w:t>–300</w:t>
            </w:r>
          </w:p>
        </w:tc>
      </w:tr>
      <w:tr w:rsidR="00366DC7" w:rsidRPr="00D65A2F" w14:paraId="75F5E2ED" w14:textId="77777777" w:rsidTr="00F55122">
        <w:trPr>
          <w:cantSplit/>
        </w:trPr>
        <w:tc>
          <w:tcPr>
            <w:tcW w:w="0" w:type="auto"/>
            <w:vMerge w:val="restart"/>
            <w:tcBorders>
              <w:top w:val="single" w:sz="18" w:space="0" w:color="auto"/>
              <w:left w:val="single" w:sz="4" w:space="0" w:color="auto"/>
              <w:bottom w:val="single" w:sz="4" w:space="0" w:color="auto"/>
              <w:right w:val="single" w:sz="4" w:space="0" w:color="auto"/>
            </w:tcBorders>
            <w:shd w:val="clear" w:color="auto" w:fill="FDE9D9" w:themeFill="accent6" w:themeFillTint="33"/>
            <w:vAlign w:val="center"/>
            <w:hideMark/>
          </w:tcPr>
          <w:p w14:paraId="6FC428B8" w14:textId="77777777" w:rsidR="00366DC7" w:rsidRPr="009B759C" w:rsidRDefault="00366DC7" w:rsidP="00F55122">
            <w:pPr>
              <w:pStyle w:val="NoSpacing"/>
              <w:rPr>
                <w:rFonts w:cs="Arial"/>
                <w:b/>
                <w:sz w:val="18"/>
                <w:szCs w:val="18"/>
              </w:rPr>
            </w:pPr>
            <w:r w:rsidRPr="009B759C">
              <w:rPr>
                <w:rFonts w:cs="Arial"/>
                <w:b/>
                <w:sz w:val="18"/>
                <w:szCs w:val="18"/>
              </w:rPr>
              <w:t>RTBS</w:t>
            </w:r>
          </w:p>
        </w:tc>
        <w:tc>
          <w:tcPr>
            <w:tcW w:w="0" w:type="auto"/>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14:paraId="535B14FA" w14:textId="77777777" w:rsidR="00366DC7" w:rsidRPr="009B759C" w:rsidRDefault="00366DC7" w:rsidP="00F55122">
            <w:pPr>
              <w:pStyle w:val="NoSpacing"/>
              <w:rPr>
                <w:rFonts w:cs="Arial"/>
                <w:b/>
                <w:sz w:val="18"/>
                <w:szCs w:val="18"/>
              </w:rPr>
            </w:pPr>
            <w:r w:rsidRPr="009B759C">
              <w:rPr>
                <w:rFonts w:cs="Arial"/>
                <w:b/>
                <w:i/>
                <w:sz w:val="18"/>
                <w:szCs w:val="18"/>
              </w:rPr>
              <w:t>T</w:t>
            </w:r>
            <w:r w:rsidRPr="009B759C">
              <w:rPr>
                <w:rFonts w:cs="Arial"/>
                <w:b/>
                <w:sz w:val="18"/>
                <w:szCs w:val="18"/>
              </w:rPr>
              <w:t>–55'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684097A8" w14:textId="77777777" w:rsidR="00366DC7" w:rsidRPr="00D65A2F" w:rsidRDefault="00366DC7" w:rsidP="00F55122">
            <w:pPr>
              <w:pStyle w:val="NoSpacing"/>
              <w:rPr>
                <w:rFonts w:cs="Arial"/>
                <w:sz w:val="18"/>
                <w:szCs w:val="18"/>
              </w:rPr>
            </w:pPr>
            <w:r w:rsidRPr="00D65A2F">
              <w:rPr>
                <w:rFonts w:cs="Arial"/>
                <w:sz w:val="18"/>
                <w:szCs w:val="18"/>
              </w:rPr>
              <w:t>Base Transfer (MW)</w:t>
            </w:r>
          </w:p>
        </w:tc>
        <w:tc>
          <w:tcPr>
            <w:tcW w:w="0" w:type="auto"/>
            <w:tcBorders>
              <w:top w:val="single" w:sz="18" w:space="0" w:color="auto"/>
              <w:left w:val="single" w:sz="4" w:space="0" w:color="auto"/>
              <w:bottom w:val="single" w:sz="4" w:space="0" w:color="auto"/>
              <w:right w:val="single" w:sz="4" w:space="0" w:color="auto"/>
            </w:tcBorders>
            <w:vAlign w:val="center"/>
          </w:tcPr>
          <w:p w14:paraId="1106E3E6"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hideMark/>
          </w:tcPr>
          <w:p w14:paraId="50619631" w14:textId="77777777" w:rsidR="00366DC7" w:rsidRPr="0021467C" w:rsidRDefault="00366DC7" w:rsidP="00F55122">
            <w:pPr>
              <w:pStyle w:val="NoSpacing"/>
              <w:jc w:val="center"/>
              <w:rPr>
                <w:rFonts w:cs="Arial"/>
                <w:sz w:val="18"/>
                <w:szCs w:val="18"/>
              </w:rPr>
            </w:pPr>
            <w:r w:rsidRPr="0021467C">
              <w:rPr>
                <w:rFonts w:cs="Arial"/>
                <w:sz w:val="18"/>
                <w:szCs w:val="18"/>
              </w:rPr>
              <w:t>–100</w:t>
            </w:r>
          </w:p>
        </w:tc>
        <w:tc>
          <w:tcPr>
            <w:tcW w:w="0" w:type="auto"/>
            <w:tcBorders>
              <w:top w:val="single" w:sz="18" w:space="0" w:color="auto"/>
              <w:left w:val="single" w:sz="4" w:space="0" w:color="auto"/>
              <w:bottom w:val="single" w:sz="4" w:space="0" w:color="auto"/>
              <w:right w:val="single" w:sz="4" w:space="0" w:color="auto"/>
            </w:tcBorders>
            <w:hideMark/>
          </w:tcPr>
          <w:p w14:paraId="4ACBB303" w14:textId="77777777" w:rsidR="00366DC7" w:rsidRPr="0021467C" w:rsidRDefault="00366DC7" w:rsidP="00F55122">
            <w:pPr>
              <w:pStyle w:val="NoSpacing"/>
              <w:jc w:val="center"/>
              <w:rPr>
                <w:rFonts w:cs="Arial"/>
                <w:sz w:val="18"/>
                <w:szCs w:val="18"/>
              </w:rPr>
            </w:pPr>
            <w:r w:rsidRPr="0021467C">
              <w:rPr>
                <w:rFonts w:cs="Arial"/>
                <w:sz w:val="18"/>
                <w:szCs w:val="18"/>
              </w:rPr>
              <w:t>–100</w:t>
            </w:r>
          </w:p>
        </w:tc>
        <w:tc>
          <w:tcPr>
            <w:tcW w:w="0" w:type="auto"/>
            <w:tcBorders>
              <w:top w:val="single" w:sz="18" w:space="0" w:color="auto"/>
              <w:left w:val="single" w:sz="4" w:space="0" w:color="auto"/>
              <w:bottom w:val="single" w:sz="4" w:space="0" w:color="auto"/>
              <w:right w:val="single" w:sz="4" w:space="0" w:color="auto"/>
            </w:tcBorders>
            <w:hideMark/>
          </w:tcPr>
          <w:p w14:paraId="039F526F" w14:textId="77777777" w:rsidR="00366DC7" w:rsidRPr="0021467C" w:rsidRDefault="00366DC7" w:rsidP="00F55122">
            <w:pPr>
              <w:pStyle w:val="NoSpacing"/>
              <w:jc w:val="center"/>
              <w:rPr>
                <w:rFonts w:cs="Arial"/>
                <w:sz w:val="18"/>
                <w:szCs w:val="18"/>
              </w:rPr>
            </w:pPr>
            <w:r w:rsidRPr="0021467C">
              <w:rPr>
                <w:rFonts w:cs="Arial"/>
                <w:sz w:val="18"/>
                <w:szCs w:val="18"/>
              </w:rPr>
              <w:t>–100</w:t>
            </w:r>
          </w:p>
        </w:tc>
        <w:tc>
          <w:tcPr>
            <w:tcW w:w="0" w:type="auto"/>
            <w:tcBorders>
              <w:top w:val="single" w:sz="18" w:space="0" w:color="auto"/>
              <w:left w:val="single" w:sz="4" w:space="0" w:color="auto"/>
              <w:bottom w:val="single" w:sz="4" w:space="0" w:color="auto"/>
              <w:right w:val="single" w:sz="4" w:space="0" w:color="auto"/>
            </w:tcBorders>
            <w:hideMark/>
          </w:tcPr>
          <w:p w14:paraId="122A25B9" w14:textId="77777777" w:rsidR="00366DC7" w:rsidRPr="0021467C" w:rsidRDefault="00366DC7" w:rsidP="00F55122">
            <w:pPr>
              <w:pStyle w:val="NoSpacing"/>
              <w:jc w:val="center"/>
              <w:rPr>
                <w:rFonts w:cs="Arial"/>
                <w:sz w:val="18"/>
                <w:szCs w:val="18"/>
              </w:rPr>
            </w:pPr>
            <w:r w:rsidRPr="0021467C">
              <w:rPr>
                <w:rFonts w:cs="Arial"/>
                <w:sz w:val="18"/>
                <w:szCs w:val="18"/>
              </w:rPr>
              <w:t>–100</w:t>
            </w:r>
          </w:p>
        </w:tc>
      </w:tr>
      <w:tr w:rsidR="00366DC7" w:rsidRPr="00D65A2F" w14:paraId="036BD15C" w14:textId="77777777" w:rsidTr="00F55122">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50F8B31"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05BC29F"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46364A" w14:textId="77777777" w:rsidR="00366DC7" w:rsidRPr="00D65A2F" w:rsidRDefault="00366DC7" w:rsidP="00F55122">
            <w:pPr>
              <w:pStyle w:val="NoSpacing"/>
              <w:rPr>
                <w:rFonts w:cs="Arial"/>
                <w:sz w:val="18"/>
                <w:szCs w:val="18"/>
              </w:rPr>
            </w:pPr>
            <w:r w:rsidRPr="00D65A2F">
              <w:rPr>
                <w:rFonts w:cs="Arial"/>
                <w:sz w:val="18"/>
                <w:szCs w:val="18"/>
              </w:rPr>
              <w:t>FRU Test</w:t>
            </w:r>
          </w:p>
        </w:tc>
        <w:tc>
          <w:tcPr>
            <w:tcW w:w="0" w:type="auto"/>
            <w:tcBorders>
              <w:top w:val="single" w:sz="4" w:space="0" w:color="auto"/>
              <w:left w:val="single" w:sz="4" w:space="0" w:color="auto"/>
              <w:bottom w:val="single" w:sz="4" w:space="0" w:color="auto"/>
              <w:right w:val="single" w:sz="4" w:space="0" w:color="auto"/>
            </w:tcBorders>
            <w:vAlign w:val="center"/>
          </w:tcPr>
          <w:p w14:paraId="1F9D7759"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76F8493A"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E1E233E" w14:textId="77777777" w:rsidR="00366DC7" w:rsidRPr="00841E5E" w:rsidRDefault="00366DC7" w:rsidP="00F55122">
            <w:pPr>
              <w:pStyle w:val="NoSpacing"/>
              <w:jc w:val="center"/>
              <w:rPr>
                <w:rFonts w:cs="Arial"/>
                <w:b/>
                <w:sz w:val="18"/>
                <w:szCs w:val="18"/>
              </w:rPr>
            </w:pPr>
            <w:r w:rsidRPr="00841E5E">
              <w:rPr>
                <w:rFonts w:cs="Arial"/>
                <w:b/>
                <w:sz w:val="18"/>
                <w:szCs w:val="18"/>
              </w:rPr>
              <w:t>Pass</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553ACE06"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4BFEA77A"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r>
      <w:tr w:rsidR="00366DC7" w:rsidRPr="00D65A2F" w14:paraId="04299466" w14:textId="77777777" w:rsidTr="00F55122">
        <w:trPr>
          <w:cantSplit/>
        </w:trPr>
        <w:tc>
          <w:tcPr>
            <w:tcW w:w="0" w:type="auto"/>
            <w:vMerge w:val="restart"/>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5A4B6853"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4" w:space="0" w:color="auto"/>
              <w:left w:val="single" w:sz="4" w:space="0" w:color="auto"/>
              <w:bottom w:val="single" w:sz="18" w:space="0" w:color="auto"/>
              <w:right w:val="single" w:sz="4" w:space="0" w:color="auto"/>
            </w:tcBorders>
            <w:shd w:val="clear" w:color="auto" w:fill="auto"/>
            <w:vAlign w:val="center"/>
            <w:hideMark/>
          </w:tcPr>
          <w:p w14:paraId="19EE10F2"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–52.5'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0CD0C1"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4" w:space="0" w:color="auto"/>
              <w:left w:val="single" w:sz="4" w:space="0" w:color="auto"/>
              <w:bottom w:val="single" w:sz="4" w:space="0" w:color="auto"/>
              <w:right w:val="single" w:sz="4" w:space="0" w:color="auto"/>
            </w:tcBorders>
            <w:vAlign w:val="center"/>
          </w:tcPr>
          <w:p w14:paraId="4FB168D5"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640FA2B8" w14:textId="77777777" w:rsidR="00366DC7" w:rsidRPr="009B759C" w:rsidRDefault="00366DC7" w:rsidP="00F55122">
            <w:pPr>
              <w:pStyle w:val="NoSpacing"/>
              <w:jc w:val="center"/>
              <w:rPr>
                <w:rFonts w:cs="Arial"/>
                <w:b/>
                <w:sz w:val="18"/>
                <w:szCs w:val="18"/>
              </w:rPr>
            </w:pPr>
            <w:r w:rsidRPr="009B759C">
              <w:rPr>
                <w:rFonts w:cs="Arial"/>
                <w:b/>
                <w:sz w:val="18"/>
                <w:szCs w:val="18"/>
              </w:rPr>
              <w:t>–200</w:t>
            </w:r>
          </w:p>
        </w:tc>
        <w:tc>
          <w:tcPr>
            <w:tcW w:w="0" w:type="auto"/>
            <w:tcBorders>
              <w:top w:val="single" w:sz="4" w:space="0" w:color="auto"/>
              <w:left w:val="single" w:sz="4" w:space="0" w:color="auto"/>
              <w:bottom w:val="single" w:sz="4" w:space="0" w:color="auto"/>
              <w:right w:val="single" w:sz="4" w:space="0" w:color="auto"/>
            </w:tcBorders>
            <w:vAlign w:val="center"/>
          </w:tcPr>
          <w:p w14:paraId="46E269E6"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77057C76" w14:textId="77777777" w:rsidR="00366DC7" w:rsidRPr="009B759C" w:rsidRDefault="00366DC7" w:rsidP="00F55122">
            <w:pPr>
              <w:pStyle w:val="NoSpacing"/>
              <w:jc w:val="center"/>
              <w:rPr>
                <w:rFonts w:cs="Arial"/>
                <w:b/>
                <w:sz w:val="18"/>
                <w:szCs w:val="18"/>
              </w:rPr>
            </w:pPr>
            <w:r w:rsidRPr="009B759C">
              <w:rPr>
                <w:rFonts w:cs="Arial"/>
                <w:b/>
                <w:sz w:val="18"/>
                <w:szCs w:val="18"/>
              </w:rPr>
              <w:t>–320</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2884A7E4" w14:textId="77777777" w:rsidR="00366DC7" w:rsidRPr="009B759C" w:rsidRDefault="00366DC7" w:rsidP="00F55122">
            <w:pPr>
              <w:pStyle w:val="NoSpacing"/>
              <w:jc w:val="center"/>
              <w:rPr>
                <w:rFonts w:cs="Arial"/>
                <w:b/>
                <w:sz w:val="18"/>
                <w:szCs w:val="18"/>
              </w:rPr>
            </w:pPr>
            <w:r w:rsidRPr="009B759C">
              <w:rPr>
                <w:rFonts w:cs="Arial"/>
                <w:b/>
                <w:sz w:val="18"/>
                <w:szCs w:val="18"/>
              </w:rPr>
              <w:t>–210</w:t>
            </w:r>
          </w:p>
        </w:tc>
      </w:tr>
      <w:tr w:rsidR="00366DC7" w:rsidRPr="00D65A2F" w14:paraId="59D8E61F"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4A2EB3DE"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7CB728EE"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19AA3823"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32384BFD"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34C8085F" w14:textId="77777777" w:rsidR="00366DC7" w:rsidRPr="0021467C" w:rsidRDefault="00366DC7" w:rsidP="00F55122">
            <w:pPr>
              <w:pStyle w:val="NoSpacing"/>
              <w:jc w:val="center"/>
              <w:rPr>
                <w:rFonts w:cs="Arial"/>
                <w:sz w:val="18"/>
                <w:szCs w:val="18"/>
              </w:rPr>
            </w:pPr>
            <w:r w:rsidRPr="0021467C">
              <w:rPr>
                <w:rFonts w:cs="Arial"/>
                <w:sz w:val="18"/>
                <w:szCs w:val="18"/>
              </w:rPr>
              <w:t>–200</w:t>
            </w:r>
          </w:p>
        </w:tc>
        <w:tc>
          <w:tcPr>
            <w:tcW w:w="0" w:type="auto"/>
            <w:tcBorders>
              <w:top w:val="single" w:sz="4" w:space="0" w:color="auto"/>
              <w:left w:val="single" w:sz="4" w:space="0" w:color="auto"/>
              <w:bottom w:val="single" w:sz="18" w:space="0" w:color="auto"/>
              <w:right w:val="single" w:sz="4" w:space="0" w:color="auto"/>
            </w:tcBorders>
            <w:vAlign w:val="center"/>
            <w:hideMark/>
          </w:tcPr>
          <w:p w14:paraId="78F5E7B8" w14:textId="77777777" w:rsidR="00366DC7" w:rsidRPr="0021467C" w:rsidRDefault="00366DC7" w:rsidP="00F55122">
            <w:pPr>
              <w:pStyle w:val="NoSpacing"/>
              <w:jc w:val="center"/>
              <w:rPr>
                <w:rFonts w:cs="Arial"/>
                <w:sz w:val="18"/>
                <w:szCs w:val="18"/>
              </w:rPr>
            </w:pPr>
            <w:r w:rsidRPr="0021467C">
              <w:rPr>
                <w:rFonts w:cs="Arial"/>
                <w:sz w:val="18"/>
                <w:szCs w:val="18"/>
              </w:rPr>
              <w:t>–270</w:t>
            </w:r>
          </w:p>
        </w:tc>
        <w:tc>
          <w:tcPr>
            <w:tcW w:w="0" w:type="auto"/>
            <w:tcBorders>
              <w:top w:val="single" w:sz="4" w:space="0" w:color="auto"/>
              <w:left w:val="single" w:sz="4" w:space="0" w:color="auto"/>
              <w:bottom w:val="single" w:sz="18" w:space="0" w:color="auto"/>
              <w:right w:val="single" w:sz="4" w:space="0" w:color="auto"/>
            </w:tcBorders>
            <w:vAlign w:val="center"/>
            <w:hideMark/>
          </w:tcPr>
          <w:p w14:paraId="0CC77B6D" w14:textId="77777777" w:rsidR="00366DC7" w:rsidRPr="0021467C" w:rsidRDefault="00366DC7" w:rsidP="00F55122">
            <w:pPr>
              <w:pStyle w:val="NoSpacing"/>
              <w:jc w:val="center"/>
              <w:rPr>
                <w:rFonts w:cs="Arial"/>
                <w:sz w:val="18"/>
                <w:szCs w:val="18"/>
              </w:rPr>
            </w:pPr>
            <w:r w:rsidRPr="0021467C">
              <w:rPr>
                <w:rFonts w:cs="Arial"/>
                <w:sz w:val="18"/>
                <w:szCs w:val="18"/>
              </w:rPr>
              <w:t>–180</w:t>
            </w:r>
          </w:p>
        </w:tc>
        <w:tc>
          <w:tcPr>
            <w:tcW w:w="0" w:type="auto"/>
            <w:tcBorders>
              <w:top w:val="single" w:sz="4" w:space="0" w:color="auto"/>
              <w:left w:val="single" w:sz="4" w:space="0" w:color="auto"/>
              <w:bottom w:val="single" w:sz="18" w:space="0" w:color="auto"/>
              <w:right w:val="single" w:sz="4" w:space="0" w:color="auto"/>
            </w:tcBorders>
            <w:vAlign w:val="center"/>
            <w:hideMark/>
          </w:tcPr>
          <w:p w14:paraId="5BD6C88E" w14:textId="77777777" w:rsidR="00366DC7" w:rsidRPr="00D65A2F" w:rsidRDefault="00366DC7" w:rsidP="00F55122">
            <w:pPr>
              <w:pStyle w:val="NoSpacing"/>
              <w:jc w:val="center"/>
              <w:rPr>
                <w:rFonts w:cs="Arial"/>
                <w:sz w:val="18"/>
                <w:szCs w:val="18"/>
              </w:rPr>
            </w:pPr>
            <w:r w:rsidRPr="00D65A2F">
              <w:rPr>
                <w:rFonts w:cs="Arial"/>
                <w:sz w:val="18"/>
                <w:szCs w:val="18"/>
              </w:rPr>
              <w:t>–210</w:t>
            </w:r>
          </w:p>
        </w:tc>
      </w:tr>
      <w:tr w:rsidR="00366DC7" w:rsidRPr="00D65A2F" w14:paraId="68D750FA" w14:textId="77777777" w:rsidTr="00F55122">
        <w:trPr>
          <w:cantSplit/>
        </w:trPr>
        <w:tc>
          <w:tcPr>
            <w:tcW w:w="0" w:type="auto"/>
            <w:vMerge w:val="restart"/>
            <w:tcBorders>
              <w:top w:val="single" w:sz="18" w:space="0" w:color="auto"/>
              <w:left w:val="single" w:sz="4" w:space="0" w:color="auto"/>
              <w:bottom w:val="single" w:sz="4" w:space="0" w:color="auto"/>
              <w:right w:val="single" w:sz="4" w:space="0" w:color="auto"/>
            </w:tcBorders>
            <w:shd w:val="clear" w:color="auto" w:fill="FDE9D9" w:themeFill="accent6" w:themeFillTint="33"/>
            <w:vAlign w:val="center"/>
            <w:hideMark/>
          </w:tcPr>
          <w:p w14:paraId="71011ABC" w14:textId="77777777" w:rsidR="00366DC7" w:rsidRPr="009B759C" w:rsidRDefault="00366DC7" w:rsidP="00F55122">
            <w:pPr>
              <w:pStyle w:val="NoSpacing"/>
              <w:rPr>
                <w:rFonts w:cs="Arial"/>
                <w:b/>
                <w:sz w:val="18"/>
                <w:szCs w:val="18"/>
              </w:rPr>
            </w:pPr>
            <w:r w:rsidRPr="009B759C">
              <w:rPr>
                <w:rFonts w:cs="Arial"/>
                <w:b/>
                <w:sz w:val="18"/>
                <w:szCs w:val="18"/>
              </w:rPr>
              <w:t>RTBS</w:t>
            </w:r>
          </w:p>
        </w:tc>
        <w:tc>
          <w:tcPr>
            <w:tcW w:w="0" w:type="auto"/>
            <w:vMerge w:val="restart"/>
            <w:tcBorders>
              <w:top w:val="single" w:sz="18" w:space="0" w:color="auto"/>
              <w:left w:val="single" w:sz="4" w:space="0" w:color="auto"/>
              <w:bottom w:val="single" w:sz="4" w:space="0" w:color="auto"/>
              <w:right w:val="single" w:sz="4" w:space="0" w:color="auto"/>
            </w:tcBorders>
            <w:shd w:val="clear" w:color="auto" w:fill="auto"/>
            <w:vAlign w:val="center"/>
            <w:hideMark/>
          </w:tcPr>
          <w:p w14:paraId="526B9894" w14:textId="77777777" w:rsidR="00366DC7" w:rsidRPr="009B759C" w:rsidRDefault="00366DC7" w:rsidP="00F55122">
            <w:pPr>
              <w:pStyle w:val="NoSpacing"/>
              <w:rPr>
                <w:rFonts w:cs="Arial"/>
                <w:b/>
                <w:sz w:val="18"/>
                <w:szCs w:val="18"/>
              </w:rPr>
            </w:pPr>
            <w:r w:rsidRPr="009B759C">
              <w:rPr>
                <w:rFonts w:cs="Arial"/>
                <w:b/>
                <w:i/>
                <w:sz w:val="18"/>
                <w:szCs w:val="18"/>
              </w:rPr>
              <w:t>T</w:t>
            </w:r>
            <w:r w:rsidRPr="009B759C">
              <w:rPr>
                <w:rFonts w:cs="Arial"/>
                <w:b/>
                <w:sz w:val="18"/>
                <w:szCs w:val="18"/>
              </w:rPr>
              <w:t>–40'</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04C95064" w14:textId="77777777" w:rsidR="00366DC7" w:rsidRPr="00D65A2F" w:rsidRDefault="00366DC7" w:rsidP="00F55122">
            <w:pPr>
              <w:pStyle w:val="NoSpacing"/>
              <w:rPr>
                <w:rFonts w:cs="Arial"/>
                <w:sz w:val="18"/>
                <w:szCs w:val="18"/>
              </w:rPr>
            </w:pPr>
            <w:r w:rsidRPr="00D65A2F">
              <w:rPr>
                <w:rFonts w:cs="Arial"/>
                <w:sz w:val="18"/>
                <w:szCs w:val="18"/>
              </w:rPr>
              <w:t>Base Transfer (MW)</w:t>
            </w:r>
          </w:p>
        </w:tc>
        <w:tc>
          <w:tcPr>
            <w:tcW w:w="0" w:type="auto"/>
            <w:tcBorders>
              <w:top w:val="single" w:sz="18" w:space="0" w:color="auto"/>
              <w:left w:val="single" w:sz="4" w:space="0" w:color="auto"/>
              <w:bottom w:val="single" w:sz="4" w:space="0" w:color="auto"/>
              <w:right w:val="single" w:sz="4" w:space="0" w:color="auto"/>
            </w:tcBorders>
            <w:vAlign w:val="center"/>
          </w:tcPr>
          <w:p w14:paraId="3A1DD203"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hideMark/>
          </w:tcPr>
          <w:p w14:paraId="250E9415" w14:textId="77777777" w:rsidR="00366DC7" w:rsidRPr="0021467C" w:rsidRDefault="00366DC7" w:rsidP="00F55122">
            <w:pPr>
              <w:pStyle w:val="NoSpacing"/>
              <w:jc w:val="center"/>
              <w:rPr>
                <w:rFonts w:cs="Arial"/>
                <w:sz w:val="18"/>
                <w:szCs w:val="18"/>
              </w:rPr>
            </w:pPr>
            <w:r w:rsidRPr="0021467C">
              <w:rPr>
                <w:rFonts w:cs="Arial"/>
                <w:sz w:val="18"/>
                <w:szCs w:val="18"/>
              </w:rPr>
              <w:t>–250</w:t>
            </w:r>
          </w:p>
        </w:tc>
        <w:tc>
          <w:tcPr>
            <w:tcW w:w="0" w:type="auto"/>
            <w:tcBorders>
              <w:top w:val="single" w:sz="18" w:space="0" w:color="auto"/>
              <w:left w:val="single" w:sz="4" w:space="0" w:color="auto"/>
              <w:bottom w:val="single" w:sz="4" w:space="0" w:color="auto"/>
              <w:right w:val="single" w:sz="4" w:space="0" w:color="auto"/>
            </w:tcBorders>
            <w:hideMark/>
          </w:tcPr>
          <w:p w14:paraId="3B53BF0C" w14:textId="77777777" w:rsidR="00366DC7" w:rsidRPr="0021467C" w:rsidRDefault="00366DC7" w:rsidP="00F55122">
            <w:pPr>
              <w:pStyle w:val="NoSpacing"/>
              <w:jc w:val="center"/>
              <w:rPr>
                <w:rFonts w:cs="Arial"/>
                <w:sz w:val="18"/>
                <w:szCs w:val="18"/>
              </w:rPr>
            </w:pPr>
            <w:r w:rsidRPr="0021467C">
              <w:rPr>
                <w:rFonts w:cs="Arial"/>
                <w:sz w:val="18"/>
                <w:szCs w:val="18"/>
              </w:rPr>
              <w:t>–250</w:t>
            </w:r>
          </w:p>
        </w:tc>
        <w:tc>
          <w:tcPr>
            <w:tcW w:w="0" w:type="auto"/>
            <w:tcBorders>
              <w:top w:val="single" w:sz="18" w:space="0" w:color="auto"/>
              <w:left w:val="single" w:sz="4" w:space="0" w:color="auto"/>
              <w:bottom w:val="single" w:sz="4" w:space="0" w:color="auto"/>
              <w:right w:val="single" w:sz="4" w:space="0" w:color="auto"/>
            </w:tcBorders>
            <w:hideMark/>
          </w:tcPr>
          <w:p w14:paraId="16D50BE6" w14:textId="77777777" w:rsidR="00366DC7" w:rsidRPr="0021467C" w:rsidRDefault="00366DC7" w:rsidP="00F55122">
            <w:pPr>
              <w:pStyle w:val="NoSpacing"/>
              <w:jc w:val="center"/>
              <w:rPr>
                <w:rFonts w:cs="Arial"/>
                <w:sz w:val="18"/>
                <w:szCs w:val="18"/>
              </w:rPr>
            </w:pPr>
            <w:r w:rsidRPr="0021467C">
              <w:rPr>
                <w:rFonts w:cs="Arial"/>
                <w:sz w:val="18"/>
                <w:szCs w:val="18"/>
              </w:rPr>
              <w:t>–250</w:t>
            </w:r>
          </w:p>
        </w:tc>
        <w:tc>
          <w:tcPr>
            <w:tcW w:w="0" w:type="auto"/>
            <w:tcBorders>
              <w:top w:val="single" w:sz="18" w:space="0" w:color="auto"/>
              <w:left w:val="single" w:sz="4" w:space="0" w:color="auto"/>
              <w:bottom w:val="single" w:sz="4" w:space="0" w:color="auto"/>
              <w:right w:val="single" w:sz="4" w:space="0" w:color="auto"/>
            </w:tcBorders>
            <w:hideMark/>
          </w:tcPr>
          <w:p w14:paraId="0636368C" w14:textId="77777777" w:rsidR="00366DC7" w:rsidRPr="0021467C" w:rsidRDefault="00366DC7" w:rsidP="00F55122">
            <w:pPr>
              <w:pStyle w:val="NoSpacing"/>
              <w:jc w:val="center"/>
              <w:rPr>
                <w:rFonts w:cs="Arial"/>
                <w:sz w:val="18"/>
                <w:szCs w:val="18"/>
              </w:rPr>
            </w:pPr>
          </w:p>
        </w:tc>
      </w:tr>
      <w:tr w:rsidR="00366DC7" w:rsidRPr="00D65A2F" w14:paraId="22CBB5F5" w14:textId="77777777" w:rsidTr="00F55122">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4A88E6"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729F9E"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6255DA" w14:textId="77777777" w:rsidR="00366DC7" w:rsidRPr="00D65A2F" w:rsidRDefault="00366DC7" w:rsidP="00F55122">
            <w:pPr>
              <w:pStyle w:val="NoSpacing"/>
              <w:rPr>
                <w:rFonts w:cs="Arial"/>
                <w:sz w:val="18"/>
                <w:szCs w:val="18"/>
              </w:rPr>
            </w:pPr>
            <w:r w:rsidRPr="00D65A2F">
              <w:rPr>
                <w:rFonts w:cs="Arial"/>
                <w:sz w:val="18"/>
                <w:szCs w:val="18"/>
              </w:rPr>
              <w:t>FRU Test</w:t>
            </w:r>
          </w:p>
        </w:tc>
        <w:tc>
          <w:tcPr>
            <w:tcW w:w="0" w:type="auto"/>
            <w:tcBorders>
              <w:top w:val="single" w:sz="4" w:space="0" w:color="auto"/>
              <w:left w:val="single" w:sz="4" w:space="0" w:color="auto"/>
              <w:bottom w:val="single" w:sz="4" w:space="0" w:color="auto"/>
              <w:right w:val="single" w:sz="4" w:space="0" w:color="auto"/>
            </w:tcBorders>
            <w:vAlign w:val="center"/>
          </w:tcPr>
          <w:p w14:paraId="388463F0"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49FABC90"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c>
          <w:tcPr>
            <w:tcW w:w="0" w:type="auto"/>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320BA01" w14:textId="77777777" w:rsidR="00366DC7" w:rsidRPr="00841E5E" w:rsidRDefault="00366DC7" w:rsidP="00F55122">
            <w:pPr>
              <w:pStyle w:val="NoSpacing"/>
              <w:jc w:val="center"/>
              <w:rPr>
                <w:rFonts w:cs="Arial"/>
                <w:b/>
                <w:sz w:val="18"/>
                <w:szCs w:val="18"/>
              </w:rPr>
            </w:pPr>
            <w:r w:rsidRPr="00841E5E">
              <w:rPr>
                <w:rFonts w:cs="Arial"/>
                <w:b/>
                <w:sz w:val="18"/>
                <w:szCs w:val="18"/>
              </w:rPr>
              <w:t>Pass</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098C7C1A"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6D81ACB6" w14:textId="77777777" w:rsidR="00366DC7" w:rsidRPr="009B759C" w:rsidRDefault="00366DC7" w:rsidP="00F55122">
            <w:pPr>
              <w:pStyle w:val="NoSpacing"/>
              <w:jc w:val="center"/>
              <w:rPr>
                <w:rFonts w:cs="Arial"/>
                <w:b/>
                <w:sz w:val="18"/>
                <w:szCs w:val="18"/>
              </w:rPr>
            </w:pPr>
            <w:r w:rsidRPr="009B759C">
              <w:rPr>
                <w:rFonts w:cs="Arial"/>
                <w:b/>
                <w:sz w:val="18"/>
                <w:szCs w:val="18"/>
              </w:rPr>
              <w:t>Fail</w:t>
            </w:r>
          </w:p>
        </w:tc>
      </w:tr>
      <w:tr w:rsidR="00366DC7" w:rsidRPr="00D65A2F" w14:paraId="177D16EB" w14:textId="77777777" w:rsidTr="00F55122">
        <w:trPr>
          <w:cantSplit/>
        </w:trPr>
        <w:tc>
          <w:tcPr>
            <w:tcW w:w="0" w:type="auto"/>
            <w:vMerge w:val="restart"/>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7C104AF2"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4" w:space="0" w:color="auto"/>
              <w:left w:val="single" w:sz="4" w:space="0" w:color="auto"/>
              <w:bottom w:val="single" w:sz="18" w:space="0" w:color="auto"/>
              <w:right w:val="single" w:sz="4" w:space="0" w:color="auto"/>
            </w:tcBorders>
            <w:shd w:val="clear" w:color="auto" w:fill="auto"/>
            <w:vAlign w:val="center"/>
            <w:hideMark/>
          </w:tcPr>
          <w:p w14:paraId="1818290B"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–37.5'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EB39AC"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4" w:space="0" w:color="auto"/>
              <w:left w:val="single" w:sz="4" w:space="0" w:color="auto"/>
              <w:bottom w:val="single" w:sz="4" w:space="0" w:color="auto"/>
              <w:right w:val="single" w:sz="4" w:space="0" w:color="auto"/>
            </w:tcBorders>
            <w:vAlign w:val="center"/>
          </w:tcPr>
          <w:p w14:paraId="681081E7"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5C547606" w14:textId="77777777" w:rsidR="00366DC7" w:rsidRPr="009B759C" w:rsidRDefault="00366DC7" w:rsidP="00F55122">
            <w:pPr>
              <w:pStyle w:val="NoSpacing"/>
              <w:jc w:val="center"/>
              <w:rPr>
                <w:rFonts w:cs="Arial"/>
                <w:b/>
                <w:sz w:val="18"/>
                <w:szCs w:val="18"/>
              </w:rPr>
            </w:pPr>
            <w:r w:rsidRPr="009B759C">
              <w:rPr>
                <w:rFonts w:cs="Arial"/>
                <w:b/>
                <w:sz w:val="18"/>
                <w:szCs w:val="18"/>
              </w:rPr>
              <w:t>–250</w:t>
            </w:r>
          </w:p>
        </w:tc>
        <w:tc>
          <w:tcPr>
            <w:tcW w:w="0" w:type="auto"/>
            <w:tcBorders>
              <w:top w:val="single" w:sz="4" w:space="0" w:color="auto"/>
              <w:left w:val="single" w:sz="4" w:space="0" w:color="auto"/>
              <w:bottom w:val="single" w:sz="4" w:space="0" w:color="auto"/>
              <w:right w:val="single" w:sz="4" w:space="0" w:color="auto"/>
            </w:tcBorders>
            <w:vAlign w:val="center"/>
          </w:tcPr>
          <w:p w14:paraId="2F40AEBB"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5F7BFAA6" w14:textId="77777777" w:rsidR="00366DC7" w:rsidRPr="009B759C" w:rsidRDefault="00366DC7" w:rsidP="00F55122">
            <w:pPr>
              <w:pStyle w:val="NoSpacing"/>
              <w:jc w:val="center"/>
              <w:rPr>
                <w:rFonts w:cs="Arial"/>
                <w:b/>
                <w:sz w:val="18"/>
                <w:szCs w:val="18"/>
              </w:rPr>
            </w:pPr>
            <w:r w:rsidRPr="009B759C">
              <w:rPr>
                <w:rFonts w:cs="Arial"/>
                <w:b/>
                <w:sz w:val="18"/>
                <w:szCs w:val="18"/>
              </w:rPr>
              <w:t>–270</w:t>
            </w:r>
          </w:p>
        </w:tc>
        <w:tc>
          <w:tcPr>
            <w:tcW w:w="0" w:type="auto"/>
            <w:tcBorders>
              <w:top w:val="single" w:sz="4" w:space="0" w:color="auto"/>
              <w:left w:val="single" w:sz="4" w:space="0" w:color="auto"/>
              <w:bottom w:val="single" w:sz="4" w:space="0" w:color="auto"/>
              <w:right w:val="single" w:sz="4" w:space="0" w:color="auto"/>
            </w:tcBorders>
            <w:shd w:val="clear" w:color="auto" w:fill="FF9999"/>
            <w:vAlign w:val="center"/>
            <w:hideMark/>
          </w:tcPr>
          <w:p w14:paraId="324B8D6B" w14:textId="77777777" w:rsidR="00366DC7" w:rsidRPr="009B759C" w:rsidRDefault="00366DC7" w:rsidP="00F55122">
            <w:pPr>
              <w:pStyle w:val="NoSpacing"/>
              <w:jc w:val="center"/>
              <w:rPr>
                <w:rFonts w:cs="Arial"/>
                <w:b/>
                <w:sz w:val="18"/>
                <w:szCs w:val="18"/>
              </w:rPr>
            </w:pPr>
            <w:r w:rsidRPr="009B759C">
              <w:rPr>
                <w:rFonts w:cs="Arial"/>
                <w:b/>
                <w:sz w:val="18"/>
                <w:szCs w:val="18"/>
              </w:rPr>
              <w:t>–250</w:t>
            </w:r>
          </w:p>
        </w:tc>
      </w:tr>
      <w:tr w:rsidR="00366DC7" w:rsidRPr="00D65A2F" w14:paraId="654E3801"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34E4EF11"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4DB433C5"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1532E92E"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5D2850AB"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6EAB8A7B" w14:textId="77777777" w:rsidR="00366DC7" w:rsidRPr="00D65A2F" w:rsidRDefault="00366DC7" w:rsidP="00F55122">
            <w:pPr>
              <w:pStyle w:val="NoSpacing"/>
              <w:jc w:val="center"/>
              <w:rPr>
                <w:rFonts w:cs="Arial"/>
                <w:sz w:val="18"/>
                <w:szCs w:val="18"/>
              </w:rPr>
            </w:pPr>
            <w:r w:rsidRPr="00D65A2F">
              <w:rPr>
                <w:rFonts w:cs="Arial"/>
                <w:sz w:val="18"/>
                <w:szCs w:val="18"/>
              </w:rPr>
              <w:t>–230</w:t>
            </w:r>
          </w:p>
        </w:tc>
        <w:tc>
          <w:tcPr>
            <w:tcW w:w="0" w:type="auto"/>
            <w:tcBorders>
              <w:top w:val="single" w:sz="4" w:space="0" w:color="auto"/>
              <w:left w:val="single" w:sz="4" w:space="0" w:color="auto"/>
              <w:bottom w:val="single" w:sz="18" w:space="0" w:color="auto"/>
              <w:right w:val="single" w:sz="4" w:space="0" w:color="auto"/>
            </w:tcBorders>
            <w:vAlign w:val="center"/>
            <w:hideMark/>
          </w:tcPr>
          <w:p w14:paraId="45EC9322" w14:textId="77777777" w:rsidR="00366DC7" w:rsidRPr="00D65A2F" w:rsidRDefault="00366DC7" w:rsidP="00F55122">
            <w:pPr>
              <w:pStyle w:val="NoSpacing"/>
              <w:jc w:val="center"/>
              <w:rPr>
                <w:rFonts w:cs="Arial"/>
                <w:sz w:val="18"/>
                <w:szCs w:val="18"/>
              </w:rPr>
            </w:pPr>
            <w:r w:rsidRPr="00D65A2F">
              <w:rPr>
                <w:rFonts w:cs="Arial"/>
                <w:sz w:val="18"/>
                <w:szCs w:val="18"/>
              </w:rPr>
              <w:t>–350</w:t>
            </w:r>
          </w:p>
        </w:tc>
        <w:tc>
          <w:tcPr>
            <w:tcW w:w="0" w:type="auto"/>
            <w:tcBorders>
              <w:top w:val="single" w:sz="4" w:space="0" w:color="auto"/>
              <w:left w:val="single" w:sz="4" w:space="0" w:color="auto"/>
              <w:bottom w:val="single" w:sz="18" w:space="0" w:color="auto"/>
              <w:right w:val="single" w:sz="4" w:space="0" w:color="auto"/>
            </w:tcBorders>
            <w:vAlign w:val="center"/>
            <w:hideMark/>
          </w:tcPr>
          <w:p w14:paraId="1FD56256" w14:textId="77777777" w:rsidR="00366DC7" w:rsidRPr="00D65A2F" w:rsidRDefault="00366DC7" w:rsidP="00F55122">
            <w:pPr>
              <w:pStyle w:val="NoSpacing"/>
              <w:jc w:val="center"/>
              <w:rPr>
                <w:rFonts w:cs="Arial"/>
                <w:sz w:val="18"/>
                <w:szCs w:val="18"/>
              </w:rPr>
            </w:pPr>
            <w:r w:rsidRPr="00D65A2F">
              <w:rPr>
                <w:rFonts w:cs="Arial"/>
                <w:sz w:val="18"/>
                <w:szCs w:val="18"/>
              </w:rPr>
              <w:t>–270</w:t>
            </w:r>
          </w:p>
        </w:tc>
        <w:tc>
          <w:tcPr>
            <w:tcW w:w="0" w:type="auto"/>
            <w:tcBorders>
              <w:top w:val="single" w:sz="4" w:space="0" w:color="auto"/>
              <w:left w:val="single" w:sz="4" w:space="0" w:color="auto"/>
              <w:bottom w:val="single" w:sz="18" w:space="0" w:color="auto"/>
              <w:right w:val="single" w:sz="4" w:space="0" w:color="auto"/>
            </w:tcBorders>
            <w:vAlign w:val="center"/>
            <w:hideMark/>
          </w:tcPr>
          <w:p w14:paraId="582A2EB2" w14:textId="77777777" w:rsidR="00366DC7" w:rsidRPr="00D65A2F" w:rsidRDefault="00366DC7" w:rsidP="00F55122">
            <w:pPr>
              <w:pStyle w:val="NoSpacing"/>
              <w:jc w:val="center"/>
              <w:rPr>
                <w:rFonts w:cs="Arial"/>
                <w:sz w:val="18"/>
                <w:szCs w:val="18"/>
              </w:rPr>
            </w:pPr>
            <w:r w:rsidRPr="00D65A2F">
              <w:rPr>
                <w:rFonts w:cs="Arial"/>
                <w:sz w:val="18"/>
                <w:szCs w:val="18"/>
              </w:rPr>
              <w:t>–250</w:t>
            </w:r>
          </w:p>
        </w:tc>
      </w:tr>
      <w:tr w:rsidR="00366DC7" w:rsidRPr="00D65A2F" w14:paraId="65058B23" w14:textId="77777777" w:rsidTr="00F55122">
        <w:trPr>
          <w:cantSplit/>
        </w:trPr>
        <w:tc>
          <w:tcPr>
            <w:tcW w:w="0" w:type="auto"/>
            <w:vMerge w:val="restart"/>
            <w:tcBorders>
              <w:top w:val="single" w:sz="18" w:space="0" w:color="auto"/>
              <w:left w:val="single" w:sz="4" w:space="0" w:color="auto"/>
              <w:bottom w:val="single" w:sz="18" w:space="0" w:color="auto"/>
              <w:right w:val="single" w:sz="4" w:space="0" w:color="auto"/>
            </w:tcBorders>
            <w:shd w:val="clear" w:color="auto" w:fill="FDE9D9" w:themeFill="accent6" w:themeFillTint="33"/>
            <w:vAlign w:val="center"/>
            <w:hideMark/>
          </w:tcPr>
          <w:p w14:paraId="04C77A4C" w14:textId="77777777" w:rsidR="00366DC7" w:rsidRPr="00D65A2F" w:rsidRDefault="00366DC7" w:rsidP="00F55122">
            <w:pPr>
              <w:pStyle w:val="NoSpacing"/>
              <w:rPr>
                <w:rFonts w:cs="Arial"/>
                <w:sz w:val="18"/>
                <w:szCs w:val="18"/>
              </w:rPr>
            </w:pPr>
            <w:r w:rsidRPr="00D65A2F">
              <w:rPr>
                <w:rFonts w:cs="Arial"/>
                <w:sz w:val="18"/>
                <w:szCs w:val="18"/>
              </w:rPr>
              <w:lastRenderedPageBreak/>
              <w:t>FMM</w:t>
            </w:r>
          </w:p>
        </w:tc>
        <w:tc>
          <w:tcPr>
            <w:tcW w:w="0" w:type="auto"/>
            <w:vMerge w:val="restart"/>
            <w:tcBorders>
              <w:top w:val="single" w:sz="18" w:space="0" w:color="auto"/>
              <w:left w:val="single" w:sz="4" w:space="0" w:color="auto"/>
              <w:bottom w:val="single" w:sz="18" w:space="0" w:color="auto"/>
              <w:right w:val="single" w:sz="4" w:space="0" w:color="auto"/>
            </w:tcBorders>
            <w:shd w:val="clear" w:color="auto" w:fill="auto"/>
            <w:vAlign w:val="center"/>
            <w:hideMark/>
          </w:tcPr>
          <w:p w14:paraId="73AB79B7"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–22.5'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146965F5"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18" w:space="0" w:color="auto"/>
              <w:left w:val="single" w:sz="4" w:space="0" w:color="auto"/>
              <w:bottom w:val="single" w:sz="4" w:space="0" w:color="auto"/>
              <w:right w:val="single" w:sz="4" w:space="0" w:color="auto"/>
            </w:tcBorders>
            <w:vAlign w:val="center"/>
          </w:tcPr>
          <w:p w14:paraId="2A7920E0"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03EF060C" w14:textId="77777777" w:rsidR="00366DC7" w:rsidRPr="009B759C" w:rsidRDefault="00366DC7" w:rsidP="00F55122">
            <w:pPr>
              <w:pStyle w:val="NoSpacing"/>
              <w:jc w:val="center"/>
              <w:rPr>
                <w:rFonts w:cs="Arial"/>
                <w:b/>
                <w:sz w:val="18"/>
                <w:szCs w:val="18"/>
              </w:rPr>
            </w:pPr>
            <w:r w:rsidRPr="009B759C">
              <w:rPr>
                <w:rFonts w:cs="Arial"/>
                <w:b/>
                <w:sz w:val="18"/>
                <w:szCs w:val="18"/>
              </w:rPr>
              <w:t>–250</w:t>
            </w:r>
          </w:p>
        </w:tc>
        <w:tc>
          <w:tcPr>
            <w:tcW w:w="0" w:type="auto"/>
            <w:tcBorders>
              <w:top w:val="single" w:sz="18" w:space="0" w:color="auto"/>
              <w:left w:val="single" w:sz="4" w:space="0" w:color="auto"/>
              <w:bottom w:val="single" w:sz="4" w:space="0" w:color="auto"/>
              <w:right w:val="single" w:sz="4" w:space="0" w:color="auto"/>
            </w:tcBorders>
            <w:vAlign w:val="center"/>
          </w:tcPr>
          <w:p w14:paraId="03C7B794"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1FDA6B9B" w14:textId="77777777" w:rsidR="00366DC7" w:rsidRPr="0021467C" w:rsidRDefault="00366DC7" w:rsidP="00F55122">
            <w:pPr>
              <w:pStyle w:val="NoSpacing"/>
              <w:jc w:val="center"/>
              <w:rPr>
                <w:rFonts w:cs="Arial"/>
                <w:b/>
                <w:sz w:val="18"/>
                <w:szCs w:val="18"/>
              </w:rPr>
            </w:pPr>
            <w:r w:rsidRPr="0021467C">
              <w:rPr>
                <w:rFonts w:cs="Arial"/>
                <w:b/>
                <w:sz w:val="18"/>
                <w:szCs w:val="18"/>
              </w:rPr>
              <w:t>–350</w:t>
            </w: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195ECDB0" w14:textId="77777777" w:rsidR="00366DC7" w:rsidRPr="0021467C" w:rsidRDefault="00366DC7" w:rsidP="00F55122">
            <w:pPr>
              <w:pStyle w:val="NoSpacing"/>
              <w:jc w:val="center"/>
              <w:rPr>
                <w:rFonts w:cs="Arial"/>
                <w:b/>
                <w:sz w:val="18"/>
                <w:szCs w:val="18"/>
              </w:rPr>
            </w:pPr>
            <w:r w:rsidRPr="0021467C">
              <w:rPr>
                <w:rFonts w:cs="Arial"/>
                <w:b/>
                <w:sz w:val="18"/>
                <w:szCs w:val="18"/>
              </w:rPr>
              <w:t>–270</w:t>
            </w:r>
          </w:p>
        </w:tc>
      </w:tr>
      <w:tr w:rsidR="00366DC7" w:rsidRPr="00D65A2F" w14:paraId="611AB8A6"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20B7B261"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424305F6"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2048763A"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16EC49F7"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01DE59BB" w14:textId="77777777" w:rsidR="00366DC7" w:rsidRPr="00D65A2F" w:rsidRDefault="00366DC7" w:rsidP="00F55122">
            <w:pPr>
              <w:pStyle w:val="NoSpacing"/>
              <w:jc w:val="center"/>
              <w:rPr>
                <w:rFonts w:cs="Arial"/>
                <w:sz w:val="18"/>
                <w:szCs w:val="18"/>
              </w:rPr>
            </w:pPr>
            <w:r w:rsidRPr="00D65A2F">
              <w:rPr>
                <w:rFonts w:cs="Arial"/>
                <w:sz w:val="18"/>
                <w:szCs w:val="18"/>
              </w:rPr>
              <w:t>–240</w:t>
            </w:r>
          </w:p>
        </w:tc>
        <w:tc>
          <w:tcPr>
            <w:tcW w:w="0" w:type="auto"/>
            <w:tcBorders>
              <w:top w:val="single" w:sz="4" w:space="0" w:color="auto"/>
              <w:left w:val="single" w:sz="4" w:space="0" w:color="auto"/>
              <w:bottom w:val="single" w:sz="18" w:space="0" w:color="auto"/>
              <w:right w:val="single" w:sz="4" w:space="0" w:color="auto"/>
            </w:tcBorders>
            <w:vAlign w:val="center"/>
            <w:hideMark/>
          </w:tcPr>
          <w:p w14:paraId="4A251BF9" w14:textId="77777777" w:rsidR="00366DC7" w:rsidRPr="00D65A2F" w:rsidRDefault="00366DC7" w:rsidP="00F55122">
            <w:pPr>
              <w:pStyle w:val="NoSpacing"/>
              <w:jc w:val="center"/>
              <w:rPr>
                <w:rFonts w:cs="Arial"/>
                <w:sz w:val="18"/>
                <w:szCs w:val="18"/>
              </w:rPr>
            </w:pPr>
            <w:r w:rsidRPr="00D65A2F">
              <w:rPr>
                <w:rFonts w:cs="Arial"/>
                <w:sz w:val="18"/>
                <w:szCs w:val="18"/>
              </w:rPr>
              <w:t>–330</w:t>
            </w:r>
          </w:p>
        </w:tc>
        <w:tc>
          <w:tcPr>
            <w:tcW w:w="0" w:type="auto"/>
            <w:tcBorders>
              <w:top w:val="single" w:sz="4" w:space="0" w:color="auto"/>
              <w:left w:val="single" w:sz="4" w:space="0" w:color="auto"/>
              <w:bottom w:val="single" w:sz="18" w:space="0" w:color="auto"/>
              <w:right w:val="single" w:sz="4" w:space="0" w:color="auto"/>
            </w:tcBorders>
            <w:vAlign w:val="center"/>
            <w:hideMark/>
          </w:tcPr>
          <w:p w14:paraId="0CAEEC6A" w14:textId="77777777" w:rsidR="00366DC7" w:rsidRPr="00D65A2F" w:rsidRDefault="00366DC7" w:rsidP="00F55122">
            <w:pPr>
              <w:pStyle w:val="NoSpacing"/>
              <w:jc w:val="center"/>
              <w:rPr>
                <w:rFonts w:cs="Arial"/>
                <w:sz w:val="18"/>
                <w:szCs w:val="18"/>
              </w:rPr>
            </w:pPr>
            <w:r w:rsidRPr="00D65A2F">
              <w:rPr>
                <w:rFonts w:cs="Arial"/>
                <w:sz w:val="18"/>
                <w:szCs w:val="18"/>
              </w:rPr>
              <w:t>–300</w:t>
            </w:r>
          </w:p>
        </w:tc>
        <w:tc>
          <w:tcPr>
            <w:tcW w:w="0" w:type="auto"/>
            <w:tcBorders>
              <w:top w:val="single" w:sz="4" w:space="0" w:color="auto"/>
              <w:left w:val="single" w:sz="4" w:space="0" w:color="auto"/>
              <w:bottom w:val="single" w:sz="18" w:space="0" w:color="auto"/>
              <w:right w:val="single" w:sz="4" w:space="0" w:color="auto"/>
            </w:tcBorders>
            <w:vAlign w:val="center"/>
            <w:hideMark/>
          </w:tcPr>
          <w:p w14:paraId="2DB05788" w14:textId="77777777" w:rsidR="00366DC7" w:rsidRPr="00D65A2F" w:rsidRDefault="00366DC7" w:rsidP="00F55122">
            <w:pPr>
              <w:pStyle w:val="NoSpacing"/>
              <w:jc w:val="center"/>
              <w:rPr>
                <w:rFonts w:cs="Arial"/>
                <w:sz w:val="18"/>
                <w:szCs w:val="18"/>
              </w:rPr>
            </w:pPr>
            <w:r w:rsidRPr="00D65A2F">
              <w:rPr>
                <w:rFonts w:cs="Arial"/>
                <w:sz w:val="18"/>
                <w:szCs w:val="18"/>
              </w:rPr>
              <w:t>–270</w:t>
            </w:r>
          </w:p>
        </w:tc>
      </w:tr>
      <w:tr w:rsidR="00366DC7" w:rsidRPr="00D65A2F" w14:paraId="1E3ED9A7" w14:textId="77777777" w:rsidTr="00F55122">
        <w:trPr>
          <w:cantSplit/>
        </w:trPr>
        <w:tc>
          <w:tcPr>
            <w:tcW w:w="0" w:type="auto"/>
            <w:vMerge w:val="restart"/>
            <w:tcBorders>
              <w:top w:val="single" w:sz="18" w:space="0" w:color="auto"/>
              <w:left w:val="single" w:sz="4" w:space="0" w:color="auto"/>
              <w:bottom w:val="single" w:sz="18" w:space="0" w:color="auto"/>
              <w:right w:val="single" w:sz="4" w:space="0" w:color="auto"/>
            </w:tcBorders>
            <w:shd w:val="clear" w:color="auto" w:fill="FDE9D9" w:themeFill="accent6" w:themeFillTint="33"/>
            <w:vAlign w:val="center"/>
            <w:hideMark/>
          </w:tcPr>
          <w:p w14:paraId="592A93A4"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18" w:space="0" w:color="auto"/>
              <w:left w:val="single" w:sz="4" w:space="0" w:color="auto"/>
              <w:bottom w:val="single" w:sz="18" w:space="0" w:color="auto"/>
              <w:right w:val="single" w:sz="4" w:space="0" w:color="auto"/>
            </w:tcBorders>
            <w:shd w:val="clear" w:color="auto" w:fill="auto"/>
            <w:vAlign w:val="center"/>
            <w:hideMark/>
          </w:tcPr>
          <w:p w14:paraId="516EE487"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–7.5'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2641E2BD"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18" w:space="0" w:color="auto"/>
              <w:left w:val="single" w:sz="4" w:space="0" w:color="auto"/>
              <w:bottom w:val="single" w:sz="4" w:space="0" w:color="auto"/>
              <w:right w:val="single" w:sz="4" w:space="0" w:color="auto"/>
            </w:tcBorders>
            <w:vAlign w:val="center"/>
          </w:tcPr>
          <w:p w14:paraId="48A44261"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60935548"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0F3BA764"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7E9160F2" w14:textId="77777777" w:rsidR="00366DC7" w:rsidRPr="0021467C" w:rsidRDefault="00366DC7" w:rsidP="00F55122">
            <w:pPr>
              <w:pStyle w:val="NoSpacing"/>
              <w:jc w:val="center"/>
              <w:rPr>
                <w:rFonts w:cs="Arial"/>
                <w:b/>
                <w:sz w:val="18"/>
                <w:szCs w:val="18"/>
              </w:rPr>
            </w:pPr>
            <w:r w:rsidRPr="0021467C">
              <w:rPr>
                <w:rFonts w:cs="Arial"/>
                <w:b/>
                <w:sz w:val="18"/>
                <w:szCs w:val="18"/>
              </w:rPr>
              <w:t>–330</w:t>
            </w: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2A4117E8" w14:textId="77777777" w:rsidR="00366DC7" w:rsidRPr="0021467C" w:rsidRDefault="00366DC7" w:rsidP="00F55122">
            <w:pPr>
              <w:pStyle w:val="NoSpacing"/>
              <w:jc w:val="center"/>
              <w:rPr>
                <w:rFonts w:cs="Arial"/>
                <w:b/>
                <w:sz w:val="18"/>
                <w:szCs w:val="18"/>
              </w:rPr>
            </w:pPr>
            <w:r w:rsidRPr="0021467C">
              <w:rPr>
                <w:rFonts w:cs="Arial"/>
                <w:b/>
                <w:sz w:val="18"/>
                <w:szCs w:val="18"/>
              </w:rPr>
              <w:t>–300</w:t>
            </w:r>
          </w:p>
        </w:tc>
      </w:tr>
      <w:tr w:rsidR="00366DC7" w:rsidRPr="00D65A2F" w14:paraId="4C638894"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6C30A240"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20CD4F23"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7F61BC1D"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637AB2E6"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752DFFE3"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00BE9B9C" w14:textId="77777777" w:rsidR="00366DC7" w:rsidRPr="0021467C" w:rsidRDefault="00366DC7" w:rsidP="00F55122">
            <w:pPr>
              <w:pStyle w:val="NoSpacing"/>
              <w:jc w:val="center"/>
              <w:rPr>
                <w:rFonts w:cs="Arial"/>
                <w:sz w:val="18"/>
                <w:szCs w:val="18"/>
              </w:rPr>
            </w:pPr>
            <w:r w:rsidRPr="0021467C">
              <w:rPr>
                <w:rFonts w:cs="Arial"/>
                <w:sz w:val="18"/>
                <w:szCs w:val="18"/>
              </w:rPr>
              <w:t>–280</w:t>
            </w:r>
          </w:p>
        </w:tc>
        <w:tc>
          <w:tcPr>
            <w:tcW w:w="0" w:type="auto"/>
            <w:tcBorders>
              <w:top w:val="single" w:sz="4" w:space="0" w:color="auto"/>
              <w:left w:val="single" w:sz="4" w:space="0" w:color="auto"/>
              <w:bottom w:val="single" w:sz="18" w:space="0" w:color="auto"/>
              <w:right w:val="single" w:sz="4" w:space="0" w:color="auto"/>
            </w:tcBorders>
            <w:vAlign w:val="center"/>
            <w:hideMark/>
          </w:tcPr>
          <w:p w14:paraId="2B6451C4" w14:textId="77777777" w:rsidR="00366DC7" w:rsidRPr="0021467C" w:rsidRDefault="00366DC7" w:rsidP="00F55122">
            <w:pPr>
              <w:pStyle w:val="NoSpacing"/>
              <w:jc w:val="center"/>
              <w:rPr>
                <w:rFonts w:cs="Arial"/>
                <w:sz w:val="18"/>
                <w:szCs w:val="18"/>
              </w:rPr>
            </w:pPr>
            <w:r w:rsidRPr="0021467C">
              <w:rPr>
                <w:rFonts w:cs="Arial"/>
                <w:sz w:val="18"/>
                <w:szCs w:val="18"/>
              </w:rPr>
              <w:t>–330</w:t>
            </w:r>
          </w:p>
        </w:tc>
        <w:tc>
          <w:tcPr>
            <w:tcW w:w="0" w:type="auto"/>
            <w:tcBorders>
              <w:top w:val="single" w:sz="4" w:space="0" w:color="auto"/>
              <w:left w:val="single" w:sz="4" w:space="0" w:color="auto"/>
              <w:bottom w:val="single" w:sz="18" w:space="0" w:color="auto"/>
              <w:right w:val="single" w:sz="4" w:space="0" w:color="auto"/>
            </w:tcBorders>
            <w:vAlign w:val="center"/>
            <w:hideMark/>
          </w:tcPr>
          <w:p w14:paraId="42A1987B" w14:textId="77777777" w:rsidR="00366DC7" w:rsidRPr="0021467C" w:rsidRDefault="00366DC7" w:rsidP="00F55122">
            <w:pPr>
              <w:pStyle w:val="NoSpacing"/>
              <w:jc w:val="center"/>
              <w:rPr>
                <w:rFonts w:cs="Arial"/>
                <w:sz w:val="18"/>
                <w:szCs w:val="18"/>
              </w:rPr>
            </w:pPr>
            <w:r w:rsidRPr="0021467C">
              <w:rPr>
                <w:rFonts w:cs="Arial"/>
                <w:sz w:val="18"/>
                <w:szCs w:val="18"/>
              </w:rPr>
              <w:t>–300</w:t>
            </w:r>
          </w:p>
        </w:tc>
      </w:tr>
      <w:tr w:rsidR="00366DC7" w:rsidRPr="00D65A2F" w14:paraId="1886E001" w14:textId="77777777" w:rsidTr="00F55122">
        <w:trPr>
          <w:cantSplit/>
        </w:trPr>
        <w:tc>
          <w:tcPr>
            <w:tcW w:w="0" w:type="auto"/>
            <w:vMerge w:val="restart"/>
            <w:tcBorders>
              <w:top w:val="single" w:sz="18" w:space="0" w:color="auto"/>
              <w:left w:val="single" w:sz="4" w:space="0" w:color="auto"/>
              <w:bottom w:val="single" w:sz="18" w:space="0" w:color="auto"/>
              <w:right w:val="single" w:sz="4" w:space="0" w:color="auto"/>
            </w:tcBorders>
            <w:shd w:val="clear" w:color="auto" w:fill="FDE9D9" w:themeFill="accent6" w:themeFillTint="33"/>
            <w:vAlign w:val="center"/>
            <w:hideMark/>
          </w:tcPr>
          <w:p w14:paraId="217B687D"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18" w:space="0" w:color="auto"/>
              <w:left w:val="single" w:sz="4" w:space="0" w:color="auto"/>
              <w:bottom w:val="single" w:sz="18" w:space="0" w:color="auto"/>
              <w:right w:val="single" w:sz="4" w:space="0" w:color="auto"/>
            </w:tcBorders>
            <w:shd w:val="clear" w:color="auto" w:fill="auto"/>
            <w:vAlign w:val="center"/>
            <w:hideMark/>
          </w:tcPr>
          <w:p w14:paraId="16644B45"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+7.5'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20A850F6"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18" w:space="0" w:color="auto"/>
              <w:left w:val="single" w:sz="4" w:space="0" w:color="auto"/>
              <w:bottom w:val="single" w:sz="4" w:space="0" w:color="auto"/>
              <w:right w:val="single" w:sz="4" w:space="0" w:color="auto"/>
            </w:tcBorders>
            <w:vAlign w:val="center"/>
          </w:tcPr>
          <w:p w14:paraId="7436BE5D"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7331DD2F"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5AFF4763"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0E628FCA" w14:textId="77777777" w:rsidR="00366DC7" w:rsidRPr="0021467C" w:rsidRDefault="00366DC7" w:rsidP="00F55122">
            <w:pPr>
              <w:pStyle w:val="NoSpacing"/>
              <w:jc w:val="center"/>
              <w:rPr>
                <w:rFonts w:cs="Arial"/>
                <w:b/>
                <w:sz w:val="18"/>
                <w:szCs w:val="18"/>
              </w:rPr>
            </w:pPr>
            <w:r w:rsidRPr="0021467C">
              <w:rPr>
                <w:rFonts w:cs="Arial"/>
                <w:b/>
                <w:sz w:val="18"/>
                <w:szCs w:val="18"/>
              </w:rPr>
              <w:t>–280</w:t>
            </w: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7632DE4B" w14:textId="77777777" w:rsidR="00366DC7" w:rsidRPr="0021467C" w:rsidRDefault="00366DC7" w:rsidP="00F55122">
            <w:pPr>
              <w:pStyle w:val="NoSpacing"/>
              <w:jc w:val="center"/>
              <w:rPr>
                <w:rFonts w:cs="Arial"/>
                <w:b/>
                <w:sz w:val="18"/>
                <w:szCs w:val="18"/>
              </w:rPr>
            </w:pPr>
            <w:r w:rsidRPr="0021467C">
              <w:rPr>
                <w:rFonts w:cs="Arial"/>
                <w:b/>
                <w:sz w:val="18"/>
                <w:szCs w:val="18"/>
              </w:rPr>
              <w:t>–330</w:t>
            </w:r>
          </w:p>
        </w:tc>
      </w:tr>
      <w:tr w:rsidR="00366DC7" w:rsidRPr="00D65A2F" w14:paraId="5D16D3C1"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094C4A7A"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4ED1E211"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64DA8568"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2E3CE1D1"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70AFCC24"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23376A48" w14:textId="77777777" w:rsidR="00366DC7" w:rsidRPr="0021467C"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1FF50089" w14:textId="77777777" w:rsidR="00366DC7" w:rsidRPr="0021467C" w:rsidRDefault="00366DC7" w:rsidP="00F55122">
            <w:pPr>
              <w:pStyle w:val="NoSpacing"/>
              <w:jc w:val="center"/>
              <w:rPr>
                <w:rFonts w:cs="Arial"/>
                <w:sz w:val="18"/>
                <w:szCs w:val="18"/>
              </w:rPr>
            </w:pPr>
            <w:r w:rsidRPr="0021467C">
              <w:rPr>
                <w:rFonts w:cs="Arial"/>
                <w:sz w:val="18"/>
                <w:szCs w:val="18"/>
              </w:rPr>
              <w:t>–260</w:t>
            </w:r>
          </w:p>
        </w:tc>
        <w:tc>
          <w:tcPr>
            <w:tcW w:w="0" w:type="auto"/>
            <w:tcBorders>
              <w:top w:val="single" w:sz="4" w:space="0" w:color="auto"/>
              <w:left w:val="single" w:sz="4" w:space="0" w:color="auto"/>
              <w:bottom w:val="single" w:sz="18" w:space="0" w:color="auto"/>
              <w:right w:val="single" w:sz="4" w:space="0" w:color="auto"/>
            </w:tcBorders>
            <w:vAlign w:val="center"/>
            <w:hideMark/>
          </w:tcPr>
          <w:p w14:paraId="152239F9" w14:textId="77777777" w:rsidR="00366DC7" w:rsidRPr="0021467C" w:rsidRDefault="00366DC7" w:rsidP="00F55122">
            <w:pPr>
              <w:pStyle w:val="NoSpacing"/>
              <w:jc w:val="center"/>
              <w:rPr>
                <w:rFonts w:cs="Arial"/>
                <w:sz w:val="18"/>
                <w:szCs w:val="18"/>
              </w:rPr>
            </w:pPr>
            <w:r w:rsidRPr="0021467C">
              <w:rPr>
                <w:rFonts w:cs="Arial"/>
                <w:sz w:val="18"/>
                <w:szCs w:val="18"/>
              </w:rPr>
              <w:t>–330</w:t>
            </w:r>
          </w:p>
        </w:tc>
      </w:tr>
      <w:tr w:rsidR="00366DC7" w:rsidRPr="00D65A2F" w14:paraId="21E97B93" w14:textId="77777777" w:rsidTr="00F55122">
        <w:trPr>
          <w:cantSplit/>
        </w:trPr>
        <w:tc>
          <w:tcPr>
            <w:tcW w:w="0" w:type="auto"/>
            <w:vMerge w:val="restart"/>
            <w:tcBorders>
              <w:top w:val="single" w:sz="18" w:space="0" w:color="auto"/>
              <w:left w:val="single" w:sz="4" w:space="0" w:color="auto"/>
              <w:bottom w:val="single" w:sz="18" w:space="0" w:color="auto"/>
              <w:right w:val="single" w:sz="4" w:space="0" w:color="auto"/>
            </w:tcBorders>
            <w:shd w:val="clear" w:color="auto" w:fill="FDE9D9" w:themeFill="accent6" w:themeFillTint="33"/>
            <w:vAlign w:val="center"/>
            <w:hideMark/>
          </w:tcPr>
          <w:p w14:paraId="4FC68C32" w14:textId="77777777" w:rsidR="00366DC7" w:rsidRPr="00D65A2F" w:rsidRDefault="00366DC7" w:rsidP="00F55122">
            <w:pPr>
              <w:pStyle w:val="NoSpacing"/>
              <w:rPr>
                <w:rFonts w:cs="Arial"/>
                <w:sz w:val="18"/>
                <w:szCs w:val="18"/>
              </w:rPr>
            </w:pPr>
            <w:r w:rsidRPr="00D65A2F">
              <w:rPr>
                <w:rFonts w:cs="Arial"/>
                <w:sz w:val="18"/>
                <w:szCs w:val="18"/>
              </w:rPr>
              <w:t>FMM</w:t>
            </w:r>
          </w:p>
        </w:tc>
        <w:tc>
          <w:tcPr>
            <w:tcW w:w="0" w:type="auto"/>
            <w:vMerge w:val="restart"/>
            <w:tcBorders>
              <w:top w:val="single" w:sz="18" w:space="0" w:color="auto"/>
              <w:left w:val="single" w:sz="4" w:space="0" w:color="auto"/>
              <w:bottom w:val="single" w:sz="18" w:space="0" w:color="auto"/>
              <w:right w:val="single" w:sz="4" w:space="0" w:color="auto"/>
            </w:tcBorders>
            <w:shd w:val="clear" w:color="auto" w:fill="auto"/>
            <w:vAlign w:val="center"/>
            <w:hideMark/>
          </w:tcPr>
          <w:p w14:paraId="0EFD4863" w14:textId="77777777" w:rsidR="00366DC7" w:rsidRPr="00D65A2F" w:rsidRDefault="00366DC7" w:rsidP="00F55122">
            <w:pPr>
              <w:pStyle w:val="NoSpacing"/>
              <w:rPr>
                <w:rFonts w:cs="Arial"/>
                <w:sz w:val="18"/>
                <w:szCs w:val="18"/>
              </w:rPr>
            </w:pPr>
            <w:r w:rsidRPr="00D65A2F">
              <w:rPr>
                <w:rFonts w:cs="Arial"/>
                <w:i/>
                <w:sz w:val="18"/>
                <w:szCs w:val="18"/>
              </w:rPr>
              <w:t>T</w:t>
            </w:r>
            <w:r w:rsidRPr="00D65A2F">
              <w:rPr>
                <w:rFonts w:cs="Arial"/>
                <w:sz w:val="18"/>
                <w:szCs w:val="18"/>
              </w:rPr>
              <w:t>+22.5'</w:t>
            </w:r>
          </w:p>
        </w:tc>
        <w:tc>
          <w:tcPr>
            <w:tcW w:w="0" w:type="auto"/>
            <w:tcBorders>
              <w:top w:val="single" w:sz="18" w:space="0" w:color="auto"/>
              <w:left w:val="single" w:sz="4" w:space="0" w:color="auto"/>
              <w:bottom w:val="single" w:sz="4" w:space="0" w:color="auto"/>
              <w:right w:val="single" w:sz="4" w:space="0" w:color="auto"/>
            </w:tcBorders>
            <w:shd w:val="clear" w:color="auto" w:fill="auto"/>
            <w:vAlign w:val="center"/>
            <w:hideMark/>
          </w:tcPr>
          <w:p w14:paraId="25CEB8DC" w14:textId="77777777" w:rsidR="00366DC7" w:rsidRPr="00D65A2F" w:rsidRDefault="00366DC7" w:rsidP="00F55122">
            <w:pPr>
              <w:pStyle w:val="NoSpacing"/>
              <w:rPr>
                <w:rFonts w:cs="Arial"/>
                <w:sz w:val="18"/>
                <w:szCs w:val="18"/>
              </w:rPr>
            </w:pPr>
            <w:r w:rsidRPr="00D65A2F">
              <w:rPr>
                <w:rFonts w:cs="Arial"/>
                <w:sz w:val="18"/>
                <w:szCs w:val="18"/>
              </w:rPr>
              <w:t>Transfer Limit (MW)</w:t>
            </w:r>
          </w:p>
        </w:tc>
        <w:tc>
          <w:tcPr>
            <w:tcW w:w="0" w:type="auto"/>
            <w:tcBorders>
              <w:top w:val="single" w:sz="18" w:space="0" w:color="auto"/>
              <w:left w:val="single" w:sz="4" w:space="0" w:color="auto"/>
              <w:bottom w:val="single" w:sz="4" w:space="0" w:color="auto"/>
              <w:right w:val="single" w:sz="4" w:space="0" w:color="auto"/>
            </w:tcBorders>
            <w:vAlign w:val="center"/>
          </w:tcPr>
          <w:p w14:paraId="0696A0EC"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5BA83EC5"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607CFEE1"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vAlign w:val="center"/>
          </w:tcPr>
          <w:p w14:paraId="364AEC7C" w14:textId="77777777" w:rsidR="00366DC7" w:rsidRPr="00D65A2F" w:rsidRDefault="00366DC7" w:rsidP="00F55122">
            <w:pPr>
              <w:pStyle w:val="NoSpacing"/>
              <w:jc w:val="center"/>
              <w:rPr>
                <w:rFonts w:cs="Arial"/>
                <w:sz w:val="18"/>
                <w:szCs w:val="18"/>
              </w:rPr>
            </w:pPr>
          </w:p>
        </w:tc>
        <w:tc>
          <w:tcPr>
            <w:tcW w:w="0" w:type="auto"/>
            <w:tcBorders>
              <w:top w:val="single" w:sz="18" w:space="0" w:color="auto"/>
              <w:left w:val="single" w:sz="4" w:space="0" w:color="auto"/>
              <w:bottom w:val="single" w:sz="4" w:space="0" w:color="auto"/>
              <w:right w:val="single" w:sz="4" w:space="0" w:color="auto"/>
            </w:tcBorders>
            <w:shd w:val="clear" w:color="auto" w:fill="FF9999"/>
            <w:vAlign w:val="center"/>
            <w:hideMark/>
          </w:tcPr>
          <w:p w14:paraId="735F165A" w14:textId="77777777" w:rsidR="00366DC7" w:rsidRPr="0021467C" w:rsidRDefault="00366DC7" w:rsidP="00F55122">
            <w:pPr>
              <w:pStyle w:val="NoSpacing"/>
              <w:jc w:val="center"/>
              <w:rPr>
                <w:rFonts w:cs="Arial"/>
                <w:b/>
                <w:sz w:val="18"/>
                <w:szCs w:val="18"/>
              </w:rPr>
            </w:pPr>
            <w:r w:rsidRPr="0021467C">
              <w:rPr>
                <w:rFonts w:cs="Arial"/>
                <w:b/>
                <w:sz w:val="18"/>
                <w:szCs w:val="18"/>
              </w:rPr>
              <w:t>–260</w:t>
            </w:r>
          </w:p>
        </w:tc>
      </w:tr>
      <w:tr w:rsidR="00366DC7" w:rsidRPr="00D65A2F" w14:paraId="4B341742" w14:textId="77777777" w:rsidTr="00F55122">
        <w:trPr>
          <w:cantSplit/>
        </w:trPr>
        <w:tc>
          <w:tcPr>
            <w:tcW w:w="0" w:type="auto"/>
            <w:vMerge/>
            <w:tcBorders>
              <w:top w:val="single" w:sz="4" w:space="0" w:color="auto"/>
              <w:left w:val="single" w:sz="4" w:space="0" w:color="auto"/>
              <w:bottom w:val="single" w:sz="18" w:space="0" w:color="auto"/>
              <w:right w:val="single" w:sz="4" w:space="0" w:color="auto"/>
            </w:tcBorders>
            <w:shd w:val="clear" w:color="auto" w:fill="FDE9D9" w:themeFill="accent6" w:themeFillTint="33"/>
            <w:vAlign w:val="center"/>
            <w:hideMark/>
          </w:tcPr>
          <w:p w14:paraId="15367A11" w14:textId="77777777" w:rsidR="00366DC7" w:rsidRPr="00D65A2F" w:rsidRDefault="00366DC7" w:rsidP="00F55122">
            <w:pPr>
              <w:pStyle w:val="NoSpacing"/>
              <w:rPr>
                <w:rFonts w:cs="Arial"/>
                <w:sz w:val="18"/>
                <w:szCs w:val="18"/>
              </w:rPr>
            </w:pPr>
          </w:p>
        </w:tc>
        <w:tc>
          <w:tcPr>
            <w:tcW w:w="0" w:type="auto"/>
            <w:vMerge/>
            <w:tcBorders>
              <w:top w:val="single" w:sz="4" w:space="0" w:color="auto"/>
              <w:left w:val="single" w:sz="4" w:space="0" w:color="auto"/>
              <w:bottom w:val="single" w:sz="18" w:space="0" w:color="auto"/>
              <w:right w:val="single" w:sz="4" w:space="0" w:color="auto"/>
            </w:tcBorders>
            <w:shd w:val="clear" w:color="auto" w:fill="auto"/>
            <w:vAlign w:val="center"/>
            <w:hideMark/>
          </w:tcPr>
          <w:p w14:paraId="65F59279" w14:textId="77777777" w:rsidR="00366DC7" w:rsidRPr="00D65A2F" w:rsidRDefault="00366DC7" w:rsidP="00F55122">
            <w:pPr>
              <w:pStyle w:val="NoSpacing"/>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shd w:val="clear" w:color="auto" w:fill="auto"/>
            <w:vAlign w:val="center"/>
            <w:hideMark/>
          </w:tcPr>
          <w:p w14:paraId="190123EC" w14:textId="77777777" w:rsidR="00366DC7" w:rsidRPr="00D65A2F" w:rsidRDefault="00366DC7" w:rsidP="00F55122">
            <w:pPr>
              <w:pStyle w:val="NoSpacing"/>
              <w:rPr>
                <w:rFonts w:cs="Arial"/>
                <w:sz w:val="18"/>
                <w:szCs w:val="18"/>
              </w:rPr>
            </w:pPr>
            <w:r w:rsidRPr="00D65A2F">
              <w:rPr>
                <w:rFonts w:cs="Arial"/>
                <w:sz w:val="18"/>
                <w:szCs w:val="18"/>
              </w:rPr>
              <w:t>EIM Transfer (MW)</w:t>
            </w:r>
          </w:p>
        </w:tc>
        <w:tc>
          <w:tcPr>
            <w:tcW w:w="0" w:type="auto"/>
            <w:tcBorders>
              <w:top w:val="single" w:sz="4" w:space="0" w:color="auto"/>
              <w:left w:val="single" w:sz="4" w:space="0" w:color="auto"/>
              <w:bottom w:val="single" w:sz="18" w:space="0" w:color="auto"/>
              <w:right w:val="single" w:sz="4" w:space="0" w:color="auto"/>
            </w:tcBorders>
            <w:vAlign w:val="center"/>
          </w:tcPr>
          <w:p w14:paraId="5BCBC0CA"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32AFFE18"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24B3AA19"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tcPr>
          <w:p w14:paraId="1B915095" w14:textId="77777777" w:rsidR="00366DC7" w:rsidRPr="00D65A2F" w:rsidRDefault="00366DC7" w:rsidP="00F55122">
            <w:pPr>
              <w:pStyle w:val="NoSpacing"/>
              <w:jc w:val="center"/>
              <w:rPr>
                <w:rFonts w:cs="Arial"/>
                <w:sz w:val="18"/>
                <w:szCs w:val="18"/>
              </w:rPr>
            </w:pPr>
          </w:p>
        </w:tc>
        <w:tc>
          <w:tcPr>
            <w:tcW w:w="0" w:type="auto"/>
            <w:tcBorders>
              <w:top w:val="single" w:sz="4" w:space="0" w:color="auto"/>
              <w:left w:val="single" w:sz="4" w:space="0" w:color="auto"/>
              <w:bottom w:val="single" w:sz="18" w:space="0" w:color="auto"/>
              <w:right w:val="single" w:sz="4" w:space="0" w:color="auto"/>
            </w:tcBorders>
            <w:vAlign w:val="center"/>
            <w:hideMark/>
          </w:tcPr>
          <w:p w14:paraId="30CD3341" w14:textId="77777777" w:rsidR="00366DC7" w:rsidRPr="00D65A2F" w:rsidRDefault="00366DC7" w:rsidP="00F55122">
            <w:pPr>
              <w:pStyle w:val="NoSpacing"/>
              <w:jc w:val="center"/>
              <w:rPr>
                <w:rFonts w:cs="Arial"/>
                <w:sz w:val="18"/>
                <w:szCs w:val="18"/>
              </w:rPr>
            </w:pPr>
            <w:r w:rsidRPr="00D65A2F">
              <w:rPr>
                <w:rFonts w:cs="Arial"/>
                <w:sz w:val="18"/>
                <w:szCs w:val="18"/>
              </w:rPr>
              <w:t>–260</w:t>
            </w:r>
          </w:p>
        </w:tc>
      </w:tr>
    </w:tbl>
    <w:p w14:paraId="286D263B" w14:textId="77777777" w:rsidR="00366DC7" w:rsidRDefault="00366DC7">
      <w:r>
        <w:t xml:space="preserve"> </w:t>
      </w:r>
    </w:p>
    <w:p w14:paraId="5CB5F647" w14:textId="2C2CD109" w:rsidR="00414D3F" w:rsidRPr="00414D3F" w:rsidRDefault="00414D3F" w:rsidP="00366DC7">
      <w:pPr>
        <w:ind w:left="1080"/>
        <w:rPr>
          <w:rFonts w:eastAsia="Calibri"/>
        </w:rPr>
      </w:pPr>
    </w:p>
    <w:p w14:paraId="4BB5F808" w14:textId="77777777" w:rsidR="008817D0" w:rsidRPr="008817D0" w:rsidRDefault="008817D0" w:rsidP="00C33762">
      <w:pPr>
        <w:pStyle w:val="Heading4"/>
        <w:rPr>
          <w:rFonts w:eastAsia="Calibri"/>
        </w:rPr>
      </w:pPr>
      <w:bookmarkStart w:id="1936" w:name="_Toc390869246"/>
      <w:r w:rsidRPr="008817D0">
        <w:rPr>
          <w:rFonts w:eastAsia="Calibri"/>
        </w:rPr>
        <w:t>Flexible Ramp Sufficiency Test Details</w:t>
      </w:r>
      <w:bookmarkEnd w:id="1936"/>
    </w:p>
    <w:p w14:paraId="1EF91683" w14:textId="57B5041C" w:rsidR="008817D0" w:rsidRPr="008817D0" w:rsidRDefault="008817D0" w:rsidP="008817D0">
      <w:pPr>
        <w:spacing w:after="240" w:line="300" w:lineRule="auto"/>
        <w:rPr>
          <w:rFonts w:eastAsia="Calibri"/>
        </w:rPr>
      </w:pPr>
      <w:r w:rsidRPr="008817D0">
        <w:rPr>
          <w:rFonts w:eastAsia="Calibri"/>
        </w:rPr>
        <w:t xml:space="preserve">The individual EIM Entity BAA requirement for the flexible ramp sufficiency test will be calculated </w:t>
      </w:r>
      <w:r w:rsidR="006D0170">
        <w:rPr>
          <w:rFonts w:eastAsia="Calibri"/>
        </w:rPr>
        <w:t xml:space="preserve">for the </w:t>
      </w:r>
      <w:r w:rsidR="007600DF">
        <w:rPr>
          <w:rFonts w:eastAsia="Calibri"/>
        </w:rPr>
        <w:t xml:space="preserve">next </w:t>
      </w:r>
      <w:r w:rsidR="006D0170">
        <w:rPr>
          <w:rFonts w:eastAsia="Calibri"/>
        </w:rPr>
        <w:t xml:space="preserve">hour </w:t>
      </w:r>
      <w:r w:rsidR="00F53882">
        <w:rPr>
          <w:rFonts w:eastAsia="Calibri"/>
        </w:rPr>
        <w:t xml:space="preserve">(using algebraic notation) </w:t>
      </w:r>
      <w:r w:rsidRPr="008817D0">
        <w:rPr>
          <w:rFonts w:eastAsia="Calibri"/>
        </w:rPr>
        <w:t>as follows:</w:t>
      </w:r>
    </w:p>
    <w:p w14:paraId="54E15DA1" w14:textId="6733E506" w:rsidR="008817D0" w:rsidRDefault="007818F5" w:rsidP="008817D0">
      <w:pPr>
        <w:spacing w:after="240" w:line="300" w:lineRule="auto"/>
        <w:rPr>
          <w:rFonts w:eastAsia="Calibri"/>
        </w:rPr>
      </w:pPr>
      <m:oMathPara>
        <m:oMathParaPr>
          <m:jc m:val="left"/>
        </m:oMathParaPr>
        <m:oMath>
          <m:sSub>
            <m:sSubPr>
              <m:ctrlPr>
                <w:rPr>
                  <w:rFonts w:ascii="Cambria Math" w:hAnsi="Cambria Math"/>
                  <w:i/>
                  <w:color w:val="000000"/>
                </w:rPr>
              </m:ctrlPr>
            </m:sSubPr>
            <m:e>
              <m:r>
                <w:rPr>
                  <w:rFonts w:ascii="Cambria Math" w:eastAsia="Calibri" w:hAnsi="Cambria Math"/>
                  <w:color w:val="000000"/>
                </w:rPr>
                <m:t>FRUR'</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eastAsia="Calibri" w:hAnsi="Cambria Math"/>
                  <w:i/>
                  <w:color w:val="000000"/>
                </w:rPr>
              </m:ctrlPr>
            </m:sSubPr>
            <m:e>
              <m:r>
                <w:rPr>
                  <w:rFonts w:ascii="Cambria Math" w:eastAsia="Calibri" w:hAnsi="Cambria Math"/>
                  <w:color w:val="000000"/>
                </w:rPr>
                <m:t>D</m:t>
              </m:r>
            </m:e>
            <m:sub>
              <m:r>
                <w:rPr>
                  <w:rFonts w:ascii="Cambria Math" w:eastAsia="Calibri" w:hAnsi="Cambria Math"/>
                  <w:color w:val="000000"/>
                </w:rPr>
                <m:t>i</m:t>
              </m:r>
            </m:sub>
          </m:sSub>
          <m:r>
            <m:rPr>
              <m:sty m:val="p"/>
            </m:rPr>
            <w:rPr>
              <w:rFonts w:ascii="Cambria Math" w:eastAsia="Calibri" w:hAnsi="Cambria Math"/>
              <w:color w:val="000000"/>
            </w:rPr>
            <m:t>+max</m:t>
          </m:r>
          <m:d>
            <m:dPr>
              <m:ctrlPr>
                <w:rPr>
                  <w:rFonts w:ascii="Cambria Math" w:hAnsi="Cambria Math"/>
                  <w:i/>
                  <w:color w:val="000000"/>
                </w:rPr>
              </m:ctrlPr>
            </m:dPr>
            <m:e>
              <m:sSub>
                <m:sSubPr>
                  <m:ctrlPr>
                    <w:rPr>
                      <w:rFonts w:ascii="Cambria Math" w:hAnsi="Cambria Math"/>
                      <w:i/>
                      <w:color w:val="000000"/>
                    </w:rPr>
                  </m:ctrlPr>
                </m:sSubPr>
                <m:e>
                  <m:r>
                    <w:rPr>
                      <w:rFonts w:ascii="Cambria Math" w:eastAsia="Calibri" w:hAnsi="Cambria Math"/>
                      <w:color w:val="000000"/>
                    </w:rPr>
                    <m:t>FRUR</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hAnsi="Cambria Math"/>
                      <w:i/>
                      <w:color w:val="000000"/>
                    </w:rPr>
                  </m:ctrlPr>
                </m:sSubPr>
                <m:e>
                  <m:r>
                    <w:rPr>
                      <w:rFonts w:ascii="Cambria Math" w:eastAsia="Calibri" w:hAnsi="Cambria Math"/>
                      <w:color w:val="000000"/>
                    </w:rPr>
                    <m:t>NIC</m:t>
                  </m:r>
                </m:e>
                <m:sub>
                  <m:r>
                    <w:rPr>
                      <w:rFonts w:ascii="Cambria Math" w:eastAsia="Calibri" w:hAnsi="Cambria Math"/>
                      <w:color w:val="000000"/>
                    </w:rPr>
                    <m:t>i</m:t>
                  </m:r>
                </m:sub>
              </m:sSub>
              <m:r>
                <w:rPr>
                  <w:rFonts w:ascii="Cambria Math" w:eastAsia="Calibri" w:hAnsi="Cambria Math"/>
                  <w:color w:val="000000"/>
                </w:rPr>
                <m:t xml:space="preserve">, </m:t>
              </m:r>
              <m:sSub>
                <m:sSubPr>
                  <m:ctrlPr>
                    <w:rPr>
                      <w:rFonts w:ascii="Cambria Math" w:hAnsi="Cambria Math"/>
                      <w:i/>
                      <w:color w:val="000000"/>
                    </w:rPr>
                  </m:ctrlPr>
                </m:sSubPr>
                <m:e>
                  <m:r>
                    <w:rPr>
                      <w:rFonts w:ascii="Cambria Math" w:eastAsia="Calibri" w:hAnsi="Cambria Math"/>
                      <w:color w:val="000000"/>
                    </w:rPr>
                    <m:t>FRUR</m:t>
                  </m:r>
                </m:e>
                <m:sub>
                  <m:r>
                    <w:rPr>
                      <w:rFonts w:ascii="Cambria Math" w:eastAsia="Calibri" w:hAnsi="Cambria Math"/>
                      <w:color w:val="000000"/>
                    </w:rPr>
                    <m:t>i</m:t>
                  </m:r>
                </m:sub>
              </m:sSub>
              <m:f>
                <m:fPr>
                  <m:ctrlPr>
                    <w:rPr>
                      <w:rFonts w:ascii="Cambria Math" w:hAnsi="Cambria Math"/>
                      <w:i/>
                      <w:color w:val="000000"/>
                    </w:rPr>
                  </m:ctrlPr>
                </m:fPr>
                <m:num>
                  <m:r>
                    <w:rPr>
                      <w:rFonts w:ascii="Cambria Math" w:hAnsi="Cambria Math"/>
                      <w:color w:val="000000"/>
                    </w:rPr>
                    <m:t>FRUR</m:t>
                  </m:r>
                </m:num>
                <m:den>
                  <m:r>
                    <w:rPr>
                      <w:rFonts w:ascii="Cambria Math" w:eastAsia="Calibri" w:hAnsi="Cambria Math"/>
                      <w:color w:val="000000"/>
                    </w:rPr>
                    <m:t>TFRUR</m:t>
                  </m:r>
                </m:den>
              </m:f>
              <m:r>
                <w:rPr>
                  <w:rFonts w:ascii="Cambria Math" w:eastAsia="Calibri" w:hAnsi="Cambria Math"/>
                  <w:color w:val="000000"/>
                </w:rPr>
                <m:t>-</m:t>
              </m:r>
              <m:sSub>
                <m:sSubPr>
                  <m:ctrlPr>
                    <w:rPr>
                      <w:rFonts w:ascii="Cambria Math" w:hAnsi="Cambria Math"/>
                      <w:i/>
                      <w:color w:val="000000"/>
                    </w:rPr>
                  </m:ctrlPr>
                </m:sSubPr>
                <m:e>
                  <m:r>
                    <w:rPr>
                      <w:rFonts w:ascii="Cambria Math" w:eastAsia="Calibri" w:hAnsi="Cambria Math"/>
                      <w:color w:val="000000"/>
                    </w:rPr>
                    <m:t>FRUC</m:t>
                  </m:r>
                </m:e>
                <m:sub>
                  <m:r>
                    <w:rPr>
                      <w:rFonts w:ascii="Cambria Math" w:eastAsia="Calibri" w:hAnsi="Cambria Math"/>
                      <w:color w:val="000000"/>
                    </w:rPr>
                    <m:t>i</m:t>
                  </m:r>
                </m:sub>
              </m:sSub>
            </m:e>
          </m:d>
          <m:r>
            <m:rPr>
              <m:sty m:val="p"/>
            </m:rPr>
            <w:rPr>
              <w:rFonts w:eastAsia="Calibri"/>
            </w:rPr>
            <w:br/>
          </m:r>
        </m:oMath>
        <m:oMath>
          <m:r>
            <m:rPr>
              <m:sty m:val="p"/>
            </m:rPr>
            <w:rPr>
              <w:rFonts w:ascii="Cambria Math" w:hAnsi="Cambria Math"/>
              <w:color w:val="000000"/>
            </w:rPr>
            <w:br/>
          </m:r>
        </m:oMath>
        <m:oMath>
          <m:sSub>
            <m:sSubPr>
              <m:ctrlPr>
                <w:rPr>
                  <w:rFonts w:ascii="Cambria Math" w:hAnsi="Cambria Math"/>
                  <w:i/>
                  <w:color w:val="000000"/>
                </w:rPr>
              </m:ctrlPr>
            </m:sSubPr>
            <m:e>
              <m:r>
                <w:rPr>
                  <w:rFonts w:ascii="Cambria Math" w:eastAsia="Calibri" w:hAnsi="Cambria Math"/>
                  <w:color w:val="000000"/>
                </w:rPr>
                <m:t>FRDR'</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eastAsia="Calibri" w:hAnsi="Cambria Math"/>
                  <w:i/>
                  <w:color w:val="000000"/>
                </w:rPr>
              </m:ctrlPr>
            </m:sSubPr>
            <m:e>
              <m:r>
                <w:rPr>
                  <w:rFonts w:ascii="Cambria Math" w:eastAsia="Calibri" w:hAnsi="Cambria Math"/>
                  <w:color w:val="000000"/>
                </w:rPr>
                <m:t>D</m:t>
              </m:r>
            </m:e>
            <m:sub>
              <m:r>
                <w:rPr>
                  <w:rFonts w:ascii="Cambria Math" w:eastAsia="Calibri" w:hAnsi="Cambria Math"/>
                  <w:color w:val="000000"/>
                </w:rPr>
                <m:t>i</m:t>
              </m:r>
            </m:sub>
          </m:sSub>
          <m:r>
            <m:rPr>
              <m:sty m:val="p"/>
            </m:rPr>
            <w:rPr>
              <w:rFonts w:ascii="Cambria Math" w:eastAsia="Calibri" w:hAnsi="Cambria Math"/>
              <w:color w:val="000000"/>
            </w:rPr>
            <m:t>+min</m:t>
          </m:r>
          <m:d>
            <m:dPr>
              <m:ctrlPr>
                <w:rPr>
                  <w:rFonts w:ascii="Cambria Math" w:hAnsi="Cambria Math"/>
                  <w:i/>
                  <w:color w:val="000000"/>
                </w:rPr>
              </m:ctrlPr>
            </m:dPr>
            <m:e>
              <m:r>
                <w:rPr>
                  <w:rFonts w:ascii="Cambria Math" w:eastAsia="Calibri" w:hAnsi="Cambria Math"/>
                  <w:color w:val="000000"/>
                </w:rPr>
                <m:t xml:space="preserve"> </m:t>
              </m:r>
              <m:sSub>
                <m:sSubPr>
                  <m:ctrlPr>
                    <w:rPr>
                      <w:rFonts w:ascii="Cambria Math" w:hAnsi="Cambria Math"/>
                      <w:i/>
                      <w:color w:val="000000"/>
                    </w:rPr>
                  </m:ctrlPr>
                </m:sSubPr>
                <m:e>
                  <m:r>
                    <w:rPr>
                      <w:rFonts w:ascii="Cambria Math" w:eastAsia="Calibri" w:hAnsi="Cambria Math"/>
                      <w:color w:val="000000"/>
                    </w:rPr>
                    <m:t>FRDR</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hAnsi="Cambria Math"/>
                      <w:i/>
                      <w:color w:val="000000"/>
                    </w:rPr>
                  </m:ctrlPr>
                </m:sSubPr>
                <m:e>
                  <m:r>
                    <w:rPr>
                      <w:rFonts w:ascii="Cambria Math" w:eastAsia="Calibri" w:hAnsi="Cambria Math"/>
                      <w:color w:val="000000"/>
                    </w:rPr>
                    <m:t>NEC</m:t>
                  </m:r>
                </m:e>
                <m:sub>
                  <m:r>
                    <w:rPr>
                      <w:rFonts w:ascii="Cambria Math" w:eastAsia="Calibri" w:hAnsi="Cambria Math"/>
                      <w:color w:val="000000"/>
                    </w:rPr>
                    <m:t>i</m:t>
                  </m:r>
                </m:sub>
              </m:sSub>
              <m:r>
                <w:rPr>
                  <w:rFonts w:ascii="Cambria Math" w:eastAsia="Calibri" w:hAnsi="Cambria Math"/>
                  <w:color w:val="000000"/>
                </w:rPr>
                <m:t xml:space="preserve">, </m:t>
              </m:r>
              <m:sSub>
                <m:sSubPr>
                  <m:ctrlPr>
                    <w:rPr>
                      <w:rFonts w:ascii="Cambria Math" w:hAnsi="Cambria Math"/>
                      <w:i/>
                      <w:color w:val="000000"/>
                    </w:rPr>
                  </m:ctrlPr>
                </m:sSubPr>
                <m:e>
                  <m:r>
                    <w:rPr>
                      <w:rFonts w:ascii="Cambria Math" w:eastAsia="Calibri" w:hAnsi="Cambria Math"/>
                      <w:color w:val="000000"/>
                    </w:rPr>
                    <m:t>FRDR</m:t>
                  </m:r>
                </m:e>
                <m:sub>
                  <m:r>
                    <w:rPr>
                      <w:rFonts w:ascii="Cambria Math" w:eastAsia="Calibri" w:hAnsi="Cambria Math"/>
                      <w:color w:val="000000"/>
                    </w:rPr>
                    <m:t>i</m:t>
                  </m:r>
                </m:sub>
              </m:sSub>
              <m:f>
                <m:fPr>
                  <m:ctrlPr>
                    <w:rPr>
                      <w:rFonts w:ascii="Cambria Math" w:hAnsi="Cambria Math"/>
                      <w:i/>
                      <w:color w:val="000000"/>
                    </w:rPr>
                  </m:ctrlPr>
                </m:fPr>
                <m:num>
                  <m:r>
                    <w:rPr>
                      <w:rFonts w:ascii="Cambria Math" w:eastAsia="Calibri" w:hAnsi="Cambria Math"/>
                      <w:color w:val="000000"/>
                    </w:rPr>
                    <m:t>FRDR</m:t>
                  </m:r>
                </m:num>
                <m:den>
                  <m:r>
                    <w:rPr>
                      <w:rFonts w:ascii="Cambria Math" w:eastAsia="Calibri" w:hAnsi="Cambria Math"/>
                      <w:color w:val="000000"/>
                    </w:rPr>
                    <m:t>TFRDR</m:t>
                  </m:r>
                </m:den>
              </m:f>
              <m:r>
                <w:rPr>
                  <w:rFonts w:ascii="Cambria Math" w:eastAsia="Calibri" w:hAnsi="Cambria Math"/>
                  <w:color w:val="000000"/>
                </w:rPr>
                <m:t>-</m:t>
              </m:r>
              <m:sSub>
                <m:sSubPr>
                  <m:ctrlPr>
                    <w:rPr>
                      <w:rFonts w:ascii="Cambria Math" w:hAnsi="Cambria Math"/>
                      <w:i/>
                      <w:color w:val="000000"/>
                    </w:rPr>
                  </m:ctrlPr>
                </m:sSubPr>
                <m:e>
                  <m:r>
                    <w:rPr>
                      <w:rFonts w:ascii="Cambria Math" w:eastAsia="Calibri" w:hAnsi="Cambria Math"/>
                      <w:color w:val="000000"/>
                    </w:rPr>
                    <m:t>FRDC</m:t>
                  </m:r>
                </m:e>
                <m:sub>
                  <m:r>
                    <w:rPr>
                      <w:rFonts w:ascii="Cambria Math" w:eastAsia="Calibri" w:hAnsi="Cambria Math"/>
                      <w:color w:val="000000"/>
                    </w:rPr>
                    <m:t>i</m:t>
                  </m:r>
                </m:sub>
              </m:sSub>
            </m:e>
          </m:d>
          <m:r>
            <m:rPr>
              <m:sty m:val="p"/>
            </m:rPr>
            <w:rPr>
              <w:rFonts w:eastAsia="Calibri"/>
            </w:rPr>
            <w:br/>
          </m:r>
        </m:oMath>
      </m:oMathPara>
      <w:r w:rsidR="00CE6A2C" w:rsidRPr="008817D0">
        <w:rPr>
          <w:rFonts w:eastAsia="Calibri"/>
        </w:rPr>
        <w:t>Where:</w:t>
      </w:r>
    </w:p>
    <w:p w14:paraId="64D1D29C" w14:textId="0FFBE729" w:rsidR="007D0E12" w:rsidRPr="00FA595A" w:rsidRDefault="007D0E12" w:rsidP="008817D0">
      <w:pPr>
        <w:spacing w:after="240" w:line="300" w:lineRule="auto"/>
        <w:rPr>
          <w:rFonts w:eastAsia="Calibri"/>
          <w:i/>
        </w:rPr>
      </w:pPr>
    </w:p>
    <w:tbl>
      <w:tblPr>
        <w:tblW w:w="0" w:type="auto"/>
        <w:tblInd w:w="360" w:type="dxa"/>
        <w:tblLook w:val="0600" w:firstRow="0" w:lastRow="0" w:firstColumn="0" w:lastColumn="0" w:noHBand="1" w:noVBand="1"/>
      </w:tblPr>
      <w:tblGrid>
        <w:gridCol w:w="1131"/>
        <w:gridCol w:w="7869"/>
      </w:tblGrid>
      <w:tr w:rsidR="000D0C70" w:rsidRPr="008817D0" w:rsidDel="00975002" w14:paraId="0A60BA93" w14:textId="77777777" w:rsidTr="00142E9E">
        <w:tc>
          <w:tcPr>
            <w:tcW w:w="1131" w:type="dxa"/>
            <w:shd w:val="clear" w:color="auto" w:fill="auto"/>
          </w:tcPr>
          <w:p w14:paraId="64584164" w14:textId="62481528" w:rsidR="000D0C70" w:rsidDel="00975002" w:rsidRDefault="000D0C70" w:rsidP="008817D0">
            <w:pPr>
              <w:spacing w:after="240" w:line="300" w:lineRule="auto"/>
              <w:rPr>
                <w:rFonts w:ascii="Calibri" w:eastAsia="Calibri" w:hAnsi="Calibri" w:cs="Times New Roman"/>
                <w:i/>
                <w:color w:val="000000"/>
              </w:rPr>
            </w:pPr>
            <w:r>
              <w:rPr>
                <w:rFonts w:ascii="Calibri" w:eastAsia="Calibri" w:hAnsi="Calibri" w:cs="Times New Roman"/>
                <w:i/>
                <w:color w:val="000000"/>
              </w:rPr>
              <w:t>i</w:t>
            </w:r>
          </w:p>
        </w:tc>
        <w:tc>
          <w:tcPr>
            <w:tcW w:w="7869" w:type="dxa"/>
            <w:shd w:val="clear" w:color="auto" w:fill="auto"/>
          </w:tcPr>
          <w:p w14:paraId="28D18ED1" w14:textId="2F72B8C3" w:rsidR="000D0C70" w:rsidRPr="008817D0" w:rsidDel="00975002" w:rsidRDefault="000D0C70" w:rsidP="007D0E12">
            <w:pPr>
              <w:spacing w:after="240" w:line="300" w:lineRule="auto"/>
              <w:rPr>
                <w:rFonts w:eastAsia="Calibri"/>
              </w:rPr>
            </w:pPr>
            <w:r w:rsidRPr="00FA595A">
              <w:rPr>
                <w:rFonts w:eastAsia="Calibri"/>
              </w:rPr>
              <w:t xml:space="preserve">is the BAA index in the EIM </w:t>
            </w:r>
            <w:r>
              <w:rPr>
                <w:rFonts w:eastAsia="Calibri"/>
              </w:rPr>
              <w:t>A</w:t>
            </w:r>
            <w:r w:rsidRPr="00FA595A">
              <w:rPr>
                <w:rFonts w:eastAsia="Calibri"/>
              </w:rPr>
              <w:t>rea</w:t>
            </w:r>
            <w:r>
              <w:rPr>
                <w:rFonts w:eastAsia="Calibri"/>
              </w:rPr>
              <w:t>;</w:t>
            </w:r>
          </w:p>
        </w:tc>
      </w:tr>
      <w:tr w:rsidR="008817D0" w:rsidRPr="008817D0" w14:paraId="72307AF5" w14:textId="77777777" w:rsidTr="005D0E24">
        <w:tc>
          <w:tcPr>
            <w:tcW w:w="1131" w:type="dxa"/>
            <w:shd w:val="clear" w:color="auto" w:fill="auto"/>
            <w:hideMark/>
          </w:tcPr>
          <w:p w14:paraId="11D7318E" w14:textId="36B0711E" w:rsidR="008817D0" w:rsidRPr="00FA6B35" w:rsidRDefault="007818F5" w:rsidP="008817D0">
            <w:pPr>
              <w:spacing w:after="240" w:line="300" w:lineRule="auto"/>
              <w:rPr>
                <w:rFonts w:eastAsia="Calibri"/>
              </w:rPr>
            </w:pPr>
            <m:oMathPara>
              <m:oMath>
                <m:sSub>
                  <m:sSubPr>
                    <m:ctrlPr>
                      <w:rPr>
                        <w:rFonts w:ascii="Cambria Math" w:hAnsi="Cambria Math"/>
                        <w:i/>
                        <w:color w:val="000000"/>
                      </w:rPr>
                    </m:ctrlPr>
                  </m:sSubPr>
                  <m:e>
                    <m:r>
                      <w:rPr>
                        <w:rFonts w:ascii="Cambria Math" w:eastAsia="Calibri" w:hAnsi="Cambria Math"/>
                        <w:color w:val="000000"/>
                      </w:rPr>
                      <m:t>FRUR</m:t>
                    </m:r>
                  </m:e>
                  <m:sub>
                    <m:r>
                      <w:rPr>
                        <w:rFonts w:ascii="Cambria Math" w:eastAsia="Calibri" w:hAnsi="Cambria Math"/>
                        <w:color w:val="000000"/>
                      </w:rPr>
                      <m:t>i</m:t>
                    </m:r>
                  </m:sub>
                </m:sSub>
              </m:oMath>
            </m:oMathPara>
          </w:p>
        </w:tc>
        <w:tc>
          <w:tcPr>
            <w:tcW w:w="7869" w:type="dxa"/>
            <w:shd w:val="clear" w:color="auto" w:fill="auto"/>
            <w:hideMark/>
          </w:tcPr>
          <w:p w14:paraId="0794CAB0" w14:textId="35BD0DD2" w:rsidR="008817D0" w:rsidRPr="008817D0" w:rsidRDefault="008817D0" w:rsidP="00540585">
            <w:pPr>
              <w:spacing w:after="240" w:line="300" w:lineRule="auto"/>
              <w:rPr>
                <w:rFonts w:eastAsia="Calibri"/>
              </w:rPr>
            </w:pPr>
            <w:r w:rsidRPr="008817D0">
              <w:rPr>
                <w:rFonts w:eastAsia="Calibri"/>
              </w:rPr>
              <w:t xml:space="preserve">is the flexible ramp </w:t>
            </w:r>
            <w:r w:rsidR="002358BB">
              <w:rPr>
                <w:rFonts w:eastAsia="Calibri"/>
              </w:rPr>
              <w:t xml:space="preserve">up uncertainty </w:t>
            </w:r>
            <w:r w:rsidRPr="008817D0">
              <w:rPr>
                <w:rFonts w:eastAsia="Calibri"/>
              </w:rPr>
              <w:t>requirement</w:t>
            </w:r>
            <w:r w:rsidR="009958D7">
              <w:rPr>
                <w:rFonts w:eastAsia="Calibri"/>
              </w:rPr>
              <w:t xml:space="preserve"> for a given </w:t>
            </w:r>
            <w:r w:rsidR="00975002">
              <w:rPr>
                <w:rFonts w:eastAsia="Calibri"/>
              </w:rPr>
              <w:t xml:space="preserve">15-minute </w:t>
            </w:r>
            <w:r w:rsidR="009958D7">
              <w:rPr>
                <w:rFonts w:eastAsia="Calibri"/>
              </w:rPr>
              <w:t>interval</w:t>
            </w:r>
            <w:r w:rsidR="00540585">
              <w:rPr>
                <w:rFonts w:eastAsia="Calibri"/>
              </w:rPr>
              <w:t xml:space="preserve"> in the next hour</w:t>
            </w:r>
            <w:r w:rsidRPr="008817D0">
              <w:rPr>
                <w:rFonts w:eastAsia="Calibri"/>
              </w:rPr>
              <w:t xml:space="preserve"> for EIM Entity </w:t>
            </w:r>
            <w:r w:rsidRPr="008817D0">
              <w:rPr>
                <w:rFonts w:eastAsia="Calibri"/>
                <w:i/>
              </w:rPr>
              <w:t>i</w:t>
            </w:r>
            <w:r w:rsidRPr="008817D0">
              <w:rPr>
                <w:rFonts w:eastAsia="Calibri"/>
              </w:rPr>
              <w:t xml:space="preserve"> without diversity benefit;</w:t>
            </w:r>
          </w:p>
        </w:tc>
      </w:tr>
      <w:tr w:rsidR="00975002" w:rsidRPr="008817D0" w14:paraId="324FAE2E" w14:textId="77777777" w:rsidTr="007B7476">
        <w:tc>
          <w:tcPr>
            <w:tcW w:w="1131" w:type="dxa"/>
            <w:shd w:val="clear" w:color="auto" w:fill="auto"/>
            <w:hideMark/>
          </w:tcPr>
          <w:p w14:paraId="13440288" w14:textId="49181076" w:rsidR="00975002" w:rsidRPr="00FA6B35" w:rsidRDefault="007818F5" w:rsidP="00975002">
            <w:pPr>
              <w:spacing w:after="240" w:line="300" w:lineRule="auto"/>
              <w:rPr>
                <w:rFonts w:eastAsia="Calibri"/>
              </w:rPr>
            </w:pPr>
            <m:oMathPara>
              <m:oMath>
                <m:sSub>
                  <m:sSubPr>
                    <m:ctrlPr>
                      <w:rPr>
                        <w:rFonts w:ascii="Cambria Math" w:hAnsi="Cambria Math"/>
                        <w:i/>
                        <w:color w:val="000000"/>
                      </w:rPr>
                    </m:ctrlPr>
                  </m:sSubPr>
                  <m:e>
                    <m:r>
                      <w:rPr>
                        <w:rFonts w:ascii="Cambria Math" w:eastAsia="Calibri" w:hAnsi="Cambria Math"/>
                        <w:color w:val="000000"/>
                      </w:rPr>
                      <m:t>FRDR</m:t>
                    </m:r>
                  </m:e>
                  <m:sub>
                    <m:r>
                      <w:rPr>
                        <w:rFonts w:ascii="Cambria Math" w:eastAsia="Calibri" w:hAnsi="Cambria Math"/>
                        <w:color w:val="000000"/>
                      </w:rPr>
                      <m:t>i</m:t>
                    </m:r>
                  </m:sub>
                </m:sSub>
              </m:oMath>
            </m:oMathPara>
          </w:p>
        </w:tc>
        <w:tc>
          <w:tcPr>
            <w:tcW w:w="7869" w:type="dxa"/>
            <w:shd w:val="clear" w:color="auto" w:fill="auto"/>
            <w:hideMark/>
          </w:tcPr>
          <w:p w14:paraId="3321CA03" w14:textId="029F16B3" w:rsidR="00975002" w:rsidRPr="008817D0" w:rsidRDefault="00975002" w:rsidP="00540585">
            <w:pPr>
              <w:spacing w:after="240" w:line="300" w:lineRule="auto"/>
              <w:rPr>
                <w:rFonts w:eastAsia="Calibri"/>
              </w:rPr>
            </w:pPr>
            <w:r w:rsidRPr="008817D0">
              <w:rPr>
                <w:rFonts w:eastAsia="Calibri"/>
              </w:rPr>
              <w:t xml:space="preserve">is the flexible ramp </w:t>
            </w:r>
            <w:r>
              <w:rPr>
                <w:rFonts w:eastAsia="Calibri"/>
              </w:rPr>
              <w:t xml:space="preserve">down uncertainty </w:t>
            </w:r>
            <w:r w:rsidRPr="008817D0">
              <w:rPr>
                <w:rFonts w:eastAsia="Calibri"/>
              </w:rPr>
              <w:t>requirement</w:t>
            </w:r>
            <w:r>
              <w:rPr>
                <w:rFonts w:eastAsia="Calibri"/>
              </w:rPr>
              <w:t xml:space="preserve"> for a given 15-minute interval</w:t>
            </w:r>
            <w:r w:rsidR="00596474">
              <w:rPr>
                <w:rFonts w:eastAsia="Calibri"/>
              </w:rPr>
              <w:t xml:space="preserve"> in t</w:t>
            </w:r>
            <w:r w:rsidR="00540585">
              <w:rPr>
                <w:rFonts w:eastAsia="Calibri"/>
              </w:rPr>
              <w:t>he next hour</w:t>
            </w:r>
            <w:r w:rsidRPr="008817D0">
              <w:rPr>
                <w:rFonts w:eastAsia="Calibri"/>
              </w:rPr>
              <w:t xml:space="preserve"> for EIM Entity </w:t>
            </w:r>
            <w:r w:rsidRPr="008817D0">
              <w:rPr>
                <w:rFonts w:eastAsia="Calibri"/>
                <w:i/>
              </w:rPr>
              <w:t>i</w:t>
            </w:r>
            <w:r w:rsidRPr="008817D0">
              <w:rPr>
                <w:rFonts w:eastAsia="Calibri"/>
              </w:rPr>
              <w:t xml:space="preserve"> without diversity benefit</w:t>
            </w:r>
            <w:r w:rsidR="00A47BDA">
              <w:rPr>
                <w:rFonts w:eastAsia="Calibri"/>
              </w:rPr>
              <w:t xml:space="preserve"> (negative)</w:t>
            </w:r>
            <w:r w:rsidRPr="008817D0">
              <w:rPr>
                <w:rFonts w:eastAsia="Calibri"/>
              </w:rPr>
              <w:t>;</w:t>
            </w:r>
          </w:p>
        </w:tc>
      </w:tr>
      <w:tr w:rsidR="0089020D" w:rsidRPr="008817D0" w14:paraId="414E5489" w14:textId="77777777" w:rsidTr="007B7476">
        <w:tc>
          <w:tcPr>
            <w:tcW w:w="1131" w:type="dxa"/>
            <w:shd w:val="clear" w:color="auto" w:fill="auto"/>
            <w:hideMark/>
          </w:tcPr>
          <w:p w14:paraId="563A9539" w14:textId="4BE2F614" w:rsidR="0089020D" w:rsidRPr="00FA6B35" w:rsidRDefault="007818F5" w:rsidP="00705C2E">
            <w:pPr>
              <w:spacing w:after="240" w:line="300" w:lineRule="auto"/>
              <w:rPr>
                <w:rFonts w:eastAsia="Calibri"/>
              </w:rPr>
            </w:pPr>
            <m:oMathPara>
              <m:oMath>
                <m:sSub>
                  <m:sSubPr>
                    <m:ctrlPr>
                      <w:rPr>
                        <w:rFonts w:ascii="Cambria Math" w:hAnsi="Cambria Math"/>
                        <w:i/>
                        <w:color w:val="000000"/>
                      </w:rPr>
                    </m:ctrlPr>
                  </m:sSubPr>
                  <m:e>
                    <m:r>
                      <w:rPr>
                        <w:rFonts w:ascii="Cambria Math" w:eastAsia="Calibri" w:hAnsi="Cambria Math"/>
                        <w:color w:val="000000"/>
                      </w:rPr>
                      <m:t>FRUR'</m:t>
                    </m:r>
                  </m:e>
                  <m:sub>
                    <m:r>
                      <w:rPr>
                        <w:rFonts w:ascii="Cambria Math" w:eastAsia="Calibri" w:hAnsi="Cambria Math"/>
                        <w:color w:val="000000"/>
                      </w:rPr>
                      <m:t>i</m:t>
                    </m:r>
                  </m:sub>
                </m:sSub>
              </m:oMath>
            </m:oMathPara>
          </w:p>
        </w:tc>
        <w:tc>
          <w:tcPr>
            <w:tcW w:w="7869" w:type="dxa"/>
            <w:shd w:val="clear" w:color="auto" w:fill="auto"/>
            <w:hideMark/>
          </w:tcPr>
          <w:p w14:paraId="207B9D4D" w14:textId="7B200A8D" w:rsidR="0089020D" w:rsidRPr="008817D0" w:rsidRDefault="0089020D" w:rsidP="00540585">
            <w:pPr>
              <w:spacing w:after="240" w:line="300" w:lineRule="auto"/>
              <w:rPr>
                <w:rFonts w:eastAsia="Calibri"/>
              </w:rPr>
            </w:pPr>
            <w:r w:rsidRPr="008817D0">
              <w:rPr>
                <w:rFonts w:eastAsia="Calibri"/>
              </w:rPr>
              <w:t xml:space="preserve">is the </w:t>
            </w:r>
            <w:r w:rsidR="005E2ABF">
              <w:rPr>
                <w:rFonts w:eastAsia="Calibri"/>
              </w:rPr>
              <w:t xml:space="preserve">cumulative </w:t>
            </w:r>
            <w:r w:rsidRPr="008817D0">
              <w:rPr>
                <w:rFonts w:eastAsia="Calibri"/>
              </w:rPr>
              <w:t xml:space="preserve">flexible ramp </w:t>
            </w:r>
            <w:r>
              <w:rPr>
                <w:rFonts w:eastAsia="Calibri"/>
              </w:rPr>
              <w:t xml:space="preserve">up </w:t>
            </w:r>
            <w:r w:rsidRPr="008817D0">
              <w:rPr>
                <w:rFonts w:eastAsia="Calibri"/>
              </w:rPr>
              <w:t>requirement</w:t>
            </w:r>
            <w:r>
              <w:rPr>
                <w:rFonts w:eastAsia="Calibri"/>
              </w:rPr>
              <w:t xml:space="preserve"> </w:t>
            </w:r>
            <w:r w:rsidR="005E2ABF">
              <w:rPr>
                <w:rFonts w:eastAsia="Calibri"/>
              </w:rPr>
              <w:t xml:space="preserve">from the last 15-minute interval of the current hour to </w:t>
            </w:r>
            <w:r>
              <w:rPr>
                <w:rFonts w:eastAsia="Calibri"/>
              </w:rPr>
              <w:t>a given 15-minute interval</w:t>
            </w:r>
            <w:r w:rsidRPr="008817D0">
              <w:rPr>
                <w:rFonts w:eastAsia="Calibri"/>
              </w:rPr>
              <w:t xml:space="preserve"> </w:t>
            </w:r>
            <w:r w:rsidR="005E2ABF">
              <w:rPr>
                <w:rFonts w:eastAsia="Calibri"/>
              </w:rPr>
              <w:t xml:space="preserve">in the next hour </w:t>
            </w:r>
            <w:r w:rsidRPr="008817D0">
              <w:rPr>
                <w:rFonts w:eastAsia="Calibri"/>
              </w:rPr>
              <w:t xml:space="preserve">for EIM Entity </w:t>
            </w:r>
            <w:r w:rsidR="00540585">
              <w:rPr>
                <w:rFonts w:eastAsia="Calibri"/>
                <w:i/>
              </w:rPr>
              <w:t>i</w:t>
            </w:r>
            <w:r w:rsidR="005E2ABF">
              <w:rPr>
                <w:rFonts w:eastAsia="Calibri"/>
              </w:rPr>
              <w:t>;</w:t>
            </w:r>
            <w:r w:rsidRPr="008817D0">
              <w:rPr>
                <w:rFonts w:eastAsia="Calibri"/>
              </w:rPr>
              <w:t xml:space="preserve"> </w:t>
            </w:r>
            <w:r w:rsidR="005E2ABF">
              <w:rPr>
                <w:rFonts w:eastAsia="Calibri"/>
              </w:rPr>
              <w:t xml:space="preserve">it includes </w:t>
            </w:r>
            <w:r w:rsidR="00540585">
              <w:rPr>
                <w:rFonts w:eastAsia="Calibri"/>
              </w:rPr>
              <w:t xml:space="preserve">the effects of </w:t>
            </w:r>
            <w:r w:rsidR="005E2ABF">
              <w:rPr>
                <w:rFonts w:eastAsia="Calibri"/>
              </w:rPr>
              <w:t>EIM</w:t>
            </w:r>
            <w:r w:rsidRPr="008817D0">
              <w:rPr>
                <w:rFonts w:eastAsia="Calibri"/>
              </w:rPr>
              <w:t xml:space="preserve"> diversity benefit</w:t>
            </w:r>
            <w:r w:rsidR="005E2ABF">
              <w:rPr>
                <w:rFonts w:eastAsia="Calibri"/>
              </w:rPr>
              <w:t xml:space="preserve"> and credit</w:t>
            </w:r>
            <w:r w:rsidRPr="008817D0">
              <w:rPr>
                <w:rFonts w:eastAsia="Calibri"/>
              </w:rPr>
              <w:t>;</w:t>
            </w:r>
          </w:p>
        </w:tc>
      </w:tr>
      <w:tr w:rsidR="00540585" w:rsidRPr="008817D0" w14:paraId="24925A0B" w14:textId="77777777" w:rsidTr="007B7476">
        <w:tc>
          <w:tcPr>
            <w:tcW w:w="1131" w:type="dxa"/>
            <w:shd w:val="clear" w:color="auto" w:fill="auto"/>
            <w:hideMark/>
          </w:tcPr>
          <w:p w14:paraId="750DE322" w14:textId="6806BC92" w:rsidR="00540585" w:rsidRPr="00FA6B35" w:rsidRDefault="007818F5" w:rsidP="00540585">
            <w:pPr>
              <w:spacing w:after="240" w:line="300" w:lineRule="auto"/>
              <w:rPr>
                <w:rFonts w:eastAsia="Calibri"/>
              </w:rPr>
            </w:pPr>
            <m:oMathPara>
              <m:oMath>
                <m:sSub>
                  <m:sSubPr>
                    <m:ctrlPr>
                      <w:rPr>
                        <w:rFonts w:ascii="Cambria Math" w:hAnsi="Cambria Math"/>
                        <w:i/>
                        <w:color w:val="000000"/>
                      </w:rPr>
                    </m:ctrlPr>
                  </m:sSubPr>
                  <m:e>
                    <m:r>
                      <w:rPr>
                        <w:rFonts w:ascii="Cambria Math" w:eastAsia="Calibri" w:hAnsi="Cambria Math"/>
                        <w:color w:val="000000"/>
                      </w:rPr>
                      <m:t>FRDR'</m:t>
                    </m:r>
                  </m:e>
                  <m:sub>
                    <m:r>
                      <w:rPr>
                        <w:rFonts w:ascii="Cambria Math" w:eastAsia="Calibri" w:hAnsi="Cambria Math"/>
                        <w:color w:val="000000"/>
                      </w:rPr>
                      <m:t>i</m:t>
                    </m:r>
                  </m:sub>
                </m:sSub>
              </m:oMath>
            </m:oMathPara>
          </w:p>
        </w:tc>
        <w:tc>
          <w:tcPr>
            <w:tcW w:w="7869" w:type="dxa"/>
            <w:shd w:val="clear" w:color="auto" w:fill="auto"/>
            <w:hideMark/>
          </w:tcPr>
          <w:p w14:paraId="30CF879D" w14:textId="2225458B" w:rsidR="00540585" w:rsidRPr="008817D0" w:rsidRDefault="00540585" w:rsidP="00540585">
            <w:pPr>
              <w:spacing w:after="240" w:line="300" w:lineRule="auto"/>
              <w:rPr>
                <w:rFonts w:eastAsia="Calibri"/>
              </w:rPr>
            </w:pPr>
            <w:r w:rsidRPr="008817D0">
              <w:rPr>
                <w:rFonts w:eastAsia="Calibri"/>
              </w:rPr>
              <w:t xml:space="preserve">is the </w:t>
            </w:r>
            <w:r>
              <w:rPr>
                <w:rFonts w:eastAsia="Calibri"/>
              </w:rPr>
              <w:t xml:space="preserve">cumulative </w:t>
            </w:r>
            <w:r w:rsidRPr="008817D0">
              <w:rPr>
                <w:rFonts w:eastAsia="Calibri"/>
              </w:rPr>
              <w:t xml:space="preserve">flexible ramp </w:t>
            </w:r>
            <w:r>
              <w:rPr>
                <w:rFonts w:eastAsia="Calibri"/>
              </w:rPr>
              <w:t xml:space="preserve">down </w:t>
            </w:r>
            <w:r w:rsidRPr="008817D0">
              <w:rPr>
                <w:rFonts w:eastAsia="Calibri"/>
              </w:rPr>
              <w:t>requirement</w:t>
            </w:r>
            <w:r>
              <w:rPr>
                <w:rFonts w:eastAsia="Calibri"/>
              </w:rPr>
              <w:t xml:space="preserve"> from the last 15-minute interval of the current hour to a given 15-minute interval</w:t>
            </w:r>
            <w:r w:rsidRPr="008817D0">
              <w:rPr>
                <w:rFonts w:eastAsia="Calibri"/>
              </w:rPr>
              <w:t xml:space="preserve"> </w:t>
            </w:r>
            <w:r>
              <w:rPr>
                <w:rFonts w:eastAsia="Calibri"/>
              </w:rPr>
              <w:t xml:space="preserve">in the next hour </w:t>
            </w:r>
            <w:r w:rsidRPr="008817D0">
              <w:rPr>
                <w:rFonts w:eastAsia="Calibri"/>
              </w:rPr>
              <w:t xml:space="preserve">for EIM Entity </w:t>
            </w:r>
            <w:r>
              <w:rPr>
                <w:rFonts w:eastAsia="Calibri"/>
                <w:i/>
              </w:rPr>
              <w:t>i</w:t>
            </w:r>
            <w:r>
              <w:rPr>
                <w:rFonts w:eastAsia="Calibri"/>
              </w:rPr>
              <w:t>;</w:t>
            </w:r>
            <w:r w:rsidRPr="008817D0">
              <w:rPr>
                <w:rFonts w:eastAsia="Calibri"/>
              </w:rPr>
              <w:t xml:space="preserve"> </w:t>
            </w:r>
            <w:r>
              <w:rPr>
                <w:rFonts w:eastAsia="Calibri"/>
              </w:rPr>
              <w:t>it includes the effects of EIM</w:t>
            </w:r>
            <w:r w:rsidRPr="008817D0">
              <w:rPr>
                <w:rFonts w:eastAsia="Calibri"/>
              </w:rPr>
              <w:t xml:space="preserve"> diversity benefit</w:t>
            </w:r>
            <w:r>
              <w:rPr>
                <w:rFonts w:eastAsia="Calibri"/>
              </w:rPr>
              <w:t xml:space="preserve"> and credit</w:t>
            </w:r>
            <w:r w:rsidRPr="008817D0">
              <w:rPr>
                <w:rFonts w:eastAsia="Calibri"/>
              </w:rPr>
              <w:t>;</w:t>
            </w:r>
          </w:p>
        </w:tc>
      </w:tr>
      <w:tr w:rsidR="000D30A8" w:rsidRPr="008817D0" w14:paraId="17BC83E7" w14:textId="77777777" w:rsidTr="007B7476">
        <w:tc>
          <w:tcPr>
            <w:tcW w:w="1131" w:type="dxa"/>
            <w:shd w:val="clear" w:color="auto" w:fill="auto"/>
          </w:tcPr>
          <w:p w14:paraId="14C03BB4" w14:textId="2608A667" w:rsidR="000D30A8" w:rsidRPr="000D30A8" w:rsidRDefault="000D30A8" w:rsidP="00540585">
            <w:pPr>
              <w:spacing w:after="240" w:line="300" w:lineRule="auto"/>
              <w:rPr>
                <w:rFonts w:ascii="Calibri" w:eastAsia="Calibri" w:hAnsi="Calibri" w:cs="Times New Roman"/>
                <w:color w:val="000000"/>
              </w:rPr>
            </w:pPr>
            <m:oMathPara>
              <m:oMathParaPr>
                <m:jc m:val="left"/>
              </m:oMathParaPr>
              <m:oMath>
                <m:r>
                  <w:rPr>
                    <w:rFonts w:ascii="Cambria Math" w:eastAsia="Calibri" w:hAnsi="Cambria Math"/>
                    <w:color w:val="000000"/>
                  </w:rPr>
                  <m:t>∆</m:t>
                </m:r>
                <m:sSub>
                  <m:sSubPr>
                    <m:ctrlPr>
                      <w:rPr>
                        <w:rFonts w:ascii="Cambria Math" w:eastAsia="Calibri" w:hAnsi="Cambria Math"/>
                        <w:i/>
                        <w:color w:val="000000"/>
                      </w:rPr>
                    </m:ctrlPr>
                  </m:sSubPr>
                  <m:e>
                    <m:r>
                      <w:rPr>
                        <w:rFonts w:ascii="Cambria Math" w:eastAsia="Calibri" w:hAnsi="Cambria Math"/>
                        <w:color w:val="000000"/>
                      </w:rPr>
                      <m:t>D</m:t>
                    </m:r>
                  </m:e>
                  <m:sub>
                    <m:r>
                      <w:rPr>
                        <w:rFonts w:ascii="Cambria Math" w:eastAsia="Calibri" w:hAnsi="Cambria Math"/>
                        <w:color w:val="000000"/>
                      </w:rPr>
                      <m:t>i</m:t>
                    </m:r>
                  </m:sub>
                </m:sSub>
              </m:oMath>
            </m:oMathPara>
          </w:p>
        </w:tc>
        <w:tc>
          <w:tcPr>
            <w:tcW w:w="7869" w:type="dxa"/>
            <w:shd w:val="clear" w:color="auto" w:fill="auto"/>
          </w:tcPr>
          <w:p w14:paraId="2DBF1CB1" w14:textId="56D5D491" w:rsidR="000D30A8" w:rsidRPr="008817D0" w:rsidRDefault="000D30A8" w:rsidP="00540585">
            <w:pPr>
              <w:spacing w:after="240" w:line="300" w:lineRule="auto"/>
              <w:rPr>
                <w:rFonts w:eastAsia="Calibri"/>
              </w:rPr>
            </w:pPr>
            <w:r>
              <w:rPr>
                <w:rFonts w:eastAsia="Calibri"/>
              </w:rPr>
              <w:t>is the change in the demand forecast from the last 15-minute interval of the current hour to a given 15-minute interval</w:t>
            </w:r>
            <w:r w:rsidRPr="008817D0">
              <w:rPr>
                <w:rFonts w:eastAsia="Calibri"/>
              </w:rPr>
              <w:t xml:space="preserve"> </w:t>
            </w:r>
            <w:r>
              <w:rPr>
                <w:rFonts w:eastAsia="Calibri"/>
              </w:rPr>
              <w:t xml:space="preserve">in the next hour </w:t>
            </w:r>
            <w:r w:rsidRPr="008817D0">
              <w:rPr>
                <w:rFonts w:eastAsia="Calibri"/>
              </w:rPr>
              <w:t xml:space="preserve">for EIM Entity </w:t>
            </w:r>
            <w:r>
              <w:rPr>
                <w:rFonts w:eastAsia="Calibri"/>
                <w:i/>
              </w:rPr>
              <w:t>i</w:t>
            </w:r>
            <w:r>
              <w:rPr>
                <w:rFonts w:eastAsia="Calibri"/>
              </w:rPr>
              <w:t>;</w:t>
            </w:r>
          </w:p>
        </w:tc>
      </w:tr>
      <w:tr w:rsidR="008817D0" w:rsidRPr="008817D0" w14:paraId="1F4785AD" w14:textId="77777777" w:rsidTr="005D0E24">
        <w:tc>
          <w:tcPr>
            <w:tcW w:w="1131" w:type="dxa"/>
            <w:shd w:val="clear" w:color="auto" w:fill="auto"/>
            <w:hideMark/>
          </w:tcPr>
          <w:p w14:paraId="48E9EB9C" w14:textId="77777777" w:rsidR="008817D0" w:rsidRPr="000D0C70" w:rsidRDefault="007818F5" w:rsidP="008817D0">
            <w:pPr>
              <w:spacing w:after="240" w:line="300" w:lineRule="auto"/>
              <w:rPr>
                <w:rFonts w:eastAsia="Calibri"/>
              </w:rPr>
            </w:pPr>
            <m:oMathPara>
              <m:oMathParaPr>
                <m:jc m:val="left"/>
              </m:oMathParaPr>
              <m:oMath>
                <m:sSub>
                  <m:sSubPr>
                    <m:ctrlPr>
                      <w:rPr>
                        <w:rFonts w:ascii="Cambria Math" w:hAnsi="Cambria Math"/>
                        <w:i/>
                        <w:color w:val="000000"/>
                      </w:rPr>
                    </m:ctrlPr>
                  </m:sSubPr>
                  <m:e>
                    <m:r>
                      <w:rPr>
                        <w:rFonts w:ascii="Cambria Math" w:eastAsia="Calibri" w:hAnsi="Cambria Math"/>
                        <w:color w:val="000000"/>
                      </w:rPr>
                      <m:t>NIC</m:t>
                    </m:r>
                  </m:e>
                  <m:sub>
                    <m:r>
                      <w:rPr>
                        <w:rFonts w:ascii="Cambria Math" w:eastAsia="Calibri" w:hAnsi="Cambria Math"/>
                        <w:color w:val="000000"/>
                      </w:rPr>
                      <m:t>i</m:t>
                    </m:r>
                  </m:sub>
                </m:sSub>
              </m:oMath>
            </m:oMathPara>
          </w:p>
        </w:tc>
        <w:tc>
          <w:tcPr>
            <w:tcW w:w="7869" w:type="dxa"/>
            <w:shd w:val="clear" w:color="auto" w:fill="auto"/>
            <w:hideMark/>
          </w:tcPr>
          <w:p w14:paraId="51009B02" w14:textId="53B6B190" w:rsidR="008817D0" w:rsidRPr="008817D0" w:rsidRDefault="008817D0" w:rsidP="00F53882">
            <w:pPr>
              <w:spacing w:after="240" w:line="300" w:lineRule="auto"/>
              <w:rPr>
                <w:rFonts w:eastAsia="Calibri"/>
              </w:rPr>
            </w:pPr>
            <w:r w:rsidRPr="008817D0">
              <w:rPr>
                <w:rFonts w:eastAsia="Calibri"/>
              </w:rPr>
              <w:t xml:space="preserve">is the available net import </w:t>
            </w:r>
            <w:r w:rsidR="0089020D">
              <w:rPr>
                <w:rFonts w:eastAsia="Calibri"/>
              </w:rPr>
              <w:t xml:space="preserve">transfer </w:t>
            </w:r>
            <w:r w:rsidRPr="008817D0">
              <w:rPr>
                <w:rFonts w:eastAsia="Calibri"/>
              </w:rPr>
              <w:t xml:space="preserve">capability of EIM Entity </w:t>
            </w:r>
            <w:r w:rsidRPr="008817D0">
              <w:rPr>
                <w:rFonts w:eastAsia="Calibri"/>
                <w:i/>
              </w:rPr>
              <w:t>i</w:t>
            </w:r>
            <w:r w:rsidRPr="008817D0">
              <w:rPr>
                <w:rFonts w:eastAsia="Calibri"/>
              </w:rPr>
              <w:t xml:space="preserve"> </w:t>
            </w:r>
            <w:r w:rsidR="00F53882">
              <w:rPr>
                <w:rFonts w:eastAsia="Calibri"/>
              </w:rPr>
              <w:t xml:space="preserve">at the last 15-minute interval of the current </w:t>
            </w:r>
            <w:r w:rsidRPr="008817D0">
              <w:rPr>
                <w:rFonts w:eastAsia="Calibri"/>
              </w:rPr>
              <w:t>hour</w:t>
            </w:r>
            <w:r w:rsidR="000D0C70">
              <w:rPr>
                <w:rFonts w:eastAsia="Calibri"/>
              </w:rPr>
              <w:t xml:space="preserve"> (negative)</w:t>
            </w:r>
            <w:r w:rsidRPr="008817D0">
              <w:rPr>
                <w:rFonts w:eastAsia="Calibri"/>
              </w:rPr>
              <w:t>;</w:t>
            </w:r>
          </w:p>
        </w:tc>
      </w:tr>
      <w:tr w:rsidR="00F53882" w:rsidRPr="008817D0" w14:paraId="352F38F2" w14:textId="77777777" w:rsidTr="007B7476">
        <w:tc>
          <w:tcPr>
            <w:tcW w:w="1131" w:type="dxa"/>
            <w:shd w:val="clear" w:color="auto" w:fill="auto"/>
            <w:hideMark/>
          </w:tcPr>
          <w:p w14:paraId="6B7B1599" w14:textId="4F34C07F" w:rsidR="00F53882" w:rsidRPr="000D0C70" w:rsidRDefault="007818F5" w:rsidP="00F53882">
            <w:pPr>
              <w:spacing w:after="240" w:line="300" w:lineRule="auto"/>
              <w:rPr>
                <w:rFonts w:eastAsia="Calibri"/>
              </w:rPr>
            </w:pPr>
            <m:oMathPara>
              <m:oMathParaPr>
                <m:jc m:val="left"/>
              </m:oMathParaPr>
              <m:oMath>
                <m:sSub>
                  <m:sSubPr>
                    <m:ctrlPr>
                      <w:rPr>
                        <w:rFonts w:ascii="Cambria Math" w:hAnsi="Cambria Math"/>
                        <w:i/>
                        <w:color w:val="000000"/>
                      </w:rPr>
                    </m:ctrlPr>
                  </m:sSubPr>
                  <m:e>
                    <m:r>
                      <w:rPr>
                        <w:rFonts w:ascii="Cambria Math" w:eastAsia="Calibri" w:hAnsi="Cambria Math"/>
                        <w:color w:val="000000"/>
                      </w:rPr>
                      <m:t>NEC</m:t>
                    </m:r>
                  </m:e>
                  <m:sub>
                    <m:r>
                      <w:rPr>
                        <w:rFonts w:ascii="Cambria Math" w:eastAsia="Calibri" w:hAnsi="Cambria Math"/>
                        <w:color w:val="000000"/>
                      </w:rPr>
                      <m:t>i</m:t>
                    </m:r>
                  </m:sub>
                </m:sSub>
              </m:oMath>
            </m:oMathPara>
          </w:p>
        </w:tc>
        <w:tc>
          <w:tcPr>
            <w:tcW w:w="7869" w:type="dxa"/>
            <w:shd w:val="clear" w:color="auto" w:fill="auto"/>
            <w:hideMark/>
          </w:tcPr>
          <w:p w14:paraId="6BF871B6" w14:textId="323C5C0C" w:rsidR="00F53882" w:rsidRPr="008817D0" w:rsidRDefault="00F53882" w:rsidP="00F53882">
            <w:pPr>
              <w:spacing w:after="240" w:line="300" w:lineRule="auto"/>
              <w:rPr>
                <w:rFonts w:eastAsia="Calibri"/>
              </w:rPr>
            </w:pPr>
            <w:r w:rsidRPr="008817D0">
              <w:rPr>
                <w:rFonts w:eastAsia="Calibri"/>
              </w:rPr>
              <w:t xml:space="preserve">is the available net </w:t>
            </w:r>
            <w:r>
              <w:rPr>
                <w:rFonts w:eastAsia="Calibri"/>
              </w:rPr>
              <w:t>ex</w:t>
            </w:r>
            <w:r w:rsidRPr="008817D0">
              <w:rPr>
                <w:rFonts w:eastAsia="Calibri"/>
              </w:rPr>
              <w:t xml:space="preserve">port </w:t>
            </w:r>
            <w:r>
              <w:rPr>
                <w:rFonts w:eastAsia="Calibri"/>
              </w:rPr>
              <w:t xml:space="preserve">transfer </w:t>
            </w:r>
            <w:r w:rsidRPr="008817D0">
              <w:rPr>
                <w:rFonts w:eastAsia="Calibri"/>
              </w:rPr>
              <w:t xml:space="preserve">capability of EIM Entity </w:t>
            </w:r>
            <w:r w:rsidRPr="008817D0">
              <w:rPr>
                <w:rFonts w:eastAsia="Calibri"/>
                <w:i/>
              </w:rPr>
              <w:t>i</w:t>
            </w:r>
            <w:r w:rsidRPr="008817D0">
              <w:rPr>
                <w:rFonts w:eastAsia="Calibri"/>
              </w:rPr>
              <w:t xml:space="preserve"> </w:t>
            </w:r>
            <w:r>
              <w:rPr>
                <w:rFonts w:eastAsia="Calibri"/>
              </w:rPr>
              <w:t xml:space="preserve">at the last 15-minute interval of the current </w:t>
            </w:r>
            <w:r w:rsidRPr="008817D0">
              <w:rPr>
                <w:rFonts w:eastAsia="Calibri"/>
              </w:rPr>
              <w:t>hour</w:t>
            </w:r>
            <w:r>
              <w:rPr>
                <w:rFonts w:eastAsia="Calibri"/>
              </w:rPr>
              <w:t xml:space="preserve"> (positive)</w:t>
            </w:r>
            <w:r w:rsidRPr="008817D0">
              <w:rPr>
                <w:rFonts w:eastAsia="Calibri"/>
              </w:rPr>
              <w:t>;</w:t>
            </w:r>
          </w:p>
        </w:tc>
      </w:tr>
      <w:tr w:rsidR="009C78FC" w:rsidRPr="008817D0" w14:paraId="0917304E" w14:textId="77777777" w:rsidTr="007B7476">
        <w:tc>
          <w:tcPr>
            <w:tcW w:w="1131" w:type="dxa"/>
            <w:shd w:val="clear" w:color="auto" w:fill="auto"/>
          </w:tcPr>
          <w:p w14:paraId="749D3222" w14:textId="59A4DCBA" w:rsidR="009C78FC" w:rsidRPr="005D0E24" w:rsidRDefault="009C78FC" w:rsidP="00F53882">
            <w:pPr>
              <w:spacing w:after="240" w:line="300" w:lineRule="auto"/>
              <w:rPr>
                <w:rFonts w:ascii="Calibri" w:eastAsia="Calibri" w:hAnsi="Calibri" w:cs="Times New Roman"/>
                <w:i/>
                <w:color w:val="000000"/>
              </w:rPr>
            </w:pPr>
            <w:r w:rsidRPr="005D0E24">
              <w:rPr>
                <w:rFonts w:ascii="Calibri" w:eastAsia="Calibri" w:hAnsi="Calibri" w:cs="Times New Roman"/>
                <w:i/>
                <w:color w:val="000000"/>
              </w:rPr>
              <w:t>FRUR</w:t>
            </w:r>
          </w:p>
        </w:tc>
        <w:tc>
          <w:tcPr>
            <w:tcW w:w="7869" w:type="dxa"/>
            <w:shd w:val="clear" w:color="auto" w:fill="auto"/>
          </w:tcPr>
          <w:p w14:paraId="4D9931C5" w14:textId="6AA69968" w:rsidR="009C78FC" w:rsidRPr="008817D0" w:rsidRDefault="009C78FC" w:rsidP="00F53882">
            <w:pPr>
              <w:spacing w:after="240" w:line="300" w:lineRule="auto"/>
              <w:rPr>
                <w:rFonts w:eastAsia="Calibri"/>
              </w:rPr>
            </w:pPr>
            <w:r w:rsidRPr="008817D0">
              <w:rPr>
                <w:rFonts w:eastAsia="Calibri"/>
              </w:rPr>
              <w:t xml:space="preserve">is the flexible ramp </w:t>
            </w:r>
            <w:r>
              <w:rPr>
                <w:rFonts w:eastAsia="Calibri"/>
              </w:rPr>
              <w:t xml:space="preserve">up uncertainty </w:t>
            </w:r>
            <w:r w:rsidRPr="008817D0">
              <w:rPr>
                <w:rFonts w:eastAsia="Calibri"/>
              </w:rPr>
              <w:t>requirement</w:t>
            </w:r>
            <w:r>
              <w:rPr>
                <w:rFonts w:eastAsia="Calibri"/>
              </w:rPr>
              <w:t xml:space="preserve"> for a given 15-minute interval in the next hour</w:t>
            </w:r>
            <w:r w:rsidRPr="008817D0">
              <w:rPr>
                <w:rFonts w:eastAsia="Calibri"/>
              </w:rPr>
              <w:t xml:space="preserve"> for</w:t>
            </w:r>
            <w:r>
              <w:rPr>
                <w:rFonts w:eastAsia="Calibri"/>
              </w:rPr>
              <w:t xml:space="preserve"> the entire EIM Area;</w:t>
            </w:r>
          </w:p>
        </w:tc>
      </w:tr>
      <w:tr w:rsidR="009C78FC" w:rsidRPr="008817D0" w14:paraId="4A41DD79" w14:textId="77777777" w:rsidTr="007B7476">
        <w:tc>
          <w:tcPr>
            <w:tcW w:w="1131" w:type="dxa"/>
            <w:shd w:val="clear" w:color="auto" w:fill="auto"/>
          </w:tcPr>
          <w:p w14:paraId="7B4848E1" w14:textId="68D388E6" w:rsidR="009C78FC" w:rsidRPr="00D90237" w:rsidRDefault="009C78FC" w:rsidP="009C78FC">
            <w:pPr>
              <w:spacing w:after="240" w:line="300" w:lineRule="auto"/>
              <w:rPr>
                <w:rFonts w:ascii="Calibri" w:eastAsia="Calibri" w:hAnsi="Calibri" w:cs="Times New Roman"/>
                <w:i/>
                <w:color w:val="000000"/>
              </w:rPr>
            </w:pPr>
            <w:r w:rsidRPr="00D90237">
              <w:rPr>
                <w:rFonts w:ascii="Calibri" w:eastAsia="Calibri" w:hAnsi="Calibri" w:cs="Times New Roman"/>
                <w:i/>
                <w:color w:val="000000"/>
              </w:rPr>
              <w:t>FR</w:t>
            </w:r>
            <w:r>
              <w:rPr>
                <w:rFonts w:ascii="Calibri" w:eastAsia="Calibri" w:hAnsi="Calibri" w:cs="Times New Roman"/>
                <w:i/>
                <w:color w:val="000000"/>
              </w:rPr>
              <w:t>D</w:t>
            </w:r>
            <w:r w:rsidRPr="00D90237">
              <w:rPr>
                <w:rFonts w:ascii="Calibri" w:eastAsia="Calibri" w:hAnsi="Calibri" w:cs="Times New Roman"/>
                <w:i/>
                <w:color w:val="000000"/>
              </w:rPr>
              <w:t>R</w:t>
            </w:r>
          </w:p>
        </w:tc>
        <w:tc>
          <w:tcPr>
            <w:tcW w:w="7869" w:type="dxa"/>
            <w:shd w:val="clear" w:color="auto" w:fill="auto"/>
          </w:tcPr>
          <w:p w14:paraId="1F20D96D" w14:textId="42D48354" w:rsidR="009C78FC" w:rsidRPr="008817D0" w:rsidRDefault="009C78FC" w:rsidP="009C78FC">
            <w:pPr>
              <w:spacing w:after="240" w:line="300" w:lineRule="auto"/>
              <w:rPr>
                <w:rFonts w:eastAsia="Calibri"/>
              </w:rPr>
            </w:pPr>
            <w:r w:rsidRPr="008817D0">
              <w:rPr>
                <w:rFonts w:eastAsia="Calibri"/>
              </w:rPr>
              <w:t xml:space="preserve">is the flexible ramp </w:t>
            </w:r>
            <w:r>
              <w:rPr>
                <w:rFonts w:eastAsia="Calibri"/>
              </w:rPr>
              <w:t xml:space="preserve">down uncertainty </w:t>
            </w:r>
            <w:r w:rsidRPr="008817D0">
              <w:rPr>
                <w:rFonts w:eastAsia="Calibri"/>
              </w:rPr>
              <w:t>requirement</w:t>
            </w:r>
            <w:r>
              <w:rPr>
                <w:rFonts w:eastAsia="Calibri"/>
              </w:rPr>
              <w:t xml:space="preserve"> for a given 15-minute interval in the next hour</w:t>
            </w:r>
            <w:r w:rsidRPr="008817D0">
              <w:rPr>
                <w:rFonts w:eastAsia="Calibri"/>
              </w:rPr>
              <w:t xml:space="preserve"> for</w:t>
            </w:r>
            <w:r>
              <w:rPr>
                <w:rFonts w:eastAsia="Calibri"/>
              </w:rPr>
              <w:t xml:space="preserve"> the entire EIM Area (negative);</w:t>
            </w:r>
          </w:p>
        </w:tc>
      </w:tr>
      <w:tr w:rsidR="008817D0" w:rsidRPr="008817D0" w14:paraId="3E062B07" w14:textId="77777777" w:rsidTr="005D0E24">
        <w:tc>
          <w:tcPr>
            <w:tcW w:w="1131" w:type="dxa"/>
            <w:shd w:val="clear" w:color="auto" w:fill="auto"/>
            <w:hideMark/>
          </w:tcPr>
          <w:p w14:paraId="15E0118C" w14:textId="22C6CC03" w:rsidR="008817D0" w:rsidRPr="008817D0" w:rsidRDefault="008817D0" w:rsidP="000E16AB">
            <w:pPr>
              <w:spacing w:after="240" w:line="300" w:lineRule="auto"/>
              <w:rPr>
                <w:rFonts w:eastAsia="Calibri"/>
                <w:i/>
              </w:rPr>
            </w:pPr>
            <w:r w:rsidRPr="008817D0">
              <w:rPr>
                <w:rFonts w:eastAsia="Calibri"/>
                <w:i/>
              </w:rPr>
              <w:t>TFR</w:t>
            </w:r>
            <w:r w:rsidR="000D0C70">
              <w:rPr>
                <w:rFonts w:eastAsia="Calibri"/>
                <w:i/>
              </w:rPr>
              <w:t>U</w:t>
            </w:r>
            <w:r w:rsidRPr="008817D0">
              <w:rPr>
                <w:rFonts w:eastAsia="Calibri"/>
                <w:i/>
              </w:rPr>
              <w:t>R</w:t>
            </w:r>
          </w:p>
        </w:tc>
        <w:tc>
          <w:tcPr>
            <w:tcW w:w="7869" w:type="dxa"/>
            <w:shd w:val="clear" w:color="auto" w:fill="auto"/>
            <w:hideMark/>
          </w:tcPr>
          <w:p w14:paraId="500DD737" w14:textId="53486C2C" w:rsidR="008817D0" w:rsidRPr="008817D0" w:rsidRDefault="008817D0" w:rsidP="009C78FC">
            <w:pPr>
              <w:spacing w:after="240" w:line="300" w:lineRule="auto"/>
              <w:rPr>
                <w:rFonts w:eastAsia="Calibri"/>
              </w:rPr>
            </w:pPr>
            <w:r w:rsidRPr="008817D0">
              <w:rPr>
                <w:rFonts w:eastAsia="Calibri"/>
              </w:rPr>
              <w:t xml:space="preserve">is the </w:t>
            </w:r>
            <w:r w:rsidR="009C78FC">
              <w:rPr>
                <w:rFonts w:eastAsia="Calibri"/>
              </w:rPr>
              <w:t>sum of the</w:t>
            </w:r>
            <w:r w:rsidR="009C78FC" w:rsidRPr="008817D0">
              <w:rPr>
                <w:rFonts w:eastAsia="Calibri"/>
              </w:rPr>
              <w:t xml:space="preserve"> </w:t>
            </w:r>
            <w:r w:rsidRPr="008817D0">
              <w:rPr>
                <w:rFonts w:eastAsia="Calibri"/>
              </w:rPr>
              <w:t xml:space="preserve">flexible ramp </w:t>
            </w:r>
            <w:r w:rsidR="000E16AB">
              <w:rPr>
                <w:rFonts w:eastAsia="Calibri"/>
              </w:rPr>
              <w:t xml:space="preserve">up uncertainty </w:t>
            </w:r>
            <w:r w:rsidRPr="008817D0">
              <w:rPr>
                <w:rFonts w:eastAsia="Calibri"/>
              </w:rPr>
              <w:t>requirement</w:t>
            </w:r>
            <w:r w:rsidR="009C78FC">
              <w:rPr>
                <w:rFonts w:eastAsia="Calibri"/>
              </w:rPr>
              <w:t>s</w:t>
            </w:r>
            <w:r w:rsidRPr="008817D0">
              <w:rPr>
                <w:rFonts w:eastAsia="Calibri"/>
              </w:rPr>
              <w:t xml:space="preserve"> </w:t>
            </w:r>
            <w:r w:rsidR="009C78FC">
              <w:rPr>
                <w:rFonts w:eastAsia="Calibri"/>
              </w:rPr>
              <w:t>of all BAAs in the</w:t>
            </w:r>
            <w:r w:rsidRPr="008817D0">
              <w:rPr>
                <w:rFonts w:eastAsia="Calibri"/>
              </w:rPr>
              <w:t xml:space="preserve"> EIM </w:t>
            </w:r>
            <w:r w:rsidR="000E16AB">
              <w:rPr>
                <w:rFonts w:eastAsia="Calibri"/>
              </w:rPr>
              <w:t>Area</w:t>
            </w:r>
            <w:r w:rsidR="000E16AB" w:rsidRPr="008817D0">
              <w:rPr>
                <w:rFonts w:eastAsia="Calibri"/>
              </w:rPr>
              <w:t xml:space="preserve"> </w:t>
            </w:r>
            <w:r w:rsidR="000E16AB">
              <w:rPr>
                <w:rFonts w:eastAsia="Calibri"/>
              </w:rPr>
              <w:t>for a given 15-minute interval</w:t>
            </w:r>
            <w:r w:rsidR="000E16AB" w:rsidRPr="008817D0">
              <w:rPr>
                <w:rFonts w:eastAsia="Calibri"/>
              </w:rPr>
              <w:t xml:space="preserve"> </w:t>
            </w:r>
            <w:r w:rsidR="009C78FC">
              <w:rPr>
                <w:rFonts w:eastAsia="Calibri"/>
              </w:rPr>
              <w:t>in the next hour</w:t>
            </w:r>
            <w:r w:rsidRPr="008817D0">
              <w:rPr>
                <w:rFonts w:eastAsia="Calibri"/>
              </w:rPr>
              <w:t>;</w:t>
            </w:r>
          </w:p>
        </w:tc>
      </w:tr>
      <w:tr w:rsidR="00255797" w:rsidRPr="008817D0" w14:paraId="3426014D" w14:textId="77777777" w:rsidTr="007B7476">
        <w:tc>
          <w:tcPr>
            <w:tcW w:w="1131" w:type="dxa"/>
            <w:shd w:val="clear" w:color="auto" w:fill="auto"/>
            <w:hideMark/>
          </w:tcPr>
          <w:p w14:paraId="2666F7DB" w14:textId="75AF0135" w:rsidR="00255797" w:rsidRPr="008817D0" w:rsidRDefault="00255797" w:rsidP="00255797">
            <w:pPr>
              <w:spacing w:after="240" w:line="300" w:lineRule="auto"/>
              <w:rPr>
                <w:rFonts w:eastAsia="Calibri"/>
                <w:i/>
              </w:rPr>
            </w:pPr>
            <w:r w:rsidRPr="008817D0">
              <w:rPr>
                <w:rFonts w:eastAsia="Calibri"/>
                <w:i/>
              </w:rPr>
              <w:t>TFR</w:t>
            </w:r>
            <w:r>
              <w:rPr>
                <w:rFonts w:eastAsia="Calibri"/>
                <w:i/>
              </w:rPr>
              <w:t>D</w:t>
            </w:r>
            <w:r w:rsidRPr="008817D0">
              <w:rPr>
                <w:rFonts w:eastAsia="Calibri"/>
                <w:i/>
              </w:rPr>
              <w:t>R</w:t>
            </w:r>
          </w:p>
        </w:tc>
        <w:tc>
          <w:tcPr>
            <w:tcW w:w="7869" w:type="dxa"/>
            <w:shd w:val="clear" w:color="auto" w:fill="auto"/>
            <w:hideMark/>
          </w:tcPr>
          <w:p w14:paraId="573F5829" w14:textId="65624655" w:rsidR="00255797" w:rsidRPr="008817D0" w:rsidRDefault="00255797" w:rsidP="00255797">
            <w:pPr>
              <w:spacing w:after="240" w:line="300" w:lineRule="auto"/>
              <w:rPr>
                <w:rFonts w:eastAsia="Calibri"/>
              </w:rPr>
            </w:pPr>
            <w:r w:rsidRPr="008817D0">
              <w:rPr>
                <w:rFonts w:eastAsia="Calibri"/>
              </w:rPr>
              <w:t xml:space="preserve">is the </w:t>
            </w:r>
            <w:r>
              <w:rPr>
                <w:rFonts w:eastAsia="Calibri"/>
              </w:rPr>
              <w:t>sum of the</w:t>
            </w:r>
            <w:r w:rsidRPr="008817D0">
              <w:rPr>
                <w:rFonts w:eastAsia="Calibri"/>
              </w:rPr>
              <w:t xml:space="preserve"> flexible ramp </w:t>
            </w:r>
            <w:r>
              <w:rPr>
                <w:rFonts w:eastAsia="Calibri"/>
              </w:rPr>
              <w:t xml:space="preserve">down uncertainty </w:t>
            </w:r>
            <w:r w:rsidRPr="008817D0">
              <w:rPr>
                <w:rFonts w:eastAsia="Calibri"/>
              </w:rPr>
              <w:t>requirement</w:t>
            </w:r>
            <w:r>
              <w:rPr>
                <w:rFonts w:eastAsia="Calibri"/>
              </w:rPr>
              <w:t>s</w:t>
            </w:r>
            <w:r w:rsidRPr="008817D0">
              <w:rPr>
                <w:rFonts w:eastAsia="Calibri"/>
              </w:rPr>
              <w:t xml:space="preserve"> </w:t>
            </w:r>
            <w:r>
              <w:rPr>
                <w:rFonts w:eastAsia="Calibri"/>
              </w:rPr>
              <w:t>of all BAAs in the</w:t>
            </w:r>
            <w:r w:rsidRPr="008817D0">
              <w:rPr>
                <w:rFonts w:eastAsia="Calibri"/>
              </w:rPr>
              <w:t xml:space="preserve"> EIM </w:t>
            </w:r>
            <w:r>
              <w:rPr>
                <w:rFonts w:eastAsia="Calibri"/>
              </w:rPr>
              <w:t>Area</w:t>
            </w:r>
            <w:r w:rsidRPr="008817D0">
              <w:rPr>
                <w:rFonts w:eastAsia="Calibri"/>
              </w:rPr>
              <w:t xml:space="preserve"> </w:t>
            </w:r>
            <w:r>
              <w:rPr>
                <w:rFonts w:eastAsia="Calibri"/>
              </w:rPr>
              <w:t>for a given 15-minute interval</w:t>
            </w:r>
            <w:r w:rsidRPr="008817D0">
              <w:rPr>
                <w:rFonts w:eastAsia="Calibri"/>
              </w:rPr>
              <w:t xml:space="preserve"> </w:t>
            </w:r>
            <w:r>
              <w:rPr>
                <w:rFonts w:eastAsia="Calibri"/>
              </w:rPr>
              <w:t>in the next hour (negative)</w:t>
            </w:r>
            <w:r w:rsidRPr="008817D0">
              <w:rPr>
                <w:rFonts w:eastAsia="Calibri"/>
              </w:rPr>
              <w:t>;</w:t>
            </w:r>
          </w:p>
        </w:tc>
      </w:tr>
      <w:tr w:rsidR="008817D0" w:rsidRPr="008817D0" w14:paraId="02648EB2" w14:textId="77777777" w:rsidTr="005D0E24">
        <w:tc>
          <w:tcPr>
            <w:tcW w:w="1131" w:type="dxa"/>
            <w:shd w:val="clear" w:color="auto" w:fill="auto"/>
            <w:hideMark/>
          </w:tcPr>
          <w:p w14:paraId="03BECBC6" w14:textId="1C6AC25B" w:rsidR="008817D0" w:rsidRPr="00596474" w:rsidRDefault="007818F5" w:rsidP="00596474">
            <w:pPr>
              <w:spacing w:after="240" w:line="300" w:lineRule="auto"/>
              <w:rPr>
                <w:rFonts w:eastAsia="Calibri"/>
                <w:i/>
              </w:rPr>
            </w:pPr>
            <m:oMathPara>
              <m:oMathParaPr>
                <m:jc m:val="left"/>
              </m:oMathParaPr>
              <m:oMath>
                <m:sSub>
                  <m:sSubPr>
                    <m:ctrlPr>
                      <w:rPr>
                        <w:rFonts w:ascii="Cambria Math" w:hAnsi="Cambria Math"/>
                        <w:i/>
                        <w:color w:val="000000"/>
                      </w:rPr>
                    </m:ctrlPr>
                  </m:sSubPr>
                  <m:e>
                    <m:r>
                      <w:rPr>
                        <w:rFonts w:ascii="Cambria Math" w:eastAsia="Calibri" w:hAnsi="Cambria Math"/>
                        <w:color w:val="000000"/>
                      </w:rPr>
                      <m:t>FRUC</m:t>
                    </m:r>
                  </m:e>
                  <m:sub>
                    <m:r>
                      <w:rPr>
                        <w:rFonts w:ascii="Cambria Math" w:eastAsia="Calibri" w:hAnsi="Cambria Math"/>
                        <w:color w:val="000000"/>
                      </w:rPr>
                      <m:t>i</m:t>
                    </m:r>
                  </m:sub>
                </m:sSub>
              </m:oMath>
            </m:oMathPara>
          </w:p>
        </w:tc>
        <w:tc>
          <w:tcPr>
            <w:tcW w:w="7869" w:type="dxa"/>
            <w:shd w:val="clear" w:color="auto" w:fill="auto"/>
            <w:hideMark/>
          </w:tcPr>
          <w:p w14:paraId="499C0B26" w14:textId="46AEE5E4" w:rsidR="008817D0" w:rsidRPr="008817D0" w:rsidRDefault="008817D0" w:rsidP="007B7476">
            <w:pPr>
              <w:spacing w:after="240" w:line="300" w:lineRule="auto"/>
              <w:rPr>
                <w:rFonts w:eastAsia="Calibri"/>
              </w:rPr>
            </w:pPr>
            <w:r w:rsidRPr="008817D0">
              <w:rPr>
                <w:rFonts w:eastAsia="Calibri"/>
              </w:rPr>
              <w:t xml:space="preserve">is the flexible ramp </w:t>
            </w:r>
            <w:r w:rsidR="00596474">
              <w:rPr>
                <w:rFonts w:eastAsia="Calibri"/>
              </w:rPr>
              <w:t xml:space="preserve">up </w:t>
            </w:r>
            <w:r w:rsidRPr="008817D0">
              <w:rPr>
                <w:rFonts w:eastAsia="Calibri"/>
              </w:rPr>
              <w:t xml:space="preserve">credit </w:t>
            </w:r>
            <w:r w:rsidR="00BB4964">
              <w:rPr>
                <w:rFonts w:eastAsia="Calibri"/>
              </w:rPr>
              <w:t>for a given 15-minute interval in the next hour</w:t>
            </w:r>
            <w:r w:rsidR="00BB4964" w:rsidRPr="008817D0">
              <w:rPr>
                <w:rFonts w:eastAsia="Calibri"/>
              </w:rPr>
              <w:t xml:space="preserve"> for EIM Entity </w:t>
            </w:r>
            <w:r w:rsidR="00BB4964">
              <w:rPr>
                <w:rFonts w:eastAsia="Calibri"/>
                <w:i/>
              </w:rPr>
              <w:t>i</w:t>
            </w:r>
            <w:r w:rsidR="00BB4964">
              <w:rPr>
                <w:rFonts w:eastAsia="Calibri"/>
              </w:rPr>
              <w:t>,</w:t>
            </w:r>
            <w:r w:rsidR="00BB4964" w:rsidRPr="008817D0">
              <w:rPr>
                <w:rFonts w:eastAsia="Calibri"/>
              </w:rPr>
              <w:t xml:space="preserve"> </w:t>
            </w:r>
            <w:r w:rsidRPr="008817D0">
              <w:rPr>
                <w:rFonts w:eastAsia="Calibri"/>
              </w:rPr>
              <w:t xml:space="preserve">equal to the </w:t>
            </w:r>
            <w:r w:rsidR="00BB4964">
              <w:rPr>
                <w:rFonts w:eastAsia="Calibri"/>
              </w:rPr>
              <w:t xml:space="preserve">net EIM </w:t>
            </w:r>
            <w:r w:rsidR="007B7476">
              <w:rPr>
                <w:rFonts w:eastAsia="Calibri"/>
              </w:rPr>
              <w:t>export</w:t>
            </w:r>
            <w:r w:rsidR="00BB4964">
              <w:rPr>
                <w:rFonts w:eastAsia="Calibri"/>
              </w:rPr>
              <w:t xml:space="preserve"> transfer at the last 15-minute interval of the current </w:t>
            </w:r>
            <w:r w:rsidR="00BB4964" w:rsidRPr="008817D0">
              <w:rPr>
                <w:rFonts w:eastAsia="Calibri"/>
              </w:rPr>
              <w:t>hour</w:t>
            </w:r>
            <w:r w:rsidR="00BB4964">
              <w:rPr>
                <w:rFonts w:eastAsia="Calibri"/>
              </w:rPr>
              <w:t>; and</w:t>
            </w:r>
          </w:p>
        </w:tc>
      </w:tr>
      <w:tr w:rsidR="007B7476" w:rsidRPr="008817D0" w14:paraId="6EB57E66" w14:textId="77777777" w:rsidTr="00142E9E">
        <w:tc>
          <w:tcPr>
            <w:tcW w:w="1131" w:type="dxa"/>
            <w:shd w:val="clear" w:color="auto" w:fill="auto"/>
          </w:tcPr>
          <w:p w14:paraId="4F311ED4" w14:textId="0A4F8CEA" w:rsidR="007B7476" w:rsidRDefault="007818F5" w:rsidP="007B7476">
            <w:pPr>
              <w:spacing w:after="240" w:line="300" w:lineRule="auto"/>
              <w:rPr>
                <w:rFonts w:ascii="Calibri" w:eastAsia="Calibri" w:hAnsi="Calibri" w:cs="Times New Roman"/>
                <w:color w:val="000000"/>
              </w:rPr>
            </w:pPr>
            <m:oMathPara>
              <m:oMath>
                <m:sSub>
                  <m:sSubPr>
                    <m:ctrlPr>
                      <w:rPr>
                        <w:rFonts w:ascii="Cambria Math" w:hAnsi="Cambria Math"/>
                        <w:i/>
                        <w:color w:val="000000"/>
                      </w:rPr>
                    </m:ctrlPr>
                  </m:sSubPr>
                  <m:e>
                    <m:r>
                      <w:rPr>
                        <w:rFonts w:ascii="Cambria Math" w:eastAsia="Calibri" w:hAnsi="Cambria Math"/>
                        <w:color w:val="000000"/>
                      </w:rPr>
                      <m:t>FRDC</m:t>
                    </m:r>
                  </m:e>
                  <m:sub>
                    <m:r>
                      <w:rPr>
                        <w:rFonts w:ascii="Cambria Math" w:eastAsia="Calibri" w:hAnsi="Cambria Math"/>
                        <w:color w:val="000000"/>
                      </w:rPr>
                      <m:t>i</m:t>
                    </m:r>
                  </m:sub>
                </m:sSub>
              </m:oMath>
            </m:oMathPara>
          </w:p>
        </w:tc>
        <w:tc>
          <w:tcPr>
            <w:tcW w:w="7869" w:type="dxa"/>
            <w:shd w:val="clear" w:color="auto" w:fill="auto"/>
          </w:tcPr>
          <w:p w14:paraId="2A78933E" w14:textId="6BBA9DAB" w:rsidR="007B7476" w:rsidRPr="008817D0" w:rsidRDefault="007B7476" w:rsidP="007B7476">
            <w:pPr>
              <w:spacing w:after="240" w:line="300" w:lineRule="auto"/>
              <w:rPr>
                <w:rFonts w:eastAsia="Calibri"/>
              </w:rPr>
            </w:pPr>
            <w:r w:rsidRPr="008817D0">
              <w:rPr>
                <w:rFonts w:eastAsia="Calibri"/>
              </w:rPr>
              <w:t xml:space="preserve">is the flexible ramp </w:t>
            </w:r>
            <w:r>
              <w:rPr>
                <w:rFonts w:eastAsia="Calibri"/>
              </w:rPr>
              <w:t xml:space="preserve">down </w:t>
            </w:r>
            <w:r w:rsidRPr="008817D0">
              <w:rPr>
                <w:rFonts w:eastAsia="Calibri"/>
              </w:rPr>
              <w:t xml:space="preserve">credit </w:t>
            </w:r>
            <w:r>
              <w:rPr>
                <w:rFonts w:eastAsia="Calibri"/>
              </w:rPr>
              <w:t>for a given 15-minute interval in the next hour</w:t>
            </w:r>
            <w:r w:rsidRPr="008817D0">
              <w:rPr>
                <w:rFonts w:eastAsia="Calibri"/>
              </w:rPr>
              <w:t xml:space="preserve"> for EIM Entity </w:t>
            </w:r>
            <w:r>
              <w:rPr>
                <w:rFonts w:eastAsia="Calibri"/>
                <w:i/>
              </w:rPr>
              <w:t>i</w:t>
            </w:r>
            <w:r>
              <w:rPr>
                <w:rFonts w:eastAsia="Calibri"/>
              </w:rPr>
              <w:t>,</w:t>
            </w:r>
            <w:r w:rsidRPr="008817D0">
              <w:rPr>
                <w:rFonts w:eastAsia="Calibri"/>
              </w:rPr>
              <w:t xml:space="preserve"> equal to the </w:t>
            </w:r>
            <w:r>
              <w:rPr>
                <w:rFonts w:eastAsia="Calibri"/>
              </w:rPr>
              <w:t xml:space="preserve">net EIM import transfer at the last 15-minute interval of the current </w:t>
            </w:r>
            <w:r w:rsidRPr="008817D0">
              <w:rPr>
                <w:rFonts w:eastAsia="Calibri"/>
              </w:rPr>
              <w:t>hour</w:t>
            </w:r>
            <w:r>
              <w:rPr>
                <w:rFonts w:eastAsia="Calibri"/>
              </w:rPr>
              <w:t xml:space="preserve"> (negative).</w:t>
            </w:r>
          </w:p>
        </w:tc>
      </w:tr>
    </w:tbl>
    <w:p w14:paraId="66C2E6A1" w14:textId="4E50FC0B" w:rsidR="008817D0" w:rsidRPr="008817D0" w:rsidRDefault="008817D0" w:rsidP="002F635A">
      <w:pPr>
        <w:spacing w:after="240" w:line="300" w:lineRule="auto"/>
        <w:rPr>
          <w:rFonts w:eastAsia="Calibri"/>
        </w:rPr>
      </w:pPr>
      <w:r w:rsidRPr="008817D0">
        <w:rPr>
          <w:rFonts w:eastAsia="Calibri"/>
        </w:rPr>
        <w:t xml:space="preserve">This requirement reflects a pro rata share of potential EIM </w:t>
      </w:r>
      <w:r w:rsidR="001672D4">
        <w:rPr>
          <w:rFonts w:eastAsia="Calibri"/>
        </w:rPr>
        <w:t>D</w:t>
      </w:r>
      <w:r w:rsidRPr="008817D0">
        <w:rPr>
          <w:rFonts w:eastAsia="Calibri"/>
        </w:rPr>
        <w:t xml:space="preserve">iversity </w:t>
      </w:r>
      <w:r w:rsidR="001672D4">
        <w:rPr>
          <w:rFonts w:eastAsia="Calibri"/>
        </w:rPr>
        <w:t>B</w:t>
      </w:r>
      <w:r w:rsidRPr="008817D0">
        <w:rPr>
          <w:rFonts w:eastAsia="Calibri"/>
        </w:rPr>
        <w:t>enefit and the flexible ramping credit, up to the available net import</w:t>
      </w:r>
      <w:r w:rsidR="0042276C">
        <w:rPr>
          <w:rFonts w:eastAsia="Calibri"/>
        </w:rPr>
        <w:t>/export transfer</w:t>
      </w:r>
      <w:r w:rsidRPr="008817D0">
        <w:rPr>
          <w:rFonts w:eastAsia="Calibri"/>
        </w:rPr>
        <w:t xml:space="preserve"> capability. The EIM </w:t>
      </w:r>
      <w:r w:rsidR="001672D4">
        <w:rPr>
          <w:rFonts w:eastAsia="Calibri"/>
        </w:rPr>
        <w:t>D</w:t>
      </w:r>
      <w:r w:rsidRPr="008817D0">
        <w:rPr>
          <w:rFonts w:eastAsia="Calibri"/>
        </w:rPr>
        <w:t xml:space="preserve">iversity </w:t>
      </w:r>
      <w:r w:rsidR="001672D4">
        <w:rPr>
          <w:rFonts w:eastAsia="Calibri"/>
        </w:rPr>
        <w:t>B</w:t>
      </w:r>
      <w:r w:rsidRPr="008817D0">
        <w:rPr>
          <w:rFonts w:eastAsia="Calibri"/>
        </w:rPr>
        <w:t>enefit is the difference between the sum of the individual flexible ramping requirements of each BAA in the EIM Area and the flexible ramping requirement for the entire EIM Area taken as a whole.</w:t>
      </w:r>
    </w:p>
    <w:p w14:paraId="5E168F85" w14:textId="0C588C22" w:rsidR="008817D0" w:rsidRPr="008817D0" w:rsidRDefault="008817D0" w:rsidP="002F635A">
      <w:pPr>
        <w:spacing w:after="240" w:line="300" w:lineRule="auto"/>
        <w:rPr>
          <w:rFonts w:eastAsia="Calibri"/>
        </w:rPr>
      </w:pPr>
      <w:r w:rsidRPr="008817D0">
        <w:rPr>
          <w:rFonts w:eastAsia="Calibri"/>
        </w:rPr>
        <w:t xml:space="preserve">The </w:t>
      </w:r>
      <w:r w:rsidR="002462E5">
        <w:rPr>
          <w:rFonts w:eastAsia="Calibri"/>
        </w:rPr>
        <w:t>CAISO</w:t>
      </w:r>
      <w:r w:rsidRPr="008817D0">
        <w:rPr>
          <w:rFonts w:eastAsia="Calibri"/>
        </w:rPr>
        <w:t xml:space="preserve"> will perform a series of flexible ramping constraint sufficiency tests prior to </w:t>
      </w:r>
      <w:r w:rsidR="00BF3D50">
        <w:rPr>
          <w:rFonts w:eastAsia="Calibri"/>
        </w:rPr>
        <w:t>each hour</w:t>
      </w:r>
      <w:r w:rsidRPr="008817D0">
        <w:rPr>
          <w:rFonts w:eastAsia="Calibri"/>
        </w:rPr>
        <w:t>.  The EIM Entity Scheduling Coordinator will ha</w:t>
      </w:r>
      <w:r w:rsidR="000B6D3C">
        <w:rPr>
          <w:rFonts w:eastAsia="Calibri"/>
        </w:rPr>
        <w:t>ve an opportunity to re-submit Base S</w:t>
      </w:r>
      <w:r w:rsidRPr="008817D0">
        <w:rPr>
          <w:rFonts w:eastAsia="Calibri"/>
        </w:rPr>
        <w:t xml:space="preserve">chedules if it fails the </w:t>
      </w:r>
      <w:r w:rsidRPr="008817D0">
        <w:rPr>
          <w:rFonts w:eastAsia="Calibri"/>
        </w:rPr>
        <w:lastRenderedPageBreak/>
        <w:t>flexible ramping constraint sufficiency test or to resolve congestion up to 40 minutes prior to the operating hour, which is just before the start of the first financially binding EIM 15-minute market for the operating hour.</w:t>
      </w:r>
      <w:r w:rsidR="00883639" w:rsidRPr="00883639">
        <w:rPr>
          <w:rFonts w:eastAsia="Calibri"/>
        </w:rPr>
        <w:t xml:space="preserve"> </w:t>
      </w:r>
      <w:r w:rsidR="00883639">
        <w:rPr>
          <w:rFonts w:eastAsia="Calibri"/>
        </w:rPr>
        <w:t>Thresholds are developed by the CAISO to cap the flexible ramp up and down uncertainty requirements to within historical bounds.</w:t>
      </w:r>
    </w:p>
    <w:p w14:paraId="228CDAC7" w14:textId="5FAE74B8" w:rsidR="008817D0" w:rsidRPr="008817D0" w:rsidRDefault="008C1669" w:rsidP="008817D0">
      <w:pPr>
        <w:spacing w:after="240" w:line="300" w:lineRule="auto"/>
        <w:rPr>
          <w:rFonts w:eastAsia="Calibri"/>
        </w:rPr>
      </w:pPr>
      <w:r w:rsidRPr="008817D0">
        <w:rPr>
          <w:rFonts w:eastAsia="Calibri"/>
        </w:rPr>
        <w:t xml:space="preserve">The flexible ramp sufficiency test is performed for each EIM Entity BAA after T-75’, T-55’, and T-40’ for the trading hour starting at T. The test uses </w:t>
      </w:r>
      <w:r>
        <w:rPr>
          <w:rFonts w:eastAsia="Calibri"/>
        </w:rPr>
        <w:t>the initial schedules at T-7.5’</w:t>
      </w:r>
      <w:r w:rsidRPr="0013659F">
        <w:rPr>
          <w:rFonts w:eastAsia="Calibri"/>
        </w:rPr>
        <w:t>, variable energy resource (VER) forecast, EIM resources energy bids, ramp rates, manual dispatch constraints and operational de</w:t>
      </w:r>
      <w:r>
        <w:rPr>
          <w:rFonts w:eastAsia="Calibri"/>
        </w:rPr>
        <w:t>-</w:t>
      </w:r>
      <w:r w:rsidRPr="0013659F">
        <w:rPr>
          <w:rFonts w:eastAsia="Calibri"/>
        </w:rPr>
        <w:t>rates. Since the VER forecast information is updated every five minutes, it is possible that VER forecast may change between the three flex ramp sufficiency tests. The VER forecast information is held fixed at the T-55’, and T-40’ such that the updated VER forecast information at T-55 is used for the T-40 flex ramp sufficiency test.</w:t>
      </w:r>
    </w:p>
    <w:p w14:paraId="10B1C8A1" w14:textId="3CBE36AB" w:rsidR="008817D0" w:rsidRPr="008817D0" w:rsidRDefault="008817D0" w:rsidP="008817D0">
      <w:pPr>
        <w:spacing w:after="240" w:line="300" w:lineRule="auto"/>
        <w:rPr>
          <w:rFonts w:eastAsia="Calibri"/>
        </w:rPr>
      </w:pPr>
      <w:r w:rsidRPr="008817D0">
        <w:rPr>
          <w:rFonts w:eastAsia="Calibri"/>
        </w:rPr>
        <w:t>The test for meeting flexible ramp requirements is cumulative for each 15' interval of the hour.</w:t>
      </w:r>
      <w:r w:rsidR="009958D7">
        <w:rPr>
          <w:rFonts w:eastAsia="Calibri"/>
        </w:rPr>
        <w:t xml:space="preserve"> More specifically, for each interval, the flexible ramp requirement is the sum of the </w:t>
      </w:r>
      <w:r w:rsidR="00625C79">
        <w:rPr>
          <w:rFonts w:eastAsia="Calibri"/>
        </w:rPr>
        <w:t>demand forecast change</w:t>
      </w:r>
      <w:r w:rsidR="009958D7">
        <w:rPr>
          <w:rFonts w:eastAsia="Calibri"/>
        </w:rPr>
        <w:t xml:space="preserve"> from T-7.5’ to </w:t>
      </w:r>
      <w:r w:rsidR="00625C79">
        <w:rPr>
          <w:rFonts w:eastAsia="Calibri"/>
        </w:rPr>
        <w:t xml:space="preserve">the relevant </w:t>
      </w:r>
      <w:r w:rsidR="009958D7">
        <w:rPr>
          <w:rFonts w:eastAsia="Calibri"/>
        </w:rPr>
        <w:t xml:space="preserve">interval plus the flexible ramp </w:t>
      </w:r>
      <w:r w:rsidR="00625C79">
        <w:rPr>
          <w:rFonts w:eastAsia="Calibri"/>
        </w:rPr>
        <w:t>uncertainty requirement for that interval</w:t>
      </w:r>
      <w:r w:rsidR="00433896">
        <w:rPr>
          <w:rFonts w:eastAsia="Calibri"/>
        </w:rPr>
        <w:t xml:space="preserve">. </w:t>
      </w:r>
      <w:r w:rsidR="00433896">
        <w:t>Since the load forecast information may be updated between the three flex ramp sufficiency test, load forecast information used to calculate the net load movement is held fixed at the T-55’, and T-40’ such that the updated load forecast information at T-55 is used for the T-40 flex ramp sufficiency test. The net requirement for the flex ramp sufficiency test includes the effects of EIM diversity and credit, and it is calculated as</w:t>
      </w:r>
      <w:r w:rsidR="000417E3">
        <w:rPr>
          <w:rFonts w:eastAsia="Calibri"/>
        </w:rPr>
        <w:t>:</w:t>
      </w:r>
    </w:p>
    <w:p w14:paraId="0F6A9525" w14:textId="77777777" w:rsidR="008817D0" w:rsidRPr="00877DDB" w:rsidRDefault="008817D0" w:rsidP="000F0531">
      <w:pPr>
        <w:pStyle w:val="ListParagraph"/>
        <w:numPr>
          <w:ilvl w:val="0"/>
          <w:numId w:val="71"/>
        </w:numPr>
        <w:spacing w:after="240" w:line="300" w:lineRule="auto"/>
        <w:rPr>
          <w:rFonts w:eastAsia="Calibri"/>
        </w:rPr>
      </w:pPr>
      <w:r w:rsidRPr="00877DDB">
        <w:rPr>
          <w:rFonts w:eastAsia="Calibri"/>
        </w:rPr>
        <w:t>15' ramp from T−7.5' to T+7.5' (1st 15' interval)</w:t>
      </w:r>
    </w:p>
    <w:p w14:paraId="06E858F4" w14:textId="77777777" w:rsidR="008817D0" w:rsidRPr="00877DDB" w:rsidRDefault="008817D0" w:rsidP="000F0531">
      <w:pPr>
        <w:pStyle w:val="ListParagraph"/>
        <w:numPr>
          <w:ilvl w:val="0"/>
          <w:numId w:val="71"/>
        </w:numPr>
        <w:spacing w:after="240" w:line="300" w:lineRule="auto"/>
        <w:rPr>
          <w:rFonts w:eastAsia="Calibri"/>
        </w:rPr>
      </w:pPr>
      <w:r w:rsidRPr="00877DDB">
        <w:rPr>
          <w:rFonts w:eastAsia="Calibri"/>
        </w:rPr>
        <w:t>30' ramp from T−7.5' to T+22.5' (2nd 15' interval)</w:t>
      </w:r>
    </w:p>
    <w:p w14:paraId="1AA93813" w14:textId="77777777" w:rsidR="008817D0" w:rsidRPr="00877DDB" w:rsidRDefault="008817D0" w:rsidP="000F0531">
      <w:pPr>
        <w:pStyle w:val="ListParagraph"/>
        <w:numPr>
          <w:ilvl w:val="0"/>
          <w:numId w:val="71"/>
        </w:numPr>
        <w:spacing w:after="240" w:line="300" w:lineRule="auto"/>
        <w:rPr>
          <w:rFonts w:eastAsia="Calibri"/>
        </w:rPr>
      </w:pPr>
      <w:r w:rsidRPr="00877DDB">
        <w:rPr>
          <w:rFonts w:eastAsia="Calibri"/>
        </w:rPr>
        <w:t>45' ramp from T−7.5' to T+37.5' (3rd 15' interval)</w:t>
      </w:r>
    </w:p>
    <w:p w14:paraId="68D8E38D" w14:textId="77777777" w:rsidR="008817D0" w:rsidRPr="00877DDB" w:rsidRDefault="008817D0" w:rsidP="000F0531">
      <w:pPr>
        <w:pStyle w:val="ListParagraph"/>
        <w:numPr>
          <w:ilvl w:val="0"/>
          <w:numId w:val="71"/>
        </w:numPr>
        <w:spacing w:after="240" w:line="300" w:lineRule="auto"/>
        <w:rPr>
          <w:rFonts w:eastAsia="Calibri"/>
        </w:rPr>
      </w:pPr>
      <w:r w:rsidRPr="00877DDB">
        <w:rPr>
          <w:rFonts w:eastAsia="Calibri"/>
        </w:rPr>
        <w:t>60' ramp from T−7.5' to T+52.5' (4th 15' interval)</w:t>
      </w:r>
    </w:p>
    <w:p w14:paraId="639E9055" w14:textId="77777777" w:rsidR="008817D0" w:rsidRPr="005860DE" w:rsidRDefault="008817D0" w:rsidP="00D769E5">
      <w:pPr>
        <w:spacing w:after="240" w:line="300" w:lineRule="auto"/>
        <w:rPr>
          <w:rFonts w:eastAsia="Calibri"/>
        </w:rPr>
      </w:pPr>
      <w:r w:rsidRPr="008817D0">
        <w:rPr>
          <w:rFonts w:eastAsia="Calibri"/>
        </w:rPr>
        <w:t>The test passes if all four cumulative tests pass; the test fails if any of the four cumulative tests fail.</w:t>
      </w:r>
    </w:p>
    <w:p w14:paraId="5513ED3C" w14:textId="43C6F932" w:rsidR="008817D0" w:rsidRPr="008817D0" w:rsidRDefault="008817D0" w:rsidP="00E42C54">
      <w:pPr>
        <w:spacing w:line="300" w:lineRule="auto"/>
        <w:rPr>
          <w:rFonts w:eastAsia="Calibri"/>
        </w:rPr>
      </w:pPr>
      <w:r w:rsidRPr="008817D0">
        <w:rPr>
          <w:rFonts w:eastAsia="Calibri"/>
        </w:rPr>
        <w:t xml:space="preserve">In </w:t>
      </w:r>
      <w:r w:rsidR="00FB43F9">
        <w:rPr>
          <w:rFonts w:eastAsia="Calibri"/>
        </w:rPr>
        <w:t xml:space="preserve">Fifteen Minute Market </w:t>
      </w:r>
      <w:r w:rsidR="00CB7C91">
        <w:rPr>
          <w:rFonts w:eastAsia="Calibri"/>
        </w:rPr>
        <w:t>and RTD</w:t>
      </w:r>
      <w:r w:rsidRPr="008817D0">
        <w:rPr>
          <w:rFonts w:eastAsia="Calibri"/>
        </w:rPr>
        <w:t>, the flexible ramping capacity requirement constraints for the CAISO BAA, each EIM Entity BAA, and the total EIM footprint must be enforced:</w:t>
      </w:r>
    </w:p>
    <w:p w14:paraId="78810743" w14:textId="16A299D3" w:rsidR="008817D0" w:rsidRPr="00505DCA" w:rsidRDefault="008817D0" w:rsidP="000F0531">
      <w:pPr>
        <w:numPr>
          <w:ilvl w:val="0"/>
          <w:numId w:val="10"/>
        </w:numPr>
        <w:rPr>
          <w:rFonts w:eastAsia="Calibri"/>
        </w:rPr>
      </w:pPr>
      <w:r w:rsidRPr="00505DCA">
        <w:rPr>
          <w:rFonts w:eastAsia="Calibri"/>
        </w:rPr>
        <w:t xml:space="preserve">If the EIM Entity BAA fails the </w:t>
      </w:r>
      <w:r w:rsidR="003D0D88">
        <w:rPr>
          <w:rFonts w:eastAsia="Calibri"/>
        </w:rPr>
        <w:t>flexible</w:t>
      </w:r>
      <w:r w:rsidR="003D0D88" w:rsidRPr="00505DCA">
        <w:rPr>
          <w:rFonts w:eastAsia="Calibri"/>
        </w:rPr>
        <w:t xml:space="preserve"> </w:t>
      </w:r>
      <w:r w:rsidRPr="00505DCA">
        <w:rPr>
          <w:rFonts w:eastAsia="Calibri"/>
        </w:rPr>
        <w:t xml:space="preserve">ramp </w:t>
      </w:r>
      <w:r w:rsidR="0083584B">
        <w:rPr>
          <w:rFonts w:eastAsia="Calibri"/>
        </w:rPr>
        <w:t xml:space="preserve">up </w:t>
      </w:r>
      <w:r w:rsidR="003D0D88">
        <w:rPr>
          <w:rFonts w:eastAsia="Calibri"/>
        </w:rPr>
        <w:t xml:space="preserve">sufficiency </w:t>
      </w:r>
      <w:r w:rsidRPr="00505DCA">
        <w:rPr>
          <w:rFonts w:eastAsia="Calibri"/>
        </w:rPr>
        <w:t>tes</w:t>
      </w:r>
      <w:r w:rsidR="009D507A" w:rsidRPr="00505DCA">
        <w:rPr>
          <w:rFonts w:eastAsia="Calibri"/>
        </w:rPr>
        <w:t>t</w:t>
      </w:r>
      <w:r w:rsidR="00B23B50" w:rsidRPr="00505DCA">
        <w:rPr>
          <w:rFonts w:eastAsia="Calibri"/>
        </w:rPr>
        <w:t xml:space="preserve"> </w:t>
      </w:r>
      <w:r w:rsidR="00B23B50" w:rsidRPr="00B23B50">
        <w:t>or is deemed to have failed the test as specified in Section 10.3.2 because it failed the capacity (resource plan) test</w:t>
      </w:r>
      <w:r w:rsidR="009D507A" w:rsidRPr="00505DCA">
        <w:rPr>
          <w:rFonts w:eastAsia="Calibri"/>
        </w:rPr>
        <w:t xml:space="preserve">, </w:t>
      </w:r>
      <w:r w:rsidR="0083584B">
        <w:rPr>
          <w:rFonts w:eastAsia="Calibri"/>
        </w:rPr>
        <w:t xml:space="preserve">the </w:t>
      </w:r>
      <w:r w:rsidR="00577EB4">
        <w:rPr>
          <w:rFonts w:eastAsia="Calibri"/>
        </w:rPr>
        <w:t>EIM Transfer during the next hour will be</w:t>
      </w:r>
      <w:r w:rsidR="00577EB4" w:rsidRPr="00577EB4">
        <w:rPr>
          <w:rFonts w:eastAsia="Calibri"/>
        </w:rPr>
        <w:t xml:space="preserve"> bound</w:t>
      </w:r>
      <w:r w:rsidR="00577EB4">
        <w:rPr>
          <w:rFonts w:eastAsia="Calibri"/>
        </w:rPr>
        <w:t>ed</w:t>
      </w:r>
      <w:r w:rsidR="00577EB4" w:rsidRPr="00577EB4">
        <w:rPr>
          <w:rFonts w:eastAsia="Calibri"/>
        </w:rPr>
        <w:t xml:space="preserve"> from below at the lower of the base transfer for current hour or the optimal transfer at the last </w:t>
      </w:r>
      <w:r w:rsidR="00FB43F9">
        <w:rPr>
          <w:rFonts w:eastAsia="Calibri"/>
        </w:rPr>
        <w:t>fifteen-minute</w:t>
      </w:r>
      <w:r w:rsidR="00577EB4">
        <w:rPr>
          <w:rFonts w:eastAsia="Calibri"/>
        </w:rPr>
        <w:t xml:space="preserve"> interval of the current hour</w:t>
      </w:r>
      <w:r w:rsidR="004A04C1" w:rsidRPr="00505DCA">
        <w:rPr>
          <w:rFonts w:eastAsia="Calibri"/>
        </w:rPr>
        <w:t xml:space="preserve">. </w:t>
      </w:r>
      <w:r w:rsidR="00E453E7">
        <w:rPr>
          <w:rFonts w:eastAsia="Calibri"/>
        </w:rPr>
        <w:t>Furthermore, t</w:t>
      </w:r>
      <w:r w:rsidR="004A04C1" w:rsidRPr="00505DCA">
        <w:rPr>
          <w:rFonts w:eastAsia="Calibri"/>
        </w:rPr>
        <w:t xml:space="preserve">he </w:t>
      </w:r>
      <w:r w:rsidRPr="00505DCA">
        <w:rPr>
          <w:rFonts w:eastAsia="Calibri"/>
        </w:rPr>
        <w:t xml:space="preserve">CAISO will enforce the individual EIM Entity BAA flexible ramp </w:t>
      </w:r>
      <w:r w:rsidR="00E453E7">
        <w:rPr>
          <w:rFonts w:eastAsia="Calibri"/>
        </w:rPr>
        <w:t>up</w:t>
      </w:r>
      <w:r w:rsidR="00E22732">
        <w:rPr>
          <w:rFonts w:eastAsia="Calibri"/>
        </w:rPr>
        <w:t xml:space="preserve"> uncertainty</w:t>
      </w:r>
      <w:r w:rsidR="00E453E7">
        <w:rPr>
          <w:rFonts w:eastAsia="Calibri"/>
        </w:rPr>
        <w:t xml:space="preserve"> </w:t>
      </w:r>
      <w:r w:rsidRPr="00505DCA">
        <w:rPr>
          <w:rFonts w:eastAsia="Calibri"/>
        </w:rPr>
        <w:lastRenderedPageBreak/>
        <w:t>requirement in the EIM Entity BAA</w:t>
      </w:r>
      <w:r w:rsidR="00577EB4">
        <w:rPr>
          <w:rFonts w:eastAsia="Calibri"/>
        </w:rPr>
        <w:t xml:space="preserve"> without diversity benefit</w:t>
      </w:r>
      <w:r w:rsidR="00E22732">
        <w:rPr>
          <w:rFonts w:eastAsia="Calibri"/>
        </w:rPr>
        <w:t>, but the credit shall apply</w:t>
      </w:r>
      <w:r w:rsidR="00505DCA" w:rsidRPr="00B23B50">
        <w:rPr>
          <w:rFonts w:eastAsia="Calibri"/>
        </w:rPr>
        <w:t>.</w:t>
      </w:r>
      <w:r w:rsidR="00186C03">
        <w:rPr>
          <w:rFonts w:eastAsia="Calibri"/>
        </w:rPr>
        <w:t xml:space="preserve"> </w:t>
      </w:r>
      <w:r w:rsidRPr="00505DCA">
        <w:rPr>
          <w:rFonts w:eastAsia="Calibri"/>
        </w:rPr>
        <w:t xml:space="preserve">If the EIM Entity BAA passes the </w:t>
      </w:r>
      <w:r w:rsidR="003D0D88">
        <w:rPr>
          <w:rFonts w:eastAsia="Calibri"/>
        </w:rPr>
        <w:t>flexible</w:t>
      </w:r>
      <w:r w:rsidR="003D0D88" w:rsidRPr="00505DCA">
        <w:rPr>
          <w:rFonts w:eastAsia="Calibri"/>
        </w:rPr>
        <w:t xml:space="preserve"> </w:t>
      </w:r>
      <w:r w:rsidRPr="00505DCA">
        <w:rPr>
          <w:rFonts w:eastAsia="Calibri"/>
        </w:rPr>
        <w:t>ramp</w:t>
      </w:r>
      <w:r w:rsidR="00462BD0">
        <w:rPr>
          <w:rFonts w:eastAsia="Calibri"/>
        </w:rPr>
        <w:t xml:space="preserve"> </w:t>
      </w:r>
      <w:r w:rsidR="007A2AD5">
        <w:rPr>
          <w:rFonts w:eastAsia="Calibri"/>
        </w:rPr>
        <w:t>up</w:t>
      </w:r>
      <w:r w:rsidR="00462BD0">
        <w:rPr>
          <w:rFonts w:eastAsia="Calibri"/>
        </w:rPr>
        <w:t xml:space="preserve"> sufficiency</w:t>
      </w:r>
      <w:r w:rsidRPr="00505DCA">
        <w:rPr>
          <w:rFonts w:eastAsia="Calibri"/>
        </w:rPr>
        <w:t xml:space="preserve"> test, the </w:t>
      </w:r>
      <w:r w:rsidR="00CB7C91" w:rsidRPr="00505DCA">
        <w:rPr>
          <w:rFonts w:eastAsia="Calibri"/>
        </w:rPr>
        <w:t xml:space="preserve">flexible </w:t>
      </w:r>
      <w:r w:rsidRPr="00505DCA">
        <w:rPr>
          <w:rFonts w:eastAsia="Calibri"/>
        </w:rPr>
        <w:t xml:space="preserve">ramp </w:t>
      </w:r>
      <w:r w:rsidR="00462BD0">
        <w:rPr>
          <w:rFonts w:eastAsia="Calibri"/>
        </w:rPr>
        <w:t>up</w:t>
      </w:r>
      <w:r w:rsidR="00462BD0" w:rsidRPr="00505DCA">
        <w:rPr>
          <w:rFonts w:eastAsia="Calibri"/>
        </w:rPr>
        <w:t xml:space="preserve"> </w:t>
      </w:r>
      <w:r w:rsidR="00E22732">
        <w:rPr>
          <w:rFonts w:eastAsia="Calibri"/>
        </w:rPr>
        <w:t xml:space="preserve">uncertainty </w:t>
      </w:r>
      <w:r w:rsidRPr="00505DCA">
        <w:rPr>
          <w:rFonts w:eastAsia="Calibri"/>
        </w:rPr>
        <w:t xml:space="preserve">requirement </w:t>
      </w:r>
      <w:r w:rsidR="00E22732">
        <w:rPr>
          <w:rFonts w:eastAsia="Calibri"/>
        </w:rPr>
        <w:t>without</w:t>
      </w:r>
      <w:r w:rsidRPr="00505DCA">
        <w:rPr>
          <w:rFonts w:eastAsia="Calibri"/>
        </w:rPr>
        <w:t xml:space="preserve"> </w:t>
      </w:r>
      <w:r w:rsidR="00FB43F9">
        <w:rPr>
          <w:rFonts w:eastAsia="Calibri"/>
        </w:rPr>
        <w:t xml:space="preserve">diversity benefit </w:t>
      </w:r>
      <w:r w:rsidRPr="00505DCA">
        <w:rPr>
          <w:rFonts w:eastAsia="Calibri"/>
        </w:rPr>
        <w:t>shall be reduced by the avai</w:t>
      </w:r>
      <w:r w:rsidR="004A04C1" w:rsidRPr="00505DCA">
        <w:rPr>
          <w:rFonts w:eastAsia="Calibri"/>
        </w:rPr>
        <w:t xml:space="preserve">lable net import </w:t>
      </w:r>
      <w:r w:rsidR="007A2AD5">
        <w:rPr>
          <w:rFonts w:eastAsia="Calibri"/>
        </w:rPr>
        <w:t xml:space="preserve">transfer </w:t>
      </w:r>
      <w:r w:rsidR="00945FCB" w:rsidRPr="00505DCA">
        <w:rPr>
          <w:rFonts w:eastAsia="Calibri"/>
        </w:rPr>
        <w:t>capa</w:t>
      </w:r>
      <w:r w:rsidR="00945FCB">
        <w:rPr>
          <w:rFonts w:eastAsia="Calibri"/>
        </w:rPr>
        <w:t>bili</w:t>
      </w:r>
      <w:r w:rsidR="00945FCB" w:rsidRPr="00505DCA">
        <w:rPr>
          <w:rFonts w:eastAsia="Calibri"/>
        </w:rPr>
        <w:t>ty</w:t>
      </w:r>
      <w:r w:rsidR="004A04C1" w:rsidRPr="00505DCA">
        <w:rPr>
          <w:rFonts w:eastAsia="Calibri"/>
        </w:rPr>
        <w:t xml:space="preserve">. The </w:t>
      </w:r>
      <w:r w:rsidR="00FB43F9">
        <w:rPr>
          <w:rFonts w:eastAsia="Calibri"/>
        </w:rPr>
        <w:t>CAISO</w:t>
      </w:r>
      <w:r w:rsidRPr="00505DCA">
        <w:rPr>
          <w:rFonts w:eastAsia="Calibri"/>
        </w:rPr>
        <w:t xml:space="preserve"> will enforce the constraint for each EIM Entity BAA, the CAISO BAA</w:t>
      </w:r>
      <w:r w:rsidR="007A2AD5">
        <w:rPr>
          <w:rFonts w:eastAsia="Calibri"/>
        </w:rPr>
        <w:t>,</w:t>
      </w:r>
      <w:r w:rsidR="006623E5">
        <w:rPr>
          <w:rFonts w:eastAsia="Calibri"/>
        </w:rPr>
        <w:t xml:space="preserve"> </w:t>
      </w:r>
      <w:r w:rsidRPr="00505DCA">
        <w:rPr>
          <w:rFonts w:eastAsia="Calibri"/>
        </w:rPr>
        <w:t xml:space="preserve">and </w:t>
      </w:r>
      <w:r w:rsidR="00945FCB">
        <w:rPr>
          <w:rFonts w:eastAsia="Calibri"/>
        </w:rPr>
        <w:t xml:space="preserve">the </w:t>
      </w:r>
      <w:r w:rsidRPr="00505DCA">
        <w:rPr>
          <w:rFonts w:eastAsia="Calibri"/>
        </w:rPr>
        <w:t xml:space="preserve">total </w:t>
      </w:r>
      <w:r w:rsidR="007A2AD5">
        <w:rPr>
          <w:rFonts w:eastAsia="Calibri"/>
        </w:rPr>
        <w:t xml:space="preserve">flexible ramp up uncertainty </w:t>
      </w:r>
      <w:r w:rsidRPr="00505DCA">
        <w:rPr>
          <w:rFonts w:eastAsia="Calibri"/>
        </w:rPr>
        <w:t xml:space="preserve">requirement for the EIM </w:t>
      </w:r>
      <w:r w:rsidR="007A2AD5">
        <w:rPr>
          <w:rFonts w:eastAsia="Calibri"/>
        </w:rPr>
        <w:t>Area</w:t>
      </w:r>
      <w:r w:rsidRPr="00505DCA">
        <w:rPr>
          <w:rFonts w:eastAsia="Calibri"/>
        </w:rPr>
        <w:t>.</w:t>
      </w:r>
    </w:p>
    <w:p w14:paraId="415296B7" w14:textId="469F2B28" w:rsidR="007A2AD5" w:rsidRPr="00505DCA" w:rsidRDefault="007A2AD5" w:rsidP="000F0531">
      <w:pPr>
        <w:numPr>
          <w:ilvl w:val="0"/>
          <w:numId w:val="10"/>
        </w:numPr>
        <w:rPr>
          <w:rFonts w:eastAsia="Calibri"/>
        </w:rPr>
      </w:pPr>
      <w:r w:rsidRPr="00505DCA">
        <w:rPr>
          <w:rFonts w:eastAsia="Calibri"/>
        </w:rPr>
        <w:t xml:space="preserve">If the EIM Entity BAA fails the </w:t>
      </w:r>
      <w:r>
        <w:rPr>
          <w:rFonts w:eastAsia="Calibri"/>
        </w:rPr>
        <w:t>flexible</w:t>
      </w:r>
      <w:r w:rsidRPr="00505DCA">
        <w:rPr>
          <w:rFonts w:eastAsia="Calibri"/>
        </w:rPr>
        <w:t xml:space="preserve"> ramp </w:t>
      </w:r>
      <w:r>
        <w:rPr>
          <w:rFonts w:eastAsia="Calibri"/>
        </w:rPr>
        <w:t xml:space="preserve">down sufficiency </w:t>
      </w:r>
      <w:r w:rsidRPr="00505DCA">
        <w:rPr>
          <w:rFonts w:eastAsia="Calibri"/>
        </w:rPr>
        <w:t xml:space="preserve">test </w:t>
      </w:r>
      <w:r w:rsidRPr="00B23B50">
        <w:t>or is deemed to have failed the test as specified in Section 10.3.2 because it failed the capacity (resource plan) test</w:t>
      </w:r>
      <w:r w:rsidRPr="00505DCA">
        <w:rPr>
          <w:rFonts w:eastAsia="Calibri"/>
        </w:rPr>
        <w:t xml:space="preserve">, </w:t>
      </w:r>
      <w:r>
        <w:rPr>
          <w:rFonts w:eastAsia="Calibri"/>
        </w:rPr>
        <w:t>the EIM Transfer during the next hour will be</w:t>
      </w:r>
      <w:r w:rsidRPr="00577EB4">
        <w:rPr>
          <w:rFonts w:eastAsia="Calibri"/>
        </w:rPr>
        <w:t xml:space="preserve"> bound</w:t>
      </w:r>
      <w:r>
        <w:rPr>
          <w:rFonts w:eastAsia="Calibri"/>
        </w:rPr>
        <w:t>ed</w:t>
      </w:r>
      <w:r w:rsidRPr="00577EB4">
        <w:rPr>
          <w:rFonts w:eastAsia="Calibri"/>
        </w:rPr>
        <w:t xml:space="preserve"> from </w:t>
      </w:r>
      <w:r>
        <w:rPr>
          <w:rFonts w:eastAsia="Calibri"/>
        </w:rPr>
        <w:t>above</w:t>
      </w:r>
      <w:r w:rsidRPr="00577EB4">
        <w:rPr>
          <w:rFonts w:eastAsia="Calibri"/>
        </w:rPr>
        <w:t xml:space="preserve"> at the </w:t>
      </w:r>
      <w:r>
        <w:rPr>
          <w:rFonts w:eastAsia="Calibri"/>
        </w:rPr>
        <w:t>higher</w:t>
      </w:r>
      <w:r w:rsidRPr="00577EB4">
        <w:rPr>
          <w:rFonts w:eastAsia="Calibri"/>
        </w:rPr>
        <w:t xml:space="preserve"> of the base transfer for current hour or the optimal transfer at the last </w:t>
      </w:r>
      <w:r>
        <w:rPr>
          <w:rFonts w:eastAsia="Calibri"/>
        </w:rPr>
        <w:t>fifteen-minute interval of the current hour</w:t>
      </w:r>
      <w:r w:rsidRPr="00505DCA">
        <w:rPr>
          <w:rFonts w:eastAsia="Calibri"/>
        </w:rPr>
        <w:t xml:space="preserve">. </w:t>
      </w:r>
      <w:r>
        <w:rPr>
          <w:rFonts w:eastAsia="Calibri"/>
        </w:rPr>
        <w:t>Furthermore, t</w:t>
      </w:r>
      <w:r w:rsidRPr="00505DCA">
        <w:rPr>
          <w:rFonts w:eastAsia="Calibri"/>
        </w:rPr>
        <w:t xml:space="preserve">he CAISO will enforce the individual EIM Entity BAA flexible ramp </w:t>
      </w:r>
      <w:r>
        <w:rPr>
          <w:rFonts w:eastAsia="Calibri"/>
        </w:rPr>
        <w:t xml:space="preserve">down uncertainty </w:t>
      </w:r>
      <w:r w:rsidRPr="00505DCA">
        <w:rPr>
          <w:rFonts w:eastAsia="Calibri"/>
        </w:rPr>
        <w:t>requirement in the EIM Entity BAA</w:t>
      </w:r>
      <w:r>
        <w:rPr>
          <w:rFonts w:eastAsia="Calibri"/>
        </w:rPr>
        <w:t xml:space="preserve"> without diversity benefit, but the credit shall apply</w:t>
      </w:r>
      <w:r w:rsidRPr="00B23B50">
        <w:rPr>
          <w:rFonts w:eastAsia="Calibri"/>
        </w:rPr>
        <w:t>.</w:t>
      </w:r>
      <w:r>
        <w:rPr>
          <w:rFonts w:eastAsia="Calibri"/>
        </w:rPr>
        <w:t xml:space="preserve"> </w:t>
      </w:r>
      <w:r w:rsidRPr="00505DCA">
        <w:rPr>
          <w:rFonts w:eastAsia="Calibri"/>
        </w:rPr>
        <w:t xml:space="preserve">If the EIM Entity BAA passes the </w:t>
      </w:r>
      <w:r>
        <w:rPr>
          <w:rFonts w:eastAsia="Calibri"/>
        </w:rPr>
        <w:t>flexible</w:t>
      </w:r>
      <w:r w:rsidRPr="00505DCA">
        <w:rPr>
          <w:rFonts w:eastAsia="Calibri"/>
        </w:rPr>
        <w:t xml:space="preserve"> ramp</w:t>
      </w:r>
      <w:r>
        <w:rPr>
          <w:rFonts w:eastAsia="Calibri"/>
        </w:rPr>
        <w:t xml:space="preserve"> down sufficiency</w:t>
      </w:r>
      <w:r w:rsidRPr="00505DCA">
        <w:rPr>
          <w:rFonts w:eastAsia="Calibri"/>
        </w:rPr>
        <w:t xml:space="preserve"> test, the flexible ramp </w:t>
      </w:r>
      <w:r>
        <w:rPr>
          <w:rFonts w:eastAsia="Calibri"/>
        </w:rPr>
        <w:t>down</w:t>
      </w:r>
      <w:r w:rsidRPr="00505DCA">
        <w:rPr>
          <w:rFonts w:eastAsia="Calibri"/>
        </w:rPr>
        <w:t xml:space="preserve"> </w:t>
      </w:r>
      <w:r>
        <w:rPr>
          <w:rFonts w:eastAsia="Calibri"/>
        </w:rPr>
        <w:t xml:space="preserve">uncertainty </w:t>
      </w:r>
      <w:r w:rsidRPr="00505DCA">
        <w:rPr>
          <w:rFonts w:eastAsia="Calibri"/>
        </w:rPr>
        <w:t xml:space="preserve">requirement </w:t>
      </w:r>
      <w:r>
        <w:rPr>
          <w:rFonts w:eastAsia="Calibri"/>
        </w:rPr>
        <w:t>without</w:t>
      </w:r>
      <w:r w:rsidRPr="00505DCA">
        <w:rPr>
          <w:rFonts w:eastAsia="Calibri"/>
        </w:rPr>
        <w:t xml:space="preserve"> </w:t>
      </w:r>
      <w:r>
        <w:rPr>
          <w:rFonts w:eastAsia="Calibri"/>
        </w:rPr>
        <w:t xml:space="preserve">diversity benefit </w:t>
      </w:r>
      <w:r w:rsidRPr="00505DCA">
        <w:rPr>
          <w:rFonts w:eastAsia="Calibri"/>
        </w:rPr>
        <w:t xml:space="preserve">shall be reduced by the available net </w:t>
      </w:r>
      <w:r>
        <w:rPr>
          <w:rFonts w:eastAsia="Calibri"/>
        </w:rPr>
        <w:t>ex</w:t>
      </w:r>
      <w:r w:rsidRPr="00505DCA">
        <w:rPr>
          <w:rFonts w:eastAsia="Calibri"/>
        </w:rPr>
        <w:t xml:space="preserve">port </w:t>
      </w:r>
      <w:r>
        <w:rPr>
          <w:rFonts w:eastAsia="Calibri"/>
        </w:rPr>
        <w:t xml:space="preserve">transfer </w:t>
      </w:r>
      <w:r w:rsidRPr="00505DCA">
        <w:rPr>
          <w:rFonts w:eastAsia="Calibri"/>
        </w:rPr>
        <w:t>capa</w:t>
      </w:r>
      <w:r>
        <w:rPr>
          <w:rFonts w:eastAsia="Calibri"/>
        </w:rPr>
        <w:t>bili</w:t>
      </w:r>
      <w:r w:rsidRPr="00505DCA">
        <w:rPr>
          <w:rFonts w:eastAsia="Calibri"/>
        </w:rPr>
        <w:t xml:space="preserve">ty. The </w:t>
      </w:r>
      <w:r>
        <w:rPr>
          <w:rFonts w:eastAsia="Calibri"/>
        </w:rPr>
        <w:t>CAISO</w:t>
      </w:r>
      <w:r w:rsidRPr="00505DCA">
        <w:rPr>
          <w:rFonts w:eastAsia="Calibri"/>
        </w:rPr>
        <w:t xml:space="preserve"> will enforce the constraint for each EIM Entity BAA, the CAISO BAA</w:t>
      </w:r>
      <w:r>
        <w:rPr>
          <w:rFonts w:eastAsia="Calibri"/>
        </w:rPr>
        <w:t xml:space="preserve">, </w:t>
      </w:r>
      <w:r w:rsidRPr="00505DCA">
        <w:rPr>
          <w:rFonts w:eastAsia="Calibri"/>
        </w:rPr>
        <w:t xml:space="preserve">and </w:t>
      </w:r>
      <w:r>
        <w:rPr>
          <w:rFonts w:eastAsia="Calibri"/>
        </w:rPr>
        <w:t xml:space="preserve">the </w:t>
      </w:r>
      <w:r w:rsidRPr="00505DCA">
        <w:rPr>
          <w:rFonts w:eastAsia="Calibri"/>
        </w:rPr>
        <w:t xml:space="preserve">total </w:t>
      </w:r>
      <w:r>
        <w:rPr>
          <w:rFonts w:eastAsia="Calibri"/>
        </w:rPr>
        <w:t xml:space="preserve">flexible ramp down uncertainty </w:t>
      </w:r>
      <w:r w:rsidRPr="00505DCA">
        <w:rPr>
          <w:rFonts w:eastAsia="Calibri"/>
        </w:rPr>
        <w:t xml:space="preserve">requirement for the EIM </w:t>
      </w:r>
      <w:r>
        <w:rPr>
          <w:rFonts w:eastAsia="Calibri"/>
        </w:rPr>
        <w:t>Area</w:t>
      </w:r>
      <w:r w:rsidRPr="00505DCA">
        <w:rPr>
          <w:rFonts w:eastAsia="Calibri"/>
        </w:rPr>
        <w:t>.</w:t>
      </w:r>
    </w:p>
    <w:p w14:paraId="090087D5" w14:textId="77777777" w:rsidR="008817D0" w:rsidRPr="008817D0" w:rsidRDefault="008817D0" w:rsidP="000F0531">
      <w:pPr>
        <w:numPr>
          <w:ilvl w:val="0"/>
          <w:numId w:val="10"/>
        </w:numPr>
        <w:rPr>
          <w:rFonts w:eastAsia="Calibri"/>
        </w:rPr>
      </w:pPr>
      <w:r w:rsidRPr="008817D0">
        <w:rPr>
          <w:rFonts w:eastAsia="Calibri"/>
        </w:rPr>
        <w:t>The market model will map the corresponding resources that can provide the flexible ramping capacity for the EIM Entity BAA.</w:t>
      </w:r>
    </w:p>
    <w:p w14:paraId="7467BED5" w14:textId="77777777" w:rsidR="008817D0" w:rsidRPr="008817D0" w:rsidRDefault="008817D0" w:rsidP="000F0531">
      <w:pPr>
        <w:numPr>
          <w:ilvl w:val="0"/>
          <w:numId w:val="10"/>
        </w:numPr>
        <w:rPr>
          <w:rFonts w:eastAsia="Calibri"/>
          <w:i/>
          <w:u w:val="single"/>
        </w:rPr>
      </w:pPr>
      <w:r w:rsidRPr="008817D0">
        <w:rPr>
          <w:rFonts w:eastAsia="Calibri"/>
        </w:rPr>
        <w:t xml:space="preserve">The flexible ramp requirements for </w:t>
      </w:r>
      <w:r w:rsidR="00FC6D6F">
        <w:rPr>
          <w:rFonts w:eastAsia="Calibri"/>
        </w:rPr>
        <w:t>total EIM footprint</w:t>
      </w:r>
      <w:r w:rsidRPr="008817D0">
        <w:rPr>
          <w:rFonts w:eastAsia="Calibri"/>
        </w:rPr>
        <w:t xml:space="preserve"> can be potentially lower than the</w:t>
      </w:r>
      <w:r w:rsidR="00FC6D6F">
        <w:rPr>
          <w:rFonts w:eastAsia="Calibri"/>
        </w:rPr>
        <w:t xml:space="preserve"> sum of</w:t>
      </w:r>
      <w:r w:rsidRPr="008817D0">
        <w:rPr>
          <w:rFonts w:eastAsia="Calibri"/>
        </w:rPr>
        <w:t xml:space="preserve"> individual requirements of each BAA</w:t>
      </w:r>
      <w:r w:rsidR="00C57135">
        <w:rPr>
          <w:rFonts w:eastAsia="Calibri"/>
        </w:rPr>
        <w:t xml:space="preserve">, </w:t>
      </w:r>
      <w:r w:rsidRPr="008817D0">
        <w:rPr>
          <w:rFonts w:eastAsia="Calibri"/>
        </w:rPr>
        <w:t>reflecting the benefits of reduced uncertainty and volatility across the BAA</w:t>
      </w:r>
      <w:r w:rsidR="00C57135">
        <w:rPr>
          <w:rFonts w:eastAsia="Calibri"/>
        </w:rPr>
        <w:t>s</w:t>
      </w:r>
      <w:r w:rsidRPr="008817D0">
        <w:rPr>
          <w:rFonts w:eastAsia="Calibri"/>
        </w:rPr>
        <w:t>.</w:t>
      </w:r>
      <w:r w:rsidR="000B5618">
        <w:rPr>
          <w:rFonts w:eastAsia="Calibri"/>
        </w:rPr>
        <w:t xml:space="preserve"> </w:t>
      </w:r>
    </w:p>
    <w:p w14:paraId="4B10E405" w14:textId="018E4860" w:rsidR="000B5618" w:rsidRDefault="000B5618" w:rsidP="000F0531">
      <w:pPr>
        <w:numPr>
          <w:ilvl w:val="0"/>
          <w:numId w:val="10"/>
        </w:numPr>
        <w:rPr>
          <w:rFonts w:eastAsia="Calibri"/>
        </w:rPr>
      </w:pPr>
      <w:r w:rsidRPr="000B5618">
        <w:rPr>
          <w:rFonts w:eastAsia="Calibri"/>
        </w:rPr>
        <w:t>For a period of six months following the Implementation Date of a new EIM Entity, the CAISO shall set the Flexible Ramping Constraint parameter specified in Section 27.10, for pricing purposes, for the new EIM Entity Balancing Authority Area, at an amount between and including $0 and $0.01</w:t>
      </w:r>
      <w:r w:rsidR="002D7264">
        <w:rPr>
          <w:rFonts w:eastAsia="Calibri"/>
        </w:rPr>
        <w:t xml:space="preserve"> only for when the transmission or power balance constraints are relaxed in the corresponding </w:t>
      </w:r>
      <w:r w:rsidR="002D7264" w:rsidRPr="000B5618">
        <w:rPr>
          <w:rFonts w:eastAsia="Calibri"/>
        </w:rPr>
        <w:t>new EIM Entity Balancing Authority Area</w:t>
      </w:r>
      <w:r w:rsidRPr="000B5618">
        <w:rPr>
          <w:rFonts w:eastAsia="Calibri"/>
        </w:rPr>
        <w:t>.</w:t>
      </w:r>
    </w:p>
    <w:p w14:paraId="62086A5B" w14:textId="77777777" w:rsidR="008817D0" w:rsidRPr="008817D0" w:rsidRDefault="008817D0" w:rsidP="000F0531">
      <w:pPr>
        <w:numPr>
          <w:ilvl w:val="0"/>
          <w:numId w:val="10"/>
        </w:numPr>
        <w:rPr>
          <w:rFonts w:eastAsia="Calibri"/>
        </w:rPr>
      </w:pPr>
      <w:r w:rsidRPr="008817D0">
        <w:rPr>
          <w:rFonts w:eastAsia="Calibri"/>
        </w:rPr>
        <w:t>CAISO will broadcast the resource flexible ramping awards</w:t>
      </w:r>
      <w:r w:rsidR="00DA49BB">
        <w:rPr>
          <w:rFonts w:eastAsia="Calibri"/>
        </w:rPr>
        <w:t xml:space="preserve"> to the relevant SCs</w:t>
      </w:r>
      <w:r w:rsidRPr="008817D0">
        <w:rPr>
          <w:rFonts w:eastAsia="Calibri"/>
        </w:rPr>
        <w:t>.</w:t>
      </w:r>
    </w:p>
    <w:p w14:paraId="77E51D64" w14:textId="77777777" w:rsidR="008817D0" w:rsidRPr="00C57135" w:rsidRDefault="008817D0" w:rsidP="000F0531">
      <w:pPr>
        <w:numPr>
          <w:ilvl w:val="0"/>
          <w:numId w:val="10"/>
        </w:numPr>
        <w:rPr>
          <w:rFonts w:eastAsia="Calibri"/>
        </w:rPr>
      </w:pPr>
      <w:r w:rsidRPr="00FC6D6F">
        <w:rPr>
          <w:rFonts w:eastAsia="Calibri"/>
        </w:rPr>
        <w:t>CAISO will publish the shadow prices of each flexible ramping constraint and associated BAA</w:t>
      </w:r>
      <w:r w:rsidR="00FC6D6F" w:rsidRPr="00536515">
        <w:rPr>
          <w:rFonts w:eastAsia="Calibri"/>
        </w:rPr>
        <w:t>,</w:t>
      </w:r>
      <w:r w:rsidR="00AB4A9C" w:rsidRPr="00536515">
        <w:rPr>
          <w:rFonts w:eastAsia="Calibri"/>
        </w:rPr>
        <w:t xml:space="preserve"> and</w:t>
      </w:r>
      <w:r w:rsidRPr="00536515">
        <w:rPr>
          <w:rFonts w:eastAsia="Calibri"/>
        </w:rPr>
        <w:t xml:space="preserve"> total EIM footprint.</w:t>
      </w:r>
      <w:r w:rsidR="00DA49BB" w:rsidRPr="00C57135">
        <w:rPr>
          <w:rFonts w:eastAsia="Calibri"/>
        </w:rPr>
        <w:t xml:space="preserve"> </w:t>
      </w:r>
      <w:r w:rsidR="000B5618">
        <w:rPr>
          <w:rFonts w:eastAsia="Calibri"/>
        </w:rPr>
        <w:t xml:space="preserve"> </w:t>
      </w:r>
      <w:r w:rsidRPr="00FC6D6F">
        <w:rPr>
          <w:rFonts w:eastAsia="Calibri"/>
        </w:rPr>
        <w:t xml:space="preserve">The flexible ramping capacity shall be managed in corresponding RTD for EIM market in the same manner as </w:t>
      </w:r>
      <w:r w:rsidR="00AB4A9C" w:rsidRPr="00C57135">
        <w:rPr>
          <w:rFonts w:eastAsia="Calibri"/>
        </w:rPr>
        <w:t xml:space="preserve">the </w:t>
      </w:r>
      <w:r w:rsidRPr="00C57135">
        <w:rPr>
          <w:rFonts w:eastAsia="Calibri"/>
        </w:rPr>
        <w:t>current CAISO R</w:t>
      </w:r>
      <w:r w:rsidR="00884D6F" w:rsidRPr="00C57135">
        <w:rPr>
          <w:rFonts w:eastAsia="Calibri"/>
        </w:rPr>
        <w:t>TM</w:t>
      </w:r>
      <w:r w:rsidRPr="00C57135">
        <w:rPr>
          <w:rFonts w:eastAsia="Calibri"/>
        </w:rPr>
        <w:t xml:space="preserve">. The RTD shall enforce the flexible </w:t>
      </w:r>
      <w:r w:rsidRPr="006A2C15">
        <w:rPr>
          <w:rFonts w:eastAsia="Calibri"/>
        </w:rPr>
        <w:t xml:space="preserve">ramping capacity requirement constraints. The requirement of each five-minute interval in the RTD run horizon will be preserved according to the pre-defined </w:t>
      </w:r>
      <w:r w:rsidR="00DA49BB" w:rsidRPr="006A2C15">
        <w:rPr>
          <w:rFonts w:eastAsia="Calibri"/>
        </w:rPr>
        <w:t xml:space="preserve">attenuation </w:t>
      </w:r>
      <w:r w:rsidRPr="006A2C15">
        <w:rPr>
          <w:rFonts w:eastAsia="Calibri"/>
        </w:rPr>
        <w:t>percentage of each interval, currently as 0%, 25%, 50%, 75%, 100%, 100%... The same per</w:t>
      </w:r>
      <w:r w:rsidRPr="0025727C">
        <w:rPr>
          <w:rFonts w:eastAsia="Calibri"/>
        </w:rPr>
        <w:t xml:space="preserve">centage will apply to the effective requirement (reduced by the available net import capacity) for each EIM Entity BAA and </w:t>
      </w:r>
      <w:r w:rsidR="00C57135">
        <w:rPr>
          <w:rFonts w:eastAsia="Calibri"/>
        </w:rPr>
        <w:t>EIM footprint</w:t>
      </w:r>
      <w:r w:rsidRPr="00C57135">
        <w:rPr>
          <w:rFonts w:eastAsia="Calibri"/>
        </w:rPr>
        <w:t xml:space="preserve"> constraints.</w:t>
      </w:r>
    </w:p>
    <w:p w14:paraId="2BA57A98" w14:textId="77777777" w:rsidR="00DF5C47" w:rsidRPr="00D769E5" w:rsidRDefault="00DF5C47" w:rsidP="008817D0">
      <w:pPr>
        <w:spacing w:after="240" w:line="300" w:lineRule="auto"/>
        <w:rPr>
          <w:rFonts w:cs="Arial"/>
          <w:b/>
          <w:color w:val="4F758B"/>
          <w:kern w:val="24"/>
        </w:rPr>
      </w:pPr>
      <w:r w:rsidRPr="00D769E5">
        <w:rPr>
          <w:rFonts w:cs="Arial"/>
          <w:b/>
          <w:kern w:val="24"/>
        </w:rPr>
        <w:t>Example Assumptions</w:t>
      </w:r>
    </w:p>
    <w:p w14:paraId="065CD70A"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CAISO BAA and two EIM Entity BAAs</w:t>
      </w:r>
    </w:p>
    <w:p w14:paraId="32B2487D"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 xml:space="preserve"> All interties rated at 10MW</w:t>
      </w:r>
    </w:p>
    <w:p w14:paraId="7C93C38A"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lastRenderedPageBreak/>
        <w:t xml:space="preserve"> Two generators and two loads in each BAA</w:t>
      </w:r>
    </w:p>
    <w:p w14:paraId="4BC1870F"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 xml:space="preserve"> Zero base schedules; no transmission losses</w:t>
      </w:r>
    </w:p>
    <w:p w14:paraId="5A672317"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 xml:space="preserve"> Real−Time Unit Commitment run at </w:t>
      </w:r>
      <w:r w:rsidRPr="00D769E5">
        <w:rPr>
          <w:rFonts w:cs="Arial"/>
          <w:i/>
          <w:iCs/>
          <w:kern w:val="24"/>
        </w:rPr>
        <w:t>T</w:t>
      </w:r>
      <w:r w:rsidRPr="00D769E5">
        <w:rPr>
          <w:rFonts w:cs="Arial"/>
          <w:kern w:val="24"/>
        </w:rPr>
        <w:t>−37.5'</w:t>
      </w:r>
    </w:p>
    <w:p w14:paraId="41B9FEA0"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 xml:space="preserve"> Only upward flexible ramp capacity</w:t>
      </w:r>
    </w:p>
    <w:p w14:paraId="176A0EBA" w14:textId="77777777" w:rsidR="00DF5C47" w:rsidRPr="00D769E5" w:rsidRDefault="00DF5C47" w:rsidP="000F0531">
      <w:pPr>
        <w:pStyle w:val="ListParagraph"/>
        <w:numPr>
          <w:ilvl w:val="0"/>
          <w:numId w:val="45"/>
        </w:numPr>
        <w:kinsoku w:val="0"/>
        <w:overflowPunct w:val="0"/>
        <w:contextualSpacing/>
        <w:textAlignment w:val="baseline"/>
      </w:pPr>
      <w:r w:rsidRPr="00D769E5">
        <w:rPr>
          <w:rFonts w:cs="Arial"/>
          <w:kern w:val="24"/>
        </w:rPr>
        <w:t xml:space="preserve"> Flexible ramp capacity requirement determined by demand forecast change</w:t>
      </w:r>
      <w:r w:rsidR="009958D7">
        <w:rPr>
          <w:rFonts w:cs="Arial"/>
          <w:kern w:val="24"/>
        </w:rPr>
        <w:t xml:space="preserve"> and historical assessment of ramping capability to meet forecast uncertainty</w:t>
      </w:r>
    </w:p>
    <w:p w14:paraId="5AC3BDCD" w14:textId="77777777" w:rsidR="00DF5C47" w:rsidRPr="00D769E5" w:rsidRDefault="00DF5C47" w:rsidP="00D769E5">
      <w:pPr>
        <w:pStyle w:val="ListParagraph"/>
        <w:kinsoku w:val="0"/>
        <w:overflowPunct w:val="0"/>
        <w:contextualSpacing/>
        <w:textAlignment w:val="baseline"/>
        <w:rPr>
          <w:color w:val="006699"/>
          <w:sz w:val="42"/>
        </w:rPr>
      </w:pPr>
    </w:p>
    <w:p w14:paraId="22553F36" w14:textId="77777777" w:rsidR="00DF5C47" w:rsidRPr="00D769E5" w:rsidRDefault="00DF5C47" w:rsidP="00D769E5">
      <w:pPr>
        <w:rPr>
          <w:rFonts w:cs="Arial"/>
          <w:b/>
          <w:color w:val="4F758B"/>
          <w:kern w:val="24"/>
        </w:rPr>
      </w:pPr>
      <w:r w:rsidRPr="00D769E5">
        <w:rPr>
          <w:rFonts w:cs="Arial"/>
          <w:b/>
          <w:kern w:val="24"/>
        </w:rPr>
        <w:t>Example</w:t>
      </w:r>
    </w:p>
    <w:p w14:paraId="3B66B703" w14:textId="77777777" w:rsidR="00DF5C47" w:rsidRDefault="00DF5C47" w:rsidP="00D769E5">
      <w:pPr>
        <w:pStyle w:val="ListParagraph"/>
        <w:rPr>
          <w:rFonts w:cs="Arial"/>
          <w:color w:val="4F758B"/>
          <w:kern w:val="24"/>
          <w:sz w:val="64"/>
          <w:szCs w:val="64"/>
        </w:rPr>
      </w:pPr>
      <w:r>
        <w:rPr>
          <w:noProof/>
        </w:rPr>
        <w:drawing>
          <wp:inline distT="0" distB="0" distL="0" distR="0" wp14:anchorId="1ACECCF7" wp14:editId="0A99DAC7">
            <wp:extent cx="3051174" cy="1464736"/>
            <wp:effectExtent l="0" t="0" r="0" b="0"/>
            <wp:docPr id="3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4"/>
                    <a:stretch>
                      <a:fillRect/>
                    </a:stretch>
                  </pic:blipFill>
                  <pic:spPr>
                    <a:xfrm>
                      <a:off x="0" y="0"/>
                      <a:ext cx="3051174" cy="1464736"/>
                    </a:xfrm>
                    <a:prstGeom prst="rect">
                      <a:avLst/>
                    </a:prstGeom>
                  </pic:spPr>
                </pic:pic>
              </a:graphicData>
            </a:graphic>
          </wp:inline>
        </w:drawing>
      </w:r>
    </w:p>
    <w:p w14:paraId="6E87B100" w14:textId="77777777" w:rsidR="00DF5C47" w:rsidRDefault="00DF5C47" w:rsidP="00D769E5">
      <w:pPr>
        <w:pStyle w:val="ListParagraph"/>
        <w:rPr>
          <w:rFonts w:cs="Arial"/>
          <w:color w:val="4F758B"/>
          <w:kern w:val="24"/>
          <w:sz w:val="64"/>
          <w:szCs w:val="64"/>
        </w:rPr>
      </w:pPr>
    </w:p>
    <w:p w14:paraId="669E2EB4" w14:textId="77777777" w:rsidR="00DF5C47" w:rsidRDefault="00DF5C47" w:rsidP="00D769E5">
      <w:pPr>
        <w:pStyle w:val="ListParagraph"/>
        <w:rPr>
          <w:rFonts w:cs="Arial"/>
          <w:color w:val="4F758B"/>
          <w:kern w:val="24"/>
          <w:sz w:val="64"/>
          <w:szCs w:val="64"/>
        </w:rPr>
      </w:pPr>
    </w:p>
    <w:p w14:paraId="5D72AA32" w14:textId="77777777" w:rsidR="00DF5C47" w:rsidRDefault="00DF5C47" w:rsidP="00D769E5">
      <w:pPr>
        <w:pStyle w:val="ListParagraph"/>
        <w:rPr>
          <w:noProof/>
        </w:rPr>
      </w:pPr>
    </w:p>
    <w:p w14:paraId="12F83535" w14:textId="77777777" w:rsidR="00DF5C47" w:rsidRDefault="00DF5C47" w:rsidP="00D769E5">
      <w:pPr>
        <w:pStyle w:val="ListParagraph"/>
        <w:kinsoku w:val="0"/>
        <w:overflowPunct w:val="0"/>
        <w:contextualSpacing/>
        <w:textAlignment w:val="baseline"/>
        <w:rPr>
          <w:rFonts w:cs="Arial"/>
          <w:color w:val="000000"/>
          <w:kern w:val="24"/>
          <w:sz w:val="56"/>
          <w:szCs w:val="56"/>
        </w:rPr>
      </w:pPr>
    </w:p>
    <w:p w14:paraId="571DDB17" w14:textId="77777777" w:rsidR="00DF5C47" w:rsidRPr="00E8403E" w:rsidRDefault="00DF5C47">
      <w:pPr>
        <w:pStyle w:val="ListParagraph"/>
        <w:kinsoku w:val="0"/>
        <w:overflowPunct w:val="0"/>
        <w:contextualSpacing/>
        <w:textAlignment w:val="baseline"/>
        <w:rPr>
          <w:color w:val="006699"/>
          <w:sz w:val="42"/>
        </w:rPr>
      </w:pPr>
      <w:r>
        <w:rPr>
          <w:noProof/>
        </w:rPr>
        <w:lastRenderedPageBreak/>
        <w:drawing>
          <wp:inline distT="0" distB="0" distL="0" distR="0" wp14:anchorId="4B6ABCDD" wp14:editId="58DC4971">
            <wp:extent cx="5888736" cy="34107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888736" cy="3410712"/>
                    </a:xfrm>
                    <a:prstGeom prst="rect">
                      <a:avLst/>
                    </a:prstGeom>
                    <a:noFill/>
                  </pic:spPr>
                </pic:pic>
              </a:graphicData>
            </a:graphic>
          </wp:inline>
        </w:drawing>
      </w:r>
    </w:p>
    <w:p w14:paraId="2F6ADAF9" w14:textId="77777777" w:rsidR="00DF5C47" w:rsidRDefault="00DF5C47" w:rsidP="00DF5C47">
      <w:pPr>
        <w:pStyle w:val="ListParagraph"/>
        <w:kinsoku w:val="0"/>
        <w:overflowPunct w:val="0"/>
        <w:textAlignment w:val="baseline"/>
        <w:rPr>
          <w:color w:val="006699"/>
          <w:sz w:val="42"/>
        </w:rPr>
      </w:pPr>
    </w:p>
    <w:p w14:paraId="315F3F3A" w14:textId="77777777" w:rsidR="008D74F0" w:rsidRPr="00D769E5" w:rsidRDefault="008D74F0" w:rsidP="00D769E5">
      <w:pPr>
        <w:kinsoku w:val="0"/>
        <w:overflowPunct w:val="0"/>
        <w:textAlignment w:val="baseline"/>
        <w:rPr>
          <w:color w:val="006699"/>
          <w:sz w:val="42"/>
        </w:rPr>
      </w:pPr>
    </w:p>
    <w:p w14:paraId="2E095376" w14:textId="77777777" w:rsidR="00C122B6" w:rsidRPr="00D769E5" w:rsidRDefault="00C122B6" w:rsidP="00D769E5">
      <w:pPr>
        <w:spacing w:after="240" w:line="300" w:lineRule="auto"/>
        <w:jc w:val="center"/>
        <w:rPr>
          <w:rFonts w:cs="Arial"/>
          <w:b/>
          <w:color w:val="4F758B"/>
          <w:kern w:val="24"/>
        </w:rPr>
      </w:pPr>
      <w:r w:rsidRPr="00D769E5">
        <w:rPr>
          <w:rFonts w:cs="Arial"/>
          <w:b/>
          <w:kern w:val="24"/>
        </w:rPr>
        <w:t>Available Flexible Ramp Capacity</w:t>
      </w:r>
    </w:p>
    <w:p w14:paraId="36D3A2F8" w14:textId="77777777" w:rsidR="00C122B6" w:rsidRDefault="00C122B6">
      <w:pPr>
        <w:spacing w:after="240" w:line="300" w:lineRule="auto"/>
        <w:jc w:val="center"/>
        <w:rPr>
          <w:rFonts w:eastAsia="Calibri"/>
        </w:rPr>
      </w:pPr>
      <w:r>
        <w:rPr>
          <w:noProof/>
        </w:rPr>
        <w:drawing>
          <wp:inline distT="0" distB="0" distL="0" distR="0" wp14:anchorId="15FA681E" wp14:editId="4279083C">
            <wp:extent cx="5486400" cy="1565031"/>
            <wp:effectExtent l="0" t="0" r="0" b="0"/>
            <wp:docPr id="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6"/>
                    <a:stretch>
                      <a:fillRect/>
                    </a:stretch>
                  </pic:blipFill>
                  <pic:spPr>
                    <a:xfrm>
                      <a:off x="0" y="0"/>
                      <a:ext cx="5486400" cy="1565031"/>
                    </a:xfrm>
                    <a:prstGeom prst="rect">
                      <a:avLst/>
                    </a:prstGeom>
                  </pic:spPr>
                </pic:pic>
              </a:graphicData>
            </a:graphic>
          </wp:inline>
        </w:drawing>
      </w:r>
    </w:p>
    <w:p w14:paraId="701FDA69" w14:textId="77777777" w:rsidR="00C122B6" w:rsidRDefault="00C122B6" w:rsidP="008817D0">
      <w:pPr>
        <w:spacing w:after="240" w:line="300" w:lineRule="auto"/>
        <w:rPr>
          <w:rFonts w:eastAsia="Calibri"/>
        </w:rPr>
      </w:pPr>
    </w:p>
    <w:p w14:paraId="110AD194" w14:textId="77777777" w:rsidR="00C122B6" w:rsidRDefault="00C122B6" w:rsidP="008817D0">
      <w:pPr>
        <w:spacing w:after="240" w:line="300" w:lineRule="auto"/>
        <w:rPr>
          <w:rFonts w:eastAsia="Calibri"/>
        </w:rPr>
      </w:pPr>
    </w:p>
    <w:p w14:paraId="6716CFBD" w14:textId="77777777" w:rsidR="00C122B6" w:rsidRDefault="00C122B6" w:rsidP="008817D0">
      <w:pPr>
        <w:spacing w:after="240" w:line="300" w:lineRule="auto"/>
        <w:rPr>
          <w:rFonts w:eastAsia="Calibri"/>
        </w:rPr>
      </w:pPr>
    </w:p>
    <w:p w14:paraId="712C6F9B" w14:textId="77777777" w:rsidR="00C122B6" w:rsidRDefault="00C122B6" w:rsidP="008817D0">
      <w:pPr>
        <w:spacing w:after="240" w:line="300" w:lineRule="auto"/>
        <w:rPr>
          <w:rFonts w:eastAsia="Calibri"/>
        </w:rPr>
      </w:pPr>
    </w:p>
    <w:p w14:paraId="50C2875E" w14:textId="77777777" w:rsidR="00C122B6" w:rsidRDefault="00C122B6" w:rsidP="008817D0">
      <w:pPr>
        <w:spacing w:after="240" w:line="300" w:lineRule="auto"/>
        <w:rPr>
          <w:rFonts w:eastAsia="Calibri"/>
        </w:rPr>
      </w:pPr>
    </w:p>
    <w:p w14:paraId="51CFF6F1" w14:textId="77777777" w:rsidR="00C122B6" w:rsidRDefault="00C122B6" w:rsidP="008817D0">
      <w:pPr>
        <w:spacing w:after="240" w:line="300" w:lineRule="auto"/>
        <w:rPr>
          <w:rFonts w:eastAsia="Calibri"/>
        </w:rPr>
      </w:pPr>
    </w:p>
    <w:p w14:paraId="32415491" w14:textId="77777777" w:rsidR="00DF5C47" w:rsidRPr="00D769E5" w:rsidRDefault="008D74F0" w:rsidP="00D769E5">
      <w:pPr>
        <w:spacing w:after="240" w:line="300" w:lineRule="auto"/>
        <w:jc w:val="center"/>
        <w:rPr>
          <w:rFonts w:eastAsia="Calibri"/>
          <w:b/>
        </w:rPr>
      </w:pPr>
      <w:r w:rsidRPr="004741AC">
        <w:rPr>
          <w:rFonts w:cs="Arial"/>
          <w:b/>
          <w:kern w:val="24"/>
        </w:rPr>
        <w:t xml:space="preserve">Case </w:t>
      </w:r>
      <w:r w:rsidRPr="004741AC">
        <w:rPr>
          <w:b/>
          <w:kern w:val="24"/>
        </w:rPr>
        <w:t xml:space="preserve">1: </w:t>
      </w:r>
      <w:r>
        <w:rPr>
          <w:rFonts w:cs="Arial"/>
          <w:b/>
          <w:kern w:val="24"/>
        </w:rPr>
        <w:t xml:space="preserve"> </w:t>
      </w:r>
      <w:r w:rsidR="00C122B6" w:rsidRPr="00D769E5">
        <w:rPr>
          <w:rFonts w:cs="Arial"/>
          <w:b/>
          <w:kern w:val="24"/>
        </w:rPr>
        <w:t>Flexible Ramp Sufficiency Test Pass</w:t>
      </w:r>
    </w:p>
    <w:p w14:paraId="0F56106D" w14:textId="77777777" w:rsidR="009958D7" w:rsidRDefault="009958D7">
      <w:pPr>
        <w:spacing w:after="240" w:line="300" w:lineRule="auto"/>
        <w:jc w:val="center"/>
        <w:rPr>
          <w:rFonts w:eastAsia="Calibri"/>
        </w:rPr>
      </w:pPr>
      <w:r w:rsidRPr="0066107F">
        <w:rPr>
          <w:rFonts w:eastAsia="Calibri"/>
          <w:noProof/>
        </w:rPr>
        <w:drawing>
          <wp:inline distT="0" distB="0" distL="0" distR="0" wp14:anchorId="383DCE9F" wp14:editId="362C8806">
            <wp:extent cx="5943600" cy="354901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73C0DF97" w14:textId="77777777" w:rsidR="00DF5C47" w:rsidRDefault="00DF5C47">
      <w:pPr>
        <w:spacing w:after="240" w:line="300" w:lineRule="auto"/>
        <w:jc w:val="center"/>
        <w:rPr>
          <w:rFonts w:eastAsia="Calibri"/>
        </w:rPr>
      </w:pPr>
    </w:p>
    <w:p w14:paraId="494E9453" w14:textId="77777777" w:rsidR="00C122B6" w:rsidRDefault="00C122B6" w:rsidP="000F299B">
      <w:pPr>
        <w:jc w:val="center"/>
        <w:rPr>
          <w:rFonts w:cs="Arial"/>
          <w:b/>
          <w:kern w:val="24"/>
        </w:rPr>
      </w:pPr>
    </w:p>
    <w:p w14:paraId="669D005A" w14:textId="77777777" w:rsidR="00C122B6" w:rsidRPr="000F299B" w:rsidRDefault="00C122B6" w:rsidP="000F299B">
      <w:pPr>
        <w:jc w:val="center"/>
        <w:rPr>
          <w:rFonts w:cs="Arial"/>
          <w:b/>
          <w:color w:val="4F758B"/>
          <w:kern w:val="24"/>
        </w:rPr>
      </w:pPr>
      <w:r w:rsidRPr="000F299B">
        <w:rPr>
          <w:rFonts w:cs="Arial"/>
          <w:b/>
          <w:kern w:val="24"/>
        </w:rPr>
        <w:t xml:space="preserve">Case 1: </w:t>
      </w:r>
      <w:r w:rsidR="008D74F0">
        <w:rPr>
          <w:rFonts w:cs="Arial"/>
          <w:b/>
          <w:kern w:val="24"/>
        </w:rPr>
        <w:t xml:space="preserve"> </w:t>
      </w:r>
      <w:r w:rsidRPr="000F299B">
        <w:rPr>
          <w:rFonts w:cs="Arial"/>
          <w:b/>
          <w:kern w:val="24"/>
        </w:rPr>
        <w:t>Flexible Ramp Capacity Constraints</w:t>
      </w:r>
    </w:p>
    <w:p w14:paraId="3023727C" w14:textId="77777777" w:rsidR="00C122B6" w:rsidRPr="000F299B" w:rsidRDefault="00C122B6" w:rsidP="000F299B">
      <w:pPr>
        <w:kinsoku w:val="0"/>
        <w:overflowPunct w:val="0"/>
        <w:contextualSpacing/>
        <w:textAlignment w:val="baseline"/>
      </w:pPr>
      <w:r w:rsidRPr="000F299B">
        <w:rPr>
          <w:rFonts w:cs="Arial"/>
          <w:kern w:val="24"/>
        </w:rPr>
        <w:t xml:space="preserve">For </w:t>
      </w:r>
      <w:r w:rsidRPr="000F299B">
        <w:rPr>
          <w:rFonts w:cs="Arial"/>
          <w:i/>
          <w:iCs/>
          <w:kern w:val="24"/>
        </w:rPr>
        <w:t>T</w:t>
      </w:r>
      <w:r w:rsidRPr="000F299B">
        <w:rPr>
          <w:rFonts w:cs="Arial"/>
          <w:kern w:val="24"/>
        </w:rPr>
        <w:t>+7.5'</w:t>
      </w:r>
    </w:p>
    <w:p w14:paraId="5AEBC734" w14:textId="77777777" w:rsidR="00C122B6" w:rsidRPr="000F299B" w:rsidRDefault="00C122B6" w:rsidP="000F0531">
      <w:pPr>
        <w:pStyle w:val="ListParagraph"/>
        <w:numPr>
          <w:ilvl w:val="0"/>
          <w:numId w:val="46"/>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0</w:t>
      </w:r>
      <w:r w:rsidRPr="000F299B">
        <w:rPr>
          <w:rFonts w:cs="Arial"/>
          <w:kern w:val="24"/>
        </w:rPr>
        <w:t xml:space="preserve"> ≥ max(0, FRR</w:t>
      </w:r>
      <w:r w:rsidRPr="000F299B">
        <w:rPr>
          <w:rFonts w:cs="Arial"/>
          <w:kern w:val="24"/>
          <w:position w:val="-12"/>
          <w:vertAlign w:val="subscript"/>
        </w:rPr>
        <w:t>0</w:t>
      </w:r>
      <w:r w:rsidRPr="000F299B">
        <w:rPr>
          <w:rFonts w:cs="Arial"/>
          <w:kern w:val="24"/>
        </w:rPr>
        <w:t xml:space="preserve"> − 20) = 0</w:t>
      </w:r>
    </w:p>
    <w:p w14:paraId="2245ECA9" w14:textId="77777777" w:rsidR="00C122B6" w:rsidRPr="000F299B" w:rsidRDefault="00C122B6" w:rsidP="000F0531">
      <w:pPr>
        <w:pStyle w:val="ListParagraph"/>
        <w:numPr>
          <w:ilvl w:val="0"/>
          <w:numId w:val="46"/>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1</w:t>
      </w:r>
      <w:r w:rsidRPr="000F299B">
        <w:rPr>
          <w:rFonts w:cs="Arial"/>
          <w:kern w:val="24"/>
        </w:rPr>
        <w:t xml:space="preserve"> ≥ max(0, FRR</w:t>
      </w:r>
      <w:r w:rsidRPr="000F299B">
        <w:rPr>
          <w:rFonts w:cs="Arial"/>
          <w:kern w:val="24"/>
          <w:position w:val="-12"/>
          <w:vertAlign w:val="subscript"/>
        </w:rPr>
        <w:t>1</w:t>
      </w:r>
      <w:r w:rsidRPr="000F299B">
        <w:rPr>
          <w:rFonts w:cs="Arial"/>
          <w:kern w:val="24"/>
        </w:rPr>
        <w:t xml:space="preserve"> − 30) = 0</w:t>
      </w:r>
    </w:p>
    <w:p w14:paraId="6F94CFE8" w14:textId="77777777" w:rsidR="00C122B6" w:rsidRPr="000F299B" w:rsidRDefault="00C122B6" w:rsidP="000F0531">
      <w:pPr>
        <w:pStyle w:val="ListParagraph"/>
        <w:numPr>
          <w:ilvl w:val="0"/>
          <w:numId w:val="46"/>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2</w:t>
      </w:r>
      <w:r w:rsidRPr="000F299B">
        <w:rPr>
          <w:rFonts w:cs="Arial"/>
          <w:kern w:val="24"/>
        </w:rPr>
        <w:t xml:space="preserve"> ≥ max(0, FRR</w:t>
      </w:r>
      <w:r w:rsidRPr="000F299B">
        <w:rPr>
          <w:rFonts w:cs="Arial"/>
          <w:kern w:val="24"/>
          <w:position w:val="-12"/>
          <w:vertAlign w:val="subscript"/>
        </w:rPr>
        <w:t>2</w:t>
      </w:r>
      <w:r w:rsidRPr="000F299B">
        <w:rPr>
          <w:rFonts w:cs="Arial"/>
          <w:kern w:val="24"/>
        </w:rPr>
        <w:t xml:space="preserve"> − 10) = </w:t>
      </w:r>
      <w:r w:rsidR="009958D7">
        <w:rPr>
          <w:rFonts w:cs="Arial"/>
          <w:kern w:val="24"/>
        </w:rPr>
        <w:t>2</w:t>
      </w:r>
      <w:r w:rsidRPr="000F299B">
        <w:rPr>
          <w:rFonts w:cs="Arial"/>
          <w:kern w:val="24"/>
        </w:rPr>
        <w:t>0</w:t>
      </w:r>
    </w:p>
    <w:p w14:paraId="3AF8E02E" w14:textId="77777777" w:rsidR="00C122B6" w:rsidRPr="000F299B" w:rsidRDefault="00C122B6" w:rsidP="000F0531">
      <w:pPr>
        <w:pStyle w:val="ListParagraph"/>
        <w:numPr>
          <w:ilvl w:val="0"/>
          <w:numId w:val="46"/>
        </w:numPr>
        <w:kinsoku w:val="0"/>
        <w:overflowPunct w:val="0"/>
        <w:contextualSpacing/>
        <w:textAlignment w:val="baseline"/>
      </w:pPr>
      <w:r w:rsidRPr="000F299B">
        <w:rPr>
          <w:rFonts w:cs="Arial"/>
          <w:kern w:val="24"/>
        </w:rPr>
        <w:t>FRC</w:t>
      </w:r>
      <w:r w:rsidRPr="000F299B">
        <w:rPr>
          <w:rFonts w:cs="Arial"/>
          <w:kern w:val="24"/>
          <w:position w:val="-12"/>
          <w:vertAlign w:val="subscript"/>
        </w:rPr>
        <w:t>0</w:t>
      </w:r>
      <w:r w:rsidRPr="000F299B">
        <w:rPr>
          <w:rFonts w:cs="Arial"/>
          <w:kern w:val="24"/>
        </w:rPr>
        <w:t xml:space="preserve"> + FRC</w:t>
      </w:r>
      <w:r w:rsidRPr="000F299B">
        <w:rPr>
          <w:rFonts w:cs="Arial"/>
          <w:kern w:val="24"/>
          <w:position w:val="-12"/>
          <w:vertAlign w:val="subscript"/>
        </w:rPr>
        <w:t>1</w:t>
      </w:r>
      <w:r w:rsidRPr="000F299B">
        <w:rPr>
          <w:rFonts w:cs="Arial"/>
          <w:kern w:val="24"/>
        </w:rPr>
        <w:t xml:space="preserve"> + FRC</w:t>
      </w:r>
      <w:r w:rsidRPr="000F299B">
        <w:rPr>
          <w:rFonts w:cs="Arial"/>
          <w:kern w:val="24"/>
          <w:position w:val="-12"/>
          <w:vertAlign w:val="subscript"/>
        </w:rPr>
        <w:t>2</w:t>
      </w:r>
      <w:r w:rsidRPr="000F299B">
        <w:rPr>
          <w:rFonts w:cs="Arial"/>
          <w:kern w:val="24"/>
        </w:rPr>
        <w:t xml:space="preserve"> ≥ FRR</w:t>
      </w:r>
      <w:r w:rsidRPr="000F299B">
        <w:rPr>
          <w:rFonts w:cs="Arial"/>
          <w:kern w:val="24"/>
          <w:position w:val="-12"/>
          <w:vertAlign w:val="subscript"/>
        </w:rPr>
        <w:t>0,1,2</w:t>
      </w:r>
      <w:r w:rsidRPr="000F299B">
        <w:rPr>
          <w:rFonts w:cs="Arial"/>
          <w:kern w:val="24"/>
        </w:rPr>
        <w:t xml:space="preserve"> = </w:t>
      </w:r>
      <w:r w:rsidR="009958D7">
        <w:rPr>
          <w:rFonts w:cs="Arial"/>
          <w:kern w:val="24"/>
        </w:rPr>
        <w:t>85</w:t>
      </w:r>
    </w:p>
    <w:p w14:paraId="78BD29F0" w14:textId="77777777" w:rsidR="00C122B6" w:rsidRPr="000F299B" w:rsidRDefault="00C122B6" w:rsidP="00C122B6">
      <w:pPr>
        <w:kinsoku w:val="0"/>
        <w:overflowPunct w:val="0"/>
        <w:textAlignment w:val="baseline"/>
      </w:pPr>
    </w:p>
    <w:p w14:paraId="0BFEC53E" w14:textId="77777777" w:rsidR="000E624A" w:rsidRDefault="000E624A" w:rsidP="000F299B">
      <w:pPr>
        <w:kinsoku w:val="0"/>
        <w:overflowPunct w:val="0"/>
        <w:jc w:val="center"/>
        <w:textAlignment w:val="baseline"/>
        <w:rPr>
          <w:rFonts w:cs="Arial"/>
          <w:b/>
          <w:kern w:val="24"/>
        </w:rPr>
      </w:pPr>
    </w:p>
    <w:p w14:paraId="47E1821D" w14:textId="77777777" w:rsidR="000E624A" w:rsidRDefault="000E624A" w:rsidP="000F299B">
      <w:pPr>
        <w:kinsoku w:val="0"/>
        <w:overflowPunct w:val="0"/>
        <w:jc w:val="center"/>
        <w:textAlignment w:val="baseline"/>
        <w:rPr>
          <w:rFonts w:cs="Arial"/>
          <w:b/>
          <w:kern w:val="24"/>
        </w:rPr>
      </w:pPr>
    </w:p>
    <w:p w14:paraId="31495AEB" w14:textId="77777777" w:rsidR="004C013F" w:rsidRDefault="004C013F" w:rsidP="000F299B">
      <w:pPr>
        <w:kinsoku w:val="0"/>
        <w:overflowPunct w:val="0"/>
        <w:jc w:val="center"/>
        <w:textAlignment w:val="baseline"/>
        <w:rPr>
          <w:rFonts w:cs="Arial"/>
          <w:b/>
          <w:kern w:val="24"/>
        </w:rPr>
      </w:pPr>
    </w:p>
    <w:p w14:paraId="6631AEAE" w14:textId="77777777" w:rsidR="004C013F" w:rsidRDefault="004C013F" w:rsidP="000F299B">
      <w:pPr>
        <w:kinsoku w:val="0"/>
        <w:overflowPunct w:val="0"/>
        <w:jc w:val="center"/>
        <w:textAlignment w:val="baseline"/>
        <w:rPr>
          <w:rFonts w:cs="Arial"/>
          <w:b/>
          <w:kern w:val="24"/>
        </w:rPr>
      </w:pPr>
    </w:p>
    <w:p w14:paraId="1B0723BA" w14:textId="77777777" w:rsidR="00C122B6" w:rsidRPr="000F299B" w:rsidRDefault="00C122B6" w:rsidP="00F57D97">
      <w:pPr>
        <w:keepNext/>
        <w:keepLines/>
        <w:kinsoku w:val="0"/>
        <w:overflowPunct w:val="0"/>
        <w:jc w:val="center"/>
        <w:textAlignment w:val="baseline"/>
        <w:rPr>
          <w:b/>
          <w:color w:val="FF0000"/>
        </w:rPr>
      </w:pPr>
      <w:r w:rsidRPr="000F299B">
        <w:rPr>
          <w:rFonts w:cs="Arial"/>
          <w:b/>
          <w:kern w:val="24"/>
        </w:rPr>
        <w:t xml:space="preserve">Case 2: </w:t>
      </w:r>
      <w:r w:rsidR="008D74F0">
        <w:rPr>
          <w:rFonts w:cs="Arial"/>
          <w:b/>
          <w:kern w:val="24"/>
        </w:rPr>
        <w:t xml:space="preserve"> </w:t>
      </w:r>
      <w:r w:rsidRPr="000F299B">
        <w:rPr>
          <w:rFonts w:cs="Arial"/>
          <w:b/>
          <w:kern w:val="24"/>
        </w:rPr>
        <w:t>Flexible Ramp Sufficiency Test Fail</w:t>
      </w:r>
    </w:p>
    <w:p w14:paraId="7BF25A3A" w14:textId="77777777" w:rsidR="009958D7" w:rsidRDefault="009958D7" w:rsidP="000F299B">
      <w:pPr>
        <w:spacing w:after="240" w:line="300" w:lineRule="auto"/>
        <w:jc w:val="center"/>
        <w:rPr>
          <w:rFonts w:eastAsia="Calibri"/>
        </w:rPr>
      </w:pPr>
      <w:r w:rsidRPr="0066107F">
        <w:rPr>
          <w:rFonts w:eastAsia="Calibri"/>
          <w:noProof/>
        </w:rPr>
        <w:drawing>
          <wp:inline distT="0" distB="0" distL="0" distR="0" wp14:anchorId="656B14FC" wp14:editId="5810FA56">
            <wp:extent cx="5943600" cy="35490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1B7C6419" w14:textId="77777777" w:rsidR="00C122B6" w:rsidRDefault="00C122B6" w:rsidP="000F299B">
      <w:pPr>
        <w:spacing w:after="240" w:line="300" w:lineRule="auto"/>
        <w:jc w:val="center"/>
        <w:rPr>
          <w:rFonts w:eastAsia="Calibri"/>
        </w:rPr>
      </w:pPr>
    </w:p>
    <w:p w14:paraId="0E18E4D5" w14:textId="77777777" w:rsidR="008D74F0" w:rsidRDefault="008D74F0" w:rsidP="000F299B">
      <w:pPr>
        <w:spacing w:after="240" w:line="300" w:lineRule="auto"/>
        <w:jc w:val="center"/>
        <w:rPr>
          <w:rFonts w:cs="Arial"/>
          <w:b/>
          <w:kern w:val="24"/>
        </w:rPr>
      </w:pPr>
    </w:p>
    <w:p w14:paraId="6C0F795F" w14:textId="77777777" w:rsidR="00DF5C47" w:rsidRPr="000F299B" w:rsidRDefault="00C122B6" w:rsidP="000F299B">
      <w:pPr>
        <w:spacing w:after="240" w:line="300" w:lineRule="auto"/>
        <w:jc w:val="center"/>
        <w:rPr>
          <w:rFonts w:eastAsia="Calibri"/>
          <w:b/>
        </w:rPr>
      </w:pPr>
      <w:r w:rsidRPr="000F299B">
        <w:rPr>
          <w:rFonts w:cs="Arial"/>
          <w:b/>
          <w:kern w:val="24"/>
        </w:rPr>
        <w:t xml:space="preserve">Case 2: </w:t>
      </w:r>
      <w:r w:rsidR="008D74F0">
        <w:rPr>
          <w:rFonts w:cs="Arial"/>
          <w:b/>
          <w:kern w:val="24"/>
        </w:rPr>
        <w:t xml:space="preserve"> </w:t>
      </w:r>
      <w:r w:rsidRPr="000F299B">
        <w:rPr>
          <w:rFonts w:cs="Arial"/>
          <w:b/>
          <w:kern w:val="24"/>
        </w:rPr>
        <w:t>Flexible Ramp Capacity Constraints</w:t>
      </w:r>
    </w:p>
    <w:p w14:paraId="28B021FB" w14:textId="77777777" w:rsidR="00C122B6" w:rsidRPr="000F299B" w:rsidRDefault="00C122B6" w:rsidP="000F299B">
      <w:pPr>
        <w:kinsoku w:val="0"/>
        <w:overflowPunct w:val="0"/>
        <w:contextualSpacing/>
        <w:textAlignment w:val="baseline"/>
        <w:rPr>
          <w:color w:val="006699"/>
        </w:rPr>
      </w:pPr>
      <w:r w:rsidRPr="000F299B">
        <w:rPr>
          <w:rFonts w:cs="Arial"/>
          <w:color w:val="000000"/>
          <w:kern w:val="24"/>
        </w:rPr>
        <w:t xml:space="preserve">For </w:t>
      </w:r>
      <w:r w:rsidRPr="000F299B">
        <w:rPr>
          <w:rFonts w:cs="Arial"/>
          <w:i/>
          <w:iCs/>
          <w:color w:val="000000"/>
          <w:kern w:val="24"/>
        </w:rPr>
        <w:t>T</w:t>
      </w:r>
      <w:r w:rsidRPr="000F299B">
        <w:rPr>
          <w:rFonts w:cs="Arial"/>
          <w:color w:val="000000"/>
          <w:kern w:val="24"/>
        </w:rPr>
        <w:t>+7.5'</w:t>
      </w:r>
    </w:p>
    <w:p w14:paraId="08146664" w14:textId="77777777" w:rsidR="00C122B6" w:rsidRPr="000F299B" w:rsidRDefault="00C122B6" w:rsidP="000F0531">
      <w:pPr>
        <w:pStyle w:val="ListParagraph"/>
        <w:numPr>
          <w:ilvl w:val="0"/>
          <w:numId w:val="47"/>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0</w:t>
      </w:r>
      <w:r w:rsidRPr="000F299B">
        <w:rPr>
          <w:rFonts w:cs="Arial"/>
          <w:kern w:val="24"/>
        </w:rPr>
        <w:t xml:space="preserve"> ≥ max(0, FRR</w:t>
      </w:r>
      <w:r w:rsidRPr="000F299B">
        <w:rPr>
          <w:rFonts w:cs="Arial"/>
          <w:kern w:val="24"/>
          <w:position w:val="-12"/>
          <w:vertAlign w:val="subscript"/>
        </w:rPr>
        <w:t>0</w:t>
      </w:r>
      <w:r w:rsidRPr="000F299B">
        <w:rPr>
          <w:rFonts w:cs="Arial"/>
          <w:kern w:val="24"/>
        </w:rPr>
        <w:t xml:space="preserve"> − 20) = 0</w:t>
      </w:r>
    </w:p>
    <w:p w14:paraId="11A8B364" w14:textId="77777777" w:rsidR="00C122B6" w:rsidRPr="000F299B" w:rsidRDefault="00C122B6" w:rsidP="000F0531">
      <w:pPr>
        <w:pStyle w:val="ListParagraph"/>
        <w:numPr>
          <w:ilvl w:val="0"/>
          <w:numId w:val="47"/>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1</w:t>
      </w:r>
      <w:r w:rsidRPr="000F299B">
        <w:rPr>
          <w:rFonts w:cs="Arial"/>
          <w:kern w:val="24"/>
        </w:rPr>
        <w:t xml:space="preserve"> ≥ max(0, FRR</w:t>
      </w:r>
      <w:r w:rsidRPr="000F299B">
        <w:rPr>
          <w:rFonts w:cs="Arial"/>
          <w:kern w:val="24"/>
          <w:position w:val="-12"/>
          <w:vertAlign w:val="subscript"/>
        </w:rPr>
        <w:t>1</w:t>
      </w:r>
      <w:r w:rsidRPr="000F299B">
        <w:rPr>
          <w:rFonts w:cs="Arial"/>
          <w:kern w:val="24"/>
        </w:rPr>
        <w:t xml:space="preserve"> − 30) = 0</w:t>
      </w:r>
    </w:p>
    <w:p w14:paraId="09E92AD1" w14:textId="743F1DF0" w:rsidR="00C122B6" w:rsidRPr="000F299B" w:rsidRDefault="00C122B6" w:rsidP="000F0531">
      <w:pPr>
        <w:pStyle w:val="ListParagraph"/>
        <w:numPr>
          <w:ilvl w:val="0"/>
          <w:numId w:val="47"/>
        </w:numPr>
        <w:kinsoku w:val="0"/>
        <w:overflowPunct w:val="0"/>
        <w:contextualSpacing/>
        <w:textAlignment w:val="baseline"/>
      </w:pPr>
      <w:r w:rsidRPr="000F299B">
        <w:rPr>
          <w:rFonts w:cs="Arial"/>
          <w:kern w:val="24"/>
        </w:rPr>
        <w:t xml:space="preserve"> FRC</w:t>
      </w:r>
      <w:r w:rsidRPr="000F299B">
        <w:rPr>
          <w:rFonts w:cs="Arial"/>
          <w:kern w:val="24"/>
          <w:position w:val="-12"/>
          <w:vertAlign w:val="subscript"/>
        </w:rPr>
        <w:t>2</w:t>
      </w:r>
      <w:r w:rsidRPr="000F299B">
        <w:rPr>
          <w:rFonts w:cs="Arial"/>
          <w:kern w:val="24"/>
        </w:rPr>
        <w:t xml:space="preserve"> ≥ FRR</w:t>
      </w:r>
      <w:r w:rsidRPr="000F299B">
        <w:rPr>
          <w:rFonts w:cs="Arial"/>
          <w:kern w:val="24"/>
          <w:position w:val="-12"/>
          <w:vertAlign w:val="subscript"/>
        </w:rPr>
        <w:t>2</w:t>
      </w:r>
      <w:r w:rsidRPr="000F299B">
        <w:rPr>
          <w:rFonts w:cs="Arial"/>
          <w:kern w:val="24"/>
        </w:rPr>
        <w:t xml:space="preserve"> = </w:t>
      </w:r>
      <w:r w:rsidR="009419E1">
        <w:rPr>
          <w:rFonts w:cs="Arial"/>
          <w:kern w:val="24"/>
        </w:rPr>
        <w:t>3</w:t>
      </w:r>
      <w:r w:rsidRPr="000F299B">
        <w:rPr>
          <w:rFonts w:cs="Arial"/>
          <w:kern w:val="24"/>
        </w:rPr>
        <w:t>0</w:t>
      </w:r>
    </w:p>
    <w:p w14:paraId="511C5470" w14:textId="77777777" w:rsidR="004515FF" w:rsidRPr="004515FF" w:rsidRDefault="00C122B6" w:rsidP="000F0531">
      <w:pPr>
        <w:pStyle w:val="ListParagraph"/>
        <w:numPr>
          <w:ilvl w:val="0"/>
          <w:numId w:val="47"/>
        </w:numPr>
        <w:kinsoku w:val="0"/>
        <w:overflowPunct w:val="0"/>
        <w:contextualSpacing/>
        <w:textAlignment w:val="baseline"/>
      </w:pPr>
      <w:r w:rsidRPr="000F299B">
        <w:rPr>
          <w:rFonts w:cs="Arial"/>
          <w:kern w:val="24"/>
        </w:rPr>
        <w:t xml:space="preserve"> NSI</w:t>
      </w:r>
      <w:r w:rsidRPr="000F299B">
        <w:rPr>
          <w:rFonts w:cs="Arial"/>
          <w:kern w:val="24"/>
          <w:position w:val="-12"/>
          <w:vertAlign w:val="subscript"/>
        </w:rPr>
        <w:t>2</w:t>
      </w:r>
      <w:r w:rsidRPr="000F299B">
        <w:rPr>
          <w:rFonts w:cs="Arial"/>
          <w:kern w:val="24"/>
        </w:rPr>
        <w:t xml:space="preserve"> ≥ −10</w:t>
      </w:r>
    </w:p>
    <w:p w14:paraId="566C46E9" w14:textId="77777777" w:rsidR="004645FA" w:rsidRPr="000F299B" w:rsidRDefault="004645FA" w:rsidP="000F0531">
      <w:pPr>
        <w:pStyle w:val="ListParagraph"/>
        <w:numPr>
          <w:ilvl w:val="0"/>
          <w:numId w:val="47"/>
        </w:numPr>
        <w:kinsoku w:val="0"/>
        <w:overflowPunct w:val="0"/>
        <w:contextualSpacing/>
        <w:textAlignment w:val="baseline"/>
      </w:pPr>
      <w:r w:rsidRPr="000F299B">
        <w:rPr>
          <w:rFonts w:cs="Arial"/>
          <w:kern w:val="24"/>
        </w:rPr>
        <w:t>FRC</w:t>
      </w:r>
      <w:r w:rsidRPr="000F299B">
        <w:rPr>
          <w:rFonts w:cs="Arial"/>
          <w:kern w:val="24"/>
          <w:position w:val="-12"/>
          <w:vertAlign w:val="subscript"/>
        </w:rPr>
        <w:t>0</w:t>
      </w:r>
      <w:r w:rsidRPr="000F299B">
        <w:rPr>
          <w:rFonts w:cs="Arial"/>
          <w:kern w:val="24"/>
        </w:rPr>
        <w:t xml:space="preserve"> + FRC</w:t>
      </w:r>
      <w:r w:rsidRPr="000F299B">
        <w:rPr>
          <w:rFonts w:cs="Arial"/>
          <w:kern w:val="24"/>
          <w:position w:val="-12"/>
          <w:vertAlign w:val="subscript"/>
        </w:rPr>
        <w:t>1</w:t>
      </w:r>
      <w:r w:rsidRPr="000F299B">
        <w:rPr>
          <w:rFonts w:cs="Arial"/>
          <w:kern w:val="24"/>
        </w:rPr>
        <w:t xml:space="preserve"> + FRC</w:t>
      </w:r>
      <w:r w:rsidRPr="000F299B">
        <w:rPr>
          <w:rFonts w:cs="Arial"/>
          <w:kern w:val="24"/>
          <w:position w:val="-12"/>
          <w:vertAlign w:val="subscript"/>
        </w:rPr>
        <w:t>2</w:t>
      </w:r>
      <w:r w:rsidRPr="000F299B">
        <w:rPr>
          <w:rFonts w:cs="Arial"/>
          <w:kern w:val="24"/>
        </w:rPr>
        <w:t xml:space="preserve"> ≥ FRR</w:t>
      </w:r>
      <w:r w:rsidRPr="000F299B">
        <w:rPr>
          <w:rFonts w:cs="Arial"/>
          <w:kern w:val="24"/>
          <w:position w:val="-12"/>
          <w:vertAlign w:val="subscript"/>
        </w:rPr>
        <w:t>0,1,2</w:t>
      </w:r>
      <w:r w:rsidRPr="000F299B">
        <w:rPr>
          <w:rFonts w:cs="Arial"/>
          <w:kern w:val="24"/>
        </w:rPr>
        <w:t xml:space="preserve"> = </w:t>
      </w:r>
      <w:r>
        <w:rPr>
          <w:rFonts w:cs="Arial"/>
          <w:kern w:val="24"/>
        </w:rPr>
        <w:t>85</w:t>
      </w:r>
    </w:p>
    <w:p w14:paraId="2D7D34F5" w14:textId="1525FA7B" w:rsidR="00CF393E" w:rsidRPr="00BC5C71" w:rsidRDefault="00CF393E" w:rsidP="000F0531">
      <w:pPr>
        <w:pStyle w:val="Heading4"/>
        <w:numPr>
          <w:ilvl w:val="3"/>
          <w:numId w:val="76"/>
        </w:numPr>
        <w:spacing w:before="240"/>
        <w:rPr>
          <w:rFonts w:eastAsia="Calibri"/>
        </w:rPr>
      </w:pPr>
      <w:r>
        <w:rPr>
          <w:rFonts w:ascii="Calibri" w:eastAsia="Times New Roman" w:hAnsi="Calibri" w:cs="Arial"/>
          <w:bCs/>
          <w:color w:val="000000"/>
        </w:rPr>
        <w:lastRenderedPageBreak/>
        <w:t>I</w:t>
      </w:r>
      <w:r w:rsidRPr="00FA551B">
        <w:rPr>
          <w:rFonts w:ascii="Calibri" w:eastAsia="Times New Roman" w:hAnsi="Calibri" w:cs="Arial"/>
          <w:bCs/>
          <w:color w:val="000000"/>
        </w:rPr>
        <w:t>mport/</w:t>
      </w:r>
      <w:r>
        <w:rPr>
          <w:rFonts w:ascii="Calibri" w:eastAsia="Times New Roman" w:hAnsi="Calibri" w:cs="Arial"/>
          <w:bCs/>
          <w:color w:val="000000"/>
        </w:rPr>
        <w:t>E</w:t>
      </w:r>
      <w:r w:rsidRPr="00FA551B">
        <w:rPr>
          <w:rFonts w:ascii="Calibri" w:eastAsia="Times New Roman" w:hAnsi="Calibri" w:cs="Arial"/>
          <w:bCs/>
          <w:color w:val="000000"/>
        </w:rPr>
        <w:t xml:space="preserve">xport </w:t>
      </w:r>
      <w:r>
        <w:rPr>
          <w:rFonts w:ascii="Calibri" w:eastAsia="Times New Roman" w:hAnsi="Calibri" w:cs="Arial"/>
          <w:bCs/>
          <w:color w:val="000000"/>
        </w:rPr>
        <w:t>H</w:t>
      </w:r>
      <w:r w:rsidRPr="00FA551B">
        <w:rPr>
          <w:rFonts w:ascii="Calibri" w:eastAsia="Times New Roman" w:hAnsi="Calibri" w:cs="Arial"/>
          <w:bCs/>
          <w:color w:val="000000"/>
        </w:rPr>
        <w:t xml:space="preserve">ourly </w:t>
      </w:r>
      <w:r>
        <w:rPr>
          <w:rFonts w:ascii="Calibri" w:eastAsia="Times New Roman" w:hAnsi="Calibri" w:cs="Arial"/>
          <w:bCs/>
          <w:color w:val="000000"/>
        </w:rPr>
        <w:t>B</w:t>
      </w:r>
      <w:r w:rsidRPr="00FA551B">
        <w:rPr>
          <w:rFonts w:ascii="Calibri" w:eastAsia="Times New Roman" w:hAnsi="Calibri" w:cs="Arial"/>
          <w:bCs/>
          <w:color w:val="000000"/>
        </w:rPr>
        <w:t xml:space="preserve">lock </w:t>
      </w:r>
      <w:r>
        <w:rPr>
          <w:rFonts w:ascii="Calibri" w:eastAsia="Times New Roman" w:hAnsi="Calibri" w:cs="Arial"/>
          <w:bCs/>
          <w:color w:val="000000"/>
        </w:rPr>
        <w:t>S</w:t>
      </w:r>
      <w:r w:rsidRPr="00FA551B">
        <w:rPr>
          <w:rFonts w:ascii="Calibri" w:eastAsia="Times New Roman" w:hAnsi="Calibri" w:cs="Arial"/>
          <w:bCs/>
          <w:color w:val="000000"/>
        </w:rPr>
        <w:t xml:space="preserve">chedule </w:t>
      </w:r>
      <w:r>
        <w:rPr>
          <w:rFonts w:ascii="Calibri" w:eastAsia="Times New Roman" w:hAnsi="Calibri" w:cs="Arial"/>
          <w:bCs/>
          <w:color w:val="000000"/>
        </w:rPr>
        <w:t>D</w:t>
      </w:r>
      <w:r w:rsidRPr="00FA551B">
        <w:rPr>
          <w:rFonts w:ascii="Calibri" w:eastAsia="Times New Roman" w:hAnsi="Calibri" w:cs="Arial"/>
          <w:bCs/>
          <w:color w:val="000000"/>
        </w:rPr>
        <w:t>ifference</w:t>
      </w:r>
      <w:r>
        <w:rPr>
          <w:rFonts w:ascii="Calibri" w:eastAsia="Times New Roman" w:hAnsi="Calibri" w:cs="Arial"/>
          <w:bCs/>
          <w:color w:val="000000"/>
        </w:rPr>
        <w:t xml:space="preserve"> Calculation</w:t>
      </w:r>
    </w:p>
    <w:p w14:paraId="26F0A97E" w14:textId="0373CB23" w:rsidR="005E261F" w:rsidRDefault="005E261F" w:rsidP="00A008A8">
      <w:pPr>
        <w:spacing w:after="240" w:line="300" w:lineRule="auto"/>
        <w:rPr>
          <w:rFonts w:eastAsia="Calibri"/>
        </w:rPr>
      </w:pPr>
      <w:r>
        <w:t xml:space="preserve">The CAISO will calculate and publish, for each EIM Entity BAA, the absolute and the relative hourly net inter-tie scheduling error of imports and exports whose final tagged schedules differ from either the EIM base schedule or, in the case of the CAISO BAA, the CAISO hourly schedules. </w:t>
      </w:r>
      <w:r>
        <w:rPr>
          <w:rFonts w:ascii="Calibri" w:eastAsia="Times New Roman" w:hAnsi="Calibri" w:cs="Times New Roman"/>
          <w:color w:val="000000"/>
        </w:rPr>
        <w:t xml:space="preserve">The CAISO calculates two histograms: one based on absolute hourly scheduling deviation and another based on relative hourly scheduling deviation. The </w:t>
      </w:r>
      <w:r>
        <w:t>hourly scheduling deviations over each month between the 15</w:t>
      </w:r>
      <w:r>
        <w:rPr>
          <w:sz w:val="14"/>
          <w:szCs w:val="14"/>
        </w:rPr>
        <w:t xml:space="preserve">th </w:t>
      </w:r>
      <w:r>
        <w:t>day of the third prior month and the 15</w:t>
      </w:r>
      <w:r>
        <w:rPr>
          <w:sz w:val="14"/>
          <w:szCs w:val="14"/>
        </w:rPr>
        <w:t xml:space="preserve">th </w:t>
      </w:r>
      <w:r>
        <w:t>day of the current month.</w:t>
      </w:r>
    </w:p>
    <w:p w14:paraId="79A314EC" w14:textId="0C44AB93" w:rsidR="005E261F" w:rsidRDefault="005E261F" w:rsidP="00A008A8">
      <w:pPr>
        <w:spacing w:after="240" w:line="300" w:lineRule="auto"/>
      </w:pPr>
      <w:r>
        <w:t>If an EIM Entity BAA has historical deviations in the net import/export schedule changes between T-40 and T-20, the CAISO will add an additional capacity requirement to the capacity test. This ensures that the bid range from EIM Participating Resources cover the difference between net EIM Base Schedules and the Demand Forecast for the Operating Hour, including the historical intertie over/under-scheduling within a 95% confidence interval .</w:t>
      </w:r>
    </w:p>
    <w:p w14:paraId="79378A59" w14:textId="5E5409F2" w:rsidR="005E261F" w:rsidRDefault="005E261F" w:rsidP="00A008A8">
      <w:pPr>
        <w:spacing w:after="240" w:line="25" w:lineRule="atLeast"/>
      </w:pPr>
      <w:r w:rsidRPr="00B3593A">
        <w:rPr>
          <w:rFonts w:ascii="Calibri" w:eastAsia="Times New Roman" w:hAnsi="Calibri" w:cs="Times New Roman"/>
          <w:color w:val="000000"/>
        </w:rPr>
        <w:t>In the event the</w:t>
      </w:r>
      <w:r>
        <w:rPr>
          <w:rFonts w:ascii="Calibri" w:eastAsia="Times New Roman" w:hAnsi="Calibri" w:cs="Times New Roman"/>
          <w:color w:val="000000"/>
        </w:rPr>
        <w:t xml:space="preserve"> historical net import/export calculation produces </w:t>
      </w:r>
      <w:r w:rsidRPr="00B3593A">
        <w:rPr>
          <w:rFonts w:ascii="Calibri" w:eastAsia="Times New Roman" w:hAnsi="Calibri" w:cs="Times New Roman"/>
          <w:color w:val="000000"/>
        </w:rPr>
        <w:t>anomalous results</w:t>
      </w:r>
      <w:r>
        <w:rPr>
          <w:rFonts w:ascii="Calibri" w:eastAsia="Times New Roman" w:hAnsi="Calibri" w:cs="Times New Roman"/>
          <w:color w:val="000000"/>
        </w:rPr>
        <w:t xml:space="preserve">, the CAISO will set the </w:t>
      </w:r>
      <w:r w:rsidRPr="00B3593A">
        <w:rPr>
          <w:rFonts w:ascii="Calibri" w:eastAsia="Times New Roman" w:hAnsi="Calibri" w:cs="Times New Roman"/>
          <w:color w:val="000000"/>
        </w:rPr>
        <w:t>low histogram percentile, high histogram percentile</w:t>
      </w:r>
      <w:r>
        <w:rPr>
          <w:rFonts w:ascii="Calibri" w:eastAsia="Times New Roman" w:hAnsi="Calibri" w:cs="Times New Roman"/>
          <w:color w:val="000000"/>
        </w:rPr>
        <w:t>, low absolute histogram percentile and high absolute histogram percentile described below</w:t>
      </w:r>
      <w:r w:rsidRPr="00B3593A">
        <w:rPr>
          <w:rFonts w:ascii="Calibri" w:eastAsia="Times New Roman" w:hAnsi="Calibri" w:cs="Times New Roman"/>
          <w:color w:val="000000"/>
        </w:rPr>
        <w:t xml:space="preserve"> to zero temporarily while</w:t>
      </w:r>
      <w:r>
        <w:rPr>
          <w:rFonts w:ascii="Calibri" w:eastAsia="Times New Roman" w:hAnsi="Calibri" w:cs="Times New Roman"/>
          <w:color w:val="000000"/>
        </w:rPr>
        <w:t xml:space="preserve"> it i</w:t>
      </w:r>
      <w:r w:rsidRPr="00B3593A">
        <w:rPr>
          <w:rFonts w:ascii="Calibri" w:eastAsia="Times New Roman" w:hAnsi="Calibri" w:cs="Times New Roman"/>
          <w:color w:val="000000"/>
        </w:rPr>
        <w:t>nvestigat</w:t>
      </w:r>
      <w:r>
        <w:rPr>
          <w:rFonts w:ascii="Calibri" w:eastAsia="Times New Roman" w:hAnsi="Calibri" w:cs="Times New Roman"/>
          <w:color w:val="000000"/>
        </w:rPr>
        <w:t>es</w:t>
      </w:r>
      <w:r w:rsidRPr="00B3593A">
        <w:rPr>
          <w:rFonts w:ascii="Calibri" w:eastAsia="Times New Roman" w:hAnsi="Calibri" w:cs="Times New Roman"/>
          <w:color w:val="000000"/>
        </w:rPr>
        <w:t xml:space="preserve"> the </w:t>
      </w:r>
      <w:r>
        <w:rPr>
          <w:rFonts w:ascii="Calibri" w:eastAsia="Times New Roman" w:hAnsi="Calibri" w:cs="Times New Roman"/>
          <w:color w:val="000000"/>
        </w:rPr>
        <w:t xml:space="preserve">cause of the </w:t>
      </w:r>
      <w:r w:rsidRPr="00B3593A">
        <w:rPr>
          <w:rFonts w:ascii="Calibri" w:eastAsia="Times New Roman" w:hAnsi="Calibri" w:cs="Times New Roman"/>
          <w:color w:val="000000"/>
        </w:rPr>
        <w:t>anomalous results.</w:t>
      </w:r>
    </w:p>
    <w:p w14:paraId="62C366C7" w14:textId="77777777" w:rsidR="005E261F" w:rsidRPr="00877DDB" w:rsidRDefault="005E261F" w:rsidP="00A008A8">
      <w:pPr>
        <w:pStyle w:val="Default"/>
        <w:spacing w:after="240" w:line="300" w:lineRule="auto"/>
        <w:rPr>
          <w:rFonts w:asciiTheme="minorHAnsi" w:eastAsiaTheme="minorHAnsi" w:hAnsiTheme="minorHAnsi" w:cstheme="minorBidi"/>
          <w:color w:val="auto"/>
          <w:sz w:val="22"/>
          <w:szCs w:val="22"/>
        </w:rPr>
      </w:pPr>
      <w:r w:rsidRPr="00877DDB">
        <w:rPr>
          <w:rFonts w:asciiTheme="minorHAnsi" w:eastAsiaTheme="minorHAnsi" w:hAnsiTheme="minorHAnsi" w:cstheme="minorBidi"/>
          <w:color w:val="auto"/>
          <w:sz w:val="22"/>
          <w:szCs w:val="22"/>
        </w:rPr>
        <w:t xml:space="preserve">The CAISO will calculate the histograms </w:t>
      </w:r>
      <w:r>
        <w:rPr>
          <w:rFonts w:asciiTheme="minorHAnsi" w:eastAsiaTheme="minorHAnsi" w:hAnsiTheme="minorHAnsi" w:cstheme="minorBidi"/>
          <w:color w:val="auto"/>
          <w:sz w:val="22"/>
          <w:szCs w:val="22"/>
        </w:rPr>
        <w:t>and the additional capacity requirement as follows</w:t>
      </w:r>
      <w:r w:rsidRPr="00877DDB">
        <w:rPr>
          <w:rFonts w:asciiTheme="minorHAnsi" w:eastAsiaTheme="minorHAnsi" w:hAnsiTheme="minorHAnsi" w:cstheme="minorBidi"/>
          <w:color w:val="auto"/>
          <w:sz w:val="22"/>
          <w:szCs w:val="22"/>
        </w:rPr>
        <w:t xml:space="preserve">: </w:t>
      </w:r>
    </w:p>
    <w:p w14:paraId="7D4ABE79" w14:textId="590E7E78" w:rsidR="005E261F" w:rsidRPr="00503D30" w:rsidRDefault="005E261F" w:rsidP="000F0531">
      <w:pPr>
        <w:pStyle w:val="Default"/>
        <w:numPr>
          <w:ilvl w:val="0"/>
          <w:numId w:val="72"/>
        </w:numPr>
        <w:spacing w:after="160" w:line="259" w:lineRule="auto"/>
        <w:rPr>
          <w:rFonts w:asciiTheme="minorHAnsi" w:eastAsiaTheme="minorHAnsi" w:hAnsiTheme="minorHAnsi" w:cstheme="minorBidi"/>
          <w:color w:val="auto"/>
          <w:sz w:val="22"/>
          <w:szCs w:val="22"/>
        </w:rPr>
      </w:pPr>
      <w:r w:rsidRPr="00503D30">
        <w:rPr>
          <w:rFonts w:asciiTheme="minorHAnsi" w:eastAsiaTheme="minorHAnsi" w:hAnsiTheme="minorHAnsi" w:cstheme="minorBidi"/>
          <w:color w:val="auto"/>
          <w:sz w:val="22"/>
          <w:szCs w:val="22"/>
        </w:rPr>
        <w:t xml:space="preserve">The CAISO will net </w:t>
      </w:r>
      <w:r>
        <w:rPr>
          <w:rFonts w:asciiTheme="minorHAnsi" w:eastAsiaTheme="minorHAnsi" w:hAnsiTheme="minorHAnsi" w:cstheme="minorBidi"/>
          <w:color w:val="auto"/>
          <w:sz w:val="22"/>
          <w:szCs w:val="22"/>
        </w:rPr>
        <w:t>i</w:t>
      </w:r>
      <w:r w:rsidRPr="00503D30">
        <w:rPr>
          <w:rFonts w:asciiTheme="minorHAnsi" w:eastAsiaTheme="minorHAnsi" w:hAnsiTheme="minorHAnsi" w:cstheme="minorBidi"/>
          <w:color w:val="auto"/>
          <w:sz w:val="22"/>
          <w:szCs w:val="22"/>
        </w:rPr>
        <w:t xml:space="preserve">mports and exports against each other in each Operating Hour. </w:t>
      </w:r>
      <w:r w:rsidRPr="00503D30">
        <w:rPr>
          <w:rFonts w:asciiTheme="minorHAnsi" w:eastAsiaTheme="minorHAnsi" w:hAnsiTheme="minorHAnsi" w:cstheme="minorBidi"/>
          <w:color w:val="auto"/>
        </w:rPr>
        <w:t xml:space="preserve"> </w:t>
      </w:r>
    </w:p>
    <w:p w14:paraId="377A3486" w14:textId="77777777" w:rsidR="005E261F" w:rsidRPr="00503D30" w:rsidRDefault="005E261F" w:rsidP="000F0531">
      <w:pPr>
        <w:pStyle w:val="ListParagraph"/>
        <w:numPr>
          <w:ilvl w:val="0"/>
          <w:numId w:val="72"/>
        </w:numPr>
      </w:pPr>
      <w:r w:rsidRPr="00503D30">
        <w:rPr>
          <w:rFonts w:ascii="Calibri" w:hAnsi="Calibri" w:cs="Times New Roman"/>
        </w:rPr>
        <w:t xml:space="preserve">If net-tagged imports are greater than net imports in the EIM Base Schedules, the CAISO will add to the affected BAA in the EIM an additional </w:t>
      </w:r>
      <w:r>
        <w:rPr>
          <w:rFonts w:ascii="Calibri" w:hAnsi="Calibri" w:cs="Times New Roman"/>
        </w:rPr>
        <w:t xml:space="preserve">downward </w:t>
      </w:r>
      <w:r w:rsidRPr="00503D30">
        <w:rPr>
          <w:rFonts w:ascii="Calibri" w:hAnsi="Calibri" w:cs="Times New Roman"/>
        </w:rPr>
        <w:t xml:space="preserve">capacity requirement.  If net-tagged imports are less than net imports included in the EIM Base Schedules, the CAISO will add to the affected BAA in the EIM an additional </w:t>
      </w:r>
      <w:r>
        <w:rPr>
          <w:rFonts w:ascii="Calibri" w:hAnsi="Calibri" w:cs="Times New Roman"/>
        </w:rPr>
        <w:t xml:space="preserve">upward </w:t>
      </w:r>
      <w:r w:rsidRPr="00503D30">
        <w:rPr>
          <w:rFonts w:ascii="Calibri" w:hAnsi="Calibri" w:cs="Times New Roman"/>
        </w:rPr>
        <w:t>capacity requirement.</w:t>
      </w:r>
      <w:r w:rsidRPr="00503D30">
        <w:t xml:space="preserve"> </w:t>
      </w:r>
    </w:p>
    <w:p w14:paraId="663DC93A" w14:textId="77777777" w:rsidR="005E261F" w:rsidRDefault="005E261F" w:rsidP="000F0531">
      <w:pPr>
        <w:pStyle w:val="ListParagraph"/>
        <w:numPr>
          <w:ilvl w:val="0"/>
          <w:numId w:val="72"/>
        </w:numPr>
      </w:pPr>
      <w:r w:rsidRPr="00503D30">
        <w:rPr>
          <w:rFonts w:ascii="Calibri" w:hAnsi="Calibri" w:cs="Times New Roman"/>
        </w:rPr>
        <w:t xml:space="preserve">If net-tagged exports are greater than net exports included in the EIM Base Schedules, the CAISO will add to the affected BAA in the EIM an additional </w:t>
      </w:r>
      <w:r>
        <w:rPr>
          <w:rFonts w:ascii="Calibri" w:hAnsi="Calibri" w:cs="Times New Roman"/>
        </w:rPr>
        <w:t xml:space="preserve">upward </w:t>
      </w:r>
      <w:r w:rsidRPr="00503D30">
        <w:rPr>
          <w:rFonts w:ascii="Calibri" w:hAnsi="Calibri" w:cs="Times New Roman"/>
        </w:rPr>
        <w:t xml:space="preserve">capacity requirement. If net-tagged exports are less than net exports included in EIM Base Schedules, the CAISO will add to the affected BAA in the EIM an additional </w:t>
      </w:r>
      <w:r>
        <w:rPr>
          <w:rFonts w:ascii="Calibri" w:hAnsi="Calibri" w:cs="Times New Roman"/>
        </w:rPr>
        <w:t xml:space="preserve">downward </w:t>
      </w:r>
      <w:r w:rsidRPr="00503D30">
        <w:rPr>
          <w:rFonts w:ascii="Calibri" w:hAnsi="Calibri" w:cs="Times New Roman"/>
        </w:rPr>
        <w:t>capacity requirement.</w:t>
      </w:r>
      <w:r w:rsidRPr="00A1465C">
        <w:t xml:space="preserve"> </w:t>
      </w:r>
    </w:p>
    <w:p w14:paraId="6B5D9A06" w14:textId="04C5CC15" w:rsidR="005E261F" w:rsidRDefault="005E261F" w:rsidP="000F0531">
      <w:pPr>
        <w:pStyle w:val="ListParagraph"/>
        <w:numPr>
          <w:ilvl w:val="0"/>
          <w:numId w:val="72"/>
        </w:numPr>
      </w:pPr>
      <w:r w:rsidRPr="00503D30">
        <w:rPr>
          <w:rFonts w:ascii="Calibri" w:hAnsi="Calibri" w:cs="Times New Roman"/>
        </w:rPr>
        <w:t xml:space="preserve">The CAISO will include only data for </w:t>
      </w:r>
      <w:r>
        <w:rPr>
          <w:rFonts w:ascii="Calibri" w:hAnsi="Calibri" w:cs="Times New Roman"/>
        </w:rPr>
        <w:t xml:space="preserve">hourly </w:t>
      </w:r>
      <w:r w:rsidRPr="00503D30">
        <w:rPr>
          <w:rFonts w:ascii="Calibri" w:hAnsi="Calibri" w:cs="Times New Roman"/>
        </w:rPr>
        <w:t xml:space="preserve">Scheduled imports and exports </w:t>
      </w:r>
      <w:r>
        <w:rPr>
          <w:rFonts w:ascii="Calibri" w:hAnsi="Calibri" w:cs="Times New Roman"/>
        </w:rPr>
        <w:t xml:space="preserve">and base EIM Transfers </w:t>
      </w:r>
      <w:r w:rsidRPr="00503D30">
        <w:rPr>
          <w:rFonts w:ascii="Calibri" w:hAnsi="Calibri" w:cs="Times New Roman"/>
        </w:rPr>
        <w:t>in the histogram</w:t>
      </w:r>
      <w:r>
        <w:rPr>
          <w:rFonts w:ascii="Calibri" w:hAnsi="Calibri" w:cs="Times New Roman"/>
        </w:rPr>
        <w:t>. The following schedules will be excluded from the histogram:</w:t>
      </w:r>
      <w:r w:rsidRPr="00503D30">
        <w:rPr>
          <w:rFonts w:ascii="Calibri" w:hAnsi="Calibri" w:cs="Times New Roman"/>
        </w:rPr>
        <w:t xml:space="preserve"> 15-minute intertie schedules, dynamic inter-tie schedules, and pseudo-ties.</w:t>
      </w:r>
      <w:r w:rsidRPr="00503D30">
        <w:t xml:space="preserve"> </w:t>
      </w:r>
    </w:p>
    <w:p w14:paraId="00EABDDD" w14:textId="77777777" w:rsidR="005E261F" w:rsidRDefault="005E261F" w:rsidP="000F0531">
      <w:pPr>
        <w:pStyle w:val="ListParagraph"/>
        <w:numPr>
          <w:ilvl w:val="0"/>
          <w:numId w:val="72"/>
        </w:numPr>
      </w:pPr>
      <w:r>
        <w:t xml:space="preserve">The CAISO will exclude any outlier data from the histogram calculations. </w:t>
      </w:r>
    </w:p>
    <w:p w14:paraId="48826721" w14:textId="77777777" w:rsidR="005E261F" w:rsidRPr="00503D30" w:rsidRDefault="005E261F" w:rsidP="000F0531">
      <w:pPr>
        <w:pStyle w:val="ListParagraph"/>
        <w:numPr>
          <w:ilvl w:val="0"/>
          <w:numId w:val="72"/>
        </w:numPr>
      </w:pPr>
      <w:r w:rsidRPr="008651D8">
        <w:t>Three months of production data is required to calculate the histogram. So, for all new EIM entities, the histogram percentiles will be set to zero until this information is available.</w:t>
      </w:r>
    </w:p>
    <w:p w14:paraId="4DBB3E65" w14:textId="77777777" w:rsidR="005E261F" w:rsidRPr="00877DDB" w:rsidRDefault="005E261F" w:rsidP="00A008A8">
      <w:pPr>
        <w:pStyle w:val="Default"/>
        <w:rPr>
          <w:rFonts w:asciiTheme="minorHAnsi" w:eastAsiaTheme="minorHAnsi" w:hAnsiTheme="minorHAnsi" w:cstheme="minorBidi"/>
          <w:color w:val="auto"/>
          <w:sz w:val="22"/>
          <w:szCs w:val="22"/>
        </w:rPr>
      </w:pPr>
    </w:p>
    <w:p w14:paraId="23559317" w14:textId="77777777" w:rsidR="005E261F" w:rsidRDefault="005E261F" w:rsidP="00A008A8">
      <w:r w:rsidRPr="00877DDB">
        <w:lastRenderedPageBreak/>
        <w:t>The</w:t>
      </w:r>
      <w:r>
        <w:t xml:space="preserve"> CAISO will calculate the</w:t>
      </w:r>
      <w:r w:rsidRPr="00877DDB">
        <w:t xml:space="preserve"> </w:t>
      </w:r>
      <w:r>
        <w:t>data samples for the absolute and relative histogram for the net hourly inter-tie schedules deviation</w:t>
      </w:r>
      <w:r w:rsidRPr="00877DDB">
        <w:t xml:space="preserve"> between imports and exports scheduled at T-40</w:t>
      </w:r>
      <w:r>
        <w:t xml:space="preserve"> (net base inter-tie schedules)</w:t>
      </w:r>
      <w:r w:rsidRPr="00877DDB">
        <w:t xml:space="preserve"> and </w:t>
      </w:r>
      <w:r>
        <w:t xml:space="preserve">the </w:t>
      </w:r>
      <w:r w:rsidRPr="00877DDB">
        <w:t xml:space="preserve">final tagged </w:t>
      </w:r>
      <w:r>
        <w:t xml:space="preserve">net </w:t>
      </w:r>
      <w:r w:rsidRPr="00877DDB">
        <w:t>imports at T-20</w:t>
      </w:r>
      <w:r>
        <w:t xml:space="preserve"> (net actual hourly inter-tie schedule) as</w:t>
      </w:r>
      <w:r w:rsidRPr="00877DDB">
        <w:t>:</w:t>
      </w:r>
    </w:p>
    <w:p w14:paraId="24F8B080" w14:textId="77777777" w:rsidR="005E261F" w:rsidRDefault="005E261F" w:rsidP="00A008A8">
      <w:pPr>
        <w:rPr>
          <w:b/>
          <w:color w:val="1F3864"/>
        </w:rPr>
      </w:pPr>
      <w:r>
        <w:rPr>
          <w:b/>
          <w:color w:val="1F3864"/>
        </w:rPr>
        <w:t xml:space="preserve">Data sample for relative deviation: </w:t>
      </w:r>
      <w:r w:rsidRPr="004818EB">
        <w:rPr>
          <w:b/>
          <w:color w:val="1F3864"/>
        </w:rPr>
        <w:t>(net actual hourly inter</w:t>
      </w:r>
      <w:r>
        <w:rPr>
          <w:b/>
          <w:color w:val="1F3864"/>
        </w:rPr>
        <w:t>-</w:t>
      </w:r>
      <w:r w:rsidRPr="004818EB">
        <w:rPr>
          <w:b/>
          <w:color w:val="1F3864"/>
        </w:rPr>
        <w:t>tie schedule – net base inter</w:t>
      </w:r>
      <w:r>
        <w:rPr>
          <w:b/>
          <w:color w:val="1F3864"/>
        </w:rPr>
        <w:t>-</w:t>
      </w:r>
      <w:r w:rsidRPr="004818EB">
        <w:rPr>
          <w:b/>
          <w:color w:val="1F3864"/>
        </w:rPr>
        <w:t>tie schedule) / net base inter</w:t>
      </w:r>
      <w:r>
        <w:rPr>
          <w:b/>
          <w:color w:val="1F3864"/>
        </w:rPr>
        <w:t>-</w:t>
      </w:r>
      <w:r w:rsidRPr="004818EB">
        <w:rPr>
          <w:b/>
          <w:color w:val="1F3864"/>
        </w:rPr>
        <w:t>tie schedule</w:t>
      </w:r>
    </w:p>
    <w:p w14:paraId="7397DB7D" w14:textId="77777777" w:rsidR="005E261F" w:rsidRDefault="005E261F" w:rsidP="00A008A8">
      <w:r>
        <w:rPr>
          <w:b/>
          <w:color w:val="1F3864"/>
        </w:rPr>
        <w:t>Data sample for absolute deviation: net actual hourly intertie schedule – net base intertie schedule.</w:t>
      </w:r>
    </w:p>
    <w:p w14:paraId="6E828459" w14:textId="522B2DE1" w:rsidR="005E261F" w:rsidRPr="00877DDB" w:rsidRDefault="005E261F" w:rsidP="00A008A8">
      <w:pPr>
        <w:pStyle w:val="Default"/>
        <w:ind w:left="720"/>
        <w:rPr>
          <w:rFonts w:asciiTheme="minorHAnsi" w:eastAsiaTheme="minorHAnsi" w:hAnsiTheme="minorHAnsi" w:cstheme="minorBidi"/>
          <w:color w:val="auto"/>
          <w:sz w:val="22"/>
          <w:szCs w:val="22"/>
        </w:rPr>
      </w:pPr>
    </w:p>
    <w:p w14:paraId="201C4F1B" w14:textId="77777777" w:rsidR="005E261F" w:rsidRDefault="005E261F" w:rsidP="00A008A8">
      <w:pPr>
        <w:pStyle w:val="Default"/>
        <w:rPr>
          <w:rFonts w:asciiTheme="minorHAnsi" w:eastAsiaTheme="minorHAnsi" w:hAnsiTheme="minorHAnsi" w:cstheme="minorBidi"/>
          <w:color w:val="auto"/>
          <w:sz w:val="22"/>
          <w:szCs w:val="22"/>
        </w:rPr>
      </w:pPr>
    </w:p>
    <w:p w14:paraId="7913938D" w14:textId="5F4DB7EC" w:rsidR="005E261F" w:rsidRPr="00A1465C" w:rsidRDefault="005E261F" w:rsidP="00A008A8">
      <w:pPr>
        <w:pStyle w:val="Default"/>
        <w:rPr>
          <w:rFonts w:asciiTheme="minorHAnsi" w:hAnsiTheme="minorHAnsi" w:cs="Times New Roman"/>
          <w:sz w:val="22"/>
          <w:szCs w:val="22"/>
        </w:rPr>
      </w:pPr>
      <w:r w:rsidRPr="00A1465C">
        <w:rPr>
          <w:rFonts w:asciiTheme="minorHAnsi" w:hAnsiTheme="minorHAnsi" w:cs="Times New Roman"/>
          <w:sz w:val="22"/>
          <w:szCs w:val="22"/>
        </w:rPr>
        <w:t>The CAISO will provide each EIM Entity the low</w:t>
      </w:r>
      <w:r>
        <w:rPr>
          <w:rFonts w:asciiTheme="minorHAnsi" w:hAnsiTheme="minorHAnsi" w:cs="Times New Roman"/>
          <w:sz w:val="22"/>
          <w:szCs w:val="22"/>
        </w:rPr>
        <w:t>-</w:t>
      </w:r>
      <w:r w:rsidRPr="00A1465C">
        <w:rPr>
          <w:rFonts w:asciiTheme="minorHAnsi" w:hAnsiTheme="minorHAnsi" w:cs="Times New Roman"/>
          <w:sz w:val="22"/>
          <w:szCs w:val="22"/>
        </w:rPr>
        <w:t xml:space="preserve"> and high</w:t>
      </w:r>
      <w:r>
        <w:rPr>
          <w:rFonts w:asciiTheme="minorHAnsi" w:hAnsiTheme="minorHAnsi" w:cs="Times New Roman"/>
          <w:sz w:val="22"/>
          <w:szCs w:val="22"/>
        </w:rPr>
        <w:t xml:space="preserve">-end </w:t>
      </w:r>
      <w:r w:rsidRPr="00A1465C">
        <w:rPr>
          <w:rFonts w:asciiTheme="minorHAnsi" w:hAnsiTheme="minorHAnsi" w:cs="Times New Roman"/>
          <w:sz w:val="22"/>
          <w:szCs w:val="22"/>
        </w:rPr>
        <w:t>cutoff percentiles</w:t>
      </w:r>
      <w:r>
        <w:rPr>
          <w:rFonts w:asciiTheme="minorHAnsi" w:hAnsiTheme="minorHAnsi" w:cs="Times New Roman"/>
          <w:sz w:val="22"/>
          <w:szCs w:val="22"/>
        </w:rPr>
        <w:t xml:space="preserve"> for both the absolute and the relative net inter-tie schedule deviation histograms</w:t>
      </w:r>
      <w:r w:rsidRPr="00A1465C">
        <w:rPr>
          <w:rFonts w:asciiTheme="minorHAnsi" w:hAnsiTheme="minorHAnsi" w:cs="Times New Roman"/>
          <w:sz w:val="22"/>
          <w:szCs w:val="22"/>
        </w:rPr>
        <w:t xml:space="preserve"> (2.5% and 97.5%, configurable from each histogram).</w:t>
      </w:r>
      <w:r>
        <w:rPr>
          <w:rFonts w:asciiTheme="minorHAnsi" w:hAnsiTheme="minorHAnsi" w:cs="Times New Roman"/>
          <w:sz w:val="22"/>
          <w:szCs w:val="22"/>
        </w:rPr>
        <w:t xml:space="preserve"> If either the high-end cutoff percentile or the high-end cutoff absolute value based on the histogram data is below zero, then it will be set to 0. Similarly, if either the low cutoff percentile or the low cutoff absolute value based on the histogram data is above zero, then they will be set to 0. </w:t>
      </w:r>
    </w:p>
    <w:p w14:paraId="7F1072C4" w14:textId="77777777" w:rsidR="005E261F" w:rsidRPr="004A3D7C" w:rsidRDefault="005E261F" w:rsidP="00A008A8">
      <w:pPr>
        <w:pStyle w:val="Default"/>
        <w:rPr>
          <w:rFonts w:asciiTheme="minorHAnsi" w:eastAsiaTheme="minorHAnsi" w:hAnsiTheme="minorHAnsi" w:cstheme="minorBidi"/>
          <w:color w:val="auto"/>
          <w:sz w:val="22"/>
          <w:szCs w:val="22"/>
        </w:rPr>
      </w:pPr>
    </w:p>
    <w:p w14:paraId="350FD4CC" w14:textId="4395C5FB" w:rsidR="005E261F" w:rsidRPr="0027779A" w:rsidRDefault="005E261F" w:rsidP="00A008A8">
      <w:pPr>
        <w:spacing w:after="0" w:line="240" w:lineRule="auto"/>
      </w:pPr>
      <w:r w:rsidRPr="00A1465C">
        <w:rPr>
          <w:rFonts w:eastAsia="Times New Roman" w:cs="Times New Roman"/>
          <w:color w:val="000000"/>
        </w:rPr>
        <w:t xml:space="preserve">The </w:t>
      </w:r>
      <w:r w:rsidRPr="0027779A">
        <w:t xml:space="preserve">CAISO will perform a bid range capacity test every hour. </w:t>
      </w:r>
      <w:r>
        <w:t>The CAISO will add</w:t>
      </w:r>
      <w:r w:rsidRPr="0027779A">
        <w:t xml:space="preserve"> additional incremental capacity requirements to the upward capacity test </w:t>
      </w:r>
      <w:r>
        <w:t>or</w:t>
      </w:r>
      <w:r w:rsidRPr="0027779A">
        <w:t xml:space="preserve"> additional decremental capacity requirements to the downward capacity test</w:t>
      </w:r>
      <w:r>
        <w:t xml:space="preserve"> depending on the results of the balancing test results. If the sum of EIM </w:t>
      </w:r>
      <w:r>
        <w:rPr>
          <w:rFonts w:eastAsia="Calibri"/>
        </w:rPr>
        <w:t>Base S</w:t>
      </w:r>
      <w:r w:rsidRPr="008817D0">
        <w:rPr>
          <w:rFonts w:eastAsia="Calibri"/>
        </w:rPr>
        <w:t xml:space="preserve">chedules </w:t>
      </w:r>
      <w:r>
        <w:rPr>
          <w:rFonts w:eastAsia="Calibri"/>
        </w:rPr>
        <w:t>from generation and intertie resources in an EIM Resource P</w:t>
      </w:r>
      <w:r w:rsidRPr="008817D0">
        <w:rPr>
          <w:rFonts w:eastAsia="Calibri"/>
        </w:rPr>
        <w:t xml:space="preserve">lan </w:t>
      </w:r>
      <w:r>
        <w:rPr>
          <w:rFonts w:eastAsia="Calibri"/>
        </w:rPr>
        <w:t xml:space="preserve">is above the EIM Entity BAA load forecast, then an additional downward requirement is added to the capacity test. On the other hand, </w:t>
      </w:r>
      <w:r>
        <w:t xml:space="preserve">if the sum of EIM </w:t>
      </w:r>
      <w:r>
        <w:rPr>
          <w:rFonts w:eastAsia="Calibri"/>
        </w:rPr>
        <w:t>Base S</w:t>
      </w:r>
      <w:r w:rsidRPr="008817D0">
        <w:rPr>
          <w:rFonts w:eastAsia="Calibri"/>
        </w:rPr>
        <w:t xml:space="preserve">chedules </w:t>
      </w:r>
      <w:r>
        <w:rPr>
          <w:rFonts w:eastAsia="Calibri"/>
        </w:rPr>
        <w:t>from generation and intertie resources in an EIM Resource P</w:t>
      </w:r>
      <w:r w:rsidRPr="008817D0">
        <w:rPr>
          <w:rFonts w:eastAsia="Calibri"/>
        </w:rPr>
        <w:t xml:space="preserve">lan </w:t>
      </w:r>
      <w:r>
        <w:rPr>
          <w:rFonts w:eastAsia="Calibri"/>
        </w:rPr>
        <w:t>is below the EIM Entity BAA load forecast, then an additional upward requirement is added to the capacity test</w:t>
      </w:r>
      <w:r w:rsidRPr="0027779A">
        <w:t xml:space="preserve">. </w:t>
      </w:r>
      <w:r>
        <w:t>The CAISO will calculate t</w:t>
      </w:r>
      <w:r w:rsidRPr="0027779A">
        <w:t>hese additional requirements as</w:t>
      </w:r>
      <w:r>
        <w:t xml:space="preserve"> follows</w:t>
      </w:r>
      <w:r w:rsidRPr="0027779A">
        <w:t>:</w:t>
      </w:r>
    </w:p>
    <w:p w14:paraId="3B6358DF" w14:textId="77777777" w:rsidR="005E261F" w:rsidRDefault="005E261F" w:rsidP="00A008A8">
      <w:pPr>
        <w:spacing w:after="0" w:line="240" w:lineRule="auto"/>
        <w:ind w:left="540"/>
        <w:rPr>
          <w:rFonts w:ascii="Calibri" w:eastAsia="Times New Roman" w:hAnsi="Calibri" w:cs="Times New Roman"/>
          <w:color w:val="000000"/>
        </w:rPr>
      </w:pPr>
    </w:p>
    <w:p w14:paraId="79237357" w14:textId="63D90194" w:rsidR="005E261F" w:rsidRDefault="005E261F" w:rsidP="00A008A8">
      <w:pPr>
        <w:spacing w:after="0" w:line="240" w:lineRule="auto"/>
        <w:rPr>
          <w:rFonts w:eastAsia="Times New Roman" w:cs="Times New Roman"/>
          <w:color w:val="000000"/>
        </w:rPr>
      </w:pPr>
      <w:r>
        <w:rPr>
          <w:rFonts w:ascii="Calibri" w:eastAsia="Times New Roman" w:hAnsi="Calibri" w:cs="Times New Roman"/>
          <w:color w:val="000000"/>
        </w:rPr>
        <w:t xml:space="preserve">The CAISO calculates </w:t>
      </w:r>
      <w:r>
        <w:rPr>
          <w:rFonts w:eastAsia="Times New Roman" w:cs="Times New Roman"/>
          <w:color w:val="000000"/>
        </w:rPr>
        <w:t>a</w:t>
      </w:r>
      <w:r w:rsidRPr="00A1465C">
        <w:rPr>
          <w:rFonts w:eastAsia="Times New Roman" w:cs="Times New Roman"/>
          <w:color w:val="000000"/>
        </w:rPr>
        <w:t xml:space="preserve">dditional upward capacity requirement </w:t>
      </w:r>
      <w:r>
        <w:rPr>
          <w:rFonts w:eastAsia="Times New Roman" w:cs="Times New Roman"/>
          <w:color w:val="000000"/>
        </w:rPr>
        <w:t>using data from both the absolute and relative histograms. First, consider a scenario with net imports for a trade hour. In this case, the application considers the minimum of the highest expectation of the net import or the minimum of the absolute difference in net imports for the past 90 days. Second, consider a scenario with net exports for the hour under consideration. In this case, the application considers the minimum of the highest expectation of the net export or the minimum of the absolute difference in net imports for the past 90 days. The calculations for both these scenarios are captured in the equation below.</w:t>
      </w:r>
    </w:p>
    <w:p w14:paraId="600CC4F8" w14:textId="77777777" w:rsidR="005E261F" w:rsidRDefault="005E261F" w:rsidP="00A008A8">
      <w:pPr>
        <w:spacing w:after="0" w:line="240" w:lineRule="auto"/>
        <w:rPr>
          <w:rFonts w:eastAsia="Times New Roman" w:cs="Times New Roman"/>
          <w:color w:val="000000"/>
        </w:rPr>
      </w:pPr>
      <w:r>
        <w:rPr>
          <w:rFonts w:eastAsia="Times New Roman" w:cs="Times New Roman"/>
          <w:color w:val="000000"/>
        </w:rPr>
        <w:t>For Net Import:</w:t>
      </w:r>
    </w:p>
    <w:p w14:paraId="64ED3B61" w14:textId="77777777" w:rsidR="005E261F" w:rsidRDefault="005E261F" w:rsidP="00A008A8">
      <w:pPr>
        <w:spacing w:after="0" w:line="240" w:lineRule="auto"/>
        <w:rPr>
          <w:rFonts w:eastAsia="Times New Roman" w:cs="Times New Roman"/>
          <w:color w:val="000000"/>
        </w:rPr>
      </w:pPr>
      <w:r w:rsidRPr="00994496">
        <w:rPr>
          <w:rFonts w:eastAsia="Times New Roman" w:cs="Times New Roman"/>
          <w:color w:val="000000"/>
        </w:rPr>
        <w:t>Additional upward capacity requirement = min(–</w:t>
      </w:r>
      <w:r>
        <w:rPr>
          <w:rFonts w:eastAsia="Times New Roman" w:cs="Times New Roman"/>
          <w:color w:val="000000"/>
        </w:rPr>
        <w:t>1*</w:t>
      </w:r>
      <w:r w:rsidRPr="00994496">
        <w:rPr>
          <w:rFonts w:eastAsia="Times New Roman" w:cs="Times New Roman"/>
          <w:color w:val="000000"/>
        </w:rPr>
        <w:t>relative low percentile * net base intertie schedule, –absolute low percentile)</w:t>
      </w:r>
      <w:r w:rsidRPr="00A1465C">
        <w:rPr>
          <w:rFonts w:eastAsia="Times New Roman" w:cs="Times New Roman"/>
          <w:color w:val="000000"/>
        </w:rPr>
        <w:t xml:space="preserve"> </w:t>
      </w:r>
    </w:p>
    <w:p w14:paraId="7C0BD78B" w14:textId="77777777" w:rsidR="005E261F" w:rsidRDefault="005E261F" w:rsidP="00A008A8">
      <w:pPr>
        <w:spacing w:after="0" w:line="240" w:lineRule="auto"/>
        <w:rPr>
          <w:rFonts w:eastAsia="Times New Roman" w:cs="Times New Roman"/>
          <w:color w:val="000000"/>
        </w:rPr>
      </w:pPr>
      <w:r>
        <w:rPr>
          <w:rFonts w:eastAsia="Times New Roman" w:cs="Times New Roman"/>
          <w:color w:val="000000"/>
        </w:rPr>
        <w:t>For Net Export:</w:t>
      </w:r>
    </w:p>
    <w:p w14:paraId="083574AD" w14:textId="45F39883" w:rsidR="005E261F" w:rsidRPr="00A1465C" w:rsidRDefault="005E261F" w:rsidP="00A008A8">
      <w:pPr>
        <w:spacing w:after="0" w:line="240" w:lineRule="auto"/>
        <w:textAlignment w:val="center"/>
        <w:rPr>
          <w:rFonts w:eastAsia="Times New Roman" w:cs="Times New Roman"/>
          <w:color w:val="000000"/>
        </w:rPr>
      </w:pPr>
      <w:r w:rsidRPr="00994496">
        <w:rPr>
          <w:rFonts w:eastAsia="Times New Roman" w:cs="Times New Roman"/>
          <w:color w:val="000000"/>
        </w:rPr>
        <w:t>Additional upward capacity requirement = min(–</w:t>
      </w:r>
      <w:r>
        <w:rPr>
          <w:rFonts w:eastAsia="Times New Roman" w:cs="Times New Roman"/>
          <w:color w:val="000000"/>
        </w:rPr>
        <w:t>1*</w:t>
      </w:r>
      <w:r w:rsidRPr="00994496">
        <w:rPr>
          <w:rFonts w:eastAsia="Times New Roman" w:cs="Times New Roman"/>
          <w:color w:val="000000"/>
        </w:rPr>
        <w:t>relative high percentile * net base intertie schedule, absolute high percentile)</w:t>
      </w:r>
      <w:r w:rsidRPr="00A1465C">
        <w:rPr>
          <w:rFonts w:eastAsia="Times New Roman" w:cs="Times New Roman"/>
          <w:color w:val="000000"/>
        </w:rPr>
        <w:t xml:space="preserve"> </w:t>
      </w:r>
      <w:r w:rsidRPr="00A1465C">
        <w:rPr>
          <w:rFonts w:eastAsia="Times New Roman" w:cs="Times New Roman"/>
          <w:color w:val="000000"/>
        </w:rPr>
        <w:cr/>
      </w:r>
      <w:r w:rsidRPr="00A1465C" w:rsidDel="00716EFF">
        <w:rPr>
          <w:rFonts w:eastAsia="Times New Roman" w:cs="Times New Roman"/>
          <w:color w:val="000000"/>
        </w:rPr>
        <w:t xml:space="preserve"> </w:t>
      </w:r>
    </w:p>
    <w:p w14:paraId="05C9B4BE" w14:textId="3EAE3D02" w:rsidR="005E261F" w:rsidRPr="00A1465C" w:rsidRDefault="005E261F" w:rsidP="00A008A8">
      <w:pPr>
        <w:spacing w:after="0" w:line="240" w:lineRule="auto"/>
        <w:rPr>
          <w:rFonts w:eastAsia="Times New Roman" w:cs="Times New Roman"/>
          <w:color w:val="000000"/>
        </w:rPr>
      </w:pPr>
      <w:r>
        <w:rPr>
          <w:rFonts w:ascii="Calibri" w:eastAsia="Times New Roman" w:hAnsi="Calibri" w:cs="Times New Roman"/>
          <w:color w:val="000000"/>
        </w:rPr>
        <w:t>-Similarly, the ISO calculates the additional downward capacity requirements in case of overscheduling using the equation captured below.</w:t>
      </w:r>
    </w:p>
    <w:p w14:paraId="262790BA" w14:textId="77777777" w:rsidR="005E261F" w:rsidRDefault="005E261F" w:rsidP="00A008A8">
      <w:pPr>
        <w:rPr>
          <w:rFonts w:eastAsia="Times New Roman" w:cs="Times New Roman"/>
          <w:color w:val="000000"/>
        </w:rPr>
      </w:pPr>
    </w:p>
    <w:p w14:paraId="56E7EFC8" w14:textId="77777777" w:rsidR="005E261F" w:rsidRDefault="005E261F" w:rsidP="00A008A8">
      <w:pPr>
        <w:rPr>
          <w:rFonts w:eastAsia="Times New Roman" w:cs="Times New Roman"/>
          <w:color w:val="000000"/>
        </w:rPr>
      </w:pPr>
      <w:r>
        <w:rPr>
          <w:rFonts w:eastAsia="Times New Roman" w:cs="Times New Roman"/>
          <w:color w:val="000000"/>
        </w:rPr>
        <w:t>For net import:</w:t>
      </w:r>
    </w:p>
    <w:p w14:paraId="1AE6BF0C" w14:textId="77777777" w:rsidR="005E261F" w:rsidRDefault="005E261F" w:rsidP="00A008A8">
      <w:pPr>
        <w:rPr>
          <w:rFonts w:eastAsia="Times New Roman" w:cs="Times New Roman"/>
          <w:color w:val="000000"/>
        </w:rPr>
      </w:pPr>
      <w:r w:rsidRPr="00FA5703">
        <w:rPr>
          <w:rFonts w:eastAsia="Times New Roman" w:cs="Times New Roman"/>
          <w:color w:val="000000"/>
        </w:rPr>
        <w:lastRenderedPageBreak/>
        <w:t>A</w:t>
      </w:r>
      <w:r w:rsidRPr="00994496">
        <w:rPr>
          <w:rFonts w:eastAsia="Times New Roman" w:cs="Times New Roman"/>
          <w:color w:val="000000"/>
        </w:rPr>
        <w:t>dditional downward capacity requirement = max(–</w:t>
      </w:r>
      <w:r>
        <w:rPr>
          <w:rFonts w:eastAsia="Times New Roman" w:cs="Times New Roman"/>
          <w:color w:val="000000"/>
        </w:rPr>
        <w:t>1*</w:t>
      </w:r>
      <w:r w:rsidRPr="00994496">
        <w:rPr>
          <w:rFonts w:eastAsia="Times New Roman" w:cs="Times New Roman"/>
          <w:color w:val="000000"/>
        </w:rPr>
        <w:t>relative high percentile * net base intertie schedule, –absolute high percentile)</w:t>
      </w:r>
      <w:r w:rsidRPr="00A1465C">
        <w:rPr>
          <w:rFonts w:eastAsia="Times New Roman" w:cs="Times New Roman"/>
          <w:color w:val="000000"/>
        </w:rPr>
        <w:t xml:space="preserve"> </w:t>
      </w:r>
    </w:p>
    <w:p w14:paraId="213BFEB6" w14:textId="77777777" w:rsidR="005E261F" w:rsidRDefault="005E261F" w:rsidP="00A008A8">
      <w:pPr>
        <w:rPr>
          <w:rFonts w:eastAsia="Times New Roman" w:cs="Times New Roman"/>
          <w:color w:val="000000"/>
        </w:rPr>
      </w:pPr>
    </w:p>
    <w:p w14:paraId="15A74D4F" w14:textId="77777777" w:rsidR="005E261F" w:rsidRDefault="005E261F" w:rsidP="00A008A8">
      <w:pPr>
        <w:rPr>
          <w:rFonts w:eastAsia="Times New Roman" w:cs="Times New Roman"/>
          <w:color w:val="000000"/>
        </w:rPr>
      </w:pPr>
      <w:r>
        <w:rPr>
          <w:rFonts w:eastAsia="Times New Roman" w:cs="Times New Roman"/>
          <w:color w:val="000000"/>
        </w:rPr>
        <w:t>For net export:</w:t>
      </w:r>
    </w:p>
    <w:p w14:paraId="7DEB4AAF" w14:textId="3243A93C" w:rsidR="004515FF" w:rsidRPr="004515FF" w:rsidRDefault="005E261F" w:rsidP="008C1669">
      <w:r w:rsidRPr="00FA5703">
        <w:rPr>
          <w:rFonts w:eastAsia="Times New Roman" w:cs="Times New Roman"/>
          <w:color w:val="000000"/>
        </w:rPr>
        <w:t>A</w:t>
      </w:r>
      <w:r w:rsidRPr="00994496">
        <w:rPr>
          <w:rFonts w:eastAsia="Times New Roman" w:cs="Times New Roman"/>
          <w:color w:val="000000"/>
        </w:rPr>
        <w:t>dditional downward capacity requirement = max(–</w:t>
      </w:r>
      <w:r>
        <w:rPr>
          <w:rFonts w:eastAsia="Times New Roman" w:cs="Times New Roman"/>
          <w:color w:val="000000"/>
        </w:rPr>
        <w:t>1*</w:t>
      </w:r>
      <w:r w:rsidRPr="00994496">
        <w:rPr>
          <w:rFonts w:eastAsia="Times New Roman" w:cs="Times New Roman"/>
          <w:color w:val="000000"/>
        </w:rPr>
        <w:t>relative low percentile * net base intertie schedule, absolute low percentile)</w:t>
      </w:r>
      <w:r w:rsidRPr="00A1465C">
        <w:rPr>
          <w:rFonts w:eastAsia="Times New Roman" w:cs="Times New Roman"/>
          <w:color w:val="000000"/>
        </w:rPr>
        <w:t xml:space="preserve"> </w:t>
      </w:r>
      <w:r w:rsidRPr="00A1465C">
        <w:rPr>
          <w:rFonts w:eastAsia="Times New Roman" w:cs="Times New Roman"/>
          <w:color w:val="000000"/>
        </w:rPr>
        <w:cr/>
      </w:r>
    </w:p>
    <w:p w14:paraId="469D127C" w14:textId="77777777" w:rsidR="000E624A" w:rsidRPr="000F299B" w:rsidRDefault="000E624A" w:rsidP="000F299B">
      <w:pPr>
        <w:pStyle w:val="ListParagraph"/>
        <w:kinsoku w:val="0"/>
        <w:overflowPunct w:val="0"/>
        <w:contextualSpacing/>
        <w:textAlignment w:val="baseline"/>
      </w:pPr>
    </w:p>
    <w:p w14:paraId="12DB0314" w14:textId="77777777" w:rsidR="0008033D" w:rsidRDefault="0008033D" w:rsidP="000B754E">
      <w:pPr>
        <w:pStyle w:val="Heading3"/>
        <w:spacing w:line="300" w:lineRule="auto"/>
        <w:rPr>
          <w:rFonts w:eastAsia="Calibri"/>
        </w:rPr>
      </w:pPr>
      <w:bookmarkStart w:id="1937" w:name="_Toc390946294"/>
      <w:bookmarkStart w:id="1938" w:name="_Toc391969855"/>
      <w:bookmarkStart w:id="1939" w:name="_Toc20384122"/>
      <w:bookmarkStart w:id="1940" w:name="_Toc390869269"/>
      <w:r>
        <w:rPr>
          <w:rFonts w:eastAsia="Calibri"/>
        </w:rPr>
        <w:t>Locational Marginal Prices</w:t>
      </w:r>
      <w:bookmarkEnd w:id="1937"/>
      <w:bookmarkEnd w:id="1938"/>
      <w:bookmarkEnd w:id="1939"/>
    </w:p>
    <w:p w14:paraId="7711DC8C" w14:textId="77777777" w:rsidR="00D71B97" w:rsidRPr="00D71B97" w:rsidRDefault="00D71B97" w:rsidP="002F635A">
      <w:pPr>
        <w:spacing w:after="240" w:line="300" w:lineRule="auto"/>
        <w:rPr>
          <w:rFonts w:eastAsia="Calibri"/>
        </w:rPr>
      </w:pPr>
      <w:r>
        <w:rPr>
          <w:rFonts w:eastAsia="Calibri"/>
        </w:rPr>
        <w:t>The CAISO Markets, including the EIM, are based on using a Full Network Model coupled with locational marginal pricing.  This coupling is meant to ensure that the Locational Marginal Prices (LMPs) reflect both the physical system as well as the schedules produced by the market applications.  A detailed explanation for how the LM</w:t>
      </w:r>
      <w:r w:rsidR="007970DF">
        <w:rPr>
          <w:rFonts w:eastAsia="Calibri"/>
        </w:rPr>
        <w:t>Ps are derived is contained in S</w:t>
      </w:r>
      <w:r>
        <w:rPr>
          <w:rFonts w:eastAsia="Calibri"/>
        </w:rPr>
        <w:t>ection 3.2 of the</w:t>
      </w:r>
      <w:r w:rsidRPr="00A746D3">
        <w:rPr>
          <w:rFonts w:eastAsia="Calibri"/>
          <w:b/>
        </w:rPr>
        <w:t xml:space="preserve"> </w:t>
      </w:r>
      <w:hyperlink r:id="rId179" w:history="1">
        <w:r w:rsidRPr="00A746D3">
          <w:rPr>
            <w:rStyle w:val="Hyperlink"/>
            <w:rFonts w:eastAsia="Calibri"/>
            <w:b/>
          </w:rPr>
          <w:t>BPM for Market Operations</w:t>
        </w:r>
      </w:hyperlink>
      <w:r>
        <w:rPr>
          <w:rFonts w:eastAsia="Calibri"/>
        </w:rPr>
        <w:t xml:space="preserve">.  </w:t>
      </w:r>
    </w:p>
    <w:p w14:paraId="0346CF3D" w14:textId="77777777" w:rsidR="008817D0" w:rsidRPr="008817D0" w:rsidRDefault="008817D0" w:rsidP="00C33762">
      <w:pPr>
        <w:pStyle w:val="Heading4"/>
        <w:rPr>
          <w:rFonts w:eastAsia="Calibri"/>
          <w:i/>
        </w:rPr>
      </w:pPr>
      <w:r w:rsidRPr="008817D0">
        <w:rPr>
          <w:rFonts w:eastAsia="Calibri"/>
        </w:rPr>
        <w:t>Accounting for Greenhouse Gas Regulation</w:t>
      </w:r>
      <w:r w:rsidRPr="008817D0">
        <w:rPr>
          <w:rFonts w:eastAsia="Calibri"/>
          <w:i/>
        </w:rPr>
        <w:t xml:space="preserve"> </w:t>
      </w:r>
    </w:p>
    <w:p w14:paraId="4E890BAF" w14:textId="77777777" w:rsidR="008817D0" w:rsidRPr="008817D0" w:rsidRDefault="009D507A">
      <w:pPr>
        <w:spacing w:after="240" w:line="300" w:lineRule="auto"/>
        <w:rPr>
          <w:rFonts w:eastAsia="Calibri"/>
        </w:rPr>
      </w:pPr>
      <w:r>
        <w:rPr>
          <w:rFonts w:eastAsia="Calibri"/>
        </w:rPr>
        <w:t xml:space="preserve">Imports of energy into </w:t>
      </w:r>
      <w:r w:rsidR="008817D0" w:rsidRPr="008817D0">
        <w:rPr>
          <w:rFonts w:eastAsia="Calibri"/>
        </w:rPr>
        <w:t xml:space="preserve">CAISO and </w:t>
      </w:r>
      <w:r>
        <w:rPr>
          <w:rFonts w:eastAsia="Calibri"/>
        </w:rPr>
        <w:t xml:space="preserve">generation of energy within </w:t>
      </w:r>
      <w:r w:rsidR="008817D0" w:rsidRPr="008817D0">
        <w:rPr>
          <w:rFonts w:eastAsia="Calibri"/>
        </w:rPr>
        <w:t xml:space="preserve">CAISO from greenhouse gas emitting resources are subject to the California Cap on Greenhouse Gas Emissions regulated by the California Air Resources Board (CARB). According to CARB rules, energy generated outside of California that is not imported into California is not subject to this regulation. </w:t>
      </w:r>
    </w:p>
    <w:p w14:paraId="7A921F13" w14:textId="77777777" w:rsidR="008817D0" w:rsidRPr="008817D0" w:rsidRDefault="008817D0">
      <w:pPr>
        <w:spacing w:after="240" w:line="300" w:lineRule="auto"/>
        <w:rPr>
          <w:rFonts w:eastAsia="Calibri"/>
        </w:rPr>
      </w:pPr>
      <w:r w:rsidRPr="008817D0">
        <w:rPr>
          <w:rFonts w:eastAsia="Calibri"/>
        </w:rPr>
        <w:t xml:space="preserve">The EIM design accounts for this regulation through the following: </w:t>
      </w:r>
    </w:p>
    <w:p w14:paraId="52BF1F53" w14:textId="77777777" w:rsidR="00120F26" w:rsidRPr="008D74F0" w:rsidRDefault="008817D0" w:rsidP="000F0531">
      <w:pPr>
        <w:pStyle w:val="ListParagraph"/>
        <w:numPr>
          <w:ilvl w:val="0"/>
          <w:numId w:val="44"/>
        </w:numPr>
      </w:pPr>
      <w:r w:rsidRPr="000F1AD7">
        <w:rPr>
          <w:rFonts w:eastAsia="Calibri"/>
        </w:rPr>
        <w:t xml:space="preserve">For generation within an EIM balancing authority, the cost of the greenhouse gas compliance obligation will be included in dispatching energy </w:t>
      </w:r>
      <w:r w:rsidR="00120F26" w:rsidRPr="00B94F9D">
        <w:t xml:space="preserve">from resources located outside of the CAISO BAA that serve CAISO load as determined by the EIM market optimization, but will otherwise be excluded.  Thus, for resources located outside CAISO that do not serve CAISO load under the EIM market optimization, the cost of the greenhouse gas compliance obligation will be excluded from dispatching energy from these resources.  </w:t>
      </w:r>
    </w:p>
    <w:p w14:paraId="0921A413" w14:textId="77777777" w:rsidR="008817D0" w:rsidRPr="00885130" w:rsidRDefault="008817D0" w:rsidP="000F0531">
      <w:pPr>
        <w:pStyle w:val="ListParagraph"/>
        <w:numPr>
          <w:ilvl w:val="0"/>
          <w:numId w:val="44"/>
        </w:numPr>
        <w:rPr>
          <w:rFonts w:eastAsia="Calibri"/>
        </w:rPr>
      </w:pPr>
      <w:r w:rsidRPr="00885130">
        <w:rPr>
          <w:rFonts w:eastAsia="Calibri"/>
        </w:rPr>
        <w:t>The</w:t>
      </w:r>
      <w:r w:rsidRPr="008D74F0">
        <w:rPr>
          <w:rFonts w:eastAsia="Calibri"/>
        </w:rPr>
        <w:t xml:space="preserve"> energy produced by each generator within an EIM balancing authority that serves </w:t>
      </w:r>
      <w:r w:rsidR="00E4613C" w:rsidRPr="00885130">
        <w:rPr>
          <w:rFonts w:eastAsia="Calibri"/>
        </w:rPr>
        <w:t>CA</w:t>
      </w:r>
      <w:r w:rsidRPr="00885130">
        <w:rPr>
          <w:rFonts w:eastAsia="Calibri"/>
        </w:rPr>
        <w:t>ISO</w:t>
      </w:r>
      <w:r w:rsidR="009D507A" w:rsidRPr="00885130">
        <w:rPr>
          <w:rFonts w:eastAsia="Calibri"/>
        </w:rPr>
        <w:t xml:space="preserve"> load will be calculated by </w:t>
      </w:r>
      <w:r w:rsidR="00E4613C" w:rsidRPr="00885130">
        <w:rPr>
          <w:rFonts w:eastAsia="Calibri"/>
        </w:rPr>
        <w:t>CA</w:t>
      </w:r>
      <w:r w:rsidR="00120F26" w:rsidRPr="00885130">
        <w:rPr>
          <w:rFonts w:eastAsia="Calibri"/>
        </w:rPr>
        <w:t xml:space="preserve">ISO. </w:t>
      </w:r>
      <w:r w:rsidR="00120F26" w:rsidRPr="00B94F9D">
        <w:t xml:space="preserve">Through a market results interface, CAISO will provide EIM Participating Resource Scheduling Coordinators with summary reports listing the amounts of </w:t>
      </w:r>
      <w:r w:rsidR="00E04ABD">
        <w:t xml:space="preserve">energy exported to CA </w:t>
      </w:r>
      <w:r w:rsidR="00120F26" w:rsidRPr="00B94F9D">
        <w:t>as determined by the EIM market optimization,</w:t>
      </w:r>
      <w:r w:rsidRPr="008D74F0">
        <w:rPr>
          <w:rFonts w:eastAsia="Calibri"/>
        </w:rPr>
        <w:t xml:space="preserve"> which will be the basis of their greenhouse gas regulation compliance obligation with the California Air Resources Board</w:t>
      </w:r>
      <w:r w:rsidR="00D578BA" w:rsidRPr="00885130">
        <w:rPr>
          <w:rFonts w:eastAsia="Calibri"/>
        </w:rPr>
        <w:t xml:space="preserve"> (CARB)</w:t>
      </w:r>
      <w:r w:rsidR="00F11752">
        <w:rPr>
          <w:rFonts w:eastAsia="Calibri"/>
        </w:rPr>
        <w:t>.</w:t>
      </w:r>
      <w:r w:rsidRPr="00885130">
        <w:rPr>
          <w:rFonts w:eastAsia="Calibri"/>
        </w:rPr>
        <w:t xml:space="preserve"> </w:t>
      </w:r>
    </w:p>
    <w:p w14:paraId="6AA0161C" w14:textId="77777777" w:rsidR="008817D0" w:rsidRPr="00885130" w:rsidRDefault="00D71222" w:rsidP="000F0531">
      <w:pPr>
        <w:pStyle w:val="ListParagraph"/>
        <w:numPr>
          <w:ilvl w:val="0"/>
          <w:numId w:val="44"/>
        </w:numPr>
        <w:rPr>
          <w:rFonts w:eastAsia="Calibri"/>
        </w:rPr>
      </w:pPr>
      <w:r w:rsidRPr="00885130">
        <w:rPr>
          <w:rFonts w:eastAsia="Calibri"/>
        </w:rPr>
        <w:lastRenderedPageBreak/>
        <w:t>EIM</w:t>
      </w:r>
      <w:r w:rsidRPr="008D74F0">
        <w:rPr>
          <w:rFonts w:eastAsia="Calibri"/>
        </w:rPr>
        <w:t xml:space="preserve"> Participating Resource Scheduling C</w:t>
      </w:r>
      <w:r w:rsidR="008817D0" w:rsidRPr="00885130">
        <w:rPr>
          <w:rFonts w:eastAsia="Calibri"/>
        </w:rPr>
        <w:t xml:space="preserve">oordinators can include the costs of their greenhouse gas regulation compliance obligation as an adder to their energy bids. </w:t>
      </w:r>
    </w:p>
    <w:p w14:paraId="1A7D2CA1" w14:textId="77777777" w:rsidR="008D74F0" w:rsidRDefault="008817D0" w:rsidP="000F299B">
      <w:pPr>
        <w:spacing w:after="240" w:line="300" w:lineRule="auto"/>
        <w:rPr>
          <w:rFonts w:eastAsia="Calibri"/>
        </w:rPr>
      </w:pPr>
      <w:r w:rsidRPr="000778EC">
        <w:rPr>
          <w:rFonts w:eastAsia="Calibri"/>
        </w:rPr>
        <w:t>The EIM has been designed so that the greenhouse gas compliance costs</w:t>
      </w:r>
      <w:r w:rsidRPr="00D02938">
        <w:rPr>
          <w:rFonts w:eastAsia="Calibri"/>
        </w:rPr>
        <w:t xml:space="preserve"> will not affect the locational marginal price in an EIM balancing authority area. Rather, the market optimization will calculate the marginal cost difference between EIM</w:t>
      </w:r>
      <w:r w:rsidR="009D507A" w:rsidRPr="000778EC">
        <w:rPr>
          <w:rFonts w:eastAsia="Calibri"/>
        </w:rPr>
        <w:t xml:space="preserve"> generation serving load in </w:t>
      </w:r>
      <w:r w:rsidR="00E4613C" w:rsidRPr="000778EC">
        <w:rPr>
          <w:rFonts w:eastAsia="Calibri"/>
        </w:rPr>
        <w:t>CA</w:t>
      </w:r>
      <w:r w:rsidRPr="000778EC">
        <w:rPr>
          <w:rFonts w:eastAsia="Calibri"/>
        </w:rPr>
        <w:t xml:space="preserve">ISO </w:t>
      </w:r>
      <w:r w:rsidR="009D507A" w:rsidRPr="000778EC">
        <w:rPr>
          <w:rFonts w:eastAsia="Calibri"/>
        </w:rPr>
        <w:t xml:space="preserve">and serving load outside of </w:t>
      </w:r>
      <w:r w:rsidR="00E4613C" w:rsidRPr="000778EC">
        <w:rPr>
          <w:rFonts w:eastAsia="Calibri"/>
        </w:rPr>
        <w:t>CA</w:t>
      </w:r>
      <w:r w:rsidRPr="000778EC">
        <w:rPr>
          <w:rFonts w:eastAsia="Calibri"/>
        </w:rPr>
        <w:t>ISO. This difference will be the marginal greenhouse gas regulation complianc</w:t>
      </w:r>
      <w:r w:rsidR="0072794B" w:rsidRPr="00E33AAC">
        <w:rPr>
          <w:rFonts w:eastAsia="Calibri"/>
        </w:rPr>
        <w:t xml:space="preserve">e cost and will be the rate </w:t>
      </w:r>
      <w:r w:rsidR="00E4613C" w:rsidRPr="00E33AAC">
        <w:rPr>
          <w:rFonts w:eastAsia="Calibri"/>
        </w:rPr>
        <w:t>CA</w:t>
      </w:r>
      <w:r w:rsidRPr="00E33AAC">
        <w:rPr>
          <w:rFonts w:eastAsia="Calibri"/>
        </w:rPr>
        <w:t xml:space="preserve">ISO will use to calculate a payment to each generator in an EIM balancing authority </w:t>
      </w:r>
      <w:r w:rsidRPr="00D02938">
        <w:rPr>
          <w:rFonts w:eastAsia="Calibri"/>
        </w:rPr>
        <w:t xml:space="preserve">for its output that served </w:t>
      </w:r>
      <w:r w:rsidR="00E4613C" w:rsidRPr="00D02938">
        <w:rPr>
          <w:rFonts w:eastAsia="Calibri"/>
        </w:rPr>
        <w:t>CA</w:t>
      </w:r>
      <w:r w:rsidRPr="00D02938">
        <w:rPr>
          <w:rFonts w:eastAsia="Calibri"/>
        </w:rPr>
        <w:t>ISO imbalances. This payment will be funded th</w:t>
      </w:r>
      <w:r w:rsidR="0072794B" w:rsidRPr="00D02938">
        <w:rPr>
          <w:rFonts w:eastAsia="Calibri"/>
        </w:rPr>
        <w:t xml:space="preserve">rough the price paid within </w:t>
      </w:r>
      <w:r w:rsidR="00E4613C" w:rsidRPr="00D02938">
        <w:rPr>
          <w:rFonts w:eastAsia="Calibri"/>
        </w:rPr>
        <w:t>CA</w:t>
      </w:r>
      <w:r w:rsidRPr="00D02938">
        <w:rPr>
          <w:rFonts w:eastAsia="Calibri"/>
        </w:rPr>
        <w:t xml:space="preserve">ISO for imbalance energy. </w:t>
      </w:r>
      <w:r w:rsidR="00DA49BB" w:rsidRPr="000778EC">
        <w:rPr>
          <w:rFonts w:eastAsia="Calibri"/>
        </w:rPr>
        <w:t xml:space="preserve"> CAISO will publish the marginal GHG compliance price.</w:t>
      </w:r>
    </w:p>
    <w:p w14:paraId="4F25EB03" w14:textId="77777777" w:rsidR="008D74F0" w:rsidRDefault="008D74F0" w:rsidP="00C33762">
      <w:pPr>
        <w:pStyle w:val="Heading4"/>
        <w:rPr>
          <w:rFonts w:eastAsia="Calibri"/>
        </w:rPr>
      </w:pPr>
      <w:r>
        <w:rPr>
          <w:rFonts w:eastAsia="Calibri"/>
        </w:rPr>
        <w:t>Greenhouse Gas Methodology</w:t>
      </w:r>
    </w:p>
    <w:p w14:paraId="7CB5B9B6" w14:textId="74C8A051" w:rsidR="001E7023" w:rsidRDefault="001E7023" w:rsidP="000F299B">
      <w:pPr>
        <w:spacing w:after="240" w:line="300" w:lineRule="auto"/>
        <w:rPr>
          <w:rFonts w:eastAsia="Calibri"/>
        </w:rPr>
      </w:pPr>
      <w:r>
        <w:rPr>
          <w:rFonts w:eastAsia="Calibri"/>
        </w:rPr>
        <w:t>The following methodology describes the real time optimal dispatch that accounts for the greenhouse gas allowance costs of resources in EIM Entity BAAs</w:t>
      </w:r>
      <w:r w:rsidR="005F7ABA">
        <w:rPr>
          <w:rFonts w:eastAsia="Calibri"/>
        </w:rPr>
        <w:t xml:space="preserve"> outside California</w:t>
      </w:r>
      <w:r w:rsidR="000F1AD7">
        <w:rPr>
          <w:rFonts w:eastAsia="Calibri"/>
        </w:rPr>
        <w:t>:</w:t>
      </w:r>
    </w:p>
    <w:p w14:paraId="62A28356" w14:textId="7E3C82E0" w:rsidR="001E7023" w:rsidRPr="001E7023" w:rsidRDefault="001E7023" w:rsidP="000F0531">
      <w:pPr>
        <w:numPr>
          <w:ilvl w:val="0"/>
          <w:numId w:val="43"/>
        </w:numPr>
        <w:rPr>
          <w:rFonts w:eastAsia="Calibri"/>
        </w:rPr>
      </w:pPr>
      <w:r w:rsidRPr="001E7023">
        <w:rPr>
          <w:rFonts w:eastAsia="Calibri"/>
        </w:rPr>
        <w:t>The net imbalance energy export from all EIM Entity BAAs</w:t>
      </w:r>
      <w:r w:rsidR="005F7ABA">
        <w:rPr>
          <w:rFonts w:eastAsia="Calibri"/>
        </w:rPr>
        <w:t xml:space="preserve"> outside California</w:t>
      </w:r>
      <w:r w:rsidRPr="001E7023">
        <w:rPr>
          <w:rFonts w:eastAsia="Calibri"/>
        </w:rPr>
        <w:t>, exclusive of import/export imbalance energy schedules to non-EIM BAAs, is imbalance energy imported into the C</w:t>
      </w:r>
      <w:r w:rsidR="00D769E5">
        <w:rPr>
          <w:rFonts w:eastAsia="Calibri"/>
        </w:rPr>
        <w:t>A</w:t>
      </w:r>
      <w:r w:rsidRPr="001E7023">
        <w:rPr>
          <w:rFonts w:eastAsia="Calibri"/>
        </w:rPr>
        <w:t>ISO BAA</w:t>
      </w:r>
      <w:r w:rsidR="005F7ABA">
        <w:rPr>
          <w:rFonts w:eastAsia="Calibri"/>
        </w:rPr>
        <w:t xml:space="preserve"> and EIM Entity BAAs inside California</w:t>
      </w:r>
      <w:r w:rsidRPr="001E7023">
        <w:rPr>
          <w:rFonts w:eastAsia="Calibri"/>
        </w:rPr>
        <w:t>. This energy would be allocated optimally to supply resources in the EIM Entity BAAs</w:t>
      </w:r>
      <w:r w:rsidR="005F7ABA">
        <w:rPr>
          <w:rFonts w:eastAsia="Calibri"/>
        </w:rPr>
        <w:t xml:space="preserve"> outside California</w:t>
      </w:r>
      <w:r w:rsidRPr="001E7023">
        <w:rPr>
          <w:rFonts w:eastAsia="Calibri"/>
        </w:rPr>
        <w:t>.</w:t>
      </w:r>
    </w:p>
    <w:p w14:paraId="0F955CC7" w14:textId="2C56D418" w:rsidR="001E7023" w:rsidRPr="001E7023" w:rsidRDefault="001E7023" w:rsidP="000F0531">
      <w:pPr>
        <w:numPr>
          <w:ilvl w:val="0"/>
          <w:numId w:val="43"/>
        </w:numPr>
        <w:rPr>
          <w:rFonts w:eastAsia="Calibri"/>
        </w:rPr>
      </w:pPr>
      <w:r w:rsidRPr="001E7023">
        <w:rPr>
          <w:rFonts w:eastAsia="Calibri"/>
        </w:rPr>
        <w:t>The net imbalance energy export allocation to supply resources in EIM Entity BAAs</w:t>
      </w:r>
      <w:r w:rsidR="005F7ABA">
        <w:rPr>
          <w:rFonts w:eastAsia="Calibri"/>
        </w:rPr>
        <w:t xml:space="preserve"> outside California</w:t>
      </w:r>
      <w:r w:rsidRPr="001E7023">
        <w:rPr>
          <w:rFonts w:eastAsia="Calibri"/>
        </w:rPr>
        <w:t xml:space="preserve"> does not depend on the location of these resources; no shift factors are used in this allocation. The rationale is that this allocation is an accounting problem, which is irrelevant to the actual flow of energy on the network; in other words, supply resources in EIM Entity BAAs</w:t>
      </w:r>
      <w:r w:rsidR="005F7ABA">
        <w:rPr>
          <w:rFonts w:eastAsia="Calibri"/>
        </w:rPr>
        <w:t xml:space="preserve"> outside California</w:t>
      </w:r>
      <w:r w:rsidRPr="001E7023">
        <w:rPr>
          <w:rFonts w:eastAsia="Calibri"/>
        </w:rPr>
        <w:t xml:space="preserve"> are only differentiated in terms of their respective energy and emission costs, as reflected by a greenhouse gas (GHG) bid adder, and not in terms of their physical location.</w:t>
      </w:r>
    </w:p>
    <w:p w14:paraId="7014EC4C" w14:textId="37E2FF4E" w:rsidR="00695FB7" w:rsidRPr="00B816FC" w:rsidRDefault="00695FB7" w:rsidP="000F0531">
      <w:pPr>
        <w:pStyle w:val="Default"/>
        <w:numPr>
          <w:ilvl w:val="0"/>
          <w:numId w:val="43"/>
        </w:numPr>
        <w:spacing w:after="160" w:line="259" w:lineRule="auto"/>
        <w:rPr>
          <w:rFonts w:asciiTheme="minorHAnsi" w:eastAsia="Calibri" w:hAnsiTheme="minorHAnsi"/>
          <w:szCs w:val="22"/>
        </w:rPr>
      </w:pPr>
      <w:r w:rsidRPr="00927518">
        <w:rPr>
          <w:rFonts w:asciiTheme="minorHAnsi" w:hAnsiTheme="minorHAnsi"/>
          <w:sz w:val="22"/>
          <w:szCs w:val="22"/>
        </w:rPr>
        <w:t xml:space="preserve">On an hourly basis by T-75, the EIM participating resource SC </w:t>
      </w:r>
      <w:r w:rsidR="005F7ABA">
        <w:rPr>
          <w:rFonts w:asciiTheme="minorHAnsi" w:hAnsiTheme="minorHAnsi"/>
          <w:sz w:val="22"/>
          <w:szCs w:val="22"/>
        </w:rPr>
        <w:t>in an EIM Entity BAA outside California may</w:t>
      </w:r>
      <w:r w:rsidRPr="00927518">
        <w:rPr>
          <w:rFonts w:asciiTheme="minorHAnsi" w:hAnsiTheme="minorHAnsi"/>
          <w:sz w:val="22"/>
          <w:szCs w:val="22"/>
        </w:rPr>
        <w:t xml:space="preserve"> submit a single</w:t>
      </w:r>
      <w:r w:rsidR="00B816FC">
        <w:rPr>
          <w:rFonts w:asciiTheme="minorHAnsi" w:hAnsiTheme="minorHAnsi"/>
          <w:sz w:val="22"/>
          <w:szCs w:val="22"/>
        </w:rPr>
        <w:t xml:space="preserve"> GHG bid capacity</w:t>
      </w:r>
      <w:r w:rsidRPr="00927518">
        <w:rPr>
          <w:rFonts w:asciiTheme="minorHAnsi" w:hAnsiTheme="minorHAnsi"/>
          <w:sz w:val="22"/>
          <w:szCs w:val="22"/>
        </w:rPr>
        <w:t xml:space="preserve"> </w:t>
      </w:r>
      <w:r w:rsidR="00B816FC">
        <w:rPr>
          <w:rFonts w:asciiTheme="minorHAnsi" w:hAnsiTheme="minorHAnsi"/>
          <w:sz w:val="22"/>
          <w:szCs w:val="22"/>
        </w:rPr>
        <w:t>(</w:t>
      </w:r>
      <w:r w:rsidRPr="00927518">
        <w:rPr>
          <w:rFonts w:asciiTheme="minorHAnsi" w:hAnsiTheme="minorHAnsi"/>
          <w:sz w:val="22"/>
          <w:szCs w:val="22"/>
        </w:rPr>
        <w:t>MW</w:t>
      </w:r>
      <w:r w:rsidR="00B816FC">
        <w:rPr>
          <w:rFonts w:asciiTheme="minorHAnsi" w:hAnsiTheme="minorHAnsi"/>
          <w:sz w:val="22"/>
          <w:szCs w:val="22"/>
        </w:rPr>
        <w:t>)</w:t>
      </w:r>
      <w:r w:rsidRPr="00927518">
        <w:rPr>
          <w:rFonts w:asciiTheme="minorHAnsi" w:hAnsiTheme="minorHAnsi"/>
          <w:sz w:val="22"/>
          <w:szCs w:val="22"/>
        </w:rPr>
        <w:t xml:space="preserve"> quantity and single</w:t>
      </w:r>
      <w:r w:rsidR="00B816FC">
        <w:rPr>
          <w:rFonts w:asciiTheme="minorHAnsi" w:hAnsiTheme="minorHAnsi"/>
          <w:sz w:val="22"/>
          <w:szCs w:val="22"/>
        </w:rPr>
        <w:t xml:space="preserve"> GHG</w:t>
      </w:r>
      <w:r w:rsidRPr="00927518">
        <w:rPr>
          <w:rFonts w:asciiTheme="minorHAnsi" w:hAnsiTheme="minorHAnsi"/>
          <w:sz w:val="22"/>
          <w:szCs w:val="22"/>
        </w:rPr>
        <w:t xml:space="preserve"> bid price </w:t>
      </w:r>
      <w:r w:rsidR="00B816FC">
        <w:rPr>
          <w:rFonts w:asciiTheme="minorHAnsi" w:hAnsiTheme="minorHAnsi"/>
          <w:sz w:val="22"/>
          <w:szCs w:val="22"/>
        </w:rPr>
        <w:t xml:space="preserve">($/MWh) </w:t>
      </w:r>
      <w:r w:rsidRPr="00927518">
        <w:rPr>
          <w:rFonts w:asciiTheme="minorHAnsi" w:hAnsiTheme="minorHAnsi"/>
          <w:sz w:val="22"/>
          <w:szCs w:val="22"/>
        </w:rPr>
        <w:t xml:space="preserve">expressing its willingness </w:t>
      </w:r>
      <w:r w:rsidR="00B816FC">
        <w:rPr>
          <w:rFonts w:asciiTheme="minorHAnsi" w:hAnsiTheme="minorHAnsi"/>
          <w:sz w:val="22"/>
          <w:szCs w:val="22"/>
        </w:rPr>
        <w:t xml:space="preserve">for its energy </w:t>
      </w:r>
      <w:r w:rsidRPr="00927518">
        <w:rPr>
          <w:rFonts w:asciiTheme="minorHAnsi" w:hAnsiTheme="minorHAnsi"/>
          <w:sz w:val="22"/>
          <w:szCs w:val="22"/>
        </w:rPr>
        <w:t xml:space="preserve">to be deemed delivered to the </w:t>
      </w:r>
      <w:r w:rsidR="0058562B" w:rsidRPr="00927518">
        <w:rPr>
          <w:rFonts w:asciiTheme="minorHAnsi" w:hAnsiTheme="minorHAnsi"/>
          <w:sz w:val="22"/>
          <w:szCs w:val="22"/>
        </w:rPr>
        <w:t>CA</w:t>
      </w:r>
      <w:r w:rsidRPr="00927518">
        <w:rPr>
          <w:rFonts w:asciiTheme="minorHAnsi" w:hAnsiTheme="minorHAnsi"/>
          <w:sz w:val="22"/>
          <w:szCs w:val="22"/>
        </w:rPr>
        <w:t>ISO</w:t>
      </w:r>
      <w:r w:rsidR="00B816FC">
        <w:rPr>
          <w:rFonts w:asciiTheme="minorHAnsi" w:hAnsiTheme="minorHAnsi"/>
          <w:sz w:val="22"/>
          <w:szCs w:val="22"/>
        </w:rPr>
        <w:t xml:space="preserve"> </w:t>
      </w:r>
      <w:r w:rsidR="00B816FC" w:rsidRPr="008B4912">
        <w:rPr>
          <w:rFonts w:asciiTheme="minorHAnsi" w:hAnsiTheme="minorHAnsi"/>
          <w:sz w:val="22"/>
          <w:szCs w:val="22"/>
        </w:rPr>
        <w:t>BAA and EIM Entity BAAs inside California</w:t>
      </w:r>
      <w:r w:rsidRPr="00927518">
        <w:rPr>
          <w:rFonts w:asciiTheme="minorHAnsi" w:hAnsiTheme="minorHAnsi"/>
          <w:sz w:val="22"/>
          <w:szCs w:val="22"/>
        </w:rPr>
        <w:t>. The MW quantity is independent of the</w:t>
      </w:r>
      <w:r w:rsidR="00B816FC">
        <w:rPr>
          <w:rFonts w:asciiTheme="minorHAnsi" w:hAnsiTheme="minorHAnsi"/>
          <w:sz w:val="22"/>
          <w:szCs w:val="22"/>
        </w:rPr>
        <w:t xml:space="preserve"> submitted</w:t>
      </w:r>
      <w:r w:rsidRPr="00927518">
        <w:rPr>
          <w:rFonts w:asciiTheme="minorHAnsi" w:hAnsiTheme="minorHAnsi"/>
          <w:sz w:val="22"/>
          <w:szCs w:val="22"/>
        </w:rPr>
        <w:t xml:space="preserve"> energy bid curve</w:t>
      </w:r>
      <w:r w:rsidR="00B816FC">
        <w:rPr>
          <w:rFonts w:asciiTheme="minorHAnsi" w:hAnsiTheme="minorHAnsi"/>
          <w:sz w:val="22"/>
          <w:szCs w:val="22"/>
        </w:rPr>
        <w:t>.</w:t>
      </w:r>
      <w:r w:rsidRPr="00927518">
        <w:rPr>
          <w:rFonts w:asciiTheme="minorHAnsi" w:hAnsiTheme="minorHAnsi"/>
          <w:sz w:val="22"/>
          <w:szCs w:val="22"/>
        </w:rPr>
        <w:t xml:space="preserve"> </w:t>
      </w:r>
    </w:p>
    <w:p w14:paraId="3DC65A12" w14:textId="01DA56B0" w:rsidR="00B816FC" w:rsidRPr="003C4DBD" w:rsidRDefault="00B816FC" w:rsidP="00B816FC">
      <w:pPr>
        <w:pStyle w:val="Default"/>
        <w:numPr>
          <w:ilvl w:val="0"/>
          <w:numId w:val="43"/>
        </w:numPr>
        <w:spacing w:after="160" w:line="259" w:lineRule="auto"/>
        <w:rPr>
          <w:rFonts w:asciiTheme="minorHAnsi" w:eastAsia="Calibri" w:hAnsiTheme="minorHAnsi"/>
          <w:szCs w:val="22"/>
        </w:rPr>
      </w:pPr>
      <w:r>
        <w:rPr>
          <w:rFonts w:asciiTheme="minorHAnsi" w:hAnsiTheme="minorHAnsi"/>
          <w:sz w:val="22"/>
          <w:szCs w:val="22"/>
        </w:rPr>
        <w:t>The GHG allocation will be limited by the GHG bid capacity, the optimal dispatch, and the difference between the upper economic limit (UEL) and the base schedule:</w:t>
      </w:r>
    </w:p>
    <w:p w14:paraId="7D7A37DB" w14:textId="303C5336" w:rsidR="00B816FC" w:rsidRDefault="00B816FC" w:rsidP="00B816FC">
      <w:pPr>
        <w:pStyle w:val="Default"/>
        <w:spacing w:after="160" w:line="259" w:lineRule="auto"/>
        <w:ind w:left="720"/>
        <w:rPr>
          <w:rFonts w:asciiTheme="minorHAnsi" w:hAnsiTheme="minorHAnsi"/>
          <w:sz w:val="22"/>
          <w:szCs w:val="22"/>
        </w:rPr>
      </w:pPr>
      <w:r>
        <w:rPr>
          <w:rFonts w:asciiTheme="minorHAnsi" w:hAnsiTheme="minorHAnsi"/>
          <w:sz w:val="22"/>
          <w:szCs w:val="22"/>
        </w:rPr>
        <w:t xml:space="preserve">GHG MW = </w:t>
      </w:r>
      <w:r w:rsidRPr="00641824">
        <w:rPr>
          <w:rFonts w:asciiTheme="minorHAnsi" w:hAnsiTheme="minorHAnsi" w:cstheme="minorHAnsi"/>
          <w:sz w:val="22"/>
          <w:szCs w:val="22"/>
        </w:rPr>
        <w:t>max(0, min(GHG Bid</w:t>
      </w:r>
      <w:r w:rsidRPr="00641824">
        <w:rPr>
          <w:rFonts w:ascii="Calibri" w:hAnsi="Calibri" w:cs="Calibri"/>
          <w:sz w:val="22"/>
          <w:szCs w:val="22"/>
        </w:rPr>
        <w:t xml:space="preserve"> , UEL - Base Schedule, Optimal Dispatch))</w:t>
      </w:r>
    </w:p>
    <w:p w14:paraId="54BDCC29" w14:textId="63FBBF7A" w:rsidR="00B816FC" w:rsidRDefault="00B816FC" w:rsidP="00B816FC">
      <w:pPr>
        <w:pStyle w:val="Default"/>
        <w:spacing w:after="160" w:line="259" w:lineRule="auto"/>
        <w:ind w:left="720"/>
        <w:rPr>
          <w:rFonts w:asciiTheme="minorHAnsi" w:hAnsiTheme="minorHAnsi"/>
          <w:sz w:val="22"/>
          <w:szCs w:val="22"/>
        </w:rPr>
      </w:pPr>
      <w:r>
        <w:rPr>
          <w:rFonts w:asciiTheme="minorHAnsi" w:hAnsiTheme="minorHAnsi"/>
          <w:sz w:val="22"/>
          <w:szCs w:val="22"/>
        </w:rPr>
        <w:t>for all EIM participating resources in EIM Entity BAAs outside California that submit a GHG bid.</w:t>
      </w:r>
    </w:p>
    <w:p w14:paraId="7F8EACA4" w14:textId="16C9ADAA" w:rsidR="00B816FC" w:rsidRPr="00927518" w:rsidRDefault="00B816FC" w:rsidP="00B816FC">
      <w:pPr>
        <w:pStyle w:val="Default"/>
        <w:spacing w:after="160" w:line="259" w:lineRule="auto"/>
        <w:ind w:left="720"/>
        <w:rPr>
          <w:rFonts w:asciiTheme="minorHAnsi" w:eastAsia="Calibri" w:hAnsiTheme="minorHAnsi"/>
          <w:szCs w:val="22"/>
        </w:rPr>
      </w:pPr>
      <w:r>
        <w:rPr>
          <w:rFonts w:asciiTheme="minorHAnsi" w:hAnsiTheme="minorHAnsi"/>
          <w:sz w:val="22"/>
          <w:szCs w:val="22"/>
        </w:rPr>
        <w:t>The UEL is the top of the energy bid after accounting for applicable derates and capacity reservation for upward ancillary services (regulation up, and spinning and non-spinning reserves).</w:t>
      </w:r>
    </w:p>
    <w:p w14:paraId="6DBA0DAD" w14:textId="4BED9FD5" w:rsidR="00860F46" w:rsidRPr="00927518" w:rsidRDefault="00695FB7" w:rsidP="000F0531">
      <w:pPr>
        <w:pStyle w:val="Default"/>
        <w:numPr>
          <w:ilvl w:val="0"/>
          <w:numId w:val="43"/>
        </w:numPr>
        <w:spacing w:after="160" w:line="259" w:lineRule="auto"/>
        <w:rPr>
          <w:rFonts w:asciiTheme="minorHAnsi" w:eastAsia="Calibri" w:hAnsiTheme="minorHAnsi"/>
          <w:szCs w:val="22"/>
        </w:rPr>
      </w:pPr>
      <w:r w:rsidRPr="00927518">
        <w:rPr>
          <w:rFonts w:asciiTheme="minorHAnsi" w:hAnsiTheme="minorHAnsi"/>
          <w:sz w:val="22"/>
          <w:szCs w:val="22"/>
        </w:rPr>
        <w:lastRenderedPageBreak/>
        <w:t>EIM participating resource can, through its</w:t>
      </w:r>
      <w:r w:rsidR="00BE34A8">
        <w:rPr>
          <w:rFonts w:asciiTheme="minorHAnsi" w:hAnsiTheme="minorHAnsi"/>
          <w:sz w:val="22"/>
          <w:szCs w:val="22"/>
        </w:rPr>
        <w:t xml:space="preserve"> GHG</w:t>
      </w:r>
      <w:r w:rsidRPr="00927518">
        <w:rPr>
          <w:rFonts w:asciiTheme="minorHAnsi" w:hAnsiTheme="minorHAnsi"/>
          <w:sz w:val="22"/>
          <w:szCs w:val="22"/>
        </w:rPr>
        <w:t xml:space="preserve"> bid, accomplish the objective of not being considered for EIM transfers into the </w:t>
      </w:r>
      <w:r w:rsidR="0058562B" w:rsidRPr="00927518">
        <w:rPr>
          <w:rFonts w:asciiTheme="minorHAnsi" w:hAnsiTheme="minorHAnsi"/>
          <w:sz w:val="22"/>
          <w:szCs w:val="22"/>
        </w:rPr>
        <w:t>CA</w:t>
      </w:r>
      <w:r w:rsidRPr="00927518">
        <w:rPr>
          <w:rFonts w:asciiTheme="minorHAnsi" w:hAnsiTheme="minorHAnsi"/>
          <w:sz w:val="22"/>
          <w:szCs w:val="22"/>
        </w:rPr>
        <w:t>ISO</w:t>
      </w:r>
      <w:r w:rsidR="00BE34A8">
        <w:rPr>
          <w:rFonts w:asciiTheme="minorHAnsi" w:hAnsiTheme="minorHAnsi"/>
          <w:sz w:val="22"/>
          <w:szCs w:val="22"/>
        </w:rPr>
        <w:t xml:space="preserve"> </w:t>
      </w:r>
      <w:r w:rsidR="00BE34A8" w:rsidRPr="008B4912">
        <w:rPr>
          <w:rFonts w:asciiTheme="minorHAnsi" w:hAnsiTheme="minorHAnsi"/>
          <w:sz w:val="22"/>
          <w:szCs w:val="22"/>
        </w:rPr>
        <w:t>BAA and EIM Entity BAAs inside California</w:t>
      </w:r>
      <w:r w:rsidRPr="00927518">
        <w:rPr>
          <w:rFonts w:asciiTheme="minorHAnsi" w:hAnsiTheme="minorHAnsi"/>
          <w:sz w:val="22"/>
          <w:szCs w:val="22"/>
        </w:rPr>
        <w:t xml:space="preserve"> by bidding zero</w:t>
      </w:r>
      <w:r w:rsidR="00BE34A8">
        <w:rPr>
          <w:rFonts w:asciiTheme="minorHAnsi" w:hAnsiTheme="minorHAnsi"/>
          <w:sz w:val="22"/>
          <w:szCs w:val="22"/>
        </w:rPr>
        <w:t xml:space="preserve"> GHG</w:t>
      </w:r>
      <w:r w:rsidRPr="00927518">
        <w:rPr>
          <w:rFonts w:asciiTheme="minorHAnsi" w:hAnsiTheme="minorHAnsi"/>
          <w:sz w:val="22"/>
          <w:szCs w:val="22"/>
        </w:rPr>
        <w:t xml:space="preserve"> MW. In addition, the </w:t>
      </w:r>
      <w:r w:rsidR="0058562B" w:rsidRPr="00927518">
        <w:rPr>
          <w:rFonts w:asciiTheme="minorHAnsi" w:hAnsiTheme="minorHAnsi"/>
          <w:sz w:val="22"/>
          <w:szCs w:val="22"/>
        </w:rPr>
        <w:t>CA</w:t>
      </w:r>
      <w:r w:rsidRPr="00927518">
        <w:rPr>
          <w:rFonts w:asciiTheme="minorHAnsi" w:hAnsiTheme="minorHAnsi"/>
          <w:sz w:val="22"/>
          <w:szCs w:val="22"/>
        </w:rPr>
        <w:t xml:space="preserve">ISO will set the default value of the MW bid to zero. If an EIM participating resource SC, does not submit a </w:t>
      </w:r>
      <w:r w:rsidR="00BE34A8">
        <w:rPr>
          <w:rFonts w:asciiTheme="minorHAnsi" w:hAnsiTheme="minorHAnsi"/>
          <w:sz w:val="22"/>
          <w:szCs w:val="22"/>
        </w:rPr>
        <w:t>GHG</w:t>
      </w:r>
      <w:r w:rsidR="00BE34A8" w:rsidRPr="00927518">
        <w:rPr>
          <w:rFonts w:asciiTheme="minorHAnsi" w:hAnsiTheme="minorHAnsi"/>
          <w:sz w:val="22"/>
          <w:szCs w:val="22"/>
        </w:rPr>
        <w:t xml:space="preserve"> </w:t>
      </w:r>
      <w:r w:rsidRPr="00927518">
        <w:rPr>
          <w:rFonts w:asciiTheme="minorHAnsi" w:hAnsiTheme="minorHAnsi"/>
          <w:sz w:val="22"/>
          <w:szCs w:val="22"/>
        </w:rPr>
        <w:t xml:space="preserve">bid, it will not be considered for EIM transfer into the </w:t>
      </w:r>
      <w:r w:rsidR="0058562B" w:rsidRPr="00927518">
        <w:rPr>
          <w:rFonts w:asciiTheme="minorHAnsi" w:hAnsiTheme="minorHAnsi"/>
          <w:sz w:val="22"/>
          <w:szCs w:val="22"/>
        </w:rPr>
        <w:t>CA</w:t>
      </w:r>
      <w:r w:rsidRPr="00927518">
        <w:rPr>
          <w:rFonts w:asciiTheme="minorHAnsi" w:hAnsiTheme="minorHAnsi"/>
          <w:sz w:val="22"/>
          <w:szCs w:val="22"/>
        </w:rPr>
        <w:t xml:space="preserve">ISO </w:t>
      </w:r>
      <w:r w:rsidR="00BE34A8" w:rsidRPr="008B4912">
        <w:rPr>
          <w:rFonts w:asciiTheme="minorHAnsi" w:hAnsiTheme="minorHAnsi"/>
          <w:sz w:val="22"/>
          <w:szCs w:val="22"/>
        </w:rPr>
        <w:t>BAA and EIM Entity BAAs inside California</w:t>
      </w:r>
      <w:r w:rsidR="00BE34A8" w:rsidRPr="00927518">
        <w:rPr>
          <w:rFonts w:asciiTheme="minorHAnsi" w:hAnsiTheme="minorHAnsi"/>
          <w:sz w:val="22"/>
          <w:szCs w:val="22"/>
        </w:rPr>
        <w:t xml:space="preserve"> </w:t>
      </w:r>
      <w:r w:rsidRPr="00927518">
        <w:rPr>
          <w:rFonts w:asciiTheme="minorHAnsi" w:hAnsiTheme="minorHAnsi"/>
          <w:sz w:val="22"/>
          <w:szCs w:val="22"/>
        </w:rPr>
        <w:t xml:space="preserve">because the </w:t>
      </w:r>
      <w:r w:rsidR="00BE34A8">
        <w:rPr>
          <w:rFonts w:asciiTheme="minorHAnsi" w:hAnsiTheme="minorHAnsi"/>
          <w:sz w:val="22"/>
          <w:szCs w:val="22"/>
        </w:rPr>
        <w:t xml:space="preserve">GHG </w:t>
      </w:r>
      <w:r w:rsidRPr="00927518">
        <w:rPr>
          <w:rFonts w:asciiTheme="minorHAnsi" w:hAnsiTheme="minorHAnsi"/>
          <w:sz w:val="22"/>
          <w:szCs w:val="22"/>
        </w:rPr>
        <w:t xml:space="preserve">MW quantity will be set to zero. </w:t>
      </w:r>
    </w:p>
    <w:p w14:paraId="15AB9F9C" w14:textId="10301D20" w:rsidR="001E7023" w:rsidRDefault="001E7023" w:rsidP="000F0531">
      <w:pPr>
        <w:numPr>
          <w:ilvl w:val="0"/>
          <w:numId w:val="43"/>
        </w:numPr>
        <w:rPr>
          <w:rFonts w:eastAsia="Calibri"/>
        </w:rPr>
      </w:pPr>
      <w:r w:rsidRPr="001E7023">
        <w:rPr>
          <w:rFonts w:eastAsia="Calibri"/>
        </w:rPr>
        <w:t>Each EIM Participating Resource in an EIM Entity BAA</w:t>
      </w:r>
      <w:r w:rsidR="00BE34A8">
        <w:rPr>
          <w:rFonts w:eastAsia="Calibri"/>
        </w:rPr>
        <w:t xml:space="preserve"> outside California</w:t>
      </w:r>
      <w:r w:rsidRPr="001E7023">
        <w:rPr>
          <w:rFonts w:eastAsia="Calibri"/>
        </w:rPr>
        <w:t xml:space="preserve"> may submit a greenhouse gas bid adder that reflects the cost of procuring GHG allowances required by CARB for energy imports to California. This cost is added to the objective function for an efficient cost-effective imbalance energy dispatch.</w:t>
      </w:r>
    </w:p>
    <w:p w14:paraId="7416DD97" w14:textId="77777777" w:rsidR="00860F46" w:rsidRPr="0025727C" w:rsidRDefault="00860F46" w:rsidP="000F0531">
      <w:pPr>
        <w:numPr>
          <w:ilvl w:val="0"/>
          <w:numId w:val="43"/>
        </w:numPr>
        <w:rPr>
          <w:rFonts w:eastAsia="Calibri"/>
        </w:rPr>
      </w:pPr>
      <w:r>
        <w:t xml:space="preserve">The </w:t>
      </w:r>
      <w:r w:rsidR="0058562B">
        <w:t>CA</w:t>
      </w:r>
      <w:r>
        <w:t>ISO will use a process similar to establishing the GHG cost adder included in the default energy bids</w:t>
      </w:r>
      <w:r>
        <w:rPr>
          <w:b/>
          <w:bCs/>
          <w:sz w:val="17"/>
          <w:szCs w:val="17"/>
        </w:rPr>
        <w:t xml:space="preserve"> </w:t>
      </w:r>
      <w:r>
        <w:t xml:space="preserve">of </w:t>
      </w:r>
      <w:r w:rsidR="0058562B">
        <w:t>CA</w:t>
      </w:r>
      <w:r>
        <w:t>ISO resources</w:t>
      </w:r>
      <w:r w:rsidR="00A20AB0">
        <w:t xml:space="preserve"> to determine EIM Greenhouse Gas </w:t>
      </w:r>
      <w:r w:rsidR="008F46B7">
        <w:t>Maximum Cost</w:t>
      </w:r>
      <w:r>
        <w:t xml:space="preserve">. This includes a variable cost option and a negotiated rate option. The negotiated rate option may be used for new participating resources that do not have an emission rate used by the CARB in assessing GHG compliance obligations. However, rather than calculating a GHG cost curve, the </w:t>
      </w:r>
      <w:r w:rsidR="00BE02D8">
        <w:t>CA</w:t>
      </w:r>
      <w:r>
        <w:t>ISO will calculate a single daily value based upon the maximum heat rate of the EIM participating resource.</w:t>
      </w:r>
    </w:p>
    <w:p w14:paraId="2C3FD35B" w14:textId="77777777" w:rsidR="00860F46" w:rsidRPr="0025727C" w:rsidRDefault="00860F46" w:rsidP="000F0531">
      <w:pPr>
        <w:numPr>
          <w:ilvl w:val="0"/>
          <w:numId w:val="43"/>
        </w:numPr>
        <w:rPr>
          <w:rFonts w:eastAsia="Calibri"/>
        </w:rPr>
      </w:pPr>
      <w:r>
        <w:t xml:space="preserve">Under the variable cost option, on a daily basis, the </w:t>
      </w:r>
      <w:r w:rsidR="0058562B">
        <w:t>CA</w:t>
      </w:r>
      <w:r>
        <w:t>ISO will calculate a single</w:t>
      </w:r>
      <w:r w:rsidR="0038790D">
        <w:t xml:space="preserve"> EIM</w:t>
      </w:r>
      <w:r>
        <w:t xml:space="preserve"> GHG </w:t>
      </w:r>
      <w:r w:rsidR="0038790D">
        <w:t xml:space="preserve">maximum </w:t>
      </w:r>
      <w:r>
        <w:t xml:space="preserve">cost. The </w:t>
      </w:r>
      <w:r w:rsidR="0058562B">
        <w:t>CA</w:t>
      </w:r>
      <w:r>
        <w:t xml:space="preserve">ISO proposes to calculate each unit’s greenhouse gas emissions </w:t>
      </w:r>
      <w:r w:rsidR="0038790D">
        <w:t xml:space="preserve">maximum </w:t>
      </w:r>
      <w:r>
        <w:t xml:space="preserve">cost based on the unit’s heat rate characteristics, as registered with the </w:t>
      </w:r>
      <w:r w:rsidR="0058562B">
        <w:t>CA</w:t>
      </w:r>
      <w:r>
        <w:t>ISO, the applicable GHG allowance price, and using the resource’s emission rate. The standard GHG emission rate is documented in the US EPA Subpart C</w:t>
      </w:r>
      <w:r>
        <w:rPr>
          <w:b/>
          <w:bCs/>
          <w:sz w:val="17"/>
          <w:szCs w:val="17"/>
        </w:rPr>
        <w:t xml:space="preserve">4 </w:t>
      </w:r>
      <w:r>
        <w:t xml:space="preserve">default emission factors. For example, the standard GHG emission rate for natural gas calculated under US EPA is 0.053072 mtCO2e/mmBTU. Similar to the default energy bids of </w:t>
      </w:r>
      <w:r w:rsidR="0058562B">
        <w:t>CA</w:t>
      </w:r>
      <w:r>
        <w:t xml:space="preserve">ISO resources, there will be a 10% adder to the calculated cost. </w:t>
      </w:r>
    </w:p>
    <w:p w14:paraId="279C1A4F" w14:textId="77777777" w:rsidR="00860F46" w:rsidRPr="00BE02D8" w:rsidRDefault="00860F46" w:rsidP="000F0531">
      <w:pPr>
        <w:numPr>
          <w:ilvl w:val="0"/>
          <w:numId w:val="43"/>
        </w:numPr>
        <w:rPr>
          <w:rFonts w:eastAsia="Calibri"/>
        </w:rPr>
      </w:pPr>
      <w:r>
        <w:t xml:space="preserve">An EIM participating resource SC must submit a GHG bid price equal to or less than its GHG </w:t>
      </w:r>
      <w:r w:rsidR="0038790D">
        <w:t xml:space="preserve">maximum </w:t>
      </w:r>
      <w:r>
        <w:t xml:space="preserve">cost, but not less than zero. If an EIM participating resource SC submits a GHG bid price above the GHG </w:t>
      </w:r>
      <w:r w:rsidR="0038790D">
        <w:t xml:space="preserve">maximum </w:t>
      </w:r>
      <w:r>
        <w:t xml:space="preserve">cost of the EIM participating resource, the GHG bid price will be set to the calculated GHG </w:t>
      </w:r>
      <w:r w:rsidR="0038790D">
        <w:t xml:space="preserve">maximum </w:t>
      </w:r>
      <w:r>
        <w:t xml:space="preserve">cost. If a resource submits a MW quantity, but fails to submit a GHG bid price, the default will be the calculated GHG </w:t>
      </w:r>
      <w:r w:rsidR="0038790D">
        <w:t xml:space="preserve">maximum </w:t>
      </w:r>
      <w:r>
        <w:t>cost.</w:t>
      </w:r>
    </w:p>
    <w:p w14:paraId="2AAA10C8" w14:textId="76199986" w:rsidR="00FE1D6E" w:rsidRPr="00927518" w:rsidRDefault="00FE1D6E" w:rsidP="000F0531">
      <w:pPr>
        <w:numPr>
          <w:ilvl w:val="0"/>
          <w:numId w:val="43"/>
        </w:numPr>
        <w:rPr>
          <w:rFonts w:eastAsia="Calibri"/>
        </w:rPr>
      </w:pPr>
      <w:r>
        <w:t>If an EIM entity</w:t>
      </w:r>
      <w:r w:rsidR="00BE34A8">
        <w:t xml:space="preserve"> for an EIM Entity BAA outside California</w:t>
      </w:r>
      <w:r>
        <w:t xml:space="preserve"> allows economic participation in the FMM by imports on EIM external interties, the imports </w:t>
      </w:r>
      <w:r w:rsidR="009425B7">
        <w:t xml:space="preserve">may </w:t>
      </w:r>
      <w:r>
        <w:t xml:space="preserve">also submit an hourly GHG MW quantity and bid price. </w:t>
      </w:r>
      <w:r w:rsidRPr="0038790D">
        <w:t xml:space="preserve">If the import is registered as a resource specific resource, the GHG emissions rate authorized by CARB for the specific resource will be used in the calculation of the maximum GHG cost. If the import is registered as a system resource, </w:t>
      </w:r>
      <w:r w:rsidR="00F40388" w:rsidRPr="0038790D">
        <w:t xml:space="preserve">the carbon dioxide equivalent emission rate of the resource with the highest such rate in the WECC region and the applicable Greenhouse Gas Allowance Price Index </w:t>
      </w:r>
      <w:r w:rsidRPr="0038790D">
        <w:t>will be used in the calculation of the maximum GHG cost.</w:t>
      </w:r>
    </w:p>
    <w:p w14:paraId="59529874" w14:textId="4B341D56" w:rsidR="00EB4341" w:rsidRPr="001E7023" w:rsidRDefault="00EB4341" w:rsidP="000F0531">
      <w:pPr>
        <w:numPr>
          <w:ilvl w:val="0"/>
          <w:numId w:val="43"/>
        </w:numPr>
        <w:rPr>
          <w:rFonts w:eastAsia="Calibri"/>
        </w:rPr>
      </w:pPr>
      <w:r>
        <w:lastRenderedPageBreak/>
        <w:t xml:space="preserve">An EIM participating resource SC may negotiate an alternative GHG maximum cost through the </w:t>
      </w:r>
      <w:r w:rsidRPr="00EB4341">
        <w:t xml:space="preserve">negotiated rate option procedures </w:t>
      </w:r>
      <w:r>
        <w:t xml:space="preserve">described </w:t>
      </w:r>
      <w:r w:rsidRPr="00EB4341">
        <w:t xml:space="preserve">in </w:t>
      </w:r>
      <w:r>
        <w:t xml:space="preserve">tariff </w:t>
      </w:r>
      <w:r w:rsidRPr="00EB4341">
        <w:t>section 39.7.1.3.1</w:t>
      </w:r>
      <w:r>
        <w:t xml:space="preserve">.  An SC wishing to negotiate a GHG maximum cost may contact the CAISO by submitting a written request to </w:t>
      </w:r>
      <w:hyperlink r:id="rId180" w:history="1">
        <w:r w:rsidRPr="00134738">
          <w:rPr>
            <w:rStyle w:val="Hyperlink"/>
          </w:rPr>
          <w:t>ndeb@caiso.com</w:t>
        </w:r>
      </w:hyperlink>
      <w:r w:rsidR="00134738">
        <w:t>.</w:t>
      </w:r>
    </w:p>
    <w:p w14:paraId="50AF8523" w14:textId="209F33F2" w:rsidR="001E7023" w:rsidRPr="001E7023" w:rsidRDefault="001E7023" w:rsidP="000F0531">
      <w:pPr>
        <w:numPr>
          <w:ilvl w:val="0"/>
          <w:numId w:val="43"/>
        </w:numPr>
        <w:rPr>
          <w:rFonts w:eastAsia="Calibri"/>
        </w:rPr>
      </w:pPr>
      <w:r w:rsidRPr="001E7023">
        <w:rPr>
          <w:rFonts w:eastAsia="Calibri"/>
        </w:rPr>
        <w:t>If the net imbalance energy export from all EIM Entity BAAs</w:t>
      </w:r>
      <w:r w:rsidR="009425B7">
        <w:rPr>
          <w:rFonts w:eastAsia="Calibri"/>
        </w:rPr>
        <w:t xml:space="preserve"> outside California</w:t>
      </w:r>
      <w:r w:rsidRPr="001E7023">
        <w:rPr>
          <w:rFonts w:eastAsia="Calibri"/>
        </w:rPr>
        <w:t xml:space="preserve"> as a group is negative or zero, there is no associated net imbalance energy export allocation or greenhouse gas allowance cost. Otherwise the net imbalance energy export allocation constraint is binding and it may have a nonzero shadow price.</w:t>
      </w:r>
    </w:p>
    <w:p w14:paraId="7893783D" w14:textId="4F23A024" w:rsidR="001E7023" w:rsidRPr="001E7023" w:rsidRDefault="001E7023" w:rsidP="000F0531">
      <w:pPr>
        <w:numPr>
          <w:ilvl w:val="0"/>
          <w:numId w:val="43"/>
        </w:numPr>
        <w:rPr>
          <w:rFonts w:eastAsia="Calibri"/>
        </w:rPr>
      </w:pPr>
      <w:r w:rsidRPr="001E7023">
        <w:rPr>
          <w:rFonts w:eastAsia="Calibri"/>
        </w:rPr>
        <w:t>Greenhouse gas allowance costs are reflected through the net imbalance energy export allocation shadow prices in the Locational Marginal Prices (LMPs) in the EIM Entity BAAs</w:t>
      </w:r>
      <w:r w:rsidR="00200F76" w:rsidRPr="00200F76">
        <w:rPr>
          <w:rFonts w:eastAsia="Calibri"/>
        </w:rPr>
        <w:t xml:space="preserve"> </w:t>
      </w:r>
      <w:r w:rsidR="00200F76">
        <w:rPr>
          <w:rFonts w:eastAsia="Calibri"/>
        </w:rPr>
        <w:t>outside California</w:t>
      </w:r>
      <w:r w:rsidRPr="001E7023">
        <w:rPr>
          <w:rFonts w:eastAsia="Calibri"/>
        </w:rPr>
        <w:t xml:space="preserve"> through a fourth component that is the same for all locations in the</w:t>
      </w:r>
      <w:r w:rsidR="00200F76">
        <w:rPr>
          <w:rFonts w:eastAsia="Calibri"/>
        </w:rPr>
        <w:t>se</w:t>
      </w:r>
      <w:r w:rsidRPr="001E7023">
        <w:rPr>
          <w:rFonts w:eastAsia="Calibri"/>
        </w:rPr>
        <w:t xml:space="preserve"> EIM Entity BAAs. This LMP component can be seen as an adder to the marginal energy component that reflects the marginal cost of greenhouse gas allowance credits in EIM Entity BAAs. This LMP component is absent for locations in</w:t>
      </w:r>
      <w:r w:rsidR="00200F76">
        <w:rPr>
          <w:rFonts w:eastAsia="Calibri"/>
        </w:rPr>
        <w:t xml:space="preserve"> the</w:t>
      </w:r>
      <w:r w:rsidRPr="001E7023">
        <w:rPr>
          <w:rFonts w:eastAsia="Calibri"/>
        </w:rPr>
        <w:t xml:space="preserve"> CAISO</w:t>
      </w:r>
      <w:r w:rsidR="00200F76" w:rsidRPr="00200F76">
        <w:t xml:space="preserve"> </w:t>
      </w:r>
      <w:r w:rsidR="00200F76" w:rsidRPr="008B4912">
        <w:t>BAA and EIM Entity BAAs inside California</w:t>
      </w:r>
      <w:r w:rsidRPr="001E7023">
        <w:rPr>
          <w:rFonts w:eastAsia="Calibri"/>
        </w:rPr>
        <w:t>, because in these cases the cost of greenhouse gas allowance credits is included in the energy bids; hence it is already reflected in the marginal energy component.</w:t>
      </w:r>
    </w:p>
    <w:p w14:paraId="4C78A4E9" w14:textId="2BBC0DFB" w:rsidR="001E7023" w:rsidRPr="001E7023" w:rsidRDefault="001E7023" w:rsidP="000F0531">
      <w:pPr>
        <w:numPr>
          <w:ilvl w:val="0"/>
          <w:numId w:val="43"/>
        </w:numPr>
        <w:rPr>
          <w:rFonts w:eastAsia="Calibri"/>
        </w:rPr>
      </w:pPr>
      <w:r w:rsidRPr="001E7023">
        <w:rPr>
          <w:rFonts w:eastAsia="Calibri"/>
        </w:rPr>
        <w:t>The absence of the fourth LMP component for locations in</w:t>
      </w:r>
      <w:r w:rsidR="00200F76">
        <w:rPr>
          <w:rFonts w:eastAsia="Calibri"/>
        </w:rPr>
        <w:t xml:space="preserve"> the</w:t>
      </w:r>
      <w:r w:rsidRPr="001E7023">
        <w:rPr>
          <w:rFonts w:eastAsia="Calibri"/>
        </w:rPr>
        <w:t xml:space="preserve"> CAISO</w:t>
      </w:r>
      <w:r w:rsidR="00200F76" w:rsidRPr="00200F76">
        <w:t xml:space="preserve"> </w:t>
      </w:r>
      <w:r w:rsidR="00200F76" w:rsidRPr="008B4912">
        <w:t>BAA and EIM Entity BAAs inside California</w:t>
      </w:r>
      <w:r w:rsidRPr="001E7023">
        <w:rPr>
          <w:rFonts w:eastAsia="Calibri"/>
        </w:rPr>
        <w:t xml:space="preserve"> results in no impact on existing Market Participants that would not have to modify their systems.</w:t>
      </w:r>
    </w:p>
    <w:p w14:paraId="4B5B5616" w14:textId="220B4C15" w:rsidR="001E7023" w:rsidRPr="001E7023" w:rsidRDefault="001E7023" w:rsidP="000F0531">
      <w:pPr>
        <w:numPr>
          <w:ilvl w:val="0"/>
          <w:numId w:val="43"/>
        </w:numPr>
        <w:rPr>
          <w:rFonts w:eastAsia="Calibri"/>
        </w:rPr>
      </w:pPr>
      <w:r w:rsidRPr="001E7023">
        <w:rPr>
          <w:rFonts w:eastAsia="Calibri"/>
        </w:rPr>
        <w:t xml:space="preserve">As a result of the imbalance energy settlement, the CAISO </w:t>
      </w:r>
      <w:r w:rsidR="00885130">
        <w:rPr>
          <w:rFonts w:eastAsia="Calibri"/>
        </w:rPr>
        <w:t>will</w:t>
      </w:r>
      <w:r w:rsidRPr="001E7023">
        <w:rPr>
          <w:rFonts w:eastAsia="Calibri"/>
        </w:rPr>
        <w:t xml:space="preserve"> collect greenhouse gas allowance revenue for the net imbalance energy export from the EIM Entity BAAs</w:t>
      </w:r>
      <w:r w:rsidR="00200F76" w:rsidRPr="00200F76">
        <w:rPr>
          <w:rFonts w:eastAsia="Calibri"/>
        </w:rPr>
        <w:t xml:space="preserve"> </w:t>
      </w:r>
      <w:r w:rsidR="00200F76">
        <w:rPr>
          <w:rFonts w:eastAsia="Calibri"/>
        </w:rPr>
        <w:t>outside California</w:t>
      </w:r>
      <w:r w:rsidRPr="001E7023">
        <w:rPr>
          <w:rFonts w:eastAsia="Calibri"/>
        </w:rPr>
        <w:t xml:space="preserve"> at the respective net imbalance energy export allocation constraint shadow price, similarly to the congestion revenue. Distributing this revenue back to the optimal net imbalance</w:t>
      </w:r>
      <w:r>
        <w:rPr>
          <w:rFonts w:eastAsia="Calibri"/>
        </w:rPr>
        <w:t xml:space="preserve"> </w:t>
      </w:r>
      <w:r w:rsidRPr="001E7023">
        <w:rPr>
          <w:rFonts w:eastAsia="Calibri"/>
        </w:rPr>
        <w:t>energy export allocations in addition to the imbalance energy settlement at the LMP would adequately compensate supply resources in EIM Entity BAAs</w:t>
      </w:r>
      <w:r w:rsidR="00200F76" w:rsidRPr="00200F76">
        <w:rPr>
          <w:rFonts w:eastAsia="Calibri"/>
        </w:rPr>
        <w:t xml:space="preserve"> </w:t>
      </w:r>
      <w:r w:rsidR="00200F76">
        <w:rPr>
          <w:rFonts w:eastAsia="Calibri"/>
        </w:rPr>
        <w:t>outside California</w:t>
      </w:r>
      <w:r w:rsidRPr="001E7023">
        <w:rPr>
          <w:rFonts w:eastAsia="Calibri"/>
        </w:rPr>
        <w:t xml:space="preserve"> for their energy and greenhouse gas allowance costs without a need for any side payments and uplift.</w:t>
      </w:r>
    </w:p>
    <w:p w14:paraId="0A0262DC" w14:textId="77777777" w:rsidR="001E7023" w:rsidRDefault="001E7023" w:rsidP="000F0531">
      <w:pPr>
        <w:numPr>
          <w:ilvl w:val="0"/>
          <w:numId w:val="43"/>
        </w:numPr>
        <w:rPr>
          <w:rFonts w:eastAsia="Calibri"/>
        </w:rPr>
      </w:pPr>
      <w:r>
        <w:rPr>
          <w:rFonts w:eastAsia="Calibri"/>
        </w:rPr>
        <w:t>This</w:t>
      </w:r>
      <w:r w:rsidRPr="001E7023">
        <w:rPr>
          <w:rFonts w:eastAsia="Calibri"/>
        </w:rPr>
        <w:t xml:space="preserve"> methodology is very general and robust and it does not depend on the particular network configuration or how the various BAAs are interconnected. Therefore, it is readily expandable to any number of BAAs in the Full Network Model (FNM) with any number of EIM Entity BAAs and any BAA interconnection pattern.</w:t>
      </w:r>
    </w:p>
    <w:p w14:paraId="189755BC" w14:textId="77777777" w:rsidR="001E7023" w:rsidRDefault="001E7023" w:rsidP="00C33762">
      <w:pPr>
        <w:pStyle w:val="Heading5"/>
      </w:pPr>
      <w:r>
        <w:t>Mathematical Formulation</w:t>
      </w:r>
    </w:p>
    <w:p w14:paraId="00C0CF8A" w14:textId="77777777" w:rsidR="001E7023" w:rsidRPr="000F299B" w:rsidRDefault="001E7023" w:rsidP="00877DDB">
      <w:pPr>
        <w:pStyle w:val="BPM"/>
      </w:pPr>
      <w:r w:rsidRPr="000F299B">
        <w:t>To illustrate the method, consider a simple network configuration that consists only of the CAISO and a single EIM Entity BAA. Furthermore, day-ahead and base schedules are ignored for simplicity, as well as ancillary services, transmission losses, and inter-temporal constraints, focusing on a single time period.</w:t>
      </w:r>
    </w:p>
    <w:p w14:paraId="7FE6841F" w14:textId="77777777" w:rsidR="001E7023" w:rsidRPr="00225179" w:rsidRDefault="001E7023" w:rsidP="00225179">
      <w:pPr>
        <w:rPr>
          <w:b/>
        </w:rPr>
      </w:pPr>
      <w:r w:rsidRPr="00225179">
        <w:rPr>
          <w:b/>
        </w:rPr>
        <w:t>Notation</w:t>
      </w:r>
    </w:p>
    <w:p w14:paraId="496792CC" w14:textId="77777777" w:rsidR="001E7023" w:rsidRPr="000F299B" w:rsidRDefault="001E7023" w:rsidP="00877DDB">
      <w:pPr>
        <w:pStyle w:val="BPM"/>
      </w:pPr>
      <w:r w:rsidRPr="000F299B">
        <w:t>The following notation is used to formulate the problem:</w:t>
      </w:r>
    </w:p>
    <w:tbl>
      <w:tblPr>
        <w:tblW w:w="0" w:type="auto"/>
        <w:tblLook w:val="04A0" w:firstRow="1" w:lastRow="0" w:firstColumn="1" w:lastColumn="0" w:noHBand="0" w:noVBand="1"/>
      </w:tblPr>
      <w:tblGrid>
        <w:gridCol w:w="826"/>
        <w:gridCol w:w="8534"/>
      </w:tblGrid>
      <w:tr w:rsidR="001E7023" w14:paraId="7701040A" w14:textId="77777777" w:rsidTr="001E7023">
        <w:tc>
          <w:tcPr>
            <w:tcW w:w="828" w:type="dxa"/>
            <w:hideMark/>
          </w:tcPr>
          <w:p w14:paraId="257772F4" w14:textId="77777777" w:rsidR="001E7023" w:rsidRPr="00877DDB" w:rsidRDefault="001E7023" w:rsidP="00877DDB">
            <w:pPr>
              <w:pStyle w:val="BPM"/>
              <w:rPr>
                <w:i/>
              </w:rPr>
            </w:pPr>
            <w:r w:rsidRPr="00877DDB">
              <w:rPr>
                <w:i/>
              </w:rPr>
              <w:lastRenderedPageBreak/>
              <w:t>i</w:t>
            </w:r>
          </w:p>
        </w:tc>
        <w:tc>
          <w:tcPr>
            <w:tcW w:w="8748" w:type="dxa"/>
            <w:hideMark/>
          </w:tcPr>
          <w:p w14:paraId="7281C21F" w14:textId="77777777" w:rsidR="001E7023" w:rsidRPr="000F299B" w:rsidRDefault="001E7023" w:rsidP="00877DDB">
            <w:pPr>
              <w:pStyle w:val="BPM"/>
              <w:rPr>
                <w:rFonts w:ascii="Arial" w:hAnsi="Arial" w:cs="Arial"/>
              </w:rPr>
            </w:pPr>
            <w:r w:rsidRPr="000F299B">
              <w:rPr>
                <w:rFonts w:ascii="Arial" w:hAnsi="Arial" w:cs="Arial"/>
              </w:rPr>
              <w:t>Node index in CAISO.</w:t>
            </w:r>
          </w:p>
        </w:tc>
      </w:tr>
      <w:tr w:rsidR="001E7023" w14:paraId="440B708C" w14:textId="77777777" w:rsidTr="001E7023">
        <w:tc>
          <w:tcPr>
            <w:tcW w:w="828" w:type="dxa"/>
            <w:hideMark/>
          </w:tcPr>
          <w:p w14:paraId="7D04D94F" w14:textId="77777777" w:rsidR="001E7023" w:rsidRDefault="001E7023">
            <w:pPr>
              <w:pStyle w:val="Paragraph"/>
              <w:rPr>
                <w:rFonts w:ascii="Cambria Math" w:hAnsi="Cambria Math"/>
                <w:i/>
              </w:rPr>
            </w:pPr>
            <w:r>
              <w:rPr>
                <w:rFonts w:ascii="Cambria Math" w:hAnsi="Cambria Math"/>
                <w:i/>
              </w:rPr>
              <w:t>j</w:t>
            </w:r>
          </w:p>
        </w:tc>
        <w:tc>
          <w:tcPr>
            <w:tcW w:w="8748" w:type="dxa"/>
            <w:hideMark/>
          </w:tcPr>
          <w:p w14:paraId="3E119845" w14:textId="77777777" w:rsidR="001E7023" w:rsidRPr="000F299B" w:rsidRDefault="001E7023">
            <w:pPr>
              <w:pStyle w:val="Paragraph"/>
              <w:rPr>
                <w:rFonts w:ascii="Arial" w:hAnsi="Arial" w:cs="Arial"/>
              </w:rPr>
            </w:pPr>
            <w:r w:rsidRPr="000F299B">
              <w:rPr>
                <w:rFonts w:ascii="Arial" w:hAnsi="Arial" w:cs="Arial"/>
              </w:rPr>
              <w:t>Node index in EIM Entity BAA.</w:t>
            </w:r>
          </w:p>
        </w:tc>
      </w:tr>
      <w:tr w:rsidR="001E7023" w14:paraId="3BFB7CD0" w14:textId="77777777" w:rsidTr="001E7023">
        <w:tc>
          <w:tcPr>
            <w:tcW w:w="828" w:type="dxa"/>
            <w:hideMark/>
          </w:tcPr>
          <w:p w14:paraId="05E990C4" w14:textId="77777777" w:rsidR="001E7023" w:rsidRDefault="001E7023">
            <w:pPr>
              <w:pStyle w:val="Paragraph"/>
              <w:rPr>
                <w:rFonts w:ascii="Cambria Math" w:hAnsi="Cambria Math"/>
                <w:i/>
              </w:rPr>
            </w:pPr>
            <w:r>
              <w:rPr>
                <w:rFonts w:ascii="Cambria Math" w:hAnsi="Cambria Math"/>
                <w:i/>
              </w:rPr>
              <w:t>k</w:t>
            </w:r>
          </w:p>
        </w:tc>
        <w:tc>
          <w:tcPr>
            <w:tcW w:w="8748" w:type="dxa"/>
            <w:hideMark/>
          </w:tcPr>
          <w:p w14:paraId="6C6363E0" w14:textId="77777777" w:rsidR="001E7023" w:rsidRPr="000F299B" w:rsidRDefault="001E7023">
            <w:pPr>
              <w:pStyle w:val="Paragraph"/>
              <w:rPr>
                <w:rFonts w:ascii="Arial" w:hAnsi="Arial" w:cs="Arial"/>
              </w:rPr>
            </w:pPr>
            <w:r w:rsidRPr="000F299B">
              <w:rPr>
                <w:rFonts w:ascii="Arial" w:hAnsi="Arial" w:cs="Arial"/>
              </w:rPr>
              <w:t>Oriented transmission line index.</w:t>
            </w:r>
          </w:p>
        </w:tc>
      </w:tr>
      <w:tr w:rsidR="001E7023" w14:paraId="5D862A70" w14:textId="77777777" w:rsidTr="001E7023">
        <w:tc>
          <w:tcPr>
            <w:tcW w:w="828" w:type="dxa"/>
            <w:hideMark/>
          </w:tcPr>
          <w:p w14:paraId="39F01BE4" w14:textId="77777777" w:rsidR="001E7023" w:rsidRDefault="001E7023">
            <w:pPr>
              <w:pStyle w:val="Paragraph"/>
              <w:rPr>
                <w:rFonts w:ascii="Cambria Math" w:hAnsi="Cambria Math"/>
              </w:rPr>
            </w:pPr>
            <w:r>
              <w:rPr>
                <w:rFonts w:ascii="Cambria Math" w:hAnsi="Cambria Math"/>
              </w:rPr>
              <w:sym w:font="Symbol" w:char="F022"/>
            </w:r>
          </w:p>
        </w:tc>
        <w:tc>
          <w:tcPr>
            <w:tcW w:w="8748" w:type="dxa"/>
            <w:hideMark/>
          </w:tcPr>
          <w:p w14:paraId="4B6ADBFC" w14:textId="77777777" w:rsidR="001E7023" w:rsidRPr="000F299B" w:rsidRDefault="001E7023">
            <w:pPr>
              <w:pStyle w:val="Paragraph"/>
              <w:rPr>
                <w:rFonts w:ascii="Arial" w:hAnsi="Arial" w:cs="Arial"/>
              </w:rPr>
            </w:pPr>
            <w:r w:rsidRPr="000F299B">
              <w:rPr>
                <w:rFonts w:ascii="Arial" w:hAnsi="Arial" w:cs="Arial"/>
              </w:rPr>
              <w:t>For all…</w:t>
            </w:r>
          </w:p>
        </w:tc>
      </w:tr>
      <w:tr w:rsidR="001E7023" w14:paraId="60524C56" w14:textId="77777777" w:rsidTr="001E7023">
        <w:tc>
          <w:tcPr>
            <w:tcW w:w="828" w:type="dxa"/>
            <w:hideMark/>
          </w:tcPr>
          <w:p w14:paraId="7F16E6FF" w14:textId="77777777" w:rsidR="001E7023" w:rsidRDefault="001E7023">
            <w:pPr>
              <w:pStyle w:val="Paragraph"/>
              <w:rPr>
                <w:rFonts w:ascii="Cambria Math" w:hAnsi="Cambria Math"/>
                <w:i/>
                <w:vertAlign w:val="subscript"/>
              </w:rPr>
            </w:pPr>
            <w:r>
              <w:rPr>
                <w:rFonts w:ascii="Cambria Math" w:hAnsi="Cambria Math"/>
                <w:i/>
              </w:rPr>
              <w:t>G</w:t>
            </w:r>
            <w:r>
              <w:rPr>
                <w:rFonts w:ascii="Cambria Math" w:hAnsi="Cambria Math"/>
                <w:i/>
                <w:vertAlign w:val="subscript"/>
              </w:rPr>
              <w:t>i</w:t>
            </w:r>
          </w:p>
        </w:tc>
        <w:tc>
          <w:tcPr>
            <w:tcW w:w="8748" w:type="dxa"/>
            <w:hideMark/>
          </w:tcPr>
          <w:p w14:paraId="2CA8BC73" w14:textId="77777777" w:rsidR="001E7023" w:rsidRPr="000F299B" w:rsidRDefault="001E7023">
            <w:pPr>
              <w:pStyle w:val="Paragraph"/>
              <w:rPr>
                <w:rFonts w:ascii="Arial" w:hAnsi="Arial" w:cs="Arial"/>
              </w:rPr>
            </w:pPr>
            <w:r w:rsidRPr="000F299B">
              <w:rPr>
                <w:rFonts w:ascii="Arial" w:hAnsi="Arial" w:cs="Arial"/>
              </w:rPr>
              <w:t xml:space="preserve">Imbalance energy dispatch for generator at node </w:t>
            </w:r>
            <w:r w:rsidRPr="000F299B">
              <w:rPr>
                <w:rFonts w:ascii="Arial" w:hAnsi="Arial" w:cs="Arial"/>
                <w:i/>
              </w:rPr>
              <w:t>i</w:t>
            </w:r>
            <w:r w:rsidRPr="000F299B">
              <w:rPr>
                <w:rFonts w:ascii="Arial" w:hAnsi="Arial" w:cs="Arial"/>
              </w:rPr>
              <w:t>.</w:t>
            </w:r>
          </w:p>
        </w:tc>
      </w:tr>
      <w:tr w:rsidR="001E7023" w14:paraId="489D9A1A" w14:textId="77777777" w:rsidTr="001E7023">
        <w:tc>
          <w:tcPr>
            <w:tcW w:w="828" w:type="dxa"/>
            <w:hideMark/>
          </w:tcPr>
          <w:p w14:paraId="504760CC" w14:textId="77777777" w:rsidR="001E7023" w:rsidRDefault="001E7023">
            <w:pPr>
              <w:pStyle w:val="Paragraph"/>
              <w:rPr>
                <w:rFonts w:ascii="Cambria Math" w:hAnsi="Cambria Math"/>
                <w:i/>
                <w:vertAlign w:val="subscript"/>
              </w:rPr>
            </w:pPr>
            <w:r>
              <w:rPr>
                <w:rFonts w:ascii="Cambria Math" w:hAnsi="Cambria Math"/>
                <w:i/>
              </w:rPr>
              <w:t>G</w:t>
            </w:r>
            <w:r>
              <w:rPr>
                <w:rFonts w:ascii="Cambria Math" w:hAnsi="Cambria Math"/>
                <w:vertAlign w:val="subscript"/>
              </w:rPr>
              <w:t>MIN</w:t>
            </w:r>
            <w:r>
              <w:rPr>
                <w:rFonts w:ascii="Cambria Math" w:hAnsi="Cambria Math"/>
                <w:i/>
                <w:vertAlign w:val="subscript"/>
              </w:rPr>
              <w:t>i</w:t>
            </w:r>
          </w:p>
        </w:tc>
        <w:tc>
          <w:tcPr>
            <w:tcW w:w="8748" w:type="dxa"/>
            <w:hideMark/>
          </w:tcPr>
          <w:p w14:paraId="5D595EFB" w14:textId="77777777" w:rsidR="001E7023" w:rsidRPr="000F299B" w:rsidRDefault="001E7023">
            <w:pPr>
              <w:pStyle w:val="Paragraph"/>
              <w:rPr>
                <w:rFonts w:ascii="Arial" w:hAnsi="Arial" w:cs="Arial"/>
              </w:rPr>
            </w:pPr>
            <w:r w:rsidRPr="000F299B">
              <w:rPr>
                <w:rFonts w:ascii="Arial" w:hAnsi="Arial" w:cs="Arial"/>
              </w:rPr>
              <w:t xml:space="preserve">Minimum capacity for generator at node </w:t>
            </w:r>
            <w:r w:rsidRPr="000F299B">
              <w:rPr>
                <w:rFonts w:ascii="Arial" w:hAnsi="Arial" w:cs="Arial"/>
                <w:i/>
              </w:rPr>
              <w:t>i</w:t>
            </w:r>
            <w:r w:rsidRPr="000F299B">
              <w:rPr>
                <w:rFonts w:ascii="Arial" w:hAnsi="Arial" w:cs="Arial"/>
              </w:rPr>
              <w:t>.</w:t>
            </w:r>
          </w:p>
        </w:tc>
      </w:tr>
      <w:tr w:rsidR="001E7023" w14:paraId="173FC4D0" w14:textId="77777777" w:rsidTr="001E7023">
        <w:tc>
          <w:tcPr>
            <w:tcW w:w="828" w:type="dxa"/>
            <w:hideMark/>
          </w:tcPr>
          <w:p w14:paraId="612DA5E5" w14:textId="77777777" w:rsidR="001E7023" w:rsidRDefault="001E7023">
            <w:pPr>
              <w:pStyle w:val="Paragraph"/>
              <w:rPr>
                <w:rFonts w:ascii="Cambria Math" w:hAnsi="Cambria Math"/>
                <w:i/>
                <w:vertAlign w:val="subscript"/>
              </w:rPr>
            </w:pPr>
            <w:r>
              <w:rPr>
                <w:rFonts w:ascii="Cambria Math" w:hAnsi="Cambria Math"/>
                <w:i/>
              </w:rPr>
              <w:t>G</w:t>
            </w:r>
            <w:r>
              <w:rPr>
                <w:rFonts w:ascii="Cambria Math" w:hAnsi="Cambria Math"/>
                <w:vertAlign w:val="subscript"/>
              </w:rPr>
              <w:t>MAX</w:t>
            </w:r>
            <w:r>
              <w:rPr>
                <w:rFonts w:ascii="Cambria Math" w:hAnsi="Cambria Math"/>
                <w:i/>
                <w:vertAlign w:val="subscript"/>
              </w:rPr>
              <w:t>i</w:t>
            </w:r>
          </w:p>
        </w:tc>
        <w:tc>
          <w:tcPr>
            <w:tcW w:w="8748" w:type="dxa"/>
            <w:hideMark/>
          </w:tcPr>
          <w:p w14:paraId="2F4222DA" w14:textId="77777777" w:rsidR="001E7023" w:rsidRPr="00D769E5" w:rsidRDefault="001E7023">
            <w:pPr>
              <w:pStyle w:val="Paragraph"/>
              <w:rPr>
                <w:rFonts w:ascii="Arial" w:hAnsi="Arial" w:cs="Arial"/>
              </w:rPr>
            </w:pPr>
            <w:r w:rsidRPr="000F299B">
              <w:rPr>
                <w:rFonts w:ascii="Arial" w:hAnsi="Arial" w:cs="Arial"/>
              </w:rPr>
              <w:t xml:space="preserve">Maximum capacity for generator at node </w:t>
            </w:r>
            <w:r w:rsidRPr="000F299B">
              <w:rPr>
                <w:rFonts w:ascii="Arial" w:hAnsi="Arial" w:cs="Arial"/>
                <w:i/>
              </w:rPr>
              <w:t>i</w:t>
            </w:r>
            <w:r w:rsidRPr="000F299B">
              <w:rPr>
                <w:rFonts w:ascii="Arial" w:hAnsi="Arial" w:cs="Arial"/>
              </w:rPr>
              <w:t>.</w:t>
            </w:r>
          </w:p>
        </w:tc>
      </w:tr>
      <w:tr w:rsidR="001E7023" w14:paraId="6EC0F7CE" w14:textId="77777777" w:rsidTr="001E7023">
        <w:tc>
          <w:tcPr>
            <w:tcW w:w="828" w:type="dxa"/>
            <w:hideMark/>
          </w:tcPr>
          <w:p w14:paraId="046E1B36" w14:textId="77777777" w:rsidR="001E7023" w:rsidRDefault="001E7023">
            <w:pPr>
              <w:pStyle w:val="Paragraph"/>
              <w:rPr>
                <w:rFonts w:ascii="Cambria Math" w:hAnsi="Cambria Math"/>
                <w:i/>
                <w:vertAlign w:val="subscript"/>
              </w:rPr>
            </w:pPr>
            <w:r>
              <w:rPr>
                <w:rFonts w:ascii="Cambria Math" w:hAnsi="Cambria Math"/>
                <w:i/>
              </w:rPr>
              <w:t>L</w:t>
            </w:r>
            <w:r>
              <w:rPr>
                <w:rFonts w:ascii="Cambria Math" w:hAnsi="Cambria Math"/>
                <w:i/>
                <w:vertAlign w:val="subscript"/>
              </w:rPr>
              <w:t>i</w:t>
            </w:r>
          </w:p>
        </w:tc>
        <w:tc>
          <w:tcPr>
            <w:tcW w:w="8748" w:type="dxa"/>
            <w:hideMark/>
          </w:tcPr>
          <w:p w14:paraId="0F168A36" w14:textId="77777777" w:rsidR="001E7023" w:rsidRPr="00D769E5" w:rsidRDefault="001E7023">
            <w:pPr>
              <w:pStyle w:val="Paragraph"/>
              <w:rPr>
                <w:rFonts w:ascii="Arial" w:hAnsi="Arial" w:cs="Arial"/>
              </w:rPr>
            </w:pPr>
            <w:r w:rsidRPr="00D769E5">
              <w:rPr>
                <w:rFonts w:ascii="Arial" w:hAnsi="Arial" w:cs="Arial"/>
              </w:rPr>
              <w:t xml:space="preserve">Distributed load forecast at node </w:t>
            </w:r>
            <w:r w:rsidRPr="00D769E5">
              <w:rPr>
                <w:rFonts w:ascii="Arial" w:hAnsi="Arial" w:cs="Arial"/>
                <w:i/>
              </w:rPr>
              <w:t>i</w:t>
            </w:r>
            <w:r w:rsidRPr="00D769E5">
              <w:rPr>
                <w:rFonts w:ascii="Arial" w:hAnsi="Arial" w:cs="Arial"/>
              </w:rPr>
              <w:t>.</w:t>
            </w:r>
          </w:p>
        </w:tc>
      </w:tr>
      <w:tr w:rsidR="001E7023" w14:paraId="1B984A03" w14:textId="77777777" w:rsidTr="001E7023">
        <w:tc>
          <w:tcPr>
            <w:tcW w:w="828" w:type="dxa"/>
            <w:hideMark/>
          </w:tcPr>
          <w:p w14:paraId="7BEF90E5" w14:textId="77777777" w:rsidR="001E7023" w:rsidRDefault="001E7023">
            <w:pPr>
              <w:pStyle w:val="Paragraph"/>
              <w:rPr>
                <w:rFonts w:ascii="Cambria Math" w:hAnsi="Cambria Math"/>
                <w:i/>
                <w:vertAlign w:val="subscript"/>
              </w:rPr>
            </w:pPr>
            <w:r>
              <w:rPr>
                <w:rFonts w:ascii="Cambria Math" w:hAnsi="Cambria Math"/>
                <w:i/>
              </w:rPr>
              <w:t>C</w:t>
            </w:r>
            <w:r>
              <w:rPr>
                <w:rFonts w:ascii="Cambria Math" w:hAnsi="Cambria Math"/>
                <w:i/>
                <w:vertAlign w:val="subscript"/>
              </w:rPr>
              <w:t>i</w:t>
            </w:r>
          </w:p>
        </w:tc>
        <w:tc>
          <w:tcPr>
            <w:tcW w:w="8748" w:type="dxa"/>
            <w:hideMark/>
          </w:tcPr>
          <w:p w14:paraId="30969329" w14:textId="77777777" w:rsidR="001E7023" w:rsidRPr="00D769E5" w:rsidRDefault="001E7023">
            <w:pPr>
              <w:pStyle w:val="Paragraph"/>
              <w:rPr>
                <w:rFonts w:ascii="Arial" w:hAnsi="Arial" w:cs="Arial"/>
              </w:rPr>
            </w:pPr>
            <w:r w:rsidRPr="00D769E5">
              <w:rPr>
                <w:rFonts w:ascii="Arial" w:hAnsi="Arial" w:cs="Arial"/>
              </w:rPr>
              <w:t xml:space="preserve">Incremental energy bid for generator at node </w:t>
            </w:r>
            <w:r w:rsidRPr="00D769E5">
              <w:rPr>
                <w:rFonts w:ascii="Arial" w:hAnsi="Arial" w:cs="Arial"/>
                <w:i/>
              </w:rPr>
              <w:t>i</w:t>
            </w:r>
            <w:r w:rsidRPr="00D769E5">
              <w:rPr>
                <w:rFonts w:ascii="Arial" w:hAnsi="Arial" w:cs="Arial"/>
              </w:rPr>
              <w:t>.</w:t>
            </w:r>
          </w:p>
        </w:tc>
      </w:tr>
      <w:tr w:rsidR="001E7023" w14:paraId="554A2D3F" w14:textId="77777777" w:rsidTr="001E7023">
        <w:tc>
          <w:tcPr>
            <w:tcW w:w="828" w:type="dxa"/>
            <w:hideMark/>
          </w:tcPr>
          <w:p w14:paraId="3C5C1ED2" w14:textId="77777777" w:rsidR="001E7023" w:rsidRDefault="001E7023">
            <w:pPr>
              <w:pStyle w:val="Paragraph"/>
              <w:rPr>
                <w:rFonts w:ascii="Cambria Math" w:hAnsi="Cambria Math"/>
                <w:i/>
                <w:vertAlign w:val="subscript"/>
              </w:rPr>
            </w:pPr>
            <w:r>
              <w:rPr>
                <w:rFonts w:ascii="Cambria Math" w:hAnsi="Cambria Math"/>
                <w:i/>
              </w:rPr>
              <w:t>C</w:t>
            </w:r>
            <w:r>
              <w:rPr>
                <w:rFonts w:ascii="Cambria Math" w:hAnsi="Cambria Math"/>
                <w:i/>
                <w:vertAlign w:val="subscript"/>
              </w:rPr>
              <w:t>Gj</w:t>
            </w:r>
          </w:p>
        </w:tc>
        <w:tc>
          <w:tcPr>
            <w:tcW w:w="8748" w:type="dxa"/>
            <w:hideMark/>
          </w:tcPr>
          <w:p w14:paraId="35172DF0" w14:textId="77777777" w:rsidR="001E7023" w:rsidRPr="00D769E5" w:rsidRDefault="001E7023">
            <w:pPr>
              <w:pStyle w:val="Paragraph"/>
              <w:rPr>
                <w:rFonts w:ascii="Arial" w:hAnsi="Arial" w:cs="Arial"/>
              </w:rPr>
            </w:pPr>
            <w:r w:rsidRPr="00D769E5">
              <w:rPr>
                <w:rFonts w:ascii="Arial" w:hAnsi="Arial" w:cs="Arial"/>
              </w:rPr>
              <w:t xml:space="preserve">GHG bid adder for generator at node </w:t>
            </w:r>
            <w:r w:rsidRPr="00D769E5">
              <w:rPr>
                <w:rFonts w:ascii="Arial" w:hAnsi="Arial" w:cs="Arial"/>
                <w:i/>
              </w:rPr>
              <w:t>j</w:t>
            </w:r>
            <w:r w:rsidRPr="00D769E5">
              <w:rPr>
                <w:rFonts w:ascii="Arial" w:hAnsi="Arial" w:cs="Arial"/>
              </w:rPr>
              <w:t>.</w:t>
            </w:r>
          </w:p>
        </w:tc>
      </w:tr>
      <w:tr w:rsidR="001E7023" w14:paraId="770BFE74" w14:textId="77777777" w:rsidTr="001E7023">
        <w:tc>
          <w:tcPr>
            <w:tcW w:w="828" w:type="dxa"/>
            <w:hideMark/>
          </w:tcPr>
          <w:p w14:paraId="19B6BAA8" w14:textId="77777777" w:rsidR="001E7023" w:rsidRDefault="001E7023">
            <w:pPr>
              <w:pStyle w:val="Paragraph"/>
              <w:rPr>
                <w:rFonts w:ascii="Cambria Math" w:hAnsi="Cambria Math"/>
                <w:i/>
                <w:vertAlign w:val="subscript"/>
              </w:rPr>
            </w:pPr>
            <w:r>
              <w:rPr>
                <w:rFonts w:ascii="Cambria Math" w:hAnsi="Cambria Math"/>
                <w:i/>
              </w:rPr>
              <w:t>S</w:t>
            </w:r>
            <w:r>
              <w:rPr>
                <w:rFonts w:ascii="Cambria Math" w:hAnsi="Cambria Math"/>
                <w:i/>
                <w:vertAlign w:val="subscript"/>
              </w:rPr>
              <w:t>i</w:t>
            </w:r>
            <w:r>
              <w:rPr>
                <w:rFonts w:ascii="Cambria Math" w:hAnsi="Cambria Math"/>
                <w:vertAlign w:val="subscript"/>
              </w:rPr>
              <w:t>,</w:t>
            </w:r>
            <w:r>
              <w:rPr>
                <w:rFonts w:ascii="Cambria Math" w:hAnsi="Cambria Math"/>
                <w:i/>
                <w:vertAlign w:val="subscript"/>
              </w:rPr>
              <w:t>k</w:t>
            </w:r>
          </w:p>
        </w:tc>
        <w:tc>
          <w:tcPr>
            <w:tcW w:w="8748" w:type="dxa"/>
            <w:hideMark/>
          </w:tcPr>
          <w:p w14:paraId="122380AC" w14:textId="77777777" w:rsidR="001E7023" w:rsidRPr="00D769E5" w:rsidRDefault="001E7023">
            <w:pPr>
              <w:pStyle w:val="Paragraph"/>
              <w:rPr>
                <w:rFonts w:ascii="Arial" w:hAnsi="Arial" w:cs="Arial"/>
              </w:rPr>
            </w:pPr>
            <w:r w:rsidRPr="00D769E5">
              <w:rPr>
                <w:rFonts w:ascii="Arial" w:hAnsi="Arial" w:cs="Arial"/>
              </w:rPr>
              <w:t xml:space="preserve">Shift Factor of power injection at node </w:t>
            </w:r>
            <w:r w:rsidRPr="00D769E5">
              <w:rPr>
                <w:rFonts w:ascii="Arial" w:hAnsi="Arial" w:cs="Arial"/>
                <w:i/>
              </w:rPr>
              <w:t>i</w:t>
            </w:r>
            <w:r w:rsidRPr="00D769E5">
              <w:rPr>
                <w:rFonts w:ascii="Arial" w:hAnsi="Arial" w:cs="Arial"/>
              </w:rPr>
              <w:t xml:space="preserve"> on transmission line </w:t>
            </w:r>
            <w:r w:rsidRPr="00D769E5">
              <w:rPr>
                <w:rFonts w:ascii="Arial" w:hAnsi="Arial" w:cs="Arial"/>
                <w:i/>
              </w:rPr>
              <w:t>k</w:t>
            </w:r>
            <w:r w:rsidRPr="00D769E5">
              <w:rPr>
                <w:rFonts w:ascii="Arial" w:hAnsi="Arial" w:cs="Arial"/>
              </w:rPr>
              <w:t>.</w:t>
            </w:r>
          </w:p>
        </w:tc>
      </w:tr>
      <w:tr w:rsidR="001E7023" w14:paraId="585BD950" w14:textId="77777777" w:rsidTr="001E7023">
        <w:tc>
          <w:tcPr>
            <w:tcW w:w="828" w:type="dxa"/>
            <w:hideMark/>
          </w:tcPr>
          <w:p w14:paraId="222D9C48" w14:textId="77777777" w:rsidR="001E7023" w:rsidRDefault="001E7023">
            <w:pPr>
              <w:pStyle w:val="Paragraph"/>
              <w:rPr>
                <w:rFonts w:ascii="Cambria Math" w:hAnsi="Cambria Math"/>
                <w:i/>
                <w:vertAlign w:val="subscript"/>
              </w:rPr>
            </w:pPr>
            <w:r>
              <w:rPr>
                <w:rFonts w:ascii="Cambria Math" w:hAnsi="Cambria Math"/>
                <w:i/>
              </w:rPr>
              <w:t>F</w:t>
            </w:r>
            <w:r>
              <w:rPr>
                <w:rFonts w:ascii="Cambria Math" w:hAnsi="Cambria Math"/>
                <w:i/>
                <w:vertAlign w:val="subscript"/>
              </w:rPr>
              <w:t>k</w:t>
            </w:r>
          </w:p>
        </w:tc>
        <w:tc>
          <w:tcPr>
            <w:tcW w:w="8748" w:type="dxa"/>
            <w:hideMark/>
          </w:tcPr>
          <w:p w14:paraId="4AD13E9D" w14:textId="77777777" w:rsidR="001E7023" w:rsidRPr="00D769E5" w:rsidRDefault="001E7023">
            <w:pPr>
              <w:pStyle w:val="Paragraph"/>
              <w:rPr>
                <w:rFonts w:ascii="Arial" w:hAnsi="Arial" w:cs="Arial"/>
              </w:rPr>
            </w:pPr>
            <w:r w:rsidRPr="00D769E5">
              <w:rPr>
                <w:rFonts w:ascii="Arial" w:hAnsi="Arial" w:cs="Arial"/>
              </w:rPr>
              <w:t xml:space="preserve">Active power flow on transmission line </w:t>
            </w:r>
            <w:r w:rsidRPr="00D769E5">
              <w:rPr>
                <w:rFonts w:ascii="Arial" w:hAnsi="Arial" w:cs="Arial"/>
                <w:i/>
              </w:rPr>
              <w:t>k</w:t>
            </w:r>
            <w:r w:rsidRPr="00D769E5">
              <w:rPr>
                <w:rFonts w:ascii="Arial" w:hAnsi="Arial" w:cs="Arial"/>
              </w:rPr>
              <w:t>.</w:t>
            </w:r>
          </w:p>
        </w:tc>
      </w:tr>
      <w:tr w:rsidR="001E7023" w14:paraId="52030946" w14:textId="77777777" w:rsidTr="001E7023">
        <w:tc>
          <w:tcPr>
            <w:tcW w:w="828" w:type="dxa"/>
            <w:hideMark/>
          </w:tcPr>
          <w:p w14:paraId="56ACA874" w14:textId="77777777" w:rsidR="001E7023" w:rsidRDefault="001E7023">
            <w:pPr>
              <w:pStyle w:val="Paragraph"/>
              <w:rPr>
                <w:rFonts w:ascii="Cambria Math" w:hAnsi="Cambria Math"/>
                <w:i/>
                <w:vertAlign w:val="subscript"/>
              </w:rPr>
            </w:pPr>
            <w:r>
              <w:rPr>
                <w:rFonts w:ascii="Cambria Math" w:hAnsi="Cambria Math"/>
                <w:i/>
              </w:rPr>
              <w:t>F</w:t>
            </w:r>
            <w:r>
              <w:rPr>
                <w:rFonts w:ascii="Cambria Math" w:hAnsi="Cambria Math"/>
                <w:vertAlign w:val="subscript"/>
              </w:rPr>
              <w:t>MAX</w:t>
            </w:r>
            <w:r>
              <w:rPr>
                <w:rFonts w:ascii="Cambria Math" w:hAnsi="Cambria Math"/>
                <w:i/>
                <w:vertAlign w:val="subscript"/>
              </w:rPr>
              <w:t>k</w:t>
            </w:r>
          </w:p>
        </w:tc>
        <w:tc>
          <w:tcPr>
            <w:tcW w:w="8748" w:type="dxa"/>
            <w:hideMark/>
          </w:tcPr>
          <w:p w14:paraId="38C7548A" w14:textId="77777777" w:rsidR="001E7023" w:rsidRPr="00D769E5" w:rsidRDefault="001E7023">
            <w:pPr>
              <w:pStyle w:val="Paragraph"/>
              <w:rPr>
                <w:rFonts w:ascii="Arial" w:hAnsi="Arial" w:cs="Arial"/>
              </w:rPr>
            </w:pPr>
            <w:r w:rsidRPr="00D769E5">
              <w:rPr>
                <w:rFonts w:ascii="Arial" w:hAnsi="Arial" w:cs="Arial"/>
              </w:rPr>
              <w:t xml:space="preserve">Active power flow limit on transmission line </w:t>
            </w:r>
            <w:r w:rsidRPr="00D769E5">
              <w:rPr>
                <w:rFonts w:ascii="Arial" w:hAnsi="Arial" w:cs="Arial"/>
                <w:i/>
              </w:rPr>
              <w:t>k</w:t>
            </w:r>
            <w:r w:rsidRPr="00D769E5">
              <w:rPr>
                <w:rFonts w:ascii="Arial" w:hAnsi="Arial" w:cs="Arial"/>
              </w:rPr>
              <w:t>.</w:t>
            </w:r>
          </w:p>
        </w:tc>
      </w:tr>
      <w:tr w:rsidR="001E7023" w14:paraId="6516B829" w14:textId="77777777" w:rsidTr="001E7023">
        <w:tc>
          <w:tcPr>
            <w:tcW w:w="828" w:type="dxa"/>
            <w:hideMark/>
          </w:tcPr>
          <w:p w14:paraId="5987A5C9" w14:textId="77777777" w:rsidR="001E7023" w:rsidRDefault="001E7023">
            <w:pPr>
              <w:pStyle w:val="Paragraph"/>
              <w:rPr>
                <w:rFonts w:ascii="Cambria Math" w:hAnsi="Cambria Math"/>
                <w:i/>
              </w:rPr>
            </w:pPr>
            <w:r>
              <w:rPr>
                <w:rFonts w:ascii="Cambria Math" w:hAnsi="Cambria Math"/>
                <w:i/>
              </w:rPr>
              <w:t>E</w:t>
            </w:r>
          </w:p>
        </w:tc>
        <w:tc>
          <w:tcPr>
            <w:tcW w:w="8748" w:type="dxa"/>
            <w:hideMark/>
          </w:tcPr>
          <w:p w14:paraId="43EFE450" w14:textId="77777777" w:rsidR="001E7023" w:rsidRPr="00D769E5" w:rsidRDefault="001E7023">
            <w:pPr>
              <w:pStyle w:val="Paragraph"/>
              <w:rPr>
                <w:rFonts w:ascii="Arial" w:hAnsi="Arial" w:cs="Arial"/>
              </w:rPr>
            </w:pPr>
            <w:r w:rsidRPr="00D769E5">
              <w:rPr>
                <w:rFonts w:ascii="Arial" w:hAnsi="Arial" w:cs="Arial"/>
              </w:rPr>
              <w:t>Net imbalance energy export from EIM Entity BAA.</w:t>
            </w:r>
          </w:p>
        </w:tc>
      </w:tr>
      <w:tr w:rsidR="001E7023" w14:paraId="7D4B7E00" w14:textId="77777777" w:rsidTr="001E7023">
        <w:tc>
          <w:tcPr>
            <w:tcW w:w="828" w:type="dxa"/>
            <w:hideMark/>
          </w:tcPr>
          <w:p w14:paraId="33A3FAB3" w14:textId="77777777" w:rsidR="001E7023" w:rsidRDefault="001E7023">
            <w:pPr>
              <w:pStyle w:val="Paragraph"/>
              <w:rPr>
                <w:rFonts w:ascii="Cambria Math" w:hAnsi="Cambria Math"/>
                <w:i/>
              </w:rPr>
            </w:pPr>
            <w:r>
              <w:rPr>
                <w:rFonts w:ascii="Cambria Math" w:hAnsi="Cambria Math"/>
                <w:i/>
              </w:rPr>
              <w:t>E</w:t>
            </w:r>
            <w:r>
              <w:rPr>
                <w:rFonts w:ascii="Cambria Math" w:hAnsi="Cambria Math"/>
                <w:i/>
                <w:vertAlign w:val="subscript"/>
              </w:rPr>
              <w:t>S</w:t>
            </w:r>
          </w:p>
        </w:tc>
        <w:tc>
          <w:tcPr>
            <w:tcW w:w="8748" w:type="dxa"/>
            <w:hideMark/>
          </w:tcPr>
          <w:p w14:paraId="34D57DE5" w14:textId="77777777" w:rsidR="001E7023" w:rsidRPr="00D769E5" w:rsidRDefault="001E7023">
            <w:pPr>
              <w:pStyle w:val="Paragraph"/>
              <w:rPr>
                <w:rFonts w:ascii="Arial" w:hAnsi="Arial" w:cs="Arial"/>
              </w:rPr>
            </w:pPr>
            <w:r w:rsidRPr="00D769E5">
              <w:rPr>
                <w:rFonts w:ascii="Arial" w:hAnsi="Arial" w:cs="Arial"/>
              </w:rPr>
              <w:t>Net imbalance energy export surplus (cannot be allocated).</w:t>
            </w:r>
          </w:p>
        </w:tc>
      </w:tr>
      <w:tr w:rsidR="001E7023" w14:paraId="6D414424" w14:textId="77777777" w:rsidTr="001E7023">
        <w:tc>
          <w:tcPr>
            <w:tcW w:w="828" w:type="dxa"/>
            <w:hideMark/>
          </w:tcPr>
          <w:p w14:paraId="542DAE99" w14:textId="77777777" w:rsidR="001E7023" w:rsidRDefault="001E7023">
            <w:pPr>
              <w:pStyle w:val="Paragraph"/>
              <w:rPr>
                <w:rFonts w:ascii="Cambria Math" w:hAnsi="Cambria Math"/>
                <w:i/>
                <w:vertAlign w:val="subscript"/>
              </w:rPr>
            </w:pPr>
            <w:r>
              <w:rPr>
                <w:rFonts w:ascii="Cambria Math" w:hAnsi="Cambria Math"/>
                <w:i/>
              </w:rPr>
              <w:t>E</w:t>
            </w:r>
            <w:r>
              <w:rPr>
                <w:rFonts w:ascii="Cambria Math" w:hAnsi="Cambria Math"/>
                <w:i/>
                <w:vertAlign w:val="subscript"/>
              </w:rPr>
              <w:t>j</w:t>
            </w:r>
          </w:p>
        </w:tc>
        <w:tc>
          <w:tcPr>
            <w:tcW w:w="8748" w:type="dxa"/>
            <w:hideMark/>
          </w:tcPr>
          <w:p w14:paraId="7790134C" w14:textId="77777777" w:rsidR="001E7023" w:rsidRPr="00D769E5" w:rsidRDefault="001E7023">
            <w:pPr>
              <w:pStyle w:val="Paragraph"/>
              <w:rPr>
                <w:rFonts w:ascii="Arial" w:hAnsi="Arial" w:cs="Arial"/>
              </w:rPr>
            </w:pPr>
            <w:r w:rsidRPr="00D769E5">
              <w:rPr>
                <w:rFonts w:ascii="Arial" w:hAnsi="Arial" w:cs="Arial"/>
              </w:rPr>
              <w:t xml:space="preserve">Net imbalance energy export from EIM Entity BAA allocated to generator </w:t>
            </w:r>
            <w:r w:rsidRPr="00D769E5">
              <w:rPr>
                <w:rFonts w:ascii="Arial" w:hAnsi="Arial" w:cs="Arial"/>
                <w:i/>
              </w:rPr>
              <w:t>j</w:t>
            </w:r>
            <w:r w:rsidRPr="00D769E5">
              <w:rPr>
                <w:rFonts w:ascii="Arial" w:hAnsi="Arial" w:cs="Arial"/>
              </w:rPr>
              <w:t>.</w:t>
            </w:r>
          </w:p>
        </w:tc>
      </w:tr>
      <w:tr w:rsidR="00BD153C" w14:paraId="1B5E0359" w14:textId="77777777" w:rsidTr="001E7023">
        <w:tc>
          <w:tcPr>
            <w:tcW w:w="828" w:type="dxa"/>
          </w:tcPr>
          <w:p w14:paraId="7BE00AE4" w14:textId="77777777" w:rsidR="00BD153C" w:rsidRDefault="007818F5">
            <w:pPr>
              <w:pStyle w:val="Paragraph"/>
              <w:rPr>
                <w:rFonts w:ascii="Cambria Math" w:hAnsi="Cambria Math"/>
                <w:i/>
              </w:rPr>
            </w:pPr>
            <m:oMathPara>
              <m:oMath>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j</m:t>
                    </m:r>
                  </m:sub>
                </m:sSub>
              </m:oMath>
            </m:oMathPara>
          </w:p>
        </w:tc>
        <w:tc>
          <w:tcPr>
            <w:tcW w:w="8748" w:type="dxa"/>
          </w:tcPr>
          <w:p w14:paraId="5D0EC9BB" w14:textId="77777777" w:rsidR="00BD153C" w:rsidRPr="00D769E5" w:rsidRDefault="00BD153C" w:rsidP="00BD153C">
            <w:pPr>
              <w:pStyle w:val="Paragraph"/>
              <w:rPr>
                <w:rFonts w:ascii="Arial" w:hAnsi="Arial" w:cs="Arial"/>
              </w:rPr>
            </w:pPr>
            <w:r>
              <w:rPr>
                <w:rFonts w:ascii="Arial" w:hAnsi="Arial" w:cs="Arial"/>
              </w:rPr>
              <w:t xml:space="preserve">GHG quantity bid for </w:t>
            </w:r>
            <w:r w:rsidRPr="00D769E5">
              <w:rPr>
                <w:rFonts w:ascii="Arial" w:hAnsi="Arial" w:cs="Arial"/>
              </w:rPr>
              <w:t xml:space="preserve">generator </w:t>
            </w:r>
            <w:r>
              <w:rPr>
                <w:rFonts w:ascii="Arial" w:hAnsi="Arial" w:cs="Arial"/>
              </w:rPr>
              <w:t xml:space="preserve">at node </w:t>
            </w:r>
            <w:r w:rsidRPr="00D769E5">
              <w:rPr>
                <w:rFonts w:ascii="Arial" w:hAnsi="Arial" w:cs="Arial"/>
                <w:i/>
              </w:rPr>
              <w:t>j</w:t>
            </w:r>
            <w:r w:rsidRPr="00D769E5">
              <w:rPr>
                <w:rFonts w:ascii="Arial" w:hAnsi="Arial" w:cs="Arial"/>
              </w:rPr>
              <w:t>.</w:t>
            </w:r>
          </w:p>
        </w:tc>
      </w:tr>
      <w:tr w:rsidR="001E7023" w14:paraId="528F3632" w14:textId="77777777" w:rsidTr="001E7023">
        <w:tc>
          <w:tcPr>
            <w:tcW w:w="828" w:type="dxa"/>
            <w:hideMark/>
          </w:tcPr>
          <w:p w14:paraId="00B31CD7" w14:textId="77777777" w:rsidR="001E7023" w:rsidRDefault="001E7023">
            <w:pPr>
              <w:pStyle w:val="Paragraph"/>
              <w:rPr>
                <w:rFonts w:ascii="Cambria Math" w:hAnsi="Cambria Math"/>
                <w:i/>
                <w:vertAlign w:val="subscript"/>
              </w:rPr>
            </w:pPr>
            <w:r>
              <w:rPr>
                <w:rFonts w:ascii="Cambria Math" w:hAnsi="Cambria Math"/>
                <w:i/>
              </w:rPr>
              <w:t>LMP</w:t>
            </w:r>
            <w:r>
              <w:rPr>
                <w:rFonts w:ascii="Cambria Math" w:hAnsi="Cambria Math"/>
                <w:i/>
                <w:vertAlign w:val="subscript"/>
              </w:rPr>
              <w:t>i</w:t>
            </w:r>
          </w:p>
        </w:tc>
        <w:tc>
          <w:tcPr>
            <w:tcW w:w="8748" w:type="dxa"/>
            <w:hideMark/>
          </w:tcPr>
          <w:p w14:paraId="72661DB9" w14:textId="77777777" w:rsidR="001E7023" w:rsidRPr="00D769E5" w:rsidRDefault="001E7023">
            <w:pPr>
              <w:pStyle w:val="Paragraph"/>
              <w:rPr>
                <w:rFonts w:ascii="Arial" w:hAnsi="Arial" w:cs="Arial"/>
              </w:rPr>
            </w:pPr>
            <w:r w:rsidRPr="00D769E5">
              <w:rPr>
                <w:rFonts w:ascii="Arial" w:hAnsi="Arial" w:cs="Arial"/>
              </w:rPr>
              <w:t xml:space="preserve">Locational Marginal Price at node </w:t>
            </w:r>
            <w:r w:rsidRPr="00D769E5">
              <w:rPr>
                <w:rFonts w:ascii="Arial" w:hAnsi="Arial" w:cs="Arial"/>
                <w:i/>
              </w:rPr>
              <w:t>i</w:t>
            </w:r>
            <w:r w:rsidRPr="00D769E5">
              <w:rPr>
                <w:rFonts w:ascii="Arial" w:hAnsi="Arial" w:cs="Arial"/>
              </w:rPr>
              <w:t>.</w:t>
            </w:r>
          </w:p>
        </w:tc>
      </w:tr>
      <w:tr w:rsidR="001E7023" w14:paraId="442B31C3" w14:textId="77777777" w:rsidTr="001E7023">
        <w:tc>
          <w:tcPr>
            <w:tcW w:w="828" w:type="dxa"/>
            <w:hideMark/>
          </w:tcPr>
          <w:p w14:paraId="5B1F086F" w14:textId="77777777" w:rsidR="001E7023" w:rsidRDefault="001E7023">
            <w:pPr>
              <w:pStyle w:val="Paragraph"/>
              <w:rPr>
                <w:rFonts w:ascii="Cambria Math" w:hAnsi="Cambria Math"/>
                <w:i/>
              </w:rPr>
            </w:pPr>
            <w:r>
              <w:rPr>
                <w:rFonts w:ascii="Cambria Math" w:hAnsi="Cambria Math"/>
                <w:i/>
              </w:rPr>
              <w:sym w:font="Symbol" w:char="F06C"/>
            </w:r>
          </w:p>
        </w:tc>
        <w:tc>
          <w:tcPr>
            <w:tcW w:w="8748" w:type="dxa"/>
            <w:hideMark/>
          </w:tcPr>
          <w:p w14:paraId="50937638" w14:textId="77777777" w:rsidR="001E7023" w:rsidRPr="00D769E5" w:rsidRDefault="001E7023">
            <w:pPr>
              <w:pStyle w:val="Paragraph"/>
              <w:rPr>
                <w:rFonts w:ascii="Arial" w:hAnsi="Arial" w:cs="Arial"/>
              </w:rPr>
            </w:pPr>
            <w:r w:rsidRPr="00D769E5">
              <w:rPr>
                <w:rFonts w:ascii="Arial" w:hAnsi="Arial" w:cs="Arial"/>
              </w:rPr>
              <w:t>Shadow price of power balance constraint.</w:t>
            </w:r>
          </w:p>
        </w:tc>
      </w:tr>
      <w:tr w:rsidR="001E7023" w14:paraId="7DA0BAE9" w14:textId="77777777" w:rsidTr="001E7023">
        <w:tc>
          <w:tcPr>
            <w:tcW w:w="828" w:type="dxa"/>
            <w:hideMark/>
          </w:tcPr>
          <w:p w14:paraId="4820E380" w14:textId="77777777" w:rsidR="001E7023" w:rsidRDefault="001E7023">
            <w:pPr>
              <w:pStyle w:val="Paragraph"/>
              <w:rPr>
                <w:rFonts w:ascii="Cambria Math" w:hAnsi="Cambria Math"/>
                <w:i/>
                <w:vertAlign w:val="subscript"/>
              </w:rPr>
            </w:pPr>
            <w:r>
              <w:rPr>
                <w:rFonts w:ascii="Cambria Math" w:hAnsi="Cambria Math"/>
                <w:i/>
              </w:rPr>
              <w:sym w:font="Symbol" w:char="F06D"/>
            </w:r>
            <w:r>
              <w:rPr>
                <w:rFonts w:ascii="Cambria Math" w:hAnsi="Cambria Math"/>
                <w:i/>
                <w:vertAlign w:val="subscript"/>
              </w:rPr>
              <w:t>k</w:t>
            </w:r>
          </w:p>
        </w:tc>
        <w:tc>
          <w:tcPr>
            <w:tcW w:w="8748" w:type="dxa"/>
            <w:hideMark/>
          </w:tcPr>
          <w:p w14:paraId="30C4814A" w14:textId="77777777" w:rsidR="00DB39CD" w:rsidRPr="00D769E5" w:rsidRDefault="001E7023" w:rsidP="00DB39CD">
            <w:pPr>
              <w:pStyle w:val="Paragraph"/>
              <w:rPr>
                <w:rFonts w:ascii="Arial" w:hAnsi="Arial" w:cs="Arial"/>
              </w:rPr>
            </w:pPr>
            <w:r w:rsidRPr="00D769E5">
              <w:rPr>
                <w:rFonts w:ascii="Arial" w:hAnsi="Arial" w:cs="Arial"/>
              </w:rPr>
              <w:t xml:space="preserve">Shadow price of active power flow limit constraint on transmission line </w:t>
            </w:r>
            <w:r w:rsidRPr="00D769E5">
              <w:rPr>
                <w:rFonts w:ascii="Arial" w:hAnsi="Arial" w:cs="Arial"/>
                <w:i/>
              </w:rPr>
              <w:t>k</w:t>
            </w:r>
            <w:r w:rsidRPr="00D769E5">
              <w:rPr>
                <w:rFonts w:ascii="Arial" w:hAnsi="Arial" w:cs="Arial"/>
              </w:rPr>
              <w:t>.</w:t>
            </w:r>
          </w:p>
        </w:tc>
      </w:tr>
      <w:tr w:rsidR="00DB39CD" w14:paraId="6AB50530" w14:textId="77777777" w:rsidTr="00DB39CD">
        <w:tc>
          <w:tcPr>
            <w:tcW w:w="828" w:type="dxa"/>
            <w:hideMark/>
          </w:tcPr>
          <w:p w14:paraId="1A2F8458" w14:textId="77777777" w:rsidR="00DB39CD" w:rsidRDefault="00DB39CD">
            <w:pPr>
              <w:pStyle w:val="Paragraph"/>
              <w:rPr>
                <w:rFonts w:ascii="Cambria Math" w:hAnsi="Cambria Math"/>
                <w:i/>
              </w:rPr>
            </w:pPr>
            <w:r>
              <w:rPr>
                <w:rFonts w:ascii="Cambria Math" w:hAnsi="Cambria Math"/>
                <w:i/>
              </w:rPr>
              <w:sym w:font="Symbol" w:char="F068"/>
            </w:r>
          </w:p>
        </w:tc>
        <w:tc>
          <w:tcPr>
            <w:tcW w:w="8748" w:type="dxa"/>
            <w:hideMark/>
          </w:tcPr>
          <w:p w14:paraId="2BF4D5A6" w14:textId="77777777" w:rsidR="00DB39CD" w:rsidRPr="00D769E5" w:rsidRDefault="00DB39CD">
            <w:pPr>
              <w:pStyle w:val="Paragraph"/>
              <w:rPr>
                <w:rFonts w:ascii="Arial" w:hAnsi="Arial"/>
              </w:rPr>
            </w:pPr>
            <w:r w:rsidRPr="00D769E5">
              <w:rPr>
                <w:rFonts w:ascii="Arial" w:hAnsi="Arial"/>
              </w:rPr>
              <w:t>Shadow price of net imbalance energy export allocation constraint.</w:t>
            </w:r>
          </w:p>
        </w:tc>
      </w:tr>
      <w:tr w:rsidR="00DB39CD" w14:paraId="3E12DFEA" w14:textId="77777777" w:rsidTr="00DB39CD">
        <w:tc>
          <w:tcPr>
            <w:tcW w:w="828" w:type="dxa"/>
            <w:hideMark/>
          </w:tcPr>
          <w:p w14:paraId="3D94F202" w14:textId="77777777" w:rsidR="00DB39CD" w:rsidRDefault="00DB39CD">
            <w:pPr>
              <w:pStyle w:val="Paragraph"/>
              <w:rPr>
                <w:rFonts w:ascii="Cambria Math" w:hAnsi="Cambria Math"/>
                <w:i/>
                <w:vertAlign w:val="subscript"/>
              </w:rPr>
            </w:pPr>
            <w:r>
              <w:rPr>
                <w:rFonts w:ascii="Cambria Math" w:hAnsi="Cambria Math"/>
                <w:i/>
              </w:rPr>
              <w:lastRenderedPageBreak/>
              <w:t>R</w:t>
            </w:r>
            <w:r>
              <w:rPr>
                <w:rFonts w:ascii="Cambria Math" w:hAnsi="Cambria Math"/>
                <w:i/>
                <w:vertAlign w:val="subscript"/>
              </w:rPr>
              <w:t>G</w:t>
            </w:r>
          </w:p>
        </w:tc>
        <w:tc>
          <w:tcPr>
            <w:tcW w:w="8748" w:type="dxa"/>
            <w:hideMark/>
          </w:tcPr>
          <w:p w14:paraId="1614FBF7" w14:textId="77777777" w:rsidR="00DB39CD" w:rsidRPr="00D769E5" w:rsidRDefault="00DB39CD">
            <w:pPr>
              <w:pStyle w:val="Paragraph"/>
              <w:rPr>
                <w:rFonts w:ascii="Arial" w:hAnsi="Arial"/>
              </w:rPr>
            </w:pPr>
            <w:r w:rsidRPr="00D769E5">
              <w:rPr>
                <w:rFonts w:ascii="Arial" w:hAnsi="Arial"/>
              </w:rPr>
              <w:t>Greenhouse gas allowance revenue.</w:t>
            </w:r>
          </w:p>
        </w:tc>
      </w:tr>
      <w:tr w:rsidR="00DB39CD" w14:paraId="7509D1AD" w14:textId="77777777" w:rsidTr="00DB39CD">
        <w:tc>
          <w:tcPr>
            <w:tcW w:w="828" w:type="dxa"/>
            <w:hideMark/>
          </w:tcPr>
          <w:p w14:paraId="7524DBC9" w14:textId="77777777" w:rsidR="00DB39CD" w:rsidRDefault="00DB39CD">
            <w:pPr>
              <w:pStyle w:val="Paragraph"/>
              <w:rPr>
                <w:rFonts w:ascii="Cambria Math" w:hAnsi="Cambria Math"/>
                <w:i/>
                <w:vertAlign w:val="subscript"/>
              </w:rPr>
            </w:pPr>
            <w:r>
              <w:rPr>
                <w:rFonts w:ascii="Cambria Math" w:hAnsi="Cambria Math"/>
                <w:i/>
              </w:rPr>
              <w:t>R</w:t>
            </w:r>
            <w:r>
              <w:rPr>
                <w:rFonts w:ascii="Cambria Math" w:hAnsi="Cambria Math"/>
                <w:i/>
                <w:vertAlign w:val="subscript"/>
              </w:rPr>
              <w:t>Gj</w:t>
            </w:r>
          </w:p>
        </w:tc>
        <w:tc>
          <w:tcPr>
            <w:tcW w:w="8748" w:type="dxa"/>
            <w:hideMark/>
          </w:tcPr>
          <w:p w14:paraId="2210AEAC" w14:textId="77777777" w:rsidR="00DB39CD" w:rsidRPr="00D769E5" w:rsidRDefault="00DB39CD">
            <w:pPr>
              <w:pStyle w:val="Paragraph"/>
              <w:rPr>
                <w:rFonts w:ascii="Arial" w:hAnsi="Arial"/>
              </w:rPr>
            </w:pPr>
            <w:r w:rsidRPr="00D769E5">
              <w:rPr>
                <w:rFonts w:ascii="Arial" w:hAnsi="Arial"/>
              </w:rPr>
              <w:t xml:space="preserve">Greenhouse gas allowance revenue distribution to generator at node </w:t>
            </w:r>
            <w:r w:rsidRPr="00D769E5">
              <w:rPr>
                <w:rFonts w:ascii="Arial" w:hAnsi="Arial"/>
                <w:i/>
              </w:rPr>
              <w:t>j</w:t>
            </w:r>
            <w:r w:rsidRPr="00D769E5">
              <w:rPr>
                <w:rFonts w:ascii="Arial" w:hAnsi="Arial"/>
              </w:rPr>
              <w:t>.</w:t>
            </w:r>
          </w:p>
        </w:tc>
      </w:tr>
      <w:tr w:rsidR="00DB39CD" w14:paraId="0CBCD6A7" w14:textId="77777777" w:rsidTr="00DB39CD">
        <w:tc>
          <w:tcPr>
            <w:tcW w:w="828" w:type="dxa"/>
            <w:hideMark/>
          </w:tcPr>
          <w:p w14:paraId="14BDC7D8" w14:textId="77777777" w:rsidR="00DB39CD" w:rsidRDefault="00DB39CD">
            <w:pPr>
              <w:pStyle w:val="Paragraph"/>
              <w:rPr>
                <w:rFonts w:ascii="Cambria Math" w:hAnsi="Cambria Math"/>
                <w:i/>
              </w:rPr>
            </w:pPr>
            <w:r>
              <w:rPr>
                <w:rFonts w:ascii="Cambria Math" w:hAnsi="Cambria Math"/>
                <w:i/>
              </w:rPr>
              <w:t>M</w:t>
            </w:r>
          </w:p>
        </w:tc>
        <w:tc>
          <w:tcPr>
            <w:tcW w:w="8748" w:type="dxa"/>
            <w:hideMark/>
          </w:tcPr>
          <w:p w14:paraId="4FA875D2" w14:textId="77777777" w:rsidR="00DB39CD" w:rsidRPr="00D769E5" w:rsidRDefault="00DB39CD">
            <w:pPr>
              <w:pStyle w:val="Paragraph"/>
              <w:rPr>
                <w:rFonts w:ascii="Arial" w:hAnsi="Arial"/>
              </w:rPr>
            </w:pPr>
            <w:r w:rsidRPr="00D769E5">
              <w:rPr>
                <w:rFonts w:ascii="Arial" w:hAnsi="Arial"/>
              </w:rPr>
              <w:t>Penalty cost for net imbalance energy export surplus (</w:t>
            </w:r>
            <w:r w:rsidRPr="00D769E5">
              <w:rPr>
                <w:rFonts w:ascii="Arial" w:hAnsi="Arial"/>
                <w:i/>
              </w:rPr>
              <w:t>E</w:t>
            </w:r>
            <w:r w:rsidRPr="00D769E5">
              <w:rPr>
                <w:rFonts w:ascii="Arial" w:hAnsi="Arial"/>
                <w:i/>
                <w:vertAlign w:val="subscript"/>
              </w:rPr>
              <w:t>S</w:t>
            </w:r>
            <w:r w:rsidRPr="00D769E5">
              <w:rPr>
                <w:rFonts w:ascii="Arial" w:hAnsi="Arial"/>
              </w:rPr>
              <w:t>).</w:t>
            </w:r>
          </w:p>
        </w:tc>
      </w:tr>
      <w:tr w:rsidR="00DB39CD" w14:paraId="1B92F392" w14:textId="77777777" w:rsidTr="00DB39CD">
        <w:tc>
          <w:tcPr>
            <w:tcW w:w="828" w:type="dxa"/>
            <w:hideMark/>
          </w:tcPr>
          <w:p w14:paraId="43838495" w14:textId="77777777" w:rsidR="00DB39CD" w:rsidRDefault="00DB39CD">
            <w:pPr>
              <w:pStyle w:val="Paragraph"/>
              <w:rPr>
                <w:rFonts w:ascii="Cambria Math" w:hAnsi="Cambria Math"/>
                <w:i/>
              </w:rPr>
            </w:pPr>
            <w:r>
              <w:rPr>
                <w:rFonts w:ascii="Cambria Math" w:hAnsi="Cambria Math"/>
                <w:i/>
              </w:rPr>
              <w:sym w:font="Symbol" w:char="F065"/>
            </w:r>
          </w:p>
        </w:tc>
        <w:tc>
          <w:tcPr>
            <w:tcW w:w="8748" w:type="dxa"/>
            <w:hideMark/>
          </w:tcPr>
          <w:p w14:paraId="27821FA6" w14:textId="77777777" w:rsidR="00447056" w:rsidRPr="00D769E5" w:rsidRDefault="00DB39CD">
            <w:pPr>
              <w:pStyle w:val="Paragraph"/>
              <w:rPr>
                <w:rFonts w:ascii="Arial" w:hAnsi="Arial"/>
              </w:rPr>
            </w:pPr>
            <w:r w:rsidRPr="00D769E5">
              <w:rPr>
                <w:rFonts w:ascii="Arial" w:hAnsi="Arial"/>
              </w:rPr>
              <w:t>A small tolerance.</w:t>
            </w:r>
          </w:p>
          <w:p w14:paraId="4604DCC6" w14:textId="77777777" w:rsidR="00DB39CD" w:rsidRPr="005F6CDE" w:rsidRDefault="00DB39CD" w:rsidP="005F6CDE">
            <w:pPr>
              <w:spacing w:before="240"/>
              <w:rPr>
                <w:b/>
              </w:rPr>
            </w:pPr>
            <w:bookmarkStart w:id="1941" w:name="_Ref397090901"/>
            <w:r w:rsidRPr="005F6CDE">
              <w:rPr>
                <w:b/>
              </w:rPr>
              <w:t>Optimization Problem</w:t>
            </w:r>
            <w:bookmarkEnd w:id="1941"/>
          </w:p>
          <w:p w14:paraId="43967DFB" w14:textId="77777777" w:rsidR="00DB39CD" w:rsidRPr="00D769E5" w:rsidRDefault="00DB39CD" w:rsidP="00877DDB">
            <w:pPr>
              <w:pStyle w:val="BPM"/>
            </w:pPr>
            <w:r w:rsidRPr="00D769E5">
              <w:t>The mathematical formulation is as follows:</w:t>
            </w:r>
          </w:p>
          <w:p w14:paraId="7F6BEF28" w14:textId="77777777" w:rsidR="00DB39CD" w:rsidRDefault="007818F5" w:rsidP="00D769E5">
            <w:pPr>
              <w:pStyle w:val="Paragraph"/>
              <w:ind w:left="720"/>
            </w:pPr>
            <m:oMathPara>
              <m:oMathParaPr>
                <m:jc m:val="left"/>
              </m:oMathParaP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m:t>
                                    </m:r>
                                  </m:sub>
                                </m:sSub>
                              </m:e>
                            </m:d>
                          </m:e>
                        </m:nary>
                      </m:e>
                    </m:d>
                  </m:e>
                </m:func>
              </m:oMath>
            </m:oMathPara>
          </w:p>
          <w:p w14:paraId="6AC2BDBA" w14:textId="77777777" w:rsidR="00DB39CD" w:rsidRDefault="00DB39CD" w:rsidP="00D769E5">
            <w:pPr>
              <w:pStyle w:val="Paragraph"/>
              <w:ind w:left="720"/>
              <w:rPr>
                <w:i/>
              </w:rPr>
            </w:pPr>
            <w:r>
              <w:rPr>
                <w:i/>
              </w:rPr>
              <w:t>subject to:</w:t>
            </w:r>
          </w:p>
          <w:p w14:paraId="4BF56D80" w14:textId="77777777" w:rsidR="00DB39CD" w:rsidRDefault="00DB39CD" w:rsidP="00D769E5">
            <w:pPr>
              <w:pStyle w:val="Paragraph"/>
              <w:ind w:left="720"/>
            </w:pPr>
            <m:oMathPara>
              <m:oMathParaPr>
                <m:jc m:val="left"/>
              </m:oMathParaPr>
              <m:oMath>
                <m:r>
                  <m:rPr>
                    <m:sty m:val="p"/>
                  </m:rPr>
                  <w:rPr>
                    <w:rFonts w:ascii="Cambria Math" w:hAnsi="Cambria Math"/>
                  </w:rPr>
                  <m:t>power balance:</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e>
                </m:nary>
                <m:r>
                  <w:rPr>
                    <w:rFonts w:ascii="Cambria Math" w:hAnsi="Cambria Math"/>
                  </w:rPr>
                  <m:t>=0</m:t>
                </m:r>
              </m:oMath>
            </m:oMathPara>
          </w:p>
          <w:p w14:paraId="217694AE" w14:textId="77777777" w:rsidR="00DB39CD" w:rsidRDefault="00DB39CD" w:rsidP="00D769E5">
            <w:pPr>
              <w:pStyle w:val="Paragraph"/>
              <w:ind w:left="720"/>
            </w:pPr>
            <m:oMathPara>
              <m:oMathParaPr>
                <m:jc m:val="left"/>
              </m:oMathParaPr>
              <m:oMath>
                <m:r>
                  <m:rPr>
                    <m:sty m:val="p"/>
                  </m:rPr>
                  <w:rPr>
                    <w:rFonts w:ascii="Cambria Math" w:hAnsi="Cambria Math"/>
                  </w:rPr>
                  <m:t xml:space="preserve">transmission line flow: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r>
                      <w:rPr>
                        <w:rFonts w:ascii="Cambria Math" w:hAnsi="Cambria Math"/>
                      </w:rPr>
                      <m:t>k</m:t>
                    </m:r>
                  </m:sub>
                </m:sSub>
                <m:r>
                  <w:rPr>
                    <w:rFonts w:ascii="Cambria Math" w:hAnsi="Cambria Math"/>
                  </w:rPr>
                  <m:t>, ∀k</m:t>
                </m:r>
              </m:oMath>
            </m:oMathPara>
          </w:p>
          <w:p w14:paraId="5D328E22" w14:textId="77777777" w:rsidR="00DB39CD" w:rsidRDefault="00DB39CD" w:rsidP="00D769E5">
            <w:pPr>
              <w:pStyle w:val="Paragraph"/>
              <w:ind w:left="720"/>
            </w:pPr>
            <m:oMathPara>
              <m:oMathParaPr>
                <m:jc m:val="left"/>
              </m:oMathParaPr>
              <m:oMath>
                <m:r>
                  <m:rPr>
                    <m:sty m:val="p"/>
                  </m:rPr>
                  <w:rPr>
                    <w:rFonts w:ascii="Cambria Math" w:hAnsi="Cambria Math"/>
                  </w:rPr>
                  <m:t xml:space="preserve">net export allocation: </m:t>
                </m:r>
                <m:r>
                  <w:rPr>
                    <w:rFonts w:ascii="Cambria Math" w:hAnsi="Cambria Math"/>
                  </w:rPr>
                  <m:t>E≡</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77838DA8" w14:textId="77777777" w:rsidR="00DB39CD" w:rsidRDefault="00DB39CD" w:rsidP="00D769E5">
            <w:pPr>
              <w:pStyle w:val="Paragraph"/>
              <w:ind w:left="720"/>
            </w:pPr>
            <m:oMathPara>
              <m:oMathParaPr>
                <m:jc m:val="left"/>
              </m:oMathParaPr>
              <m:oMath>
                <m:r>
                  <m:rPr>
                    <m:sty m:val="p"/>
                  </m:rPr>
                  <w:rPr>
                    <w:rFonts w:ascii="Cambria Math" w:hAnsi="Cambria Math"/>
                  </w:rPr>
                  <m:t xml:space="preserve">generator limits: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m:rPr>
                              <m:sty m:val="p"/>
                            </m:rPr>
                            <w:rPr>
                              <w:rFonts w:ascii="Cambria Math" w:hAnsi="Cambria Math"/>
                            </w:rPr>
                            <m:t>MIN</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MAX</m:t>
                          </m:r>
                          <m:r>
                            <w:rPr>
                              <w:rFonts w:ascii="Cambria Math" w:hAnsi="Cambria Math"/>
                            </w:rPr>
                            <m:t>i</m:t>
                          </m:r>
                        </m:sub>
                      </m:sSub>
                      <m:r>
                        <w:rPr>
                          <w:rFonts w:ascii="Cambria Math" w:hAnsi="Cambria Math"/>
                        </w:rPr>
                        <m:t>, ∀i</m:t>
                      </m:r>
                    </m:e>
                  </m:mr>
                  <m:mr>
                    <m:e>
                      <m:sSub>
                        <m:sSubPr>
                          <m:ctrlPr>
                            <w:rPr>
                              <w:rFonts w:ascii="Cambria Math" w:hAnsi="Cambria Math"/>
                              <w:i/>
                            </w:rPr>
                          </m:ctrlPr>
                        </m:sSubPr>
                        <m:e>
                          <m:r>
                            <w:rPr>
                              <w:rFonts w:ascii="Cambria Math" w:hAnsi="Cambria Math"/>
                            </w:rPr>
                            <m:t>G</m:t>
                          </m:r>
                        </m:e>
                        <m:sub>
                          <m:r>
                            <m:rPr>
                              <m:sty m:val="p"/>
                            </m:rPr>
                            <w:rPr>
                              <w:rFonts w:ascii="Cambria Math" w:hAnsi="Cambria Math"/>
                            </w:rPr>
                            <m:t>MIN</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G</m:t>
                          </m:r>
                        </m:e>
                        <m:sub>
                          <m:r>
                            <m:rPr>
                              <m:sty m:val="p"/>
                            </m:rPr>
                            <w:rPr>
                              <w:rFonts w:ascii="Cambria Math" w:hAnsi="Cambria Math"/>
                            </w:rPr>
                            <m:t>MAX</m:t>
                          </m:r>
                          <m:r>
                            <w:rPr>
                              <w:rFonts w:ascii="Cambria Math" w:hAnsi="Cambria Math"/>
                            </w:rPr>
                            <m:t>j</m:t>
                          </m:r>
                        </m:sub>
                      </m:sSub>
                      <m:r>
                        <w:rPr>
                          <w:rFonts w:ascii="Cambria Math" w:hAnsi="Cambria Math"/>
                        </w:rPr>
                        <m:t>, ∀j</m:t>
                      </m:r>
                    </m:e>
                  </m:mr>
                </m:m>
              </m:oMath>
            </m:oMathPara>
          </w:p>
          <w:p w14:paraId="0CDE6809" w14:textId="77777777" w:rsidR="00DB39CD" w:rsidRPr="004741AC" w:rsidRDefault="00DB39CD" w:rsidP="00D769E5">
            <w:pPr>
              <w:pStyle w:val="Paragraph"/>
              <w:ind w:left="720"/>
            </w:pPr>
            <m:oMathPara>
              <m:oMathParaPr>
                <m:jc m:val="left"/>
              </m:oMathParaPr>
              <m:oMath>
                <m:r>
                  <m:rPr>
                    <m:sty m:val="p"/>
                  </m:rPr>
                  <w:rPr>
                    <w:rFonts w:ascii="Cambria Math" w:hAnsi="Cambria Math"/>
                  </w:rPr>
                  <m:t xml:space="preserve">allocation limits: </m:t>
                </m:r>
                <m:r>
                  <w:rPr>
                    <w:rFonts w:ascii="Cambria Math" w:hAnsi="Cambria Math"/>
                  </w:rPr>
                  <m:t>0≤</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j</m:t>
                        </m:r>
                      </m:sub>
                    </m:sSub>
                  </m:e>
                </m:d>
                <m:r>
                  <w:rPr>
                    <w:rFonts w:ascii="Cambria Math" w:hAnsi="Cambria Math"/>
                  </w:rPr>
                  <m:t>, ∀j</m:t>
                </m:r>
              </m:oMath>
            </m:oMathPara>
          </w:p>
          <w:p w14:paraId="4B49DA71" w14:textId="77777777" w:rsidR="00E243C7" w:rsidRDefault="00E243C7" w:rsidP="00D769E5">
            <w:pPr>
              <w:pStyle w:val="Paragraph"/>
              <w:ind w:left="720"/>
            </w:pPr>
          </w:p>
          <w:p w14:paraId="6B4DEB3A" w14:textId="77777777" w:rsidR="00DB39CD" w:rsidRPr="00D769E5" w:rsidRDefault="00DB39CD" w:rsidP="00877DDB">
            <w:pPr>
              <w:pStyle w:val="BPM"/>
            </w:pPr>
            <w:r w:rsidRPr="00E62C48">
              <w:t>When the net export</w:t>
            </w:r>
            <w:r>
              <w:t xml:space="preserve"> </w:t>
            </w:r>
            <w:r>
              <w:rPr>
                <w:i/>
              </w:rPr>
              <w:t>E</w:t>
            </w:r>
            <w:r>
              <w:t xml:space="preserve"> </w:t>
            </w:r>
            <w:r w:rsidRPr="00E62C48">
              <w:t xml:space="preserve">is zero or negative (import), the net export allocation constraint is not binding and all allocations </w:t>
            </w:r>
            <w:r>
              <w:rPr>
                <w:i/>
              </w:rPr>
              <w:t>E</w:t>
            </w:r>
            <w:r>
              <w:rPr>
                <w:i/>
                <w:vertAlign w:val="subscript"/>
              </w:rPr>
              <w:t>j</w:t>
            </w:r>
            <w:r>
              <w:t xml:space="preserve"> </w:t>
            </w:r>
            <w:r w:rsidRPr="00D769E5">
              <w:t>are zero.</w:t>
            </w:r>
          </w:p>
          <w:p w14:paraId="27460988" w14:textId="77777777" w:rsidR="00DB39CD" w:rsidRPr="00D769E5" w:rsidRDefault="00DB39CD" w:rsidP="00877DDB">
            <w:pPr>
              <w:pStyle w:val="BPM"/>
            </w:pPr>
            <w:r w:rsidRPr="00D769E5">
              <w:t>The LMPs are determined as follows:</w:t>
            </w:r>
          </w:p>
          <w:p w14:paraId="44E86AD1" w14:textId="77777777" w:rsidR="00DB39CD" w:rsidRDefault="007818F5" w:rsidP="00DB39CD">
            <w:pPr>
              <w:pStyle w:val="Paragraph"/>
              <w:ind w:left="720"/>
            </w:pPr>
            <m:oMathPara>
              <m:oMathParaPr>
                <m:jc m:val="left"/>
              </m:oMathParaPr>
              <m:oMath>
                <m:sSub>
                  <m:sSubPr>
                    <m:ctrlPr>
                      <w:rPr>
                        <w:rFonts w:ascii="Cambria Math" w:hAnsi="Cambria Math"/>
                        <w:i/>
                      </w:rPr>
                    </m:ctrlPr>
                  </m:sSubPr>
                  <m:e>
                    <m:r>
                      <w:rPr>
                        <w:rFonts w:ascii="Cambria Math" w:hAnsi="Cambria Math"/>
                      </w:rPr>
                      <m:t>LMP</m:t>
                    </m:r>
                  </m:e>
                  <m:sub>
                    <m:r>
                      <w:rPr>
                        <w:rFonts w:ascii="Cambria Math" w:hAnsi="Cambria Math"/>
                      </w:rPr>
                      <m:t>i</m:t>
                    </m:r>
                  </m:sub>
                </m:sSub>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nary>
                <m:r>
                  <w:rPr>
                    <w:rFonts w:ascii="Cambria Math" w:hAnsi="Cambria Math"/>
                  </w:rPr>
                  <m:t>, ∀i</m:t>
                </m:r>
              </m:oMath>
            </m:oMathPara>
          </w:p>
          <w:p w14:paraId="2356A78C" w14:textId="77777777" w:rsidR="00DB39CD" w:rsidRDefault="007818F5" w:rsidP="00DB39CD">
            <w:pPr>
              <w:pStyle w:val="Paragraph"/>
              <w:ind w:left="720"/>
            </w:pPr>
            <m:oMathPara>
              <m:oMathParaPr>
                <m:jc m:val="left"/>
              </m:oMathParaPr>
              <m:oMath>
                <m:sSub>
                  <m:sSubPr>
                    <m:ctrlPr>
                      <w:rPr>
                        <w:rFonts w:ascii="Cambria Math" w:hAnsi="Cambria Math"/>
                        <w:i/>
                      </w:rPr>
                    </m:ctrlPr>
                  </m:sSubPr>
                  <m:e>
                    <m:r>
                      <w:rPr>
                        <w:rFonts w:ascii="Cambria Math" w:hAnsi="Cambria Math"/>
                      </w:rPr>
                      <m:t>LMP</m:t>
                    </m:r>
                  </m:e>
                  <m:sub>
                    <m:r>
                      <w:rPr>
                        <w:rFonts w:ascii="Cambria Math" w:hAnsi="Cambria Math"/>
                      </w:rPr>
                      <m:t>j</m:t>
                    </m:r>
                  </m:sub>
                </m:sSub>
                <m:r>
                  <w:rPr>
                    <w:rFonts w:ascii="Cambria Math" w:hAnsi="Cambria Math"/>
                  </w:rPr>
                  <m:t>=λ+</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e>
                </m:nary>
                <m:r>
                  <w:rPr>
                    <w:rFonts w:ascii="Cambria Math" w:hAnsi="Cambria Math"/>
                  </w:rPr>
                  <m:t>+η, ∀j</m:t>
                </m:r>
              </m:oMath>
            </m:oMathPara>
          </w:p>
          <w:p w14:paraId="4E66749C" w14:textId="77777777" w:rsidR="00DB39CD" w:rsidRPr="00D769E5" w:rsidRDefault="00DB39CD" w:rsidP="00877DDB">
            <w:pPr>
              <w:pStyle w:val="BPM"/>
            </w:pPr>
            <w:r w:rsidRPr="00D769E5">
              <w:lastRenderedPageBreak/>
              <w:t>Where the marginal loss component is missing because transmission losses are ignored.</w:t>
            </w:r>
          </w:p>
          <w:p w14:paraId="4B945AD7" w14:textId="77777777" w:rsidR="00DB39CD" w:rsidRPr="00D769E5" w:rsidRDefault="00DB39CD" w:rsidP="00877DDB">
            <w:pPr>
              <w:pStyle w:val="BPM"/>
            </w:pPr>
            <w:r w:rsidRPr="00D769E5">
              <w:t>The greenhouse gas allowance revenue is calculated as follows:</w:t>
            </w:r>
          </w:p>
          <w:p w14:paraId="156DBF9A" w14:textId="77777777" w:rsidR="00DB39CD" w:rsidRDefault="007818F5" w:rsidP="00DB39CD">
            <w:pPr>
              <w:pStyle w:val="Paragraph"/>
              <w:ind w:left="72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=-η E</m:t>
                </m:r>
              </m:oMath>
            </m:oMathPara>
          </w:p>
          <w:p w14:paraId="2E5C3417" w14:textId="77777777" w:rsidR="00DB39CD" w:rsidRPr="00D769E5" w:rsidRDefault="00DB39CD" w:rsidP="00877DDB">
            <w:pPr>
              <w:pStyle w:val="BPM"/>
            </w:pPr>
            <w:r w:rsidRPr="00D769E5">
              <w:t>This revenue is then distributed to the optimal net imbalance energy export allocations as follows:</w:t>
            </w:r>
          </w:p>
          <w:p w14:paraId="2247123A" w14:textId="77777777" w:rsidR="00DB39CD" w:rsidRDefault="007818F5" w:rsidP="00DB39CD">
            <w:pPr>
              <w:pStyle w:val="Paragraph"/>
            </w:pPr>
            <m:oMathPara>
              <m:oMath>
                <m:sSub>
                  <m:sSubPr>
                    <m:ctrlPr>
                      <w:rPr>
                        <w:rFonts w:ascii="Cambria Math" w:hAnsi="Cambria Math"/>
                        <w:i/>
                      </w:rPr>
                    </m:ctrlPr>
                  </m:sSubPr>
                  <m:e>
                    <m:r>
                      <w:rPr>
                        <w:rFonts w:ascii="Cambria Math" w:hAnsi="Cambria Math"/>
                      </w:rPr>
                      <m:t>R</m:t>
                    </m:r>
                  </m:e>
                  <m:sub>
                    <m:r>
                      <w:rPr>
                        <w:rFonts w:ascii="Cambria Math" w:hAnsi="Cambria Math"/>
                      </w:rPr>
                      <m:t>Gj</m:t>
                    </m:r>
                  </m:sub>
                </m:sSub>
                <m:r>
                  <w:rPr>
                    <w:rFonts w:ascii="Cambria Math" w:hAnsi="Cambria Math"/>
                  </w:rPr>
                  <m:t xml:space="preserve">=-η </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tc>
      </w:tr>
    </w:tbl>
    <w:p w14:paraId="6F96D9DD" w14:textId="77777777" w:rsidR="001E7023" w:rsidRDefault="001E7023" w:rsidP="00D769E5">
      <w:pPr>
        <w:spacing w:after="240" w:line="300" w:lineRule="auto"/>
        <w:rPr>
          <w:rFonts w:eastAsia="Calibri"/>
        </w:rPr>
      </w:pPr>
    </w:p>
    <w:p w14:paraId="0930EB79" w14:textId="77777777" w:rsidR="00DB39CD" w:rsidRDefault="00DB39CD" w:rsidP="00C33762">
      <w:pPr>
        <w:pStyle w:val="Heading5"/>
      </w:pPr>
      <w:r>
        <w:t>Implementation Details</w:t>
      </w:r>
    </w:p>
    <w:p w14:paraId="34C641EC" w14:textId="071122A9" w:rsidR="00DB39CD" w:rsidRPr="00D769E5" w:rsidRDefault="00DB39CD" w:rsidP="00877DDB">
      <w:pPr>
        <w:pStyle w:val="BPM"/>
      </w:pPr>
      <w:r w:rsidRPr="00D769E5">
        <w:t>With non-EIM BAAs in the FNM, the net export allocation</w:t>
      </w:r>
      <w:r>
        <w:t xml:space="preserve"> </w:t>
      </w:r>
      <w:r>
        <w:rPr>
          <w:i/>
        </w:rPr>
        <w:t>E</w:t>
      </w:r>
      <w:r>
        <w:t xml:space="preserve"> </w:t>
      </w:r>
      <w:r w:rsidRPr="00D769E5">
        <w:t>in the formulation of</w:t>
      </w:r>
      <w:r>
        <w:t xml:space="preserve"> §</w:t>
      </w:r>
      <w:r w:rsidR="002957E6">
        <w:t>11.3.3.2.1</w:t>
      </w:r>
      <w:r>
        <w:t xml:space="preserve"> </w:t>
      </w:r>
      <w:r w:rsidRPr="00D769E5">
        <w:t>is the net EIM Transfer from all EIM BAAs, i.e., the opposite of the EIM Transfer for the CAISO BAA. When it is negative, i.e., an import to the EIM BAAs from the CAISO BAA, the net export allocation constraint is irrelevant (not binding) and its shadow price is zero. When it is positive, i.e., an export from the EIM BAAs to the CAISO BAA, the net export allocation constraint is binding and its shadow price may be nonzero. In the latter case, the positive EIM Transfer from all EIM BAAs must be allocated to EIM Participating Resources. There should be no allocation to EIM Non-Participating Resources because these resources do not bid in the EIM, thus they do not submit a GHG compliance bid.</w:t>
      </w:r>
    </w:p>
    <w:p w14:paraId="34DBC0B8" w14:textId="77777777" w:rsidR="00DB39CD" w:rsidRPr="00D8261A" w:rsidRDefault="00DB39CD" w:rsidP="00877DDB">
      <w:pPr>
        <w:pStyle w:val="BPM"/>
      </w:pPr>
      <w:r w:rsidRPr="00D769E5">
        <w:t>Specifically, in RTUC, since the net base EIM Transfer from all EIM BAAs is zero, the positive 15</w:t>
      </w:r>
      <w:r w:rsidR="00BA7FCD">
        <w:t>-</w:t>
      </w:r>
      <w:r w:rsidRPr="00D769E5">
        <w:t>min</w:t>
      </w:r>
      <w:r w:rsidR="00BA7FCD">
        <w:t>ute</w:t>
      </w:r>
      <w:r w:rsidRPr="00D769E5">
        <w:t xml:space="preserve"> net EIM Transfer must be allocated to the 15</w:t>
      </w:r>
      <w:r w:rsidR="00BA7FCD">
        <w:t>-</w:t>
      </w:r>
      <w:r w:rsidRPr="00D769E5">
        <w:t>min</w:t>
      </w:r>
      <w:r w:rsidR="00BA7FCD">
        <w:t>ute</w:t>
      </w:r>
      <w:r w:rsidRPr="00D769E5">
        <w:t xml:space="preserve"> schedule of EIM Participating Resources. This allocation considers the </w:t>
      </w:r>
      <w:r w:rsidRPr="00D769E5">
        <w:rPr>
          <w:u w:val="single"/>
        </w:rPr>
        <w:t>entire</w:t>
      </w:r>
      <w:r w:rsidRPr="00D769E5">
        <w:t xml:space="preserve"> 15</w:t>
      </w:r>
      <w:r w:rsidR="00BA7FCD">
        <w:t>-</w:t>
      </w:r>
      <w:r w:rsidRPr="00D8261A">
        <w:t>min</w:t>
      </w:r>
      <w:r w:rsidR="00BA7FCD">
        <w:t>ute</w:t>
      </w:r>
      <w:r w:rsidRPr="00D8261A">
        <w:t xml:space="preserve"> schedule and not only the incremental portion above the base schedule. This is because the energy from these resources is used for meeting imbalance energy requirements in the EIM BAAs as well as supplying energy exports to the CAISO BAA. Therefore, it can be argued that these resources could potentially be decremented below their base schedule absorbing negative imbalance energy to meet imbalance energy requirements in the EIM BAAs, while producing positive imbalance energy to supply exports to the CAISO BAAs. Hence, it is conceivable that the imbalance energy export allocation quantity that receives GHG compliance revenue at the 15</w:t>
      </w:r>
      <w:r w:rsidR="00BA7FCD">
        <w:t>-</w:t>
      </w:r>
      <w:r w:rsidRPr="00D8261A">
        <w:t>min</w:t>
      </w:r>
      <w:r w:rsidR="00BA7FCD">
        <w:t>ute</w:t>
      </w:r>
      <w:r w:rsidRPr="00D8261A">
        <w:t xml:space="preserve"> marginal GHG compliance price could exceed the 15</w:t>
      </w:r>
      <w:r w:rsidR="00BA7FCD">
        <w:t>-</w:t>
      </w:r>
      <w:r w:rsidRPr="00D8261A">
        <w:t>min</w:t>
      </w:r>
      <w:r w:rsidR="00BA7FCD">
        <w:t>ute</w:t>
      </w:r>
      <w:r w:rsidRPr="00D8261A">
        <w:t xml:space="preserve"> incremental imbalance energy that receives a 15</w:t>
      </w:r>
      <w:r w:rsidR="00BA7FCD">
        <w:t>-</w:t>
      </w:r>
      <w:r w:rsidRPr="00D8261A">
        <w:t>min</w:t>
      </w:r>
      <w:r w:rsidR="00BA7FCD">
        <w:t>ute</w:t>
      </w:r>
      <w:r w:rsidRPr="00D8261A">
        <w:t xml:space="preserve"> imbalance energy settlement, both on an EIM Participating Resource level, and overall.</w:t>
      </w:r>
    </w:p>
    <w:p w14:paraId="6D7D1F58" w14:textId="77777777" w:rsidR="00DB39CD" w:rsidRPr="00D8261A" w:rsidRDefault="00DB39CD" w:rsidP="00877DDB">
      <w:pPr>
        <w:pStyle w:val="BPM"/>
      </w:pPr>
      <w:r w:rsidRPr="00D8261A">
        <w:t>In RTD, the mathematical formulation is no different than in RTUC: the positive 5</w:t>
      </w:r>
      <w:r w:rsidR="00BA7FCD">
        <w:t>-</w:t>
      </w:r>
      <w:r w:rsidRPr="00D8261A">
        <w:t>min</w:t>
      </w:r>
      <w:r w:rsidR="00BA7FCD">
        <w:t>ute</w:t>
      </w:r>
      <w:r w:rsidRPr="00D8261A">
        <w:t xml:space="preserve"> net EIM Transfer must be allocated to the 5</w:t>
      </w:r>
      <w:r w:rsidR="00BA7FCD">
        <w:t>-</w:t>
      </w:r>
      <w:r w:rsidRPr="00D8261A">
        <w:t>min</w:t>
      </w:r>
      <w:r w:rsidR="00BA7FCD">
        <w:t>ute</w:t>
      </w:r>
      <w:r w:rsidRPr="00D8261A">
        <w:t xml:space="preserve"> dispatch of EIM Participating Resources. Similarly, to the RTUC allocation, the 5</w:t>
      </w:r>
      <w:r w:rsidR="00BA7FCD">
        <w:t>-</w:t>
      </w:r>
      <w:r w:rsidRPr="00D8261A">
        <w:t>min</w:t>
      </w:r>
      <w:r w:rsidR="00BA7FCD">
        <w:t>ute</w:t>
      </w:r>
      <w:r w:rsidRPr="00D8261A">
        <w:t xml:space="preserve"> allocation considers the </w:t>
      </w:r>
      <w:r w:rsidRPr="00D8261A">
        <w:rPr>
          <w:u w:val="single"/>
        </w:rPr>
        <w:t>entire</w:t>
      </w:r>
      <w:r w:rsidRPr="00D8261A">
        <w:t xml:space="preserve"> 5</w:t>
      </w:r>
      <w:r w:rsidR="00BA7FCD">
        <w:t>-</w:t>
      </w:r>
      <w:r w:rsidRPr="00D8261A">
        <w:t>min</w:t>
      </w:r>
      <w:r w:rsidR="00BA7FCD">
        <w:t>ute</w:t>
      </w:r>
      <w:r w:rsidRPr="00D8261A">
        <w:t xml:space="preserve"> dispatch and not only the incremental portion above the 15</w:t>
      </w:r>
      <w:r w:rsidR="00BA7FCD">
        <w:t>-</w:t>
      </w:r>
      <w:r w:rsidRPr="00D8261A">
        <w:t>min</w:t>
      </w:r>
      <w:r w:rsidR="00BA7FCD">
        <w:t>ute</w:t>
      </w:r>
      <w:r w:rsidRPr="00D8261A">
        <w:t xml:space="preserve"> schedule or the base schedule. However, the settlement for </w:t>
      </w:r>
      <w:r w:rsidRPr="00D8261A">
        <w:lastRenderedPageBreak/>
        <w:t>the 5</w:t>
      </w:r>
      <w:r w:rsidR="00BA7FCD">
        <w:t>-</w:t>
      </w:r>
      <w:r w:rsidRPr="00D8261A">
        <w:t>min</w:t>
      </w:r>
      <w:r w:rsidR="00BA7FCD">
        <w:t>ute</w:t>
      </w:r>
      <w:r w:rsidRPr="00D8261A">
        <w:t xml:space="preserve"> GHG compliance revenue at the 5</w:t>
      </w:r>
      <w:r w:rsidR="00BA7FCD">
        <w:t>-</w:t>
      </w:r>
      <w:r w:rsidRPr="00D8261A">
        <w:t>min</w:t>
      </w:r>
      <w:r w:rsidR="00BA7FCD">
        <w:t>ute</w:t>
      </w:r>
      <w:r w:rsidRPr="00D8261A">
        <w:t xml:space="preserve"> marginal GHG compliance price is for the algebraic deviation of the imbalance energy export allocation between the 5</w:t>
      </w:r>
      <w:r w:rsidR="00BA7FCD">
        <w:t>-</w:t>
      </w:r>
      <w:r w:rsidRPr="00D8261A">
        <w:t>min</w:t>
      </w:r>
      <w:r w:rsidR="00BA7FCD">
        <w:t>ute</w:t>
      </w:r>
      <w:r w:rsidRPr="00D8261A">
        <w:t xml:space="preserve"> and the 15</w:t>
      </w:r>
      <w:r w:rsidR="00BA7FCD">
        <w:t>-</w:t>
      </w:r>
      <w:r w:rsidRPr="00D8261A">
        <w:t>min</w:t>
      </w:r>
      <w:r w:rsidR="00BA7FCD">
        <w:t>ute</w:t>
      </w:r>
      <w:r w:rsidRPr="00D8261A">
        <w:t xml:space="preserve"> quantities. If the 5</w:t>
      </w:r>
      <w:r w:rsidR="00BA7FCD">
        <w:t>-</w:t>
      </w:r>
      <w:r w:rsidRPr="00D8261A">
        <w:t>min</w:t>
      </w:r>
      <w:r w:rsidR="00BA7FCD">
        <w:t>ute</w:t>
      </w:r>
      <w:r w:rsidRPr="00D8261A">
        <w:t xml:space="preserve"> allocation is lower than the 15</w:t>
      </w:r>
      <w:r w:rsidR="009D57CA">
        <w:t>-</w:t>
      </w:r>
      <w:r w:rsidRPr="00831D03">
        <w:t>min</w:t>
      </w:r>
      <w:r w:rsidR="009D57CA">
        <w:t>ute</w:t>
      </w:r>
      <w:r w:rsidRPr="00831D03">
        <w:t xml:space="preserve"> allocation, the participant will buy back the difference at the 5</w:t>
      </w:r>
      <w:r w:rsidR="009D57CA">
        <w:t>-</w:t>
      </w:r>
      <w:r w:rsidRPr="00831D03">
        <w:t>min</w:t>
      </w:r>
      <w:r w:rsidR="009D57CA">
        <w:t>ute</w:t>
      </w:r>
      <w:r w:rsidRPr="00831D03">
        <w:t xml:space="preserve"> marginal GHG compliance price. Nevertheless, since the imbalance energy export allocation is optimally determined in both RTUC and RTD based on the GHG compliance bids, the net settlement will not result in a financial loss. The participant will be required to report to CARB only the 5</w:t>
      </w:r>
      <w:r w:rsidR="009D57CA">
        <w:t>-</w:t>
      </w:r>
      <w:r w:rsidRPr="00831D03">
        <w:t>min</w:t>
      </w:r>
      <w:r w:rsidR="009D57CA">
        <w:t>ute</w:t>
      </w:r>
      <w:r w:rsidRPr="00831D03">
        <w:t xml:space="preserve"> imbalance energy export allocations from RTD, for which they may need to acquire emission credits.</w:t>
      </w:r>
    </w:p>
    <w:p w14:paraId="74285E43" w14:textId="77777777" w:rsidR="00DB39CD" w:rsidRDefault="00DB39CD" w:rsidP="00C33762">
      <w:pPr>
        <w:pStyle w:val="Heading5"/>
      </w:pPr>
      <w:r>
        <w:t>Examples</w:t>
      </w:r>
    </w:p>
    <w:p w14:paraId="4BB534BD" w14:textId="77777777" w:rsidR="009D57CA" w:rsidRDefault="00DB39CD" w:rsidP="00877DDB">
      <w:pPr>
        <w:pStyle w:val="BPM"/>
      </w:pPr>
      <w:r w:rsidRPr="00D8261A">
        <w:t>The following examples show the application of this method</w:t>
      </w:r>
      <w:r w:rsidR="00FC6F91">
        <w:t>:</w:t>
      </w:r>
    </w:p>
    <w:p w14:paraId="01B50F01" w14:textId="77777777" w:rsidR="00DB39CD" w:rsidRDefault="00DB39CD" w:rsidP="00DB39CD">
      <w:pPr>
        <w:pStyle w:val="Paragraph"/>
        <w:rPr>
          <w:rFonts w:ascii="Arial" w:hAnsi="Arial" w:cs="Arial"/>
        </w:rPr>
      </w:pPr>
    </w:p>
    <w:p w14:paraId="1A0D52C3" w14:textId="77777777" w:rsidR="00FC6F91" w:rsidRPr="00877DDB" w:rsidRDefault="00FC6F91" w:rsidP="00877DDB">
      <w:pPr>
        <w:pStyle w:val="Heading5"/>
        <w:numPr>
          <w:ilvl w:val="0"/>
          <w:numId w:val="0"/>
        </w:numPr>
        <w:ind w:left="1080" w:hanging="1080"/>
        <w:rPr>
          <w:rFonts w:ascii="Arial" w:hAnsi="Arial" w:cs="Arial"/>
        </w:rPr>
      </w:pPr>
      <w:r w:rsidRPr="00877DDB">
        <w:rPr>
          <w:rFonts w:ascii="Arial" w:hAnsi="Arial" w:cs="Arial"/>
        </w:rPr>
        <w:t>Example 1</w:t>
      </w:r>
    </w:p>
    <w:p w14:paraId="0C2CBB91" w14:textId="77777777" w:rsidR="00FC6F91" w:rsidRDefault="00DB39CD" w:rsidP="00877DDB">
      <w:pPr>
        <w:pStyle w:val="BPM"/>
      </w:pPr>
      <w:r w:rsidRPr="00FC6F91">
        <w:t>One generator and a load are in the CAISO, and two generators and a load are in the EIM Entity BAA, as shown in the figure below.</w:t>
      </w:r>
    </w:p>
    <w:p w14:paraId="2B24610D" w14:textId="77777777" w:rsidR="00DB39CD" w:rsidRPr="00FC6F91" w:rsidRDefault="00DB39CD" w:rsidP="00D8261A">
      <w:r w:rsidRPr="00FC6F91">
        <w:t xml:space="preserve"> </w:t>
      </w:r>
    </w:p>
    <w:p w14:paraId="2DABEC1E" w14:textId="77777777" w:rsidR="00DB39CD" w:rsidRDefault="00DB39CD" w:rsidP="00DB39CD">
      <w:pPr>
        <w:pStyle w:val="Figure"/>
      </w:pPr>
      <w:r>
        <w:rPr>
          <w:noProof/>
        </w:rPr>
        <mc:AlternateContent>
          <mc:Choice Requires="wpc">
            <w:drawing>
              <wp:inline distT="0" distB="0" distL="0" distR="0" wp14:anchorId="1E609993" wp14:editId="7AF05831">
                <wp:extent cx="5943600" cy="2707640"/>
                <wp:effectExtent l="9525" t="0" r="0" b="0"/>
                <wp:docPr id="30"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Oval 2"/>
                        <wps:cNvSpPr>
                          <a:spLocks noChangeArrowheads="1"/>
                        </wps:cNvSpPr>
                        <wps:spPr bwMode="auto">
                          <a:xfrm>
                            <a:off x="0" y="24100"/>
                            <a:ext cx="2629200" cy="2628639"/>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9888D02" w14:textId="77777777" w:rsidR="00F55122" w:rsidRDefault="00F55122" w:rsidP="00DB39CD">
                              <w:pPr>
                                <w:jc w:val="center"/>
                                <w:rPr>
                                  <w:color w:val="000000" w:themeColor="text1"/>
                                </w:rPr>
                              </w:pPr>
                              <w:r>
                                <w:rPr>
                                  <w:color w:val="000000" w:themeColor="text1"/>
                                </w:rPr>
                                <w:t>CAISO</w:t>
                              </w:r>
                            </w:p>
                          </w:txbxContent>
                        </wps:txbx>
                        <wps:bodyPr rot="0" vert="horz" wrap="square" lIns="91440" tIns="45720" rIns="91440" bIns="45720" anchor="ctr" anchorCtr="0" upright="1">
                          <a:noAutofit/>
                        </wps:bodyPr>
                      </wps:wsp>
                      <wps:wsp>
                        <wps:cNvPr id="4" name="Oval 3"/>
                        <wps:cNvSpPr>
                          <a:spLocks noChangeArrowheads="1"/>
                        </wps:cNvSpPr>
                        <wps:spPr bwMode="auto">
                          <a:xfrm>
                            <a:off x="3306400" y="24100"/>
                            <a:ext cx="2629200" cy="2628939"/>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FA9A8B3" w14:textId="77777777" w:rsidR="00F55122" w:rsidRDefault="00F55122" w:rsidP="00DB39CD">
                              <w:pPr>
                                <w:jc w:val="center"/>
                                <w:rPr>
                                  <w:vanish/>
                                  <w:color w:val="000000" w:themeColor="text1"/>
                                </w:rPr>
                              </w:pPr>
                              <w:r>
                                <w:rPr>
                                  <w:vanish/>
                                  <w:color w:val="000000" w:themeColor="text1"/>
                                </w:rPr>
                                <w:t>Gree)ationl solution is as follows:</w:t>
                              </w:r>
                            </w:p>
                            <w:p w14:paraId="7AB99026" w14:textId="77777777" w:rsidR="00F55122" w:rsidRDefault="00F55122" w:rsidP="00DB39CD">
                              <w:pPr>
                                <w:jc w:val="center"/>
                                <w:rPr>
                                  <w:color w:val="000000" w:themeColor="text1"/>
                                </w:rPr>
                              </w:pPr>
                              <w:r>
                                <w:rPr>
                                  <w:vanish/>
                                  <w:color w:val="000000" w:themeColor="text1"/>
                                </w:rPr>
                                <w:t xml:space="preserve"> EIM Entity BAAa</w:t>
                              </w:r>
                              <w:r>
                                <w:rPr>
                                  <w:color w:val="000000" w:themeColor="text1"/>
                                </w:rPr>
                                <w:t>EIM Entity BAA</w:t>
                              </w:r>
                            </w:p>
                          </w:txbxContent>
                        </wps:txbx>
                        <wps:bodyPr rot="0" vert="horz" wrap="square" lIns="91440" tIns="45720" rIns="91440" bIns="45720" anchor="ctr" anchorCtr="0" upright="1">
                          <a:noAutofit/>
                        </wps:bodyPr>
                      </wps:wsp>
                      <wps:wsp>
                        <wps:cNvPr id="5" name="Straight Connector 4"/>
                        <wps:cNvCnPr/>
                        <wps:spPr bwMode="auto">
                          <a:xfrm flipH="1">
                            <a:off x="2451700" y="1316519"/>
                            <a:ext cx="102870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 name="Straight Connector 5"/>
                        <wps:cNvCnPr/>
                        <wps:spPr bwMode="auto">
                          <a:xfrm flipH="1">
                            <a:off x="1994500" y="387406"/>
                            <a:ext cx="194310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Straight Connector 6"/>
                        <wps:cNvCnPr/>
                        <wps:spPr bwMode="auto">
                          <a:xfrm flipH="1">
                            <a:off x="1994500" y="2245733"/>
                            <a:ext cx="194310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8" name="Group 22"/>
                        <wpg:cNvGrpSpPr>
                          <a:grpSpLocks/>
                        </wpg:cNvGrpSpPr>
                        <wpg:grpSpPr bwMode="auto">
                          <a:xfrm>
                            <a:off x="508600" y="574008"/>
                            <a:ext cx="689600" cy="457207"/>
                            <a:chOff x="5086" y="3876"/>
                            <a:chExt cx="6896" cy="4572"/>
                          </a:xfrm>
                        </wpg:grpSpPr>
                        <wps:wsp>
                          <wps:cNvPr id="9" name="Oval 7"/>
                          <wps:cNvSpPr>
                            <a:spLocks noChangeArrowheads="1"/>
                          </wps:cNvSpPr>
                          <wps:spPr bwMode="auto">
                            <a:xfrm>
                              <a:off x="5086" y="3876"/>
                              <a:ext cx="4572" cy="4572"/>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106C6C2" w14:textId="77777777" w:rsidR="00F55122" w:rsidRDefault="00F55122" w:rsidP="00DB39CD">
                                <w:pPr>
                                  <w:jc w:val="center"/>
                                  <w:rPr>
                                    <w:color w:val="000000" w:themeColor="text1"/>
                                    <w:vertAlign w:val="subscript"/>
                                  </w:rPr>
                                </w:pPr>
                                <w:r>
                                  <w:rPr>
                                    <w:color w:val="000000" w:themeColor="text1"/>
                                  </w:rPr>
                                  <w:t>G</w:t>
                                </w:r>
                                <w:r>
                                  <w:rPr>
                                    <w:color w:val="000000" w:themeColor="text1"/>
                                    <w:vertAlign w:val="subscript"/>
                                  </w:rPr>
                                  <w:t>1</w:t>
                                </w:r>
                              </w:p>
                            </w:txbxContent>
                          </wps:txbx>
                          <wps:bodyPr rot="0" vert="horz" wrap="square" lIns="0" tIns="45720" rIns="0" bIns="45720" anchor="ctr" anchorCtr="0" upright="1">
                            <a:noAutofit/>
                          </wps:bodyPr>
                        </wps:wsp>
                        <wps:wsp>
                          <wps:cNvPr id="10" name="Straight Connector 8"/>
                          <wps:cNvCnPr/>
                          <wps:spPr bwMode="auto">
                            <a:xfrm flipV="1">
                              <a:off x="9658" y="6161"/>
                              <a:ext cx="2286" cy="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Straight Connector 9"/>
                          <wps:cNvCnPr/>
                          <wps:spPr bwMode="auto">
                            <a:xfrm>
                              <a:off x="11982" y="3876"/>
                              <a:ext cx="0" cy="4572"/>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2" name="Group 35"/>
                        <wpg:cNvGrpSpPr>
                          <a:grpSpLocks/>
                        </wpg:cNvGrpSpPr>
                        <wpg:grpSpPr bwMode="auto">
                          <a:xfrm>
                            <a:off x="4846300" y="574008"/>
                            <a:ext cx="691500" cy="457207"/>
                            <a:chOff x="48463" y="5740"/>
                            <a:chExt cx="6915" cy="4572"/>
                          </a:xfrm>
                        </wpg:grpSpPr>
                        <wps:wsp>
                          <wps:cNvPr id="13" name="Oval 10"/>
                          <wps:cNvSpPr>
                            <a:spLocks noChangeArrowheads="1"/>
                          </wps:cNvSpPr>
                          <wps:spPr bwMode="auto">
                            <a:xfrm>
                              <a:off x="50806" y="5740"/>
                              <a:ext cx="4572" cy="4572"/>
                            </a:xfrm>
                            <a:prstGeom prst="ellipse">
                              <a:avLst/>
                            </a:prstGeom>
                            <a:noFill/>
                            <a:ln w="1270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349A0F22" w14:textId="77777777" w:rsidR="00F55122" w:rsidRDefault="00F55122" w:rsidP="00DB39CD">
                                <w:pPr>
                                  <w:jc w:val="center"/>
                                  <w:rPr>
                                    <w:color w:val="008000"/>
                                    <w:vertAlign w:val="subscript"/>
                                  </w:rPr>
                                </w:pPr>
                                <w:r>
                                  <w:rPr>
                                    <w:color w:val="008000"/>
                                  </w:rPr>
                                  <w:t>G</w:t>
                                </w:r>
                                <w:r>
                                  <w:rPr>
                                    <w:color w:val="008000"/>
                                    <w:vertAlign w:val="subscript"/>
                                  </w:rPr>
                                  <w:t>2</w:t>
                                </w:r>
                              </w:p>
                            </w:txbxContent>
                          </wps:txbx>
                          <wps:bodyPr rot="0" vert="horz" wrap="square" lIns="0" tIns="45720" rIns="0" bIns="45720" anchor="ctr" anchorCtr="0" upright="1">
                            <a:noAutofit/>
                          </wps:bodyPr>
                        </wps:wsp>
                        <wps:wsp>
                          <wps:cNvPr id="14" name="Straight Connector 11"/>
                          <wps:cNvCnPr/>
                          <wps:spPr bwMode="auto">
                            <a:xfrm flipV="1">
                              <a:off x="48463" y="8049"/>
                              <a:ext cx="2286" cy="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Straight Connector 12"/>
                          <wps:cNvCnPr/>
                          <wps:spPr bwMode="auto">
                            <a:xfrm>
                              <a:off x="48463" y="5740"/>
                              <a:ext cx="0" cy="4572"/>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6" name="Oval 13"/>
                        <wps:cNvSpPr>
                          <a:spLocks noChangeArrowheads="1"/>
                        </wps:cNvSpPr>
                        <wps:spPr bwMode="auto">
                          <a:xfrm>
                            <a:off x="5086300" y="1602724"/>
                            <a:ext cx="457200" cy="457207"/>
                          </a:xfrm>
                          <a:prstGeom prst="ellipse">
                            <a:avLst/>
                          </a:prstGeom>
                          <a:noFill/>
                          <a:ln w="12700">
                            <a:solidFill>
                              <a:srgbClr val="663300"/>
                            </a:solidFill>
                            <a:round/>
                            <a:headEnd/>
                            <a:tailEnd/>
                          </a:ln>
                          <a:extLst>
                            <a:ext uri="{909E8E84-426E-40DD-AFC4-6F175D3DCCD1}">
                              <a14:hiddenFill xmlns:a14="http://schemas.microsoft.com/office/drawing/2010/main">
                                <a:solidFill>
                                  <a:srgbClr val="FFFFFF"/>
                                </a:solidFill>
                              </a14:hiddenFill>
                            </a:ext>
                          </a:extLst>
                        </wps:spPr>
                        <wps:txbx>
                          <w:txbxContent>
                            <w:p w14:paraId="5645D232" w14:textId="77777777" w:rsidR="00F55122" w:rsidRDefault="00F55122" w:rsidP="00DB39CD">
                              <w:pPr>
                                <w:jc w:val="center"/>
                                <w:rPr>
                                  <w:color w:val="663300"/>
                                  <w:vertAlign w:val="subscript"/>
                                </w:rPr>
                              </w:pPr>
                              <w:r>
                                <w:rPr>
                                  <w:color w:val="663300"/>
                                </w:rPr>
                                <w:t>G</w:t>
                              </w:r>
                              <w:r>
                                <w:rPr>
                                  <w:color w:val="663300"/>
                                  <w:vertAlign w:val="subscript"/>
                                </w:rPr>
                                <w:t>3</w:t>
                              </w:r>
                            </w:p>
                          </w:txbxContent>
                        </wps:txbx>
                        <wps:bodyPr rot="0" vert="horz" wrap="square" lIns="0" tIns="45720" rIns="0" bIns="45720" anchor="ctr" anchorCtr="0" upright="1">
                          <a:noAutofit/>
                        </wps:bodyPr>
                      </wps:wsp>
                      <wps:wsp>
                        <wps:cNvPr id="17" name="Straight Connector 14"/>
                        <wps:cNvCnPr/>
                        <wps:spPr bwMode="auto">
                          <a:xfrm flipV="1">
                            <a:off x="4852000" y="1831227"/>
                            <a:ext cx="22860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Straight Connector 15"/>
                        <wps:cNvCnPr/>
                        <wps:spPr bwMode="auto">
                          <a:xfrm>
                            <a:off x="4852000" y="1602724"/>
                            <a:ext cx="0" cy="457207"/>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9" name="Group 24"/>
                        <wpg:cNvGrpSpPr>
                          <a:grpSpLocks/>
                        </wpg:cNvGrpSpPr>
                        <wpg:grpSpPr bwMode="auto">
                          <a:xfrm>
                            <a:off x="622900" y="1510322"/>
                            <a:ext cx="457200" cy="549608"/>
                            <a:chOff x="13087" y="14722"/>
                            <a:chExt cx="4572" cy="5496"/>
                          </a:xfrm>
                        </wpg:grpSpPr>
                        <wps:wsp>
                          <wps:cNvPr id="20" name="Straight Connector 16"/>
                          <wps:cNvCnPr/>
                          <wps:spPr bwMode="auto">
                            <a:xfrm>
                              <a:off x="13087" y="15646"/>
                              <a:ext cx="0" cy="4572"/>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Straight Arrow Connector 17"/>
                          <wps:cNvCnPr>
                            <a:cxnSpLocks noChangeShapeType="1"/>
                          </wps:cNvCnPr>
                          <wps:spPr bwMode="auto">
                            <a:xfrm>
                              <a:off x="13087" y="17954"/>
                              <a:ext cx="3429" cy="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Text Box 18"/>
                          <wps:cNvSpPr txBox="1">
                            <a:spLocks noChangeArrowheads="1"/>
                          </wps:cNvSpPr>
                          <wps:spPr bwMode="auto">
                            <a:xfrm>
                              <a:off x="13087" y="14722"/>
                              <a:ext cx="4572" cy="3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038A88" w14:textId="77777777" w:rsidR="00F55122" w:rsidRDefault="00F55122" w:rsidP="00DB39CD">
                                <w:pPr>
                                  <w:rPr>
                                    <w:vertAlign w:val="subscript"/>
                                  </w:rPr>
                                </w:pPr>
                                <w:r>
                                  <w:t>L</w:t>
                                </w:r>
                                <w:r>
                                  <w:rPr>
                                    <w:vertAlign w:val="subscript"/>
                                  </w:rPr>
                                  <w:t>1</w:t>
                                </w:r>
                              </w:p>
                            </w:txbxContent>
                          </wps:txbx>
                          <wps:bodyPr rot="0" vert="horz" wrap="square" lIns="91440" tIns="45720" rIns="91440" bIns="45720" anchor="t" anchorCtr="0" upright="1">
                            <a:noAutofit/>
                          </wps:bodyPr>
                        </wps:wsp>
                      </wpg:wgp>
                      <wpg:wgp>
                        <wpg:cNvPr id="23" name="Group 25"/>
                        <wpg:cNvGrpSpPr>
                          <a:grpSpLocks/>
                        </wpg:cNvGrpSpPr>
                        <wpg:grpSpPr bwMode="auto">
                          <a:xfrm>
                            <a:off x="3823300" y="1510322"/>
                            <a:ext cx="457200" cy="549608"/>
                            <a:chOff x="14230" y="24340"/>
                            <a:chExt cx="4572" cy="5496"/>
                          </a:xfrm>
                        </wpg:grpSpPr>
                        <wps:wsp>
                          <wps:cNvPr id="24" name="Straight Connector 19"/>
                          <wps:cNvCnPr/>
                          <wps:spPr bwMode="auto">
                            <a:xfrm>
                              <a:off x="14230" y="25265"/>
                              <a:ext cx="0" cy="4571"/>
                            </a:xfrm>
                            <a:prstGeom prst="line">
                              <a:avLst/>
                            </a:prstGeom>
                            <a:noFill/>
                            <a:ln w="254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Straight Arrow Connector 20"/>
                          <wps:cNvCnPr>
                            <a:cxnSpLocks noChangeShapeType="1"/>
                          </wps:cNvCnPr>
                          <wps:spPr bwMode="auto">
                            <a:xfrm>
                              <a:off x="14230" y="27572"/>
                              <a:ext cx="3429" cy="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4230" y="24340"/>
                              <a:ext cx="4572" cy="3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EF5974" w14:textId="77777777" w:rsidR="00F55122" w:rsidRDefault="00F55122" w:rsidP="00DB39CD">
                                <w:pPr>
                                  <w:rPr>
                                    <w:vertAlign w:val="subscript"/>
                                  </w:rPr>
                                </w:pPr>
                                <w:r>
                                  <w:t>L</w:t>
                                </w:r>
                                <w:r>
                                  <w:rPr>
                                    <w:vertAlign w:val="subscript"/>
                                  </w:rPr>
                                  <w:t>2</w:t>
                                </w:r>
                              </w:p>
                            </w:txbxContent>
                          </wps:txbx>
                          <wps:bodyPr rot="0" vert="horz" wrap="square" lIns="91440" tIns="45720" rIns="91440" bIns="45720" anchor="t" anchorCtr="0" upright="1">
                            <a:noAutofit/>
                          </wps:bodyPr>
                        </wps:wsp>
                      </wpg:wgp>
                      <wps:wsp>
                        <wps:cNvPr id="27" name="Arc 27"/>
                        <wps:cNvSpPr>
                          <a:spLocks/>
                        </wps:cNvSpPr>
                        <wps:spPr bwMode="auto">
                          <a:xfrm flipH="1" flipV="1">
                            <a:off x="3023200" y="2600"/>
                            <a:ext cx="1485900" cy="2628539"/>
                          </a:xfrm>
                          <a:custGeom>
                            <a:avLst/>
                            <a:gdLst>
                              <a:gd name="T0" fmla="*/ 1060983 w 1485900"/>
                              <a:gd name="T1" fmla="*/ 126502 h 2628519"/>
                              <a:gd name="T2" fmla="*/ 1485873 w 1485900"/>
                              <a:gd name="T3" fmla="*/ 1302937 h 2628519"/>
                              <a:gd name="T4" fmla="*/ 1091861 w 1485900"/>
                              <a:gd name="T5" fmla="*/ 2474573 h 2628519"/>
                              <a:gd name="T6" fmla="*/ 0 60000 65536"/>
                              <a:gd name="T7" fmla="*/ 0 60000 65536"/>
                              <a:gd name="T8" fmla="*/ 0 60000 65536"/>
                            </a:gdLst>
                            <a:ahLst/>
                            <a:cxnLst>
                              <a:cxn ang="T6">
                                <a:pos x="T0" y="T1"/>
                              </a:cxn>
                              <a:cxn ang="T7">
                                <a:pos x="T2" y="T3"/>
                              </a:cxn>
                              <a:cxn ang="T8">
                                <a:pos x="T4" y="T5"/>
                              </a:cxn>
                            </a:cxnLst>
                            <a:rect l="0" t="0" r="r" b="b"/>
                            <a:pathLst>
                              <a:path w="1485900" h="2628519" stroke="0">
                                <a:moveTo>
                                  <a:pt x="1060983" y="126502"/>
                                </a:moveTo>
                                <a:cubicBezTo>
                                  <a:pt x="1318375" y="342168"/>
                                  <a:pt x="1483419" y="799143"/>
                                  <a:pt x="1485873" y="1302937"/>
                                </a:cubicBezTo>
                                <a:cubicBezTo>
                                  <a:pt x="1488259" y="1792871"/>
                                  <a:pt x="1336388" y="2244478"/>
                                  <a:pt x="1091861" y="2474573"/>
                                </a:cubicBezTo>
                                <a:lnTo>
                                  <a:pt x="742950" y="1314260"/>
                                </a:lnTo>
                                <a:lnTo>
                                  <a:pt x="1060983" y="126502"/>
                                </a:lnTo>
                                <a:close/>
                              </a:path>
                              <a:path w="1485900" h="2628519" fill="none">
                                <a:moveTo>
                                  <a:pt x="1060983" y="126502"/>
                                </a:moveTo>
                                <a:cubicBezTo>
                                  <a:pt x="1318375" y="342168"/>
                                  <a:pt x="1483419" y="799143"/>
                                  <a:pt x="1485873" y="1302937"/>
                                </a:cubicBezTo>
                                <a:cubicBezTo>
                                  <a:pt x="1488259" y="1792871"/>
                                  <a:pt x="1336388" y="2244478"/>
                                  <a:pt x="1091861" y="2474573"/>
                                </a:cubicBezTo>
                              </a:path>
                            </a:pathLst>
                          </a:custGeom>
                          <a:noFill/>
                          <a:ln w="9525">
                            <a:solidFill>
                              <a:schemeClr val="tx1">
                                <a:lumMod val="100000"/>
                                <a:lumOff val="0"/>
                              </a:schemeClr>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Text Box 21"/>
                        <wps:cNvSpPr txBox="1">
                          <a:spLocks noChangeArrowheads="1"/>
                        </wps:cNvSpPr>
                        <wps:spPr bwMode="auto">
                          <a:xfrm>
                            <a:off x="2579300" y="503107"/>
                            <a:ext cx="457200" cy="32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633E66" w14:textId="77777777" w:rsidR="00F55122" w:rsidRDefault="00F55122" w:rsidP="00DB39CD">
                              <w:pPr>
                                <w:pStyle w:val="NormalWeb"/>
                                <w:spacing w:before="0" w:beforeAutospacing="0" w:after="0" w:afterAutospacing="0"/>
                                <w:jc w:val="right"/>
                                <w:rPr>
                                  <w:i/>
                                </w:rPr>
                              </w:pPr>
                              <w:r>
                                <w:rPr>
                                  <w:rFonts w:eastAsia="Times New Roman"/>
                                  <w:i/>
                                  <w:kern w:val="16"/>
                                </w:rPr>
                                <w:t>E</w:t>
                              </w:r>
                            </w:p>
                          </w:txbxContent>
                        </wps:txbx>
                        <wps:bodyPr rot="0" vert="horz" wrap="square" lIns="91440" tIns="45720" rIns="91440" bIns="45720" anchor="t" anchorCtr="0" upright="1">
                          <a:noAutofit/>
                        </wps:bodyPr>
                      </wps:wsp>
                      <wps:wsp>
                        <wps:cNvPr id="29" name="Straight Arrow Connector 29"/>
                        <wps:cNvCnPr>
                          <a:cxnSpLocks noChangeShapeType="1"/>
                        </wps:cNvCnPr>
                        <wps:spPr bwMode="auto">
                          <a:xfrm flipH="1">
                            <a:off x="2680300" y="819312"/>
                            <a:ext cx="571500" cy="0"/>
                          </a:xfrm>
                          <a:prstGeom prst="straightConnector1">
                            <a:avLst/>
                          </a:prstGeom>
                          <a:noFill/>
                          <a:ln w="12700" cmpd="dbl">
                            <a:solidFill>
                              <a:schemeClr val="tx1">
                                <a:lumMod val="100000"/>
                                <a:lumOff val="0"/>
                              </a:schemeClr>
                            </a:solidFill>
                            <a:round/>
                            <a:headEnd/>
                            <a:tailEnd type="stealth"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1E609993" id="Canvas 30" o:spid="_x0000_s1026" editas="canvas" style="width:468pt;height:213.2pt;mso-position-horizontal-relative:char;mso-position-vertical-relative:line" coordsize="59436,2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">
                <v:shape id="_x0000_s1027" type="#_x0000_t75" style="position:absolute;width:59436;height:27076;visibility:visible;mso-wrap-style:square">
                  <v:fill o:detectmouseclick="t"/>
                  <v:path o:connecttype="none"/>
                </v:shape>
                <v:oval id="Oval 2" o:spid="_x0000_s1028" style="position:absolute;top:241;width:26292;height:2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" filled="f" strokecolor="black [3213]" strokeweight="1pt">
                  <v:textbox>
                    <w:txbxContent>
                      <w:p w14:paraId="39888D02" w14:textId="77777777" w:rsidR="00F55122" w:rsidRDefault="00F55122" w:rsidP="00DB39CD">
                        <w:pPr>
                          <w:jc w:val="center"/>
                          <w:rPr>
                            <w:color w:val="000000" w:themeColor="text1"/>
                          </w:rPr>
                        </w:pPr>
                        <w:r>
                          <w:rPr>
                            <w:color w:val="000000" w:themeColor="text1"/>
                          </w:rPr>
                          <w:t>CAISO</w:t>
                        </w:r>
                      </w:p>
                    </w:txbxContent>
                  </v:textbox>
                </v:oval>
                <v:oval id="Oval 3" o:spid="_x0000_s1029" style="position:absolute;left:33064;top:241;width:26292;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" filled="f" strokecolor="black [3213]" strokeweight="1pt">
                  <v:textbox>
                    <w:txbxContent>
                      <w:p w14:paraId="0FA9A8B3" w14:textId="77777777" w:rsidR="00F55122" w:rsidRDefault="00F55122" w:rsidP="00DB39CD">
                        <w:pPr>
                          <w:jc w:val="center"/>
                          <w:rPr>
                            <w:vanish/>
                            <w:color w:val="000000" w:themeColor="text1"/>
                          </w:rPr>
                        </w:pPr>
                        <w:r>
                          <w:rPr>
                            <w:vanish/>
                            <w:color w:val="000000" w:themeColor="text1"/>
                          </w:rPr>
                          <w:t>Gree)ationl solution is as follows:</w:t>
                        </w:r>
                      </w:p>
                      <w:p w14:paraId="7AB99026" w14:textId="77777777" w:rsidR="00F55122" w:rsidRDefault="00F55122" w:rsidP="00DB39CD">
                        <w:pPr>
                          <w:jc w:val="center"/>
                          <w:rPr>
                            <w:color w:val="000000" w:themeColor="text1"/>
                          </w:rPr>
                        </w:pPr>
                        <w:r>
                          <w:rPr>
                            <w:vanish/>
                            <w:color w:val="000000" w:themeColor="text1"/>
                          </w:rPr>
                          <w:t xml:space="preserve"> EIM Entity BAAa</w:t>
                        </w:r>
                        <w:r>
                          <w:rPr>
                            <w:color w:val="000000" w:themeColor="text1"/>
                          </w:rPr>
                          <w:t>EIM Entity BAA</w:t>
                        </w:r>
                      </w:p>
                    </w:txbxContent>
                  </v:textbox>
                </v:oval>
                <v:line id="Straight Connector 4" o:spid="_x0000_s1030" style="position:absolute;flip:x;visibility:visible;mso-wrap-style:square" from="24517,13165" to="34804,1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" strokecolor="black [3213]" strokeweight="1pt"/>
                <v:line id="Straight Connector 5" o:spid="_x0000_s1031" style="position:absolute;flip:x;visibility:visible;mso-wrap-style:square" from="19945,3874" to="39376,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" strokecolor="black [3213]" strokeweight="1pt"/>
                <v:line id="Straight Connector 6" o:spid="_x0000_s1032" style="position:absolute;flip:x;visibility:visible;mso-wrap-style:square" from="19945,22457" to="39376,2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" strokecolor="black [3213]" strokeweight="1pt"/>
                <v:group id="Group 22" o:spid="_x0000_s1033" style="position:absolute;left:5086;top:5740;width:6896;height:4572" coordorigin="5086,3876" coordsize="689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7" o:spid="_x0000_s1034" style="position:absolute;left:5086;top:3876;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" filled="f" strokecolor="black [3213]" strokeweight="1pt">
                    <v:textbox inset="0,,0">
                      <w:txbxContent>
                        <w:p w14:paraId="0106C6C2" w14:textId="77777777" w:rsidR="00F55122" w:rsidRDefault="00F55122" w:rsidP="00DB39CD">
                          <w:pPr>
                            <w:jc w:val="center"/>
                            <w:rPr>
                              <w:color w:val="000000" w:themeColor="text1"/>
                              <w:vertAlign w:val="subscript"/>
                            </w:rPr>
                          </w:pPr>
                          <w:r>
                            <w:rPr>
                              <w:color w:val="000000" w:themeColor="text1"/>
                            </w:rPr>
                            <w:t>G</w:t>
                          </w:r>
                          <w:r>
                            <w:rPr>
                              <w:color w:val="000000" w:themeColor="text1"/>
                              <w:vertAlign w:val="subscript"/>
                            </w:rPr>
                            <w:t>1</w:t>
                          </w:r>
                        </w:p>
                      </w:txbxContent>
                    </v:textbox>
                  </v:oval>
                  <v:line id="Straight Connector 8" o:spid="_x0000_s1035" style="position:absolute;flip:y;visibility:visible;mso-wrap-style:square" from="9658,6161" to="11944,6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" strokecolor="black [3213]" strokeweight="1pt"/>
                  <v:line id="Straight Connector 9" o:spid="_x0000_s1036" style="position:absolute;visibility:visible;mso-wrap-style:square" from="11982,3876" to="11982,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" strokecolor="black [3213]" strokeweight="2pt"/>
                </v:group>
                <v:group id="Group 35" o:spid="_x0000_s1037" style="position:absolute;left:48463;top:5740;width:6915;height:4572" coordorigin="48463,5740" coordsize="69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0" o:spid="_x0000_s1038" style="position:absolute;left:50806;top:574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" filled="f" strokecolor="green" strokeweight="1pt">
                    <v:textbox inset="0,,0">
                      <w:txbxContent>
                        <w:p w14:paraId="349A0F22" w14:textId="77777777" w:rsidR="00F55122" w:rsidRDefault="00F55122" w:rsidP="00DB39CD">
                          <w:pPr>
                            <w:jc w:val="center"/>
                            <w:rPr>
                              <w:color w:val="008000"/>
                              <w:vertAlign w:val="subscript"/>
                            </w:rPr>
                          </w:pPr>
                          <w:r>
                            <w:rPr>
                              <w:color w:val="008000"/>
                            </w:rPr>
                            <w:t>G</w:t>
                          </w:r>
                          <w:r>
                            <w:rPr>
                              <w:color w:val="008000"/>
                              <w:vertAlign w:val="subscript"/>
                            </w:rPr>
                            <w:t>2</w:t>
                          </w:r>
                        </w:p>
                      </w:txbxContent>
                    </v:textbox>
                  </v:oval>
                  <v:line id="Straight Connector 11" o:spid="_x0000_s1039" style="position:absolute;flip:y;visibility:visible;mso-wrap-style:square" from="48463,8049" to="50749,8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line id="Straight Connector 12" o:spid="_x0000_s1040" style="position:absolute;visibility:visible;mso-wrap-style:square" from="48463,5740" to="48463,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" strokecolor="black [3213]" strokeweight="2pt"/>
                </v:group>
                <v:oval id="Oval 13" o:spid="_x0000_s1041" style="position:absolute;left:50863;top:1602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" filled="f" strokecolor="#630" strokeweight="1pt">
                  <v:textbox inset="0,,0">
                    <w:txbxContent>
                      <w:p w14:paraId="5645D232" w14:textId="77777777" w:rsidR="00F55122" w:rsidRDefault="00F55122" w:rsidP="00DB39CD">
                        <w:pPr>
                          <w:jc w:val="center"/>
                          <w:rPr>
                            <w:color w:val="663300"/>
                            <w:vertAlign w:val="subscript"/>
                          </w:rPr>
                        </w:pPr>
                        <w:r>
                          <w:rPr>
                            <w:color w:val="663300"/>
                          </w:rPr>
                          <w:t>G</w:t>
                        </w:r>
                        <w:r>
                          <w:rPr>
                            <w:color w:val="663300"/>
                            <w:vertAlign w:val="subscript"/>
                          </w:rPr>
                          <w:t>3</w:t>
                        </w:r>
                      </w:p>
                    </w:txbxContent>
                  </v:textbox>
                </v:oval>
                <v:line id="Straight Connector 14" o:spid="_x0000_s1042" style="position:absolute;flip:y;visibility:visible;mso-wrap-style:square" from="48520,18312" to="50806,1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" strokecolor="black [3213]" strokeweight="1pt"/>
                <v:line id="Straight Connector 15" o:spid="_x0000_s1043" style="position:absolute;visibility:visible;mso-wrap-style:square" from="48520,16027" to="48520,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" strokecolor="black [3213]" strokeweight="2pt"/>
                <v:group id="Group 24" o:spid="_x0000_s1044" style="position:absolute;left:6229;top:15103;width:4572;height:5496" coordorigin="13087,14722" coordsize="4572,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16" o:spid="_x0000_s1045" style="position:absolute;visibility:visible;mso-wrap-style:square" from="13087,15646" to="13087,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" strokecolor="black [3213]" strokeweight="2pt"/>
                  <v:shapetype id="_x0000_t32" coordsize="21600,21600" o:spt="32" o:oned="t" path="m,l21600,21600e" filled="f">
                    <v:path arrowok="t" fillok="f" o:connecttype="none"/>
                    <o:lock v:ext="edit" shapetype="t"/>
                  </v:shapetype>
                  <v:shape id="Straight Arrow Connector 17" o:spid="_x0000_s1046" type="#_x0000_t32" style="position:absolute;left:13087;top:1795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" strokecolor="black [3213]" strokeweight="1pt">
                    <v:stroke endarrow="block"/>
                  </v:shape>
                  <v:shapetype id="_x0000_t202" coordsize="21600,21600" o:spt="202" path="m,l,21600r21600,l21600,xe">
                    <v:stroke joinstyle="miter"/>
                    <v:path gradientshapeok="t" o:connecttype="rect"/>
                  </v:shapetype>
                  <v:shape id="Text Box 18" o:spid="_x0000_s1047" type="#_x0000_t202" style="position:absolute;left:13087;top:14722;width:4572;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E038A88" w14:textId="77777777" w:rsidR="00F55122" w:rsidRDefault="00F55122" w:rsidP="00DB39CD">
                          <w:pPr>
                            <w:rPr>
                              <w:vertAlign w:val="subscript"/>
                            </w:rPr>
                          </w:pPr>
                          <w:r>
                            <w:t>L</w:t>
                          </w:r>
                          <w:r>
                            <w:rPr>
                              <w:vertAlign w:val="subscript"/>
                            </w:rPr>
                            <w:t>1</w:t>
                          </w:r>
                        </w:p>
                      </w:txbxContent>
                    </v:textbox>
                  </v:shape>
                </v:group>
                <v:group id="Group 25" o:spid="_x0000_s1048" style="position:absolute;left:38233;top:15103;width:4572;height:5496" coordorigin="14230,24340" coordsize="4572,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19" o:spid="_x0000_s1049" style="position:absolute;visibility:visible;mso-wrap-style:square" from="14230,25265" to="14230,2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" strokecolor="black [3213]" strokeweight="2pt"/>
                  <v:shape id="Straight Arrow Connector 20" o:spid="_x0000_s1050" type="#_x0000_t32" style="position:absolute;left:14230;top:27572;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" strokecolor="black [3213]" strokeweight="1pt">
                    <v:stroke endarrow="block"/>
                  </v:shape>
                  <v:shape id="Text Box 21" o:spid="_x0000_s1051" type="#_x0000_t202" style="position:absolute;left:14230;top:24340;width:4572;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CEF5974" w14:textId="77777777" w:rsidR="00F55122" w:rsidRDefault="00F55122" w:rsidP="00DB39CD">
                          <w:pPr>
                            <w:rPr>
                              <w:vertAlign w:val="subscript"/>
                            </w:rPr>
                          </w:pPr>
                          <w:r>
                            <w:t>L</w:t>
                          </w:r>
                          <w:r>
                            <w:rPr>
                              <w:vertAlign w:val="subscript"/>
                            </w:rPr>
                            <w:t>2</w:t>
                          </w:r>
                        </w:p>
                      </w:txbxContent>
                    </v:textbox>
                  </v:shape>
                </v:group>
                <v:shape id="Arc 27" o:spid="_x0000_s1052" style="position:absolute;left:30232;top:26;width:14859;height:26285;flip:x y;visibility:visible;mso-wrap-style:square;v-text-anchor:middle" coordsize="1485900,2628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" path="m1060983,126502nsc1318375,342168,1483419,799143,1485873,1302937v2386,489934,-149485,941541,-394012,1171636l742950,1314260,1060983,126502xem1060983,126502nfc1318375,342168,1483419,799143,1485873,1302937v2386,489934,-149485,941541,-394012,1171636e" filled="f" strokecolor="black [3213]">
                  <v:stroke dashstyle="dashDot"/>
                  <v:path arrowok="t" o:connecttype="custom" o:connectlocs="1060983,126503;1485873,1302947;1091861,2474592" o:connectangles="0,0,0"/>
                </v:shape>
                <v:shape id="Text Box 21" o:spid="_x0000_s1053" type="#_x0000_t202" style="position:absolute;left:25793;top:5031;width:4572;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8633E66" w14:textId="77777777" w:rsidR="00F55122" w:rsidRDefault="00F55122" w:rsidP="00DB39CD">
                        <w:pPr>
                          <w:pStyle w:val="NormalWeb"/>
                          <w:spacing w:before="0" w:beforeAutospacing="0" w:after="0" w:afterAutospacing="0"/>
                          <w:jc w:val="right"/>
                          <w:rPr>
                            <w:i/>
                          </w:rPr>
                        </w:pPr>
                        <w:r>
                          <w:rPr>
                            <w:rFonts w:eastAsia="Times New Roman"/>
                            <w:i/>
                            <w:kern w:val="16"/>
                          </w:rPr>
                          <w:t>E</w:t>
                        </w:r>
                      </w:p>
                    </w:txbxContent>
                  </v:textbox>
                </v:shape>
                <v:shape id="Straight Arrow Connector 29" o:spid="_x0000_s1054" type="#_x0000_t32" style="position:absolute;left:26803;top:8193;width:5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" strokecolor="black [3213]" strokeweight="1pt">
                  <v:stroke endarrow="classic" endarrowwidth="wide" endarrowlength="long" linestyle="thinThin"/>
                </v:shape>
                <w10:anchorlock/>
              </v:group>
            </w:pict>
          </mc:Fallback>
        </mc:AlternateContent>
      </w:r>
    </w:p>
    <w:p w14:paraId="378DFDCF" w14:textId="77777777" w:rsidR="009D57CA" w:rsidRDefault="009D57CA" w:rsidP="00DB39CD">
      <w:pPr>
        <w:spacing w:before="240"/>
      </w:pPr>
    </w:p>
    <w:p w14:paraId="5D4ECFE7" w14:textId="77777777" w:rsidR="009D57CA" w:rsidRDefault="009D57CA" w:rsidP="00DB39CD">
      <w:pPr>
        <w:spacing w:before="240"/>
      </w:pPr>
    </w:p>
    <w:p w14:paraId="338ACBBA" w14:textId="77777777" w:rsidR="009D57CA" w:rsidRDefault="009D57CA" w:rsidP="00DB39CD">
      <w:pPr>
        <w:spacing w:before="240"/>
      </w:pPr>
    </w:p>
    <w:p w14:paraId="6EB66D3E" w14:textId="77777777" w:rsidR="009D57CA" w:rsidRDefault="009D57CA" w:rsidP="00DB39CD">
      <w:pPr>
        <w:spacing w:before="240"/>
      </w:pPr>
    </w:p>
    <w:p w14:paraId="6789D915" w14:textId="77777777" w:rsidR="009D57CA" w:rsidRDefault="00DB39CD" w:rsidP="00877DDB">
      <w:pPr>
        <w:pStyle w:val="BPM"/>
      </w:pPr>
      <w:r>
        <w:t>The power transfer (</w:t>
      </w:r>
      <w:r>
        <w:rPr>
          <w:i/>
        </w:rPr>
        <w:t>E</w:t>
      </w:r>
      <w:r>
        <w:t>) between the BAAs is limited to 100MW. The resource data is as follows:</w:t>
      </w:r>
    </w:p>
    <w:p w14:paraId="2E59FAAF" w14:textId="77777777" w:rsidR="001177A2" w:rsidRDefault="001177A2" w:rsidP="00DB39CD">
      <w:pPr>
        <w:spacing w:before="240"/>
      </w:pPr>
    </w:p>
    <w:tbl>
      <w:tblPr>
        <w:tblW w:w="0" w:type="auto"/>
        <w:jc w:val="center"/>
        <w:tblLook w:val="04A0" w:firstRow="1" w:lastRow="0" w:firstColumn="1" w:lastColumn="0" w:noHBand="0" w:noVBand="1"/>
      </w:tblPr>
      <w:tblGrid>
        <w:gridCol w:w="654"/>
        <w:gridCol w:w="1781"/>
      </w:tblGrid>
      <w:tr w:rsidR="001177A2" w14:paraId="3CDBE95B"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F2CF4F" w14:textId="77777777" w:rsidR="001177A2" w:rsidRDefault="001177A2">
            <w:pPr>
              <w:suppressAutoHyphens/>
              <w:jc w:val="center"/>
              <w:rPr>
                <w:b/>
                <w:kern w:val="16"/>
              </w:rPr>
            </w:pPr>
            <w:r>
              <w:rPr>
                <w:b/>
              </w:rPr>
              <w:t>Load</w:t>
            </w:r>
          </w:p>
        </w:tc>
        <w:tc>
          <w:tcPr>
            <w:tcW w:w="17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07EB55" w14:textId="77777777" w:rsidR="001177A2" w:rsidRDefault="001177A2">
            <w:pPr>
              <w:suppressAutoHyphens/>
              <w:jc w:val="center"/>
              <w:rPr>
                <w:b/>
                <w:kern w:val="16"/>
              </w:rPr>
            </w:pPr>
            <w:r>
              <w:rPr>
                <w:b/>
              </w:rPr>
              <w:t>Forecast (MW)</w:t>
            </w:r>
          </w:p>
        </w:tc>
      </w:tr>
      <w:tr w:rsidR="001177A2" w14:paraId="64E916BC"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B941ADA" w14:textId="77777777" w:rsidR="001177A2" w:rsidRDefault="001177A2">
            <w:pPr>
              <w:suppressAutoHyphens/>
              <w:jc w:val="center"/>
              <w:rPr>
                <w:kern w:val="16"/>
                <w:vertAlign w:val="subscript"/>
              </w:rPr>
            </w:pPr>
            <w:r>
              <w:t>L</w:t>
            </w:r>
            <w:r>
              <w:rPr>
                <w:vertAlign w:val="subscript"/>
              </w:rPr>
              <w:t>1</w:t>
            </w:r>
          </w:p>
        </w:tc>
        <w:tc>
          <w:tcPr>
            <w:tcW w:w="1781" w:type="dxa"/>
            <w:tcBorders>
              <w:top w:val="single" w:sz="4" w:space="0" w:color="auto"/>
              <w:left w:val="single" w:sz="4" w:space="0" w:color="auto"/>
              <w:bottom w:val="single" w:sz="4" w:space="0" w:color="auto"/>
              <w:right w:val="single" w:sz="4" w:space="0" w:color="auto"/>
            </w:tcBorders>
            <w:hideMark/>
          </w:tcPr>
          <w:p w14:paraId="5BD71262" w14:textId="77777777" w:rsidR="001177A2" w:rsidRDefault="001177A2">
            <w:pPr>
              <w:suppressAutoHyphens/>
              <w:jc w:val="center"/>
              <w:rPr>
                <w:kern w:val="16"/>
              </w:rPr>
            </w:pPr>
            <w:r>
              <w:t>200</w:t>
            </w:r>
          </w:p>
        </w:tc>
      </w:tr>
      <w:tr w:rsidR="001177A2" w14:paraId="492BADBB"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D1A2208" w14:textId="77777777" w:rsidR="001177A2" w:rsidRDefault="001177A2">
            <w:pPr>
              <w:suppressAutoHyphens/>
              <w:jc w:val="center"/>
              <w:rPr>
                <w:kern w:val="16"/>
                <w:vertAlign w:val="subscript"/>
              </w:rPr>
            </w:pPr>
            <w:r>
              <w:t>L</w:t>
            </w:r>
            <w:r>
              <w:rPr>
                <w:vertAlign w:val="subscript"/>
              </w:rPr>
              <w:t>2</w:t>
            </w:r>
          </w:p>
        </w:tc>
        <w:tc>
          <w:tcPr>
            <w:tcW w:w="1781" w:type="dxa"/>
            <w:tcBorders>
              <w:top w:val="single" w:sz="4" w:space="0" w:color="auto"/>
              <w:left w:val="single" w:sz="4" w:space="0" w:color="auto"/>
              <w:bottom w:val="single" w:sz="4" w:space="0" w:color="auto"/>
              <w:right w:val="single" w:sz="4" w:space="0" w:color="auto"/>
            </w:tcBorders>
            <w:hideMark/>
          </w:tcPr>
          <w:p w14:paraId="4E9870C9" w14:textId="77777777" w:rsidR="001177A2" w:rsidRDefault="001177A2">
            <w:pPr>
              <w:suppressAutoHyphens/>
              <w:jc w:val="center"/>
              <w:rPr>
                <w:kern w:val="16"/>
              </w:rPr>
            </w:pPr>
            <w:r>
              <w:t>50</w:t>
            </w:r>
          </w:p>
        </w:tc>
      </w:tr>
    </w:tbl>
    <w:p w14:paraId="2BB4A930" w14:textId="77777777" w:rsidR="001177A2" w:rsidRDefault="001177A2" w:rsidP="001177A2">
      <w:pPr>
        <w:rPr>
          <w:kern w:val="16"/>
        </w:rPr>
      </w:pPr>
    </w:p>
    <w:tbl>
      <w:tblPr>
        <w:tblW w:w="0" w:type="auto"/>
        <w:jc w:val="center"/>
        <w:tblLook w:val="04A0" w:firstRow="1" w:lastRow="0" w:firstColumn="1" w:lastColumn="0" w:noHBand="0" w:noVBand="1"/>
      </w:tblPr>
      <w:tblGrid>
        <w:gridCol w:w="1156"/>
        <w:gridCol w:w="1111"/>
        <w:gridCol w:w="1148"/>
        <w:gridCol w:w="1032"/>
        <w:gridCol w:w="1766"/>
      </w:tblGrid>
      <w:tr w:rsidR="001177A2" w14:paraId="0C9BD375"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CB7080" w14:textId="77777777" w:rsidR="001177A2" w:rsidRDefault="001177A2">
            <w:pPr>
              <w:suppressAutoHyphens/>
              <w:jc w:val="center"/>
              <w:rPr>
                <w:b/>
                <w:kern w:val="16"/>
              </w:rPr>
            </w:pPr>
            <w:r>
              <w:rPr>
                <w:b/>
              </w:rPr>
              <w:t>Generator</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A7C514" w14:textId="77777777" w:rsidR="001177A2" w:rsidRDefault="001177A2">
            <w:pPr>
              <w:suppressAutoHyphens/>
              <w:jc w:val="center"/>
              <w:rPr>
                <w:b/>
                <w:kern w:val="16"/>
              </w:rPr>
            </w:pPr>
            <w:r>
              <w:rPr>
                <w:b/>
              </w:rPr>
              <w:t>Minimum</w:t>
            </w:r>
            <w:r>
              <w:rPr>
                <w:b/>
              </w:rPr>
              <w:br/>
              <w:t>(</w:t>
            </w:r>
            <w:r>
              <w:rPr>
                <w:b/>
                <w:sz w:val="20"/>
              </w:rPr>
              <w:t>MW</w:t>
            </w:r>
            <w:r>
              <w:rPr>
                <w:b/>
              </w:rPr>
              <w:t>)</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405D4B" w14:textId="77777777" w:rsidR="001177A2" w:rsidRDefault="001177A2">
            <w:pPr>
              <w:suppressAutoHyphens/>
              <w:jc w:val="center"/>
              <w:rPr>
                <w:b/>
                <w:kern w:val="16"/>
              </w:rPr>
            </w:pPr>
            <w:r>
              <w:rPr>
                <w:b/>
              </w:rPr>
              <w:t>Maximum</w:t>
            </w:r>
            <w:r>
              <w:rPr>
                <w:b/>
              </w:rPr>
              <w:br/>
              <w:t>(</w:t>
            </w:r>
            <w:r>
              <w:rPr>
                <w:b/>
                <w:sz w:val="20"/>
              </w:rPr>
              <w:t>MW</w:t>
            </w:r>
            <w:r>
              <w:rPr>
                <w:b/>
              </w:rPr>
              <w:t>)</w:t>
            </w:r>
          </w:p>
        </w:tc>
        <w:tc>
          <w:tcPr>
            <w:tcW w:w="10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47D599" w14:textId="77777777" w:rsidR="001177A2" w:rsidRDefault="001177A2">
            <w:pPr>
              <w:suppressAutoHyphens/>
              <w:jc w:val="center"/>
              <w:rPr>
                <w:b/>
                <w:kern w:val="16"/>
              </w:rPr>
            </w:pPr>
            <w:r>
              <w:rPr>
                <w:b/>
              </w:rPr>
              <w:t>Energy Bid</w:t>
            </w:r>
            <w:r>
              <w:rPr>
                <w:b/>
              </w:rPr>
              <w:br/>
              <w:t>(</w:t>
            </w:r>
            <w:r>
              <w:rPr>
                <w:b/>
                <w:sz w:val="20"/>
              </w:rPr>
              <w:t>$/MWh</w:t>
            </w:r>
            <w:r>
              <w:rPr>
                <w:b/>
              </w:rPr>
              <w:t>)</w:t>
            </w:r>
          </w:p>
        </w:tc>
        <w:tc>
          <w:tcPr>
            <w:tcW w:w="176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DA0FC6" w14:textId="77777777" w:rsidR="001177A2" w:rsidRDefault="001177A2">
            <w:pPr>
              <w:suppressAutoHyphens/>
              <w:jc w:val="center"/>
              <w:rPr>
                <w:b/>
                <w:kern w:val="16"/>
              </w:rPr>
            </w:pPr>
            <w:r>
              <w:rPr>
                <w:b/>
              </w:rPr>
              <w:t>GHG Compliance Bid Adder</w:t>
            </w:r>
            <w:r>
              <w:rPr>
                <w:b/>
              </w:rPr>
              <w:br/>
              <w:t>(</w:t>
            </w:r>
            <w:r>
              <w:rPr>
                <w:b/>
                <w:sz w:val="20"/>
              </w:rPr>
              <w:t>$/MWh</w:t>
            </w:r>
            <w:r>
              <w:rPr>
                <w:b/>
              </w:rPr>
              <w:t>)</w:t>
            </w:r>
          </w:p>
        </w:tc>
      </w:tr>
      <w:tr w:rsidR="001177A2" w14:paraId="6D299690"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10BEFA4" w14:textId="77777777" w:rsidR="001177A2" w:rsidRDefault="001177A2">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51F55300"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4B7DFA78" w14:textId="77777777" w:rsidR="001177A2" w:rsidRDefault="001177A2">
            <w:pPr>
              <w:suppressAutoHyphens/>
              <w:jc w:val="center"/>
              <w:rPr>
                <w:kern w:val="16"/>
              </w:rPr>
            </w:pPr>
            <w:r>
              <w:t>300</w:t>
            </w:r>
          </w:p>
        </w:tc>
        <w:tc>
          <w:tcPr>
            <w:tcW w:w="1032" w:type="dxa"/>
            <w:tcBorders>
              <w:top w:val="single" w:sz="4" w:space="0" w:color="auto"/>
              <w:left w:val="single" w:sz="4" w:space="0" w:color="auto"/>
              <w:bottom w:val="single" w:sz="4" w:space="0" w:color="auto"/>
              <w:right w:val="single" w:sz="4" w:space="0" w:color="auto"/>
            </w:tcBorders>
            <w:hideMark/>
          </w:tcPr>
          <w:p w14:paraId="3AFEB4C5" w14:textId="77777777" w:rsidR="001177A2" w:rsidRDefault="001177A2">
            <w:pPr>
              <w:suppressAutoHyphens/>
              <w:jc w:val="center"/>
              <w:rPr>
                <w:kern w:val="16"/>
              </w:rPr>
            </w:pPr>
            <w:r>
              <w:t>50</w:t>
            </w:r>
          </w:p>
        </w:tc>
        <w:tc>
          <w:tcPr>
            <w:tcW w:w="1766" w:type="dxa"/>
            <w:tcBorders>
              <w:top w:val="single" w:sz="4" w:space="0" w:color="auto"/>
              <w:left w:val="single" w:sz="4" w:space="0" w:color="auto"/>
              <w:bottom w:val="single" w:sz="4" w:space="0" w:color="auto"/>
              <w:right w:val="single" w:sz="4" w:space="0" w:color="auto"/>
            </w:tcBorders>
            <w:hideMark/>
          </w:tcPr>
          <w:p w14:paraId="5869C7FA" w14:textId="77777777" w:rsidR="001177A2" w:rsidRDefault="001177A2">
            <w:pPr>
              <w:suppressAutoHyphens/>
              <w:jc w:val="center"/>
              <w:rPr>
                <w:kern w:val="16"/>
              </w:rPr>
            </w:pPr>
            <w:r>
              <w:t>-</w:t>
            </w:r>
          </w:p>
        </w:tc>
      </w:tr>
      <w:tr w:rsidR="001177A2" w14:paraId="0D348031"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F81FCDC" w14:textId="77777777" w:rsidR="001177A2" w:rsidRDefault="001177A2">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68CE6926"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51A4BFEE" w14:textId="77777777" w:rsidR="001177A2" w:rsidRDefault="001177A2">
            <w:pPr>
              <w:suppressAutoHyphens/>
              <w:jc w:val="center"/>
              <w:rPr>
                <w:kern w:val="16"/>
              </w:rPr>
            </w:pPr>
            <w:r>
              <w:t>200</w:t>
            </w:r>
          </w:p>
        </w:tc>
        <w:tc>
          <w:tcPr>
            <w:tcW w:w="1032" w:type="dxa"/>
            <w:tcBorders>
              <w:top w:val="single" w:sz="4" w:space="0" w:color="auto"/>
              <w:left w:val="single" w:sz="4" w:space="0" w:color="auto"/>
              <w:bottom w:val="single" w:sz="4" w:space="0" w:color="auto"/>
              <w:right w:val="single" w:sz="4" w:space="0" w:color="auto"/>
            </w:tcBorders>
            <w:hideMark/>
          </w:tcPr>
          <w:p w14:paraId="3863E13B" w14:textId="77777777" w:rsidR="001177A2" w:rsidRDefault="001177A2">
            <w:pPr>
              <w:suppressAutoHyphens/>
              <w:jc w:val="center"/>
              <w:rPr>
                <w:kern w:val="16"/>
              </w:rPr>
            </w:pPr>
            <w:r>
              <w:t>35</w:t>
            </w:r>
          </w:p>
        </w:tc>
        <w:tc>
          <w:tcPr>
            <w:tcW w:w="1766" w:type="dxa"/>
            <w:tcBorders>
              <w:top w:val="single" w:sz="4" w:space="0" w:color="auto"/>
              <w:left w:val="single" w:sz="4" w:space="0" w:color="auto"/>
              <w:bottom w:val="single" w:sz="4" w:space="0" w:color="auto"/>
              <w:right w:val="single" w:sz="4" w:space="0" w:color="auto"/>
            </w:tcBorders>
            <w:hideMark/>
          </w:tcPr>
          <w:p w14:paraId="6AC4711E" w14:textId="77777777" w:rsidR="001177A2" w:rsidRDefault="001177A2">
            <w:pPr>
              <w:suppressAutoHyphens/>
              <w:jc w:val="center"/>
              <w:rPr>
                <w:kern w:val="16"/>
              </w:rPr>
            </w:pPr>
            <w:r>
              <w:t>0</w:t>
            </w:r>
          </w:p>
        </w:tc>
      </w:tr>
      <w:tr w:rsidR="001177A2" w14:paraId="37687E4D"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322687AE" w14:textId="77777777" w:rsidR="001177A2" w:rsidRDefault="001177A2">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0B2FFAAD"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4AB077DE" w14:textId="77777777" w:rsidR="001177A2" w:rsidRDefault="001177A2">
            <w:pPr>
              <w:suppressAutoHyphens/>
              <w:jc w:val="center"/>
              <w:rPr>
                <w:kern w:val="16"/>
              </w:rPr>
            </w:pPr>
            <w:r>
              <w:t>200</w:t>
            </w:r>
          </w:p>
        </w:tc>
        <w:tc>
          <w:tcPr>
            <w:tcW w:w="1032" w:type="dxa"/>
            <w:tcBorders>
              <w:top w:val="single" w:sz="4" w:space="0" w:color="auto"/>
              <w:left w:val="single" w:sz="4" w:space="0" w:color="auto"/>
              <w:bottom w:val="single" w:sz="4" w:space="0" w:color="auto"/>
              <w:right w:val="single" w:sz="4" w:space="0" w:color="auto"/>
            </w:tcBorders>
            <w:hideMark/>
          </w:tcPr>
          <w:p w14:paraId="6EF36240" w14:textId="77777777" w:rsidR="001177A2" w:rsidRDefault="001177A2">
            <w:pPr>
              <w:suppressAutoHyphens/>
              <w:jc w:val="center"/>
              <w:rPr>
                <w:kern w:val="16"/>
              </w:rPr>
            </w:pPr>
            <w:r>
              <w:t>30</w:t>
            </w:r>
          </w:p>
        </w:tc>
        <w:tc>
          <w:tcPr>
            <w:tcW w:w="1766" w:type="dxa"/>
            <w:tcBorders>
              <w:top w:val="single" w:sz="4" w:space="0" w:color="auto"/>
              <w:left w:val="single" w:sz="4" w:space="0" w:color="auto"/>
              <w:bottom w:val="single" w:sz="4" w:space="0" w:color="auto"/>
              <w:right w:val="single" w:sz="4" w:space="0" w:color="auto"/>
            </w:tcBorders>
            <w:hideMark/>
          </w:tcPr>
          <w:p w14:paraId="0A0D32F4" w14:textId="77777777" w:rsidR="001177A2" w:rsidRDefault="001177A2">
            <w:pPr>
              <w:suppressAutoHyphens/>
              <w:jc w:val="center"/>
              <w:rPr>
                <w:kern w:val="16"/>
              </w:rPr>
            </w:pPr>
            <w:r>
              <w:t>6</w:t>
            </w:r>
          </w:p>
        </w:tc>
      </w:tr>
    </w:tbl>
    <w:p w14:paraId="3EC22AA3" w14:textId="77777777" w:rsidR="00FC6F91" w:rsidRDefault="00FC6F91" w:rsidP="00D8261A">
      <w:pPr>
        <w:pStyle w:val="Paragraph"/>
        <w:spacing w:before="0" w:after="240" w:line="300" w:lineRule="auto"/>
        <w:rPr>
          <w:rFonts w:ascii="Arial" w:hAnsi="Arial" w:cs="Arial"/>
        </w:rPr>
      </w:pPr>
    </w:p>
    <w:p w14:paraId="39EA80D0" w14:textId="77777777" w:rsidR="001177A2" w:rsidRPr="00A11346" w:rsidRDefault="001177A2" w:rsidP="00877DDB">
      <w:pPr>
        <w:pStyle w:val="BPM"/>
      </w:pPr>
      <w:r w:rsidRPr="00A11346">
        <w:t>Generator G</w:t>
      </w:r>
      <w:r w:rsidRPr="00A11346">
        <w:rPr>
          <w:vertAlign w:val="subscript"/>
        </w:rPr>
        <w:t>2</w:t>
      </w:r>
      <w:r w:rsidRPr="00A11346">
        <w:t xml:space="preserve"> is a non-emitting resource with a GHG compliance bid adder of zero, whereas G</w:t>
      </w:r>
      <w:r w:rsidRPr="00A11346">
        <w:rPr>
          <w:vertAlign w:val="subscript"/>
        </w:rPr>
        <w:t>3</w:t>
      </w:r>
      <w:r w:rsidRPr="00A11346">
        <w:t xml:space="preserve"> is an emitting resource with a GHG compliance bid adder of $6.00. They are both less expensive than G</w:t>
      </w:r>
      <w:r w:rsidRPr="00A11346">
        <w:rPr>
          <w:vertAlign w:val="subscript"/>
        </w:rPr>
        <w:t>1</w:t>
      </w:r>
      <w:r w:rsidRPr="00A11346">
        <w:t xml:space="preserve">. Therefore, the power export from the EIM Entity BAA to the </w:t>
      </w:r>
      <w:r w:rsidR="0058562B">
        <w:t>CA</w:t>
      </w:r>
      <w:r w:rsidRPr="00A11346">
        <w:t>ISO is binding at the optimal solution at 100MW. The optimal dispatch and export allocation are as follows:</w:t>
      </w:r>
    </w:p>
    <w:tbl>
      <w:tblPr>
        <w:tblW w:w="0" w:type="auto"/>
        <w:jc w:val="center"/>
        <w:tblLook w:val="04A0" w:firstRow="1" w:lastRow="0" w:firstColumn="1" w:lastColumn="0" w:noHBand="0" w:noVBand="1"/>
      </w:tblPr>
      <w:tblGrid>
        <w:gridCol w:w="1056"/>
        <w:gridCol w:w="1010"/>
        <w:gridCol w:w="1792"/>
        <w:gridCol w:w="1069"/>
      </w:tblGrid>
      <w:tr w:rsidR="001177A2" w14:paraId="3FFCC926"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5C7DFB" w14:textId="77777777" w:rsidR="001177A2" w:rsidRDefault="001177A2">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59FEE5" w14:textId="77777777" w:rsidR="001177A2" w:rsidRDefault="001177A2">
            <w:pPr>
              <w:suppressAutoHyphens/>
              <w:jc w:val="center"/>
              <w:rPr>
                <w:b/>
                <w:kern w:val="16"/>
              </w:rPr>
            </w:pPr>
            <w:r>
              <w:rPr>
                <w:b/>
              </w:rPr>
              <w:t>Dispatch</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9462A4" w14:textId="77777777" w:rsidR="001177A2" w:rsidRDefault="001177A2">
            <w:pPr>
              <w:suppressAutoHyphens/>
              <w:jc w:val="center"/>
              <w:rPr>
                <w:b/>
                <w:kern w:val="16"/>
              </w:rPr>
            </w:pPr>
            <w:r>
              <w:rPr>
                <w:b/>
              </w:rPr>
              <w:t>Export Allocation</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992A68" w14:textId="77777777" w:rsidR="001177A2" w:rsidRDefault="001177A2">
            <w:pPr>
              <w:suppressAutoHyphens/>
              <w:jc w:val="center"/>
              <w:rPr>
                <w:b/>
                <w:kern w:val="16"/>
              </w:rPr>
            </w:pPr>
            <w:r>
              <w:rPr>
                <w:b/>
              </w:rPr>
              <w:t>LMP</w:t>
            </w:r>
            <w:r>
              <w:rPr>
                <w:b/>
              </w:rPr>
              <w:br/>
              <w:t>($/MWh)</w:t>
            </w:r>
          </w:p>
        </w:tc>
      </w:tr>
      <w:tr w:rsidR="001177A2" w14:paraId="133D39D4"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FBD89D3" w14:textId="77777777" w:rsidR="001177A2" w:rsidRDefault="001177A2">
            <w:pPr>
              <w:suppressAutoHyphens/>
              <w:jc w:val="center"/>
              <w:rPr>
                <w:kern w:val="16"/>
                <w:vertAlign w:val="subscript"/>
              </w:rPr>
            </w:pPr>
            <w:r>
              <w:t>G1</w:t>
            </w:r>
          </w:p>
        </w:tc>
        <w:tc>
          <w:tcPr>
            <w:tcW w:w="0" w:type="auto"/>
            <w:tcBorders>
              <w:top w:val="single" w:sz="4" w:space="0" w:color="auto"/>
              <w:left w:val="single" w:sz="4" w:space="0" w:color="auto"/>
              <w:bottom w:val="single" w:sz="4" w:space="0" w:color="auto"/>
              <w:right w:val="single" w:sz="4" w:space="0" w:color="auto"/>
            </w:tcBorders>
            <w:hideMark/>
          </w:tcPr>
          <w:p w14:paraId="055D4763"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66884B5F"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15C07460" w14:textId="77777777" w:rsidR="001177A2" w:rsidRDefault="001177A2">
            <w:pPr>
              <w:suppressAutoHyphens/>
              <w:jc w:val="center"/>
              <w:rPr>
                <w:kern w:val="16"/>
              </w:rPr>
            </w:pPr>
            <w:r>
              <w:t>50</w:t>
            </w:r>
          </w:p>
        </w:tc>
      </w:tr>
      <w:tr w:rsidR="001177A2" w14:paraId="2C481DDA"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2EE04146" w14:textId="77777777" w:rsidR="001177A2" w:rsidRDefault="001177A2">
            <w:pPr>
              <w:suppressAutoHyphens/>
              <w:jc w:val="center"/>
              <w:rPr>
                <w:kern w:val="16"/>
                <w:vertAlign w:val="subscript"/>
              </w:rPr>
            </w:pPr>
            <w:r>
              <w:t>G2</w:t>
            </w:r>
          </w:p>
        </w:tc>
        <w:tc>
          <w:tcPr>
            <w:tcW w:w="0" w:type="auto"/>
            <w:tcBorders>
              <w:top w:val="single" w:sz="4" w:space="0" w:color="auto"/>
              <w:left w:val="single" w:sz="4" w:space="0" w:color="auto"/>
              <w:bottom w:val="single" w:sz="4" w:space="0" w:color="auto"/>
              <w:right w:val="single" w:sz="4" w:space="0" w:color="auto"/>
            </w:tcBorders>
            <w:hideMark/>
          </w:tcPr>
          <w:p w14:paraId="6C34EA4D"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450D7DF0"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31A544AB" w14:textId="77777777" w:rsidR="001177A2" w:rsidRDefault="001177A2">
            <w:pPr>
              <w:suppressAutoHyphens/>
              <w:jc w:val="center"/>
              <w:rPr>
                <w:kern w:val="16"/>
              </w:rPr>
            </w:pPr>
            <w:r>
              <w:t>30</w:t>
            </w:r>
          </w:p>
        </w:tc>
      </w:tr>
      <w:tr w:rsidR="001177A2" w14:paraId="4340F8DD"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5AE03D8" w14:textId="77777777" w:rsidR="001177A2" w:rsidRDefault="001177A2">
            <w:pPr>
              <w:suppressAutoHyphens/>
              <w:jc w:val="center"/>
              <w:rPr>
                <w:kern w:val="16"/>
                <w:vertAlign w:val="subscript"/>
              </w:rPr>
            </w:pPr>
            <w:r>
              <w:t>G3</w:t>
            </w:r>
          </w:p>
        </w:tc>
        <w:tc>
          <w:tcPr>
            <w:tcW w:w="0" w:type="auto"/>
            <w:tcBorders>
              <w:top w:val="single" w:sz="4" w:space="0" w:color="auto"/>
              <w:left w:val="single" w:sz="4" w:space="0" w:color="auto"/>
              <w:bottom w:val="single" w:sz="4" w:space="0" w:color="auto"/>
              <w:right w:val="single" w:sz="4" w:space="0" w:color="auto"/>
            </w:tcBorders>
            <w:hideMark/>
          </w:tcPr>
          <w:p w14:paraId="5FD65287" w14:textId="77777777" w:rsidR="001177A2" w:rsidRDefault="001177A2">
            <w:pPr>
              <w:suppressAutoHyphens/>
              <w:jc w:val="center"/>
              <w:rPr>
                <w:kern w:val="16"/>
              </w:rPr>
            </w:pPr>
            <w:r>
              <w:t>50</w:t>
            </w:r>
          </w:p>
        </w:tc>
        <w:tc>
          <w:tcPr>
            <w:tcW w:w="0" w:type="auto"/>
            <w:tcBorders>
              <w:top w:val="single" w:sz="4" w:space="0" w:color="auto"/>
              <w:left w:val="single" w:sz="4" w:space="0" w:color="auto"/>
              <w:bottom w:val="single" w:sz="4" w:space="0" w:color="auto"/>
              <w:right w:val="single" w:sz="4" w:space="0" w:color="auto"/>
            </w:tcBorders>
            <w:hideMark/>
          </w:tcPr>
          <w:p w14:paraId="3C28F5D0"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0A6AEE34" w14:textId="77777777" w:rsidR="001177A2" w:rsidRDefault="001177A2">
            <w:pPr>
              <w:suppressAutoHyphens/>
              <w:jc w:val="center"/>
              <w:rPr>
                <w:kern w:val="16"/>
              </w:rPr>
            </w:pPr>
            <w:r>
              <w:t>30</w:t>
            </w:r>
          </w:p>
        </w:tc>
      </w:tr>
      <w:tr w:rsidR="001177A2" w14:paraId="41CEE67D"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2E980410" w14:textId="77777777" w:rsidR="001177A2" w:rsidRDefault="001177A2">
            <w:pPr>
              <w:suppressAutoHyphens/>
              <w:jc w:val="center"/>
              <w:rPr>
                <w:kern w:val="16"/>
              </w:rPr>
            </w:pPr>
            <w:r>
              <w:t>L1</w:t>
            </w:r>
          </w:p>
        </w:tc>
        <w:tc>
          <w:tcPr>
            <w:tcW w:w="0" w:type="auto"/>
            <w:tcBorders>
              <w:top w:val="single" w:sz="4" w:space="0" w:color="auto"/>
              <w:left w:val="single" w:sz="4" w:space="0" w:color="auto"/>
              <w:bottom w:val="single" w:sz="4" w:space="0" w:color="auto"/>
              <w:right w:val="single" w:sz="4" w:space="0" w:color="auto"/>
            </w:tcBorders>
            <w:hideMark/>
          </w:tcPr>
          <w:p w14:paraId="18E0A21F" w14:textId="77777777" w:rsidR="001177A2" w:rsidRDefault="001177A2">
            <w:pPr>
              <w:suppressAutoHyphens/>
              <w:jc w:val="center"/>
              <w:rPr>
                <w:kern w:val="16"/>
              </w:rPr>
            </w:pPr>
            <w:r>
              <w:t>200</w:t>
            </w:r>
          </w:p>
        </w:tc>
        <w:tc>
          <w:tcPr>
            <w:tcW w:w="0" w:type="auto"/>
            <w:tcBorders>
              <w:top w:val="single" w:sz="4" w:space="0" w:color="auto"/>
              <w:left w:val="single" w:sz="4" w:space="0" w:color="auto"/>
              <w:bottom w:val="single" w:sz="4" w:space="0" w:color="auto"/>
              <w:right w:val="single" w:sz="4" w:space="0" w:color="auto"/>
            </w:tcBorders>
            <w:hideMark/>
          </w:tcPr>
          <w:p w14:paraId="7CB83D99"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43201B94" w14:textId="77777777" w:rsidR="001177A2" w:rsidRDefault="001177A2">
            <w:pPr>
              <w:suppressAutoHyphens/>
              <w:jc w:val="center"/>
              <w:rPr>
                <w:kern w:val="16"/>
              </w:rPr>
            </w:pPr>
            <w:r>
              <w:t>50</w:t>
            </w:r>
          </w:p>
        </w:tc>
      </w:tr>
      <w:tr w:rsidR="001177A2" w14:paraId="5C7BDEAA"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396D2E90" w14:textId="77777777" w:rsidR="001177A2" w:rsidRDefault="001177A2">
            <w:pPr>
              <w:suppressAutoHyphens/>
              <w:jc w:val="center"/>
              <w:rPr>
                <w:kern w:val="16"/>
              </w:rPr>
            </w:pPr>
            <w:r>
              <w:t>L2</w:t>
            </w:r>
          </w:p>
        </w:tc>
        <w:tc>
          <w:tcPr>
            <w:tcW w:w="0" w:type="auto"/>
            <w:tcBorders>
              <w:top w:val="single" w:sz="4" w:space="0" w:color="auto"/>
              <w:left w:val="single" w:sz="4" w:space="0" w:color="auto"/>
              <w:bottom w:val="single" w:sz="4" w:space="0" w:color="auto"/>
              <w:right w:val="single" w:sz="4" w:space="0" w:color="auto"/>
            </w:tcBorders>
            <w:hideMark/>
          </w:tcPr>
          <w:p w14:paraId="2CA02C65" w14:textId="77777777" w:rsidR="001177A2" w:rsidRDefault="001177A2">
            <w:pPr>
              <w:suppressAutoHyphens/>
              <w:jc w:val="center"/>
              <w:rPr>
                <w:kern w:val="16"/>
              </w:rPr>
            </w:pPr>
            <w:r>
              <w:t>50</w:t>
            </w:r>
          </w:p>
        </w:tc>
        <w:tc>
          <w:tcPr>
            <w:tcW w:w="0" w:type="auto"/>
            <w:tcBorders>
              <w:top w:val="single" w:sz="4" w:space="0" w:color="auto"/>
              <w:left w:val="single" w:sz="4" w:space="0" w:color="auto"/>
              <w:bottom w:val="single" w:sz="4" w:space="0" w:color="auto"/>
              <w:right w:val="single" w:sz="4" w:space="0" w:color="auto"/>
            </w:tcBorders>
            <w:hideMark/>
          </w:tcPr>
          <w:p w14:paraId="17D3EF9E"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389C3A78" w14:textId="77777777" w:rsidR="001177A2" w:rsidRDefault="001177A2">
            <w:pPr>
              <w:suppressAutoHyphens/>
              <w:jc w:val="center"/>
              <w:rPr>
                <w:kern w:val="16"/>
              </w:rPr>
            </w:pPr>
            <w:r>
              <w:t>30</w:t>
            </w:r>
          </w:p>
        </w:tc>
      </w:tr>
    </w:tbl>
    <w:p w14:paraId="171A0E21" w14:textId="77777777" w:rsidR="001177A2" w:rsidRDefault="001177A2" w:rsidP="001177A2">
      <w:pPr>
        <w:jc w:val="center"/>
      </w:pPr>
      <w:r>
        <w:t xml:space="preserve">Example 1: </w:t>
      </w:r>
      <m:oMath>
        <m:r>
          <m:rPr>
            <m:sty m:val="p"/>
          </m:rPr>
          <w:rPr>
            <w:rFonts w:ascii="Cambria Math" w:hAnsi="Cambria Math"/>
          </w:rPr>
          <m:t>µ</m:t>
        </m:r>
      </m:oMath>
      <w:r>
        <w:t xml:space="preserve"> = –$15/MWh; </w:t>
      </w:r>
      <m:oMath>
        <m:r>
          <m:rPr>
            <m:sty m:val="p"/>
          </m:rPr>
          <w:rPr>
            <w:rFonts w:ascii="Cambria Math" w:hAnsi="Cambria Math"/>
          </w:rPr>
          <m:t>η</m:t>
        </m:r>
      </m:oMath>
      <w:r>
        <w:t xml:space="preserve"> = –$5/MWh</w:t>
      </w:r>
    </w:p>
    <w:p w14:paraId="5D9CD0D1" w14:textId="77777777" w:rsidR="00FC6F91" w:rsidRDefault="00FC6F91" w:rsidP="001177A2">
      <w:pPr>
        <w:jc w:val="center"/>
        <w:rPr>
          <w:kern w:val="16"/>
        </w:rPr>
      </w:pPr>
    </w:p>
    <w:p w14:paraId="6403D10B" w14:textId="77777777" w:rsidR="001177A2" w:rsidRPr="00A11346" w:rsidRDefault="001177A2" w:rsidP="00877DDB">
      <w:pPr>
        <w:pStyle w:val="BPM"/>
      </w:pPr>
      <w:r w:rsidRPr="00A11346">
        <w:lastRenderedPageBreak/>
        <w:t>Generator G</w:t>
      </w:r>
      <w:r w:rsidRPr="00A11346">
        <w:rPr>
          <w:vertAlign w:val="subscript"/>
        </w:rPr>
        <w:t>3</w:t>
      </w:r>
      <w:r w:rsidRPr="00A11346">
        <w:t xml:space="preserve"> is the least expensive resource for serving Load L</w:t>
      </w:r>
      <w:r w:rsidRPr="00A11346">
        <w:rPr>
          <w:vertAlign w:val="subscript"/>
        </w:rPr>
        <w:t>2</w:t>
      </w:r>
      <w:r w:rsidRPr="00A11346">
        <w:t>, and as such it sets the LMP in the EIM Entity Area to $30/MWh. However, for serving Load L</w:t>
      </w:r>
      <w:r w:rsidRPr="00A11346">
        <w:rPr>
          <w:vertAlign w:val="subscript"/>
        </w:rPr>
        <w:t>1</w:t>
      </w:r>
      <w:r w:rsidRPr="00A11346">
        <w:t>, a $6/MWh additional GHG compliance cost would be incurred to G</w:t>
      </w:r>
      <w:r w:rsidRPr="00A11346">
        <w:rPr>
          <w:vertAlign w:val="subscript"/>
        </w:rPr>
        <w:t>3</w:t>
      </w:r>
      <w:r w:rsidRPr="00A11346">
        <w:t>, making G</w:t>
      </w:r>
      <w:r w:rsidRPr="00A11346">
        <w:rPr>
          <w:vertAlign w:val="subscript"/>
        </w:rPr>
        <w:t>2</w:t>
      </w:r>
      <w:r w:rsidRPr="00A11346">
        <w:t xml:space="preserve"> more effective for that purpose. Consequently, G</w:t>
      </w:r>
      <w:r w:rsidRPr="00A11346">
        <w:rPr>
          <w:vertAlign w:val="subscript"/>
        </w:rPr>
        <w:t>2</w:t>
      </w:r>
      <w:r w:rsidRPr="00A11346">
        <w:t xml:space="preserve"> is dispatched with its energy all exported to the </w:t>
      </w:r>
      <w:r w:rsidR="0058562B">
        <w:t>CA</w:t>
      </w:r>
      <w:r w:rsidRPr="00A11346">
        <w:t>ISO at the limit of the power transfer capability. The balance of 100MW of L</w:t>
      </w:r>
      <w:r w:rsidRPr="00A11346">
        <w:rPr>
          <w:vertAlign w:val="subscript"/>
        </w:rPr>
        <w:t>1</w:t>
      </w:r>
      <w:r w:rsidRPr="00A11346">
        <w:t xml:space="preserve"> can only be served by G</w:t>
      </w:r>
      <w:r w:rsidRPr="00A11346">
        <w:rPr>
          <w:vertAlign w:val="subscript"/>
        </w:rPr>
        <w:t>1</w:t>
      </w:r>
      <w:r w:rsidRPr="00A11346">
        <w:t xml:space="preserve">, which sets the LMP in the </w:t>
      </w:r>
      <w:r w:rsidR="0058562B">
        <w:t>CA</w:t>
      </w:r>
      <w:r w:rsidRPr="00A11346">
        <w:t>ISO to $50/MWh.</w:t>
      </w:r>
    </w:p>
    <w:p w14:paraId="01777B27" w14:textId="77777777" w:rsidR="001177A2" w:rsidRPr="00A11346" w:rsidRDefault="001177A2" w:rsidP="00877DDB">
      <w:pPr>
        <w:pStyle w:val="BPM"/>
      </w:pPr>
      <w:r w:rsidRPr="00A11346">
        <w:t>The LMP difference of $20/MWh is made up by the marginal congestion cost of $15/MWh and the marginal GHG compliance cost of $5/MWh. The marginal congestion cost can be easily verified if the power transfer limit is relaxed by 1MW to 101MW, in which case one additional MWh from G</w:t>
      </w:r>
      <w:r w:rsidRPr="00A11346">
        <w:rPr>
          <w:vertAlign w:val="subscript"/>
        </w:rPr>
        <w:t>2</w:t>
      </w:r>
      <w:r w:rsidRPr="00A11346">
        <w:t xml:space="preserve"> will displace 1MWh from G</w:t>
      </w:r>
      <w:r w:rsidRPr="00A11346">
        <w:rPr>
          <w:vertAlign w:val="subscript"/>
        </w:rPr>
        <w:t>1</w:t>
      </w:r>
      <w:r w:rsidRPr="00A11346">
        <w:t xml:space="preserve"> for a net benefit of $15. The marginal GHG compliance cost can be easily verified if the export allocation (which carries the GHG compliance cost) is relaxed by 1 MW to 99MW, in which case one additional MWh from G</w:t>
      </w:r>
      <w:r w:rsidRPr="00A11346">
        <w:rPr>
          <w:vertAlign w:val="subscript"/>
        </w:rPr>
        <w:t>3</w:t>
      </w:r>
      <w:r w:rsidRPr="00A11346">
        <w:t xml:space="preserve"> will displace 1MWh from G</w:t>
      </w:r>
      <w:r w:rsidRPr="00A11346">
        <w:rPr>
          <w:vertAlign w:val="subscript"/>
        </w:rPr>
        <w:t>2</w:t>
      </w:r>
      <w:r w:rsidRPr="00A11346">
        <w:t xml:space="preserve"> for a net benefit of $5. It is interesting to note that there is a non-zero marginal GHG compliance cost in the optimal solution even when all the exported energy is allocated to the non-emitting resource G</w:t>
      </w:r>
      <w:r w:rsidRPr="00A11346">
        <w:rPr>
          <w:vertAlign w:val="subscript"/>
        </w:rPr>
        <w:t>2</w:t>
      </w:r>
      <w:r w:rsidRPr="00A11346">
        <w:t xml:space="preserve"> who bid zero.  This is because the cost of that export to California is $5/MWh higher than otherwise available energy from G3.</w:t>
      </w:r>
    </w:p>
    <w:p w14:paraId="5FBC26B6" w14:textId="77777777" w:rsidR="001177A2" w:rsidRPr="00A11346" w:rsidRDefault="001177A2" w:rsidP="00877DDB">
      <w:pPr>
        <w:pStyle w:val="BPM"/>
      </w:pPr>
      <w:r w:rsidRPr="00A11346">
        <w:t>The marginal congestion cost of $15/MWh and the marginal GHG compliance cost of $5/MWh on a 100MWh energy export result in a congestion revenue of $1,500 and a GHG compliance revenue of $500, respectively. Assuming that the GHG compliance revenue is distributed to the optimal export allocations, the settlement is as follows:</w:t>
      </w:r>
    </w:p>
    <w:tbl>
      <w:tblPr>
        <w:tblW w:w="0" w:type="auto"/>
        <w:jc w:val="center"/>
        <w:tblLook w:val="04A0" w:firstRow="1" w:lastRow="0" w:firstColumn="1" w:lastColumn="0" w:noHBand="0" w:noVBand="1"/>
      </w:tblPr>
      <w:tblGrid>
        <w:gridCol w:w="1730"/>
        <w:gridCol w:w="839"/>
        <w:gridCol w:w="1286"/>
        <w:gridCol w:w="1123"/>
        <w:gridCol w:w="1123"/>
        <w:gridCol w:w="1286"/>
        <w:gridCol w:w="1150"/>
      </w:tblGrid>
      <w:tr w:rsidR="001177A2" w:rsidRPr="00093FD3" w14:paraId="1223EFAE"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260004" w14:textId="77777777" w:rsidR="001177A2" w:rsidRPr="00D8261A" w:rsidRDefault="001177A2">
            <w:pPr>
              <w:suppressAutoHyphens/>
              <w:jc w:val="center"/>
              <w:rPr>
                <w:rFonts w:cs="Arial"/>
                <w:b/>
                <w:kern w:val="16"/>
              </w:rPr>
            </w:pPr>
            <w:r w:rsidRPr="008D74F0">
              <w:rPr>
                <w:rFonts w:cs="Arial"/>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DB6DF9" w14:textId="77777777" w:rsidR="001177A2" w:rsidRPr="00D8261A" w:rsidRDefault="001177A2">
            <w:pPr>
              <w:suppressAutoHyphens/>
              <w:jc w:val="center"/>
              <w:rPr>
                <w:rFonts w:cs="Arial"/>
                <w:b/>
                <w:kern w:val="16"/>
              </w:rPr>
            </w:pPr>
            <w:r w:rsidRPr="00885130">
              <w:rPr>
                <w:b/>
              </w:rPr>
              <w:t>Energy</w:t>
            </w:r>
            <w:r w:rsidRPr="00885130">
              <w:rPr>
                <w:b/>
              </w:rPr>
              <w:br/>
              <w:t>Cost</w:t>
            </w:r>
          </w:p>
        </w:tc>
        <w:tc>
          <w:tcPr>
            <w:tcW w:w="1150"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6916BF19" w14:textId="77777777" w:rsidR="001177A2" w:rsidRPr="00D8261A" w:rsidRDefault="001177A2">
            <w:pPr>
              <w:suppressAutoHyphens/>
              <w:jc w:val="center"/>
              <w:rPr>
                <w:rFonts w:cs="Arial"/>
                <w:b/>
                <w:kern w:val="16"/>
              </w:rPr>
            </w:pPr>
            <w:r w:rsidRPr="008D74F0">
              <w:rPr>
                <w:rFonts w:cs="Arial"/>
                <w:b/>
              </w:rPr>
              <w:t>GHG Compliance Cost</w:t>
            </w:r>
          </w:p>
        </w:tc>
        <w:tc>
          <w:tcPr>
            <w:tcW w:w="1123" w:type="dxa"/>
            <w:tcBorders>
              <w:top w:val="single" w:sz="18" w:space="0" w:color="auto"/>
              <w:left w:val="single" w:sz="18" w:space="0" w:color="auto"/>
              <w:bottom w:val="single" w:sz="4" w:space="0" w:color="auto"/>
              <w:right w:val="single" w:sz="18" w:space="0" w:color="auto"/>
            </w:tcBorders>
            <w:shd w:val="clear" w:color="auto" w:fill="C6D9F1" w:themeFill="text2" w:themeFillTint="33"/>
            <w:hideMark/>
          </w:tcPr>
          <w:p w14:paraId="28AE1386" w14:textId="77777777" w:rsidR="001177A2" w:rsidRPr="00D8261A" w:rsidRDefault="001177A2">
            <w:pPr>
              <w:suppressAutoHyphens/>
              <w:jc w:val="center"/>
              <w:rPr>
                <w:rFonts w:cs="Arial"/>
                <w:b/>
                <w:kern w:val="16"/>
              </w:rPr>
            </w:pPr>
            <w:r w:rsidRPr="008D74F0">
              <w:rPr>
                <w:rFonts w:cs="Arial"/>
                <w:b/>
              </w:rPr>
              <w:t>Total</w:t>
            </w:r>
            <w:r w:rsidRPr="008D74F0">
              <w:rPr>
                <w:rFonts w:cs="Arial"/>
                <w:b/>
              </w:rPr>
              <w:br/>
              <w:t>Cost</w:t>
            </w:r>
          </w:p>
        </w:tc>
        <w:tc>
          <w:tcPr>
            <w:tcW w:w="1123" w:type="dxa"/>
            <w:tcBorders>
              <w:top w:val="single" w:sz="4" w:space="0" w:color="auto"/>
              <w:left w:val="single" w:sz="18" w:space="0" w:color="auto"/>
              <w:bottom w:val="single" w:sz="4" w:space="0" w:color="auto"/>
              <w:right w:val="single" w:sz="4" w:space="0" w:color="auto"/>
            </w:tcBorders>
            <w:shd w:val="clear" w:color="auto" w:fill="C6D9F1" w:themeFill="text2" w:themeFillTint="33"/>
            <w:hideMark/>
          </w:tcPr>
          <w:p w14:paraId="392FD5AB" w14:textId="77777777" w:rsidR="001177A2" w:rsidRPr="00D8261A" w:rsidRDefault="001177A2">
            <w:pPr>
              <w:suppressAutoHyphens/>
              <w:jc w:val="center"/>
              <w:rPr>
                <w:rFonts w:cs="Arial"/>
                <w:b/>
                <w:kern w:val="16"/>
              </w:rPr>
            </w:pPr>
            <w:r w:rsidRPr="008D74F0">
              <w:rPr>
                <w:rFonts w:cs="Arial"/>
                <w:b/>
              </w:rPr>
              <w:t>Energy</w:t>
            </w:r>
            <w:r w:rsidRPr="008D74F0">
              <w:rPr>
                <w:rFonts w:cs="Arial"/>
                <w:b/>
              </w:rPr>
              <w:br/>
              <w:t>Payment</w:t>
            </w:r>
          </w:p>
        </w:tc>
        <w:tc>
          <w:tcPr>
            <w:tcW w:w="1150"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7B24E0BA" w14:textId="77777777" w:rsidR="001177A2" w:rsidRPr="00D8261A" w:rsidRDefault="001177A2">
            <w:pPr>
              <w:suppressAutoHyphens/>
              <w:jc w:val="center"/>
              <w:rPr>
                <w:rFonts w:cs="Arial"/>
                <w:b/>
                <w:kern w:val="16"/>
              </w:rPr>
            </w:pPr>
            <w:r w:rsidRPr="008D74F0">
              <w:rPr>
                <w:rFonts w:cs="Arial"/>
                <w:b/>
              </w:rPr>
              <w:t>GHG Compliance Payment</w:t>
            </w:r>
          </w:p>
        </w:tc>
        <w:tc>
          <w:tcPr>
            <w:tcW w:w="1150" w:type="dxa"/>
            <w:tcBorders>
              <w:top w:val="single" w:sz="18" w:space="0" w:color="auto"/>
              <w:left w:val="single" w:sz="18" w:space="0" w:color="auto"/>
              <w:bottom w:val="single" w:sz="8" w:space="0" w:color="auto"/>
              <w:right w:val="single" w:sz="18" w:space="0" w:color="auto"/>
            </w:tcBorders>
            <w:shd w:val="clear" w:color="auto" w:fill="C6D9F1" w:themeFill="text2" w:themeFillTint="33"/>
            <w:hideMark/>
          </w:tcPr>
          <w:p w14:paraId="50CE3715" w14:textId="77777777" w:rsidR="001177A2" w:rsidRPr="00D8261A" w:rsidRDefault="001177A2">
            <w:pPr>
              <w:suppressAutoHyphens/>
              <w:jc w:val="center"/>
              <w:rPr>
                <w:rFonts w:cs="Arial"/>
                <w:b/>
                <w:kern w:val="16"/>
              </w:rPr>
            </w:pPr>
            <w:r w:rsidRPr="008D74F0">
              <w:rPr>
                <w:rFonts w:cs="Arial"/>
                <w:b/>
              </w:rPr>
              <w:t>Total Payment</w:t>
            </w:r>
          </w:p>
        </w:tc>
      </w:tr>
      <w:tr w:rsidR="001177A2" w14:paraId="462EAD54"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07AEB1E4" w14:textId="77777777" w:rsidR="001177A2" w:rsidRDefault="001177A2">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53EB3CD6" w14:textId="77777777" w:rsidR="001177A2" w:rsidRDefault="001177A2">
            <w:pPr>
              <w:suppressAutoHyphens/>
              <w:jc w:val="center"/>
              <w:rPr>
                <w:kern w:val="16"/>
              </w:rPr>
            </w:pPr>
            <w:r>
              <w:t>$5,000</w:t>
            </w:r>
          </w:p>
        </w:tc>
        <w:tc>
          <w:tcPr>
            <w:tcW w:w="1150" w:type="dxa"/>
            <w:tcBorders>
              <w:top w:val="single" w:sz="4" w:space="0" w:color="auto"/>
              <w:left w:val="single" w:sz="4" w:space="0" w:color="auto"/>
              <w:bottom w:val="single" w:sz="4" w:space="0" w:color="auto"/>
              <w:right w:val="single" w:sz="18" w:space="0" w:color="auto"/>
            </w:tcBorders>
            <w:hideMark/>
          </w:tcPr>
          <w:p w14:paraId="0289C2C0" w14:textId="77777777" w:rsidR="001177A2" w:rsidRDefault="001177A2">
            <w:pPr>
              <w:suppressAutoHyphens/>
              <w:jc w:val="center"/>
              <w:rPr>
                <w:kern w:val="16"/>
              </w:rPr>
            </w:pPr>
            <w:r>
              <w:t>-</w:t>
            </w:r>
          </w:p>
        </w:tc>
        <w:tc>
          <w:tcPr>
            <w:tcW w:w="1123" w:type="dxa"/>
            <w:tcBorders>
              <w:top w:val="single" w:sz="4" w:space="0" w:color="auto"/>
              <w:left w:val="single" w:sz="18" w:space="0" w:color="auto"/>
              <w:bottom w:val="single" w:sz="4" w:space="0" w:color="auto"/>
              <w:right w:val="single" w:sz="18" w:space="0" w:color="auto"/>
            </w:tcBorders>
            <w:hideMark/>
          </w:tcPr>
          <w:p w14:paraId="7A00ED87" w14:textId="77777777" w:rsidR="001177A2" w:rsidRDefault="001177A2">
            <w:pPr>
              <w:suppressAutoHyphens/>
              <w:jc w:val="center"/>
              <w:rPr>
                <w:kern w:val="16"/>
              </w:rPr>
            </w:pPr>
            <w:r>
              <w:t>$5,000</w:t>
            </w:r>
          </w:p>
        </w:tc>
        <w:tc>
          <w:tcPr>
            <w:tcW w:w="1123" w:type="dxa"/>
            <w:tcBorders>
              <w:top w:val="single" w:sz="4" w:space="0" w:color="auto"/>
              <w:left w:val="single" w:sz="18" w:space="0" w:color="auto"/>
              <w:bottom w:val="single" w:sz="4" w:space="0" w:color="auto"/>
              <w:right w:val="single" w:sz="4" w:space="0" w:color="auto"/>
            </w:tcBorders>
            <w:hideMark/>
          </w:tcPr>
          <w:p w14:paraId="10A55394" w14:textId="77777777" w:rsidR="001177A2" w:rsidRDefault="001177A2">
            <w:pPr>
              <w:suppressAutoHyphens/>
              <w:jc w:val="center"/>
              <w:rPr>
                <w:kern w:val="16"/>
              </w:rPr>
            </w:pPr>
            <w:r>
              <w:t>$5,000</w:t>
            </w:r>
          </w:p>
        </w:tc>
        <w:tc>
          <w:tcPr>
            <w:tcW w:w="1150" w:type="dxa"/>
            <w:tcBorders>
              <w:top w:val="single" w:sz="4" w:space="0" w:color="auto"/>
              <w:left w:val="single" w:sz="4" w:space="0" w:color="auto"/>
              <w:bottom w:val="single" w:sz="4" w:space="0" w:color="auto"/>
              <w:right w:val="single" w:sz="18" w:space="0" w:color="auto"/>
            </w:tcBorders>
            <w:hideMark/>
          </w:tcPr>
          <w:p w14:paraId="3183FECD" w14:textId="77777777" w:rsidR="001177A2" w:rsidRDefault="001177A2">
            <w:pPr>
              <w:suppressAutoHyphens/>
              <w:jc w:val="center"/>
              <w:rPr>
                <w:kern w:val="16"/>
              </w:rPr>
            </w:pPr>
            <w:r>
              <w:t>-</w:t>
            </w:r>
          </w:p>
        </w:tc>
        <w:tc>
          <w:tcPr>
            <w:tcW w:w="1150" w:type="dxa"/>
            <w:tcBorders>
              <w:top w:val="single" w:sz="8" w:space="0" w:color="auto"/>
              <w:left w:val="single" w:sz="18" w:space="0" w:color="auto"/>
              <w:bottom w:val="single" w:sz="8" w:space="0" w:color="auto"/>
              <w:right w:val="single" w:sz="18" w:space="0" w:color="auto"/>
            </w:tcBorders>
            <w:hideMark/>
          </w:tcPr>
          <w:p w14:paraId="2FD2D47E" w14:textId="77777777" w:rsidR="001177A2" w:rsidRDefault="001177A2">
            <w:pPr>
              <w:suppressAutoHyphens/>
              <w:jc w:val="center"/>
              <w:rPr>
                <w:kern w:val="16"/>
              </w:rPr>
            </w:pPr>
            <w:r>
              <w:t>$5,000</w:t>
            </w:r>
          </w:p>
        </w:tc>
      </w:tr>
      <w:tr w:rsidR="001177A2" w14:paraId="6B27B77D"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07BC5B44" w14:textId="77777777" w:rsidR="001177A2" w:rsidRDefault="001177A2">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6005FAD2" w14:textId="77777777" w:rsidR="001177A2" w:rsidRDefault="001177A2">
            <w:pPr>
              <w:suppressAutoHyphens/>
              <w:jc w:val="center"/>
              <w:rPr>
                <w:kern w:val="16"/>
              </w:rPr>
            </w:pPr>
            <w:r>
              <w:t>$3,500</w:t>
            </w:r>
          </w:p>
        </w:tc>
        <w:tc>
          <w:tcPr>
            <w:tcW w:w="1150" w:type="dxa"/>
            <w:tcBorders>
              <w:top w:val="single" w:sz="4" w:space="0" w:color="auto"/>
              <w:left w:val="single" w:sz="4" w:space="0" w:color="auto"/>
              <w:bottom w:val="single" w:sz="4" w:space="0" w:color="auto"/>
              <w:right w:val="single" w:sz="18" w:space="0" w:color="auto"/>
            </w:tcBorders>
            <w:hideMark/>
          </w:tcPr>
          <w:p w14:paraId="60743031" w14:textId="77777777" w:rsidR="001177A2" w:rsidRDefault="001177A2">
            <w:pPr>
              <w:suppressAutoHyphens/>
              <w:jc w:val="center"/>
              <w:rPr>
                <w:kern w:val="16"/>
              </w:rPr>
            </w:pPr>
            <w:r>
              <w:t>$0</w:t>
            </w:r>
          </w:p>
        </w:tc>
        <w:tc>
          <w:tcPr>
            <w:tcW w:w="1123" w:type="dxa"/>
            <w:tcBorders>
              <w:top w:val="single" w:sz="4" w:space="0" w:color="auto"/>
              <w:left w:val="single" w:sz="18" w:space="0" w:color="auto"/>
              <w:bottom w:val="single" w:sz="4" w:space="0" w:color="auto"/>
              <w:right w:val="single" w:sz="18" w:space="0" w:color="auto"/>
            </w:tcBorders>
            <w:hideMark/>
          </w:tcPr>
          <w:p w14:paraId="6469A2D6" w14:textId="77777777" w:rsidR="001177A2" w:rsidRDefault="001177A2">
            <w:pPr>
              <w:suppressAutoHyphens/>
              <w:jc w:val="center"/>
              <w:rPr>
                <w:kern w:val="16"/>
              </w:rPr>
            </w:pPr>
            <w:r>
              <w:t>$3,500</w:t>
            </w:r>
          </w:p>
        </w:tc>
        <w:tc>
          <w:tcPr>
            <w:tcW w:w="1123" w:type="dxa"/>
            <w:tcBorders>
              <w:top w:val="single" w:sz="4" w:space="0" w:color="auto"/>
              <w:left w:val="single" w:sz="18" w:space="0" w:color="auto"/>
              <w:bottom w:val="single" w:sz="4" w:space="0" w:color="auto"/>
              <w:right w:val="single" w:sz="4" w:space="0" w:color="auto"/>
            </w:tcBorders>
            <w:hideMark/>
          </w:tcPr>
          <w:p w14:paraId="4398E02E" w14:textId="77777777" w:rsidR="001177A2" w:rsidRDefault="001177A2">
            <w:pPr>
              <w:suppressAutoHyphens/>
              <w:jc w:val="center"/>
              <w:rPr>
                <w:kern w:val="16"/>
              </w:rPr>
            </w:pPr>
            <w:r>
              <w:t>$3,000</w:t>
            </w:r>
          </w:p>
        </w:tc>
        <w:tc>
          <w:tcPr>
            <w:tcW w:w="1150" w:type="dxa"/>
            <w:tcBorders>
              <w:top w:val="single" w:sz="4" w:space="0" w:color="auto"/>
              <w:left w:val="single" w:sz="4" w:space="0" w:color="auto"/>
              <w:bottom w:val="single" w:sz="4" w:space="0" w:color="auto"/>
              <w:right w:val="single" w:sz="18" w:space="0" w:color="auto"/>
            </w:tcBorders>
            <w:hideMark/>
          </w:tcPr>
          <w:p w14:paraId="5ADD28E4" w14:textId="77777777" w:rsidR="001177A2" w:rsidRDefault="001177A2">
            <w:pPr>
              <w:suppressAutoHyphens/>
              <w:jc w:val="center"/>
              <w:rPr>
                <w:kern w:val="16"/>
              </w:rPr>
            </w:pPr>
            <w:r>
              <w:t>$500</w:t>
            </w:r>
          </w:p>
        </w:tc>
        <w:tc>
          <w:tcPr>
            <w:tcW w:w="1150" w:type="dxa"/>
            <w:tcBorders>
              <w:top w:val="single" w:sz="8" w:space="0" w:color="auto"/>
              <w:left w:val="single" w:sz="18" w:space="0" w:color="auto"/>
              <w:bottom w:val="single" w:sz="8" w:space="0" w:color="auto"/>
              <w:right w:val="single" w:sz="18" w:space="0" w:color="auto"/>
            </w:tcBorders>
            <w:hideMark/>
          </w:tcPr>
          <w:p w14:paraId="7176870B" w14:textId="77777777" w:rsidR="001177A2" w:rsidRDefault="001177A2">
            <w:pPr>
              <w:suppressAutoHyphens/>
              <w:jc w:val="center"/>
              <w:rPr>
                <w:kern w:val="16"/>
              </w:rPr>
            </w:pPr>
            <w:r>
              <w:t>$3,500</w:t>
            </w:r>
          </w:p>
        </w:tc>
      </w:tr>
      <w:tr w:rsidR="001177A2" w14:paraId="24455481"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DB73869" w14:textId="77777777" w:rsidR="001177A2" w:rsidRDefault="001177A2">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28FBF3AE" w14:textId="77777777" w:rsidR="001177A2" w:rsidRDefault="001177A2">
            <w:pPr>
              <w:suppressAutoHyphens/>
              <w:jc w:val="center"/>
              <w:rPr>
                <w:kern w:val="16"/>
              </w:rPr>
            </w:pPr>
            <w:r>
              <w:t>$1,500</w:t>
            </w:r>
          </w:p>
        </w:tc>
        <w:tc>
          <w:tcPr>
            <w:tcW w:w="1150" w:type="dxa"/>
            <w:tcBorders>
              <w:top w:val="single" w:sz="4" w:space="0" w:color="auto"/>
              <w:left w:val="single" w:sz="4" w:space="0" w:color="auto"/>
              <w:bottom w:val="single" w:sz="4" w:space="0" w:color="auto"/>
              <w:right w:val="single" w:sz="18" w:space="0" w:color="auto"/>
            </w:tcBorders>
            <w:hideMark/>
          </w:tcPr>
          <w:p w14:paraId="64C02477" w14:textId="77777777" w:rsidR="001177A2" w:rsidRDefault="001177A2">
            <w:pPr>
              <w:suppressAutoHyphens/>
              <w:jc w:val="center"/>
              <w:rPr>
                <w:kern w:val="16"/>
              </w:rPr>
            </w:pPr>
            <w:r>
              <w:t>$0</w:t>
            </w:r>
          </w:p>
        </w:tc>
        <w:tc>
          <w:tcPr>
            <w:tcW w:w="1123" w:type="dxa"/>
            <w:tcBorders>
              <w:top w:val="single" w:sz="4" w:space="0" w:color="auto"/>
              <w:left w:val="single" w:sz="18" w:space="0" w:color="auto"/>
              <w:bottom w:val="single" w:sz="4" w:space="0" w:color="auto"/>
              <w:right w:val="single" w:sz="18" w:space="0" w:color="auto"/>
            </w:tcBorders>
            <w:hideMark/>
          </w:tcPr>
          <w:p w14:paraId="3A43C34C" w14:textId="77777777" w:rsidR="001177A2" w:rsidRDefault="001177A2">
            <w:pPr>
              <w:suppressAutoHyphens/>
              <w:jc w:val="center"/>
              <w:rPr>
                <w:kern w:val="16"/>
              </w:rPr>
            </w:pPr>
            <w:r>
              <w:t>$1,500</w:t>
            </w:r>
          </w:p>
        </w:tc>
        <w:tc>
          <w:tcPr>
            <w:tcW w:w="1123" w:type="dxa"/>
            <w:tcBorders>
              <w:top w:val="single" w:sz="4" w:space="0" w:color="auto"/>
              <w:left w:val="single" w:sz="18" w:space="0" w:color="auto"/>
              <w:bottom w:val="single" w:sz="4" w:space="0" w:color="auto"/>
              <w:right w:val="single" w:sz="4" w:space="0" w:color="auto"/>
            </w:tcBorders>
            <w:hideMark/>
          </w:tcPr>
          <w:p w14:paraId="54A7FAD2" w14:textId="77777777" w:rsidR="001177A2" w:rsidRDefault="001177A2">
            <w:pPr>
              <w:suppressAutoHyphens/>
              <w:jc w:val="center"/>
              <w:rPr>
                <w:kern w:val="16"/>
              </w:rPr>
            </w:pPr>
            <w:r>
              <w:t>$1,500</w:t>
            </w:r>
          </w:p>
        </w:tc>
        <w:tc>
          <w:tcPr>
            <w:tcW w:w="1150" w:type="dxa"/>
            <w:tcBorders>
              <w:top w:val="single" w:sz="4" w:space="0" w:color="auto"/>
              <w:left w:val="single" w:sz="4" w:space="0" w:color="auto"/>
              <w:bottom w:val="single" w:sz="4" w:space="0" w:color="auto"/>
              <w:right w:val="single" w:sz="18" w:space="0" w:color="auto"/>
            </w:tcBorders>
            <w:hideMark/>
          </w:tcPr>
          <w:p w14:paraId="4B4E3DAE" w14:textId="77777777" w:rsidR="001177A2" w:rsidRDefault="001177A2">
            <w:pPr>
              <w:suppressAutoHyphens/>
              <w:jc w:val="center"/>
              <w:rPr>
                <w:kern w:val="16"/>
              </w:rPr>
            </w:pPr>
            <w:r>
              <w:t>$0</w:t>
            </w:r>
          </w:p>
        </w:tc>
        <w:tc>
          <w:tcPr>
            <w:tcW w:w="1150" w:type="dxa"/>
            <w:tcBorders>
              <w:top w:val="single" w:sz="8" w:space="0" w:color="auto"/>
              <w:left w:val="single" w:sz="18" w:space="0" w:color="auto"/>
              <w:bottom w:val="single" w:sz="8" w:space="0" w:color="auto"/>
              <w:right w:val="single" w:sz="18" w:space="0" w:color="auto"/>
            </w:tcBorders>
            <w:hideMark/>
          </w:tcPr>
          <w:p w14:paraId="13A10B90" w14:textId="77777777" w:rsidR="001177A2" w:rsidRDefault="001177A2">
            <w:pPr>
              <w:suppressAutoHyphens/>
              <w:jc w:val="center"/>
              <w:rPr>
                <w:kern w:val="16"/>
              </w:rPr>
            </w:pPr>
            <w:r>
              <w:t>$1,500</w:t>
            </w:r>
          </w:p>
        </w:tc>
      </w:tr>
      <w:tr w:rsidR="001177A2" w14:paraId="2DF8FE78"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12C78D64" w14:textId="77777777" w:rsidR="001177A2" w:rsidRDefault="001177A2">
            <w:pPr>
              <w:suppressAutoHyphens/>
              <w:jc w:val="center"/>
              <w:rPr>
                <w:kern w:val="16"/>
                <w:vertAlign w:val="subscript"/>
              </w:rPr>
            </w:pPr>
            <w:r>
              <w:t>L</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7F578" w14:textId="77777777" w:rsidR="001177A2" w:rsidRDefault="001177A2">
            <w:pPr>
              <w:suppressAutoHyphens/>
              <w:jc w:val="center"/>
              <w:rPr>
                <w:kern w:val="16"/>
              </w:rPr>
            </w:pPr>
          </w:p>
        </w:tc>
        <w:tc>
          <w:tcPr>
            <w:tcW w:w="1150" w:type="dxa"/>
            <w:tcBorders>
              <w:top w:val="single" w:sz="4" w:space="0" w:color="auto"/>
              <w:left w:val="single" w:sz="4" w:space="0" w:color="auto"/>
              <w:bottom w:val="single" w:sz="4" w:space="0" w:color="auto"/>
              <w:right w:val="single" w:sz="18" w:space="0" w:color="auto"/>
            </w:tcBorders>
          </w:tcPr>
          <w:p w14:paraId="56E0C2A7"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07985424"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79E0A9E3" w14:textId="77777777" w:rsidR="001177A2" w:rsidRDefault="001177A2">
            <w:pPr>
              <w:suppressAutoHyphens/>
              <w:jc w:val="center"/>
              <w:rPr>
                <w:kern w:val="16"/>
              </w:rPr>
            </w:pPr>
            <w:r>
              <w:t>–$10,000</w:t>
            </w:r>
          </w:p>
        </w:tc>
        <w:tc>
          <w:tcPr>
            <w:tcW w:w="1150" w:type="dxa"/>
            <w:tcBorders>
              <w:top w:val="single" w:sz="4" w:space="0" w:color="auto"/>
              <w:left w:val="single" w:sz="4" w:space="0" w:color="auto"/>
              <w:bottom w:val="single" w:sz="4" w:space="0" w:color="auto"/>
              <w:right w:val="single" w:sz="18" w:space="0" w:color="auto"/>
            </w:tcBorders>
          </w:tcPr>
          <w:p w14:paraId="3AE26E3D" w14:textId="77777777" w:rsidR="001177A2" w:rsidRDefault="001177A2">
            <w:pPr>
              <w:suppressAutoHyphens/>
              <w:jc w:val="center"/>
              <w:rPr>
                <w:kern w:val="16"/>
              </w:rPr>
            </w:pPr>
          </w:p>
        </w:tc>
        <w:tc>
          <w:tcPr>
            <w:tcW w:w="1150" w:type="dxa"/>
            <w:tcBorders>
              <w:top w:val="single" w:sz="8" w:space="0" w:color="auto"/>
              <w:left w:val="single" w:sz="18" w:space="0" w:color="auto"/>
              <w:bottom w:val="single" w:sz="8" w:space="0" w:color="auto"/>
              <w:right w:val="single" w:sz="18" w:space="0" w:color="auto"/>
            </w:tcBorders>
          </w:tcPr>
          <w:p w14:paraId="1BABEEE8" w14:textId="77777777" w:rsidR="001177A2" w:rsidRDefault="001177A2">
            <w:pPr>
              <w:suppressAutoHyphens/>
              <w:jc w:val="center"/>
              <w:rPr>
                <w:kern w:val="16"/>
              </w:rPr>
            </w:pPr>
          </w:p>
        </w:tc>
      </w:tr>
      <w:tr w:rsidR="001177A2" w14:paraId="4632FFB8"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4447004F" w14:textId="77777777" w:rsidR="001177A2" w:rsidRDefault="001177A2">
            <w:pPr>
              <w:suppressAutoHyphens/>
              <w:jc w:val="center"/>
              <w:rPr>
                <w:kern w:val="16"/>
                <w:vertAlign w:val="subscript"/>
              </w:rPr>
            </w:pPr>
            <w:r>
              <w:t>L</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3B1CF" w14:textId="77777777" w:rsidR="001177A2" w:rsidRDefault="001177A2">
            <w:pPr>
              <w:suppressAutoHyphens/>
              <w:jc w:val="center"/>
              <w:rPr>
                <w:kern w:val="16"/>
              </w:rPr>
            </w:pPr>
          </w:p>
        </w:tc>
        <w:tc>
          <w:tcPr>
            <w:tcW w:w="1150" w:type="dxa"/>
            <w:tcBorders>
              <w:top w:val="single" w:sz="4" w:space="0" w:color="auto"/>
              <w:left w:val="single" w:sz="4" w:space="0" w:color="auto"/>
              <w:bottom w:val="single" w:sz="4" w:space="0" w:color="auto"/>
              <w:right w:val="single" w:sz="18" w:space="0" w:color="auto"/>
            </w:tcBorders>
          </w:tcPr>
          <w:p w14:paraId="24294D9C"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5F931371"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285DB19D" w14:textId="77777777" w:rsidR="001177A2" w:rsidRDefault="001177A2">
            <w:pPr>
              <w:suppressAutoHyphens/>
              <w:jc w:val="center"/>
              <w:rPr>
                <w:kern w:val="16"/>
              </w:rPr>
            </w:pPr>
            <w:r>
              <w:t>–$1,500</w:t>
            </w:r>
          </w:p>
        </w:tc>
        <w:tc>
          <w:tcPr>
            <w:tcW w:w="1150" w:type="dxa"/>
            <w:tcBorders>
              <w:top w:val="single" w:sz="4" w:space="0" w:color="auto"/>
              <w:left w:val="single" w:sz="4" w:space="0" w:color="auto"/>
              <w:bottom w:val="single" w:sz="4" w:space="0" w:color="auto"/>
              <w:right w:val="single" w:sz="18" w:space="0" w:color="auto"/>
            </w:tcBorders>
          </w:tcPr>
          <w:p w14:paraId="2D73AC87" w14:textId="77777777" w:rsidR="001177A2" w:rsidRDefault="001177A2">
            <w:pPr>
              <w:suppressAutoHyphens/>
              <w:jc w:val="center"/>
              <w:rPr>
                <w:kern w:val="16"/>
              </w:rPr>
            </w:pPr>
          </w:p>
        </w:tc>
        <w:tc>
          <w:tcPr>
            <w:tcW w:w="1150" w:type="dxa"/>
            <w:tcBorders>
              <w:top w:val="single" w:sz="8" w:space="0" w:color="auto"/>
              <w:left w:val="single" w:sz="18" w:space="0" w:color="auto"/>
              <w:bottom w:val="single" w:sz="8" w:space="0" w:color="auto"/>
              <w:right w:val="single" w:sz="18" w:space="0" w:color="auto"/>
            </w:tcBorders>
          </w:tcPr>
          <w:p w14:paraId="49AE7E60" w14:textId="77777777" w:rsidR="001177A2" w:rsidRDefault="001177A2">
            <w:pPr>
              <w:suppressAutoHyphens/>
              <w:jc w:val="center"/>
              <w:rPr>
                <w:kern w:val="16"/>
              </w:rPr>
            </w:pPr>
          </w:p>
        </w:tc>
      </w:tr>
      <w:tr w:rsidR="001177A2" w14:paraId="6A84F999"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2D88FD54" w14:textId="77777777" w:rsidR="001177A2" w:rsidRDefault="001177A2">
            <w:pPr>
              <w:suppressAutoHyphens/>
              <w:jc w:val="center"/>
              <w:rPr>
                <w:kern w:val="16"/>
              </w:rPr>
            </w:pPr>
            <w:r>
              <w:t>Congestion</w:t>
            </w:r>
            <w:r>
              <w:br/>
              <w:t>Revenue</w:t>
            </w:r>
          </w:p>
        </w:tc>
        <w:tc>
          <w:tcPr>
            <w:tcW w:w="0" w:type="auto"/>
            <w:tcBorders>
              <w:top w:val="single" w:sz="4" w:space="0" w:color="auto"/>
              <w:left w:val="single" w:sz="4" w:space="0" w:color="auto"/>
              <w:bottom w:val="single" w:sz="4" w:space="0" w:color="auto"/>
              <w:right w:val="single" w:sz="4" w:space="0" w:color="auto"/>
            </w:tcBorders>
          </w:tcPr>
          <w:p w14:paraId="7B6B3DED" w14:textId="77777777" w:rsidR="001177A2" w:rsidRDefault="001177A2">
            <w:pPr>
              <w:suppressAutoHyphens/>
              <w:jc w:val="center"/>
              <w:rPr>
                <w:kern w:val="16"/>
              </w:rPr>
            </w:pPr>
          </w:p>
        </w:tc>
        <w:tc>
          <w:tcPr>
            <w:tcW w:w="1150" w:type="dxa"/>
            <w:tcBorders>
              <w:top w:val="single" w:sz="4" w:space="0" w:color="auto"/>
              <w:left w:val="single" w:sz="4" w:space="0" w:color="auto"/>
              <w:bottom w:val="single" w:sz="4" w:space="0" w:color="auto"/>
              <w:right w:val="single" w:sz="18" w:space="0" w:color="auto"/>
            </w:tcBorders>
          </w:tcPr>
          <w:p w14:paraId="5C33B910"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474F8057"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4FFB682A" w14:textId="77777777" w:rsidR="001177A2" w:rsidRDefault="001177A2">
            <w:pPr>
              <w:suppressAutoHyphens/>
              <w:jc w:val="center"/>
              <w:rPr>
                <w:kern w:val="16"/>
              </w:rPr>
            </w:pPr>
            <w:r>
              <w:t>$1,500</w:t>
            </w:r>
          </w:p>
        </w:tc>
        <w:tc>
          <w:tcPr>
            <w:tcW w:w="1150" w:type="dxa"/>
            <w:tcBorders>
              <w:top w:val="single" w:sz="4" w:space="0" w:color="auto"/>
              <w:left w:val="single" w:sz="4" w:space="0" w:color="auto"/>
              <w:bottom w:val="single" w:sz="4" w:space="0" w:color="auto"/>
              <w:right w:val="single" w:sz="18" w:space="0" w:color="auto"/>
            </w:tcBorders>
          </w:tcPr>
          <w:p w14:paraId="7AD7F5EF" w14:textId="77777777" w:rsidR="001177A2" w:rsidRDefault="001177A2">
            <w:pPr>
              <w:suppressAutoHyphens/>
              <w:jc w:val="center"/>
              <w:rPr>
                <w:kern w:val="16"/>
              </w:rPr>
            </w:pPr>
          </w:p>
        </w:tc>
        <w:tc>
          <w:tcPr>
            <w:tcW w:w="1150" w:type="dxa"/>
            <w:tcBorders>
              <w:top w:val="single" w:sz="8" w:space="0" w:color="auto"/>
              <w:left w:val="single" w:sz="18" w:space="0" w:color="auto"/>
              <w:bottom w:val="single" w:sz="8" w:space="0" w:color="auto"/>
              <w:right w:val="single" w:sz="18" w:space="0" w:color="auto"/>
            </w:tcBorders>
          </w:tcPr>
          <w:p w14:paraId="4A02DA7E" w14:textId="77777777" w:rsidR="001177A2" w:rsidRDefault="001177A2">
            <w:pPr>
              <w:suppressAutoHyphens/>
              <w:jc w:val="center"/>
              <w:rPr>
                <w:kern w:val="16"/>
              </w:rPr>
            </w:pPr>
          </w:p>
        </w:tc>
      </w:tr>
      <w:tr w:rsidR="001177A2" w14:paraId="49521F99"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0A685D05" w14:textId="77777777" w:rsidR="001177A2" w:rsidRDefault="001177A2">
            <w:pPr>
              <w:suppressAutoHyphens/>
              <w:jc w:val="center"/>
              <w:rPr>
                <w:kern w:val="16"/>
              </w:rPr>
            </w:pPr>
            <w:r>
              <w:t>GHG Compliance</w:t>
            </w:r>
            <w:r>
              <w:br/>
              <w:t>Revenue</w:t>
            </w:r>
          </w:p>
        </w:tc>
        <w:tc>
          <w:tcPr>
            <w:tcW w:w="0" w:type="auto"/>
            <w:tcBorders>
              <w:top w:val="single" w:sz="4" w:space="0" w:color="auto"/>
              <w:left w:val="single" w:sz="4" w:space="0" w:color="auto"/>
              <w:bottom w:val="single" w:sz="4" w:space="0" w:color="auto"/>
              <w:right w:val="single" w:sz="4" w:space="0" w:color="auto"/>
            </w:tcBorders>
          </w:tcPr>
          <w:p w14:paraId="60C534A6" w14:textId="77777777" w:rsidR="001177A2" w:rsidRDefault="001177A2">
            <w:pPr>
              <w:suppressAutoHyphens/>
              <w:jc w:val="center"/>
              <w:rPr>
                <w:kern w:val="16"/>
              </w:rPr>
            </w:pPr>
          </w:p>
        </w:tc>
        <w:tc>
          <w:tcPr>
            <w:tcW w:w="1150" w:type="dxa"/>
            <w:tcBorders>
              <w:top w:val="single" w:sz="4" w:space="0" w:color="auto"/>
              <w:left w:val="single" w:sz="4" w:space="0" w:color="auto"/>
              <w:bottom w:val="single" w:sz="4" w:space="0" w:color="auto"/>
              <w:right w:val="single" w:sz="18" w:space="0" w:color="auto"/>
            </w:tcBorders>
          </w:tcPr>
          <w:p w14:paraId="0881A81D" w14:textId="77777777" w:rsidR="001177A2" w:rsidRDefault="001177A2">
            <w:pPr>
              <w:suppressAutoHyphens/>
              <w:jc w:val="center"/>
              <w:rPr>
                <w:kern w:val="16"/>
              </w:rPr>
            </w:pPr>
          </w:p>
        </w:tc>
        <w:tc>
          <w:tcPr>
            <w:tcW w:w="1123" w:type="dxa"/>
            <w:tcBorders>
              <w:top w:val="single" w:sz="4" w:space="0" w:color="auto"/>
              <w:left w:val="single" w:sz="18" w:space="0" w:color="auto"/>
              <w:bottom w:val="single" w:sz="18" w:space="0" w:color="auto"/>
              <w:right w:val="single" w:sz="18" w:space="0" w:color="auto"/>
            </w:tcBorders>
          </w:tcPr>
          <w:p w14:paraId="711B11E9"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368B0C62" w14:textId="77777777" w:rsidR="001177A2" w:rsidRDefault="001177A2">
            <w:pPr>
              <w:suppressAutoHyphens/>
              <w:jc w:val="center"/>
              <w:rPr>
                <w:kern w:val="16"/>
              </w:rPr>
            </w:pPr>
            <w:r>
              <w:t>$500</w:t>
            </w:r>
          </w:p>
        </w:tc>
        <w:tc>
          <w:tcPr>
            <w:tcW w:w="1150" w:type="dxa"/>
            <w:tcBorders>
              <w:top w:val="single" w:sz="4" w:space="0" w:color="auto"/>
              <w:left w:val="single" w:sz="4" w:space="0" w:color="auto"/>
              <w:bottom w:val="single" w:sz="4" w:space="0" w:color="auto"/>
              <w:right w:val="single" w:sz="18" w:space="0" w:color="auto"/>
            </w:tcBorders>
          </w:tcPr>
          <w:p w14:paraId="0F66E572" w14:textId="77777777" w:rsidR="001177A2" w:rsidRDefault="001177A2">
            <w:pPr>
              <w:suppressAutoHyphens/>
              <w:jc w:val="center"/>
              <w:rPr>
                <w:kern w:val="16"/>
              </w:rPr>
            </w:pPr>
          </w:p>
        </w:tc>
        <w:tc>
          <w:tcPr>
            <w:tcW w:w="1150" w:type="dxa"/>
            <w:tcBorders>
              <w:top w:val="single" w:sz="8" w:space="0" w:color="auto"/>
              <w:left w:val="single" w:sz="18" w:space="0" w:color="auto"/>
              <w:bottom w:val="single" w:sz="18" w:space="0" w:color="auto"/>
              <w:right w:val="single" w:sz="18" w:space="0" w:color="auto"/>
            </w:tcBorders>
          </w:tcPr>
          <w:p w14:paraId="797CF1B8" w14:textId="77777777" w:rsidR="001177A2" w:rsidRDefault="001177A2">
            <w:pPr>
              <w:suppressAutoHyphens/>
              <w:jc w:val="center"/>
              <w:rPr>
                <w:kern w:val="16"/>
              </w:rPr>
            </w:pPr>
          </w:p>
        </w:tc>
      </w:tr>
    </w:tbl>
    <w:p w14:paraId="6E92FEE1" w14:textId="77777777" w:rsidR="007A2435" w:rsidRDefault="007A2435" w:rsidP="00D8261A">
      <w:pPr>
        <w:pStyle w:val="Paragraph"/>
        <w:spacing w:before="0" w:after="240" w:line="300" w:lineRule="auto"/>
        <w:rPr>
          <w:rFonts w:ascii="Arial" w:hAnsi="Arial" w:cs="Arial"/>
        </w:rPr>
      </w:pPr>
    </w:p>
    <w:p w14:paraId="1848F6D3" w14:textId="77777777" w:rsidR="00447056" w:rsidRPr="00D8261A" w:rsidRDefault="001177A2" w:rsidP="00877DDB">
      <w:pPr>
        <w:pStyle w:val="BPM"/>
      </w:pPr>
      <w:r w:rsidRPr="00D8261A">
        <w:lastRenderedPageBreak/>
        <w:t>Where it is assumed that GHG compliance costs for G</w:t>
      </w:r>
      <w:r w:rsidRPr="00D8261A">
        <w:rPr>
          <w:vertAlign w:val="subscript"/>
        </w:rPr>
        <w:t>1</w:t>
      </w:r>
      <w:r w:rsidRPr="00D8261A">
        <w:t xml:space="preserve"> are included in the energy bid (cost) and recovered through the energy payment, </w:t>
      </w:r>
      <w:r w:rsidR="00D220F2" w:rsidRPr="00A11346">
        <w:t xml:space="preserve">and </w:t>
      </w:r>
      <w:r w:rsidRPr="00D8261A">
        <w:t>as such</w:t>
      </w:r>
      <w:r w:rsidR="00D220F2" w:rsidRPr="00A11346">
        <w:t xml:space="preserve"> </w:t>
      </w:r>
      <w:r w:rsidRPr="00D8261A">
        <w:t>they are not shown explicitly. It can be seen in the settlement results above that the total payment to each generator is sufficient to cover the respective energy and GHG compliance costs.</w:t>
      </w:r>
    </w:p>
    <w:p w14:paraId="4231C482" w14:textId="77777777" w:rsidR="009C4072" w:rsidRPr="00A11346" w:rsidRDefault="009C4072" w:rsidP="00D8261A">
      <w:pPr>
        <w:pStyle w:val="Paragraph"/>
        <w:spacing w:before="0" w:after="240" w:line="300" w:lineRule="auto"/>
        <w:rPr>
          <w:rFonts w:ascii="Arial" w:hAnsi="Arial" w:cs="Arial"/>
        </w:rPr>
      </w:pPr>
    </w:p>
    <w:p w14:paraId="0A4C907D" w14:textId="77777777" w:rsidR="00690C93" w:rsidRDefault="00690C93" w:rsidP="00D8261A">
      <w:pPr>
        <w:pStyle w:val="Paragraph"/>
        <w:spacing w:before="0" w:after="240" w:line="300" w:lineRule="auto"/>
        <w:rPr>
          <w:rFonts w:cs="Arial"/>
        </w:rPr>
      </w:pPr>
    </w:p>
    <w:p w14:paraId="364FB60C" w14:textId="77777777" w:rsidR="009D57CA" w:rsidRPr="00D8261A" w:rsidRDefault="00690C93" w:rsidP="00877DDB">
      <w:pPr>
        <w:pStyle w:val="Paragraph"/>
        <w:spacing w:before="0" w:after="240" w:line="300" w:lineRule="auto"/>
        <w:rPr>
          <w:rFonts w:ascii="Arial" w:hAnsi="Arial" w:cs="Arial"/>
          <w:b/>
        </w:rPr>
      </w:pPr>
      <w:r w:rsidRPr="00D8261A">
        <w:rPr>
          <w:rFonts w:ascii="Arial" w:hAnsi="Arial" w:cs="Arial"/>
          <w:b/>
        </w:rPr>
        <w:t>Example 2</w:t>
      </w:r>
    </w:p>
    <w:p w14:paraId="2B07AB66" w14:textId="77777777" w:rsidR="001177A2" w:rsidRPr="004F3267" w:rsidRDefault="001177A2" w:rsidP="00877DDB">
      <w:pPr>
        <w:pStyle w:val="BPM"/>
      </w:pPr>
      <w:bookmarkStart w:id="1942" w:name="_Toc367722318"/>
      <w:bookmarkStart w:id="1943" w:name="_Toc364148863"/>
      <w:bookmarkStart w:id="1944" w:name="_Toc364147773"/>
      <w:bookmarkStart w:id="1945" w:name="_Toc363813082"/>
      <w:bookmarkStart w:id="1946" w:name="_Toc363802647"/>
      <w:bookmarkStart w:id="1947" w:name="_Toc363747655"/>
      <w:bookmarkStart w:id="1948" w:name="_Toc363747520"/>
      <w:bookmarkStart w:id="1949" w:name="_Toc360527188"/>
      <w:bookmarkStart w:id="1950" w:name="_Toc357770681"/>
      <w:bookmarkStart w:id="1951" w:name="_Toc357700103"/>
      <w:bookmarkStart w:id="1952" w:name="_Toc357692055"/>
      <w:bookmarkEnd w:id="1942"/>
      <w:bookmarkEnd w:id="1943"/>
      <w:bookmarkEnd w:id="1944"/>
      <w:bookmarkEnd w:id="1945"/>
      <w:bookmarkEnd w:id="1946"/>
      <w:bookmarkEnd w:id="1947"/>
      <w:bookmarkEnd w:id="1948"/>
      <w:bookmarkEnd w:id="1949"/>
      <w:bookmarkEnd w:id="1950"/>
      <w:bookmarkEnd w:id="1951"/>
      <w:bookmarkEnd w:id="1952"/>
      <w:r w:rsidRPr="004F3267">
        <w:t xml:space="preserve">This is a variation on the first example where G3 reduces its bid price to $28 to become a more competitive exporter to the </w:t>
      </w:r>
      <w:r w:rsidR="0058562B">
        <w:t>CA</w:t>
      </w:r>
      <w:r w:rsidRPr="004F3267">
        <w:t>ISO compared to G2, taking into account the additional GHG compliance bid of $6/MWh. In this case, the optimal dispatch and export allocation are as follows:</w:t>
      </w:r>
    </w:p>
    <w:tbl>
      <w:tblPr>
        <w:tblW w:w="0" w:type="auto"/>
        <w:jc w:val="center"/>
        <w:tblLook w:val="04A0" w:firstRow="1" w:lastRow="0" w:firstColumn="1" w:lastColumn="0" w:noHBand="0" w:noVBand="1"/>
      </w:tblPr>
      <w:tblGrid>
        <w:gridCol w:w="1056"/>
        <w:gridCol w:w="1010"/>
        <w:gridCol w:w="1792"/>
        <w:gridCol w:w="1069"/>
      </w:tblGrid>
      <w:tr w:rsidR="001177A2" w14:paraId="19138A31"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473501" w14:textId="77777777" w:rsidR="001177A2" w:rsidRDefault="001177A2">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C9561C" w14:textId="77777777" w:rsidR="001177A2" w:rsidRDefault="001177A2">
            <w:pPr>
              <w:suppressAutoHyphens/>
              <w:jc w:val="center"/>
              <w:rPr>
                <w:b/>
                <w:kern w:val="16"/>
              </w:rPr>
            </w:pPr>
            <w:r>
              <w:rPr>
                <w:b/>
              </w:rPr>
              <w:t>Dispatch</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F9357C" w14:textId="77777777" w:rsidR="001177A2" w:rsidRDefault="001177A2">
            <w:pPr>
              <w:suppressAutoHyphens/>
              <w:jc w:val="center"/>
              <w:rPr>
                <w:b/>
                <w:kern w:val="16"/>
              </w:rPr>
            </w:pPr>
            <w:r>
              <w:rPr>
                <w:b/>
              </w:rPr>
              <w:t>Export Allocation</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858A33" w14:textId="77777777" w:rsidR="001177A2" w:rsidRDefault="001177A2">
            <w:pPr>
              <w:suppressAutoHyphens/>
              <w:jc w:val="center"/>
              <w:rPr>
                <w:b/>
                <w:kern w:val="16"/>
              </w:rPr>
            </w:pPr>
            <w:r>
              <w:rPr>
                <w:b/>
              </w:rPr>
              <w:t>LMP</w:t>
            </w:r>
            <w:r>
              <w:rPr>
                <w:b/>
              </w:rPr>
              <w:br/>
              <w:t>($/MWh)</w:t>
            </w:r>
          </w:p>
        </w:tc>
      </w:tr>
      <w:tr w:rsidR="001177A2" w14:paraId="25F317CC"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1DA92E1A" w14:textId="77777777" w:rsidR="001177A2" w:rsidRDefault="001177A2">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7E5A6D0A"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6E16116A"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5FA70837" w14:textId="77777777" w:rsidR="001177A2" w:rsidRDefault="001177A2">
            <w:pPr>
              <w:suppressAutoHyphens/>
              <w:jc w:val="center"/>
              <w:rPr>
                <w:kern w:val="16"/>
              </w:rPr>
            </w:pPr>
            <w:r>
              <w:t>50</w:t>
            </w:r>
          </w:p>
        </w:tc>
      </w:tr>
      <w:tr w:rsidR="001177A2" w14:paraId="14070E60"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79E4C393" w14:textId="77777777" w:rsidR="001177A2" w:rsidRDefault="001177A2">
            <w:pPr>
              <w:suppressAutoHyphens/>
              <w:jc w:val="center"/>
              <w:rPr>
                <w:kern w:val="16"/>
                <w:vertAlign w:val="subscript"/>
              </w:rPr>
            </w:pPr>
            <w:r>
              <w:t>G2</w:t>
            </w:r>
          </w:p>
        </w:tc>
        <w:tc>
          <w:tcPr>
            <w:tcW w:w="0" w:type="auto"/>
            <w:tcBorders>
              <w:top w:val="single" w:sz="4" w:space="0" w:color="auto"/>
              <w:left w:val="single" w:sz="4" w:space="0" w:color="auto"/>
              <w:bottom w:val="single" w:sz="4" w:space="0" w:color="auto"/>
              <w:right w:val="single" w:sz="4" w:space="0" w:color="auto"/>
            </w:tcBorders>
            <w:hideMark/>
          </w:tcPr>
          <w:p w14:paraId="582FCFC5"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3D428BAA" w14:textId="77777777" w:rsidR="001177A2" w:rsidRDefault="001177A2">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3CF4BD18" w14:textId="77777777" w:rsidR="001177A2" w:rsidRDefault="001177A2">
            <w:pPr>
              <w:suppressAutoHyphens/>
              <w:jc w:val="center"/>
              <w:rPr>
                <w:kern w:val="16"/>
              </w:rPr>
            </w:pPr>
            <w:r>
              <w:t>28</w:t>
            </w:r>
          </w:p>
        </w:tc>
      </w:tr>
      <w:tr w:rsidR="001177A2" w14:paraId="5257E6BF"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DBF2561" w14:textId="77777777" w:rsidR="001177A2" w:rsidRDefault="001177A2">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5909F665" w14:textId="77777777" w:rsidR="001177A2" w:rsidRDefault="001177A2">
            <w:pPr>
              <w:suppressAutoHyphens/>
              <w:jc w:val="center"/>
              <w:rPr>
                <w:kern w:val="16"/>
              </w:rPr>
            </w:pPr>
            <w:r>
              <w:t>150</w:t>
            </w:r>
          </w:p>
        </w:tc>
        <w:tc>
          <w:tcPr>
            <w:tcW w:w="0" w:type="auto"/>
            <w:tcBorders>
              <w:top w:val="single" w:sz="4" w:space="0" w:color="auto"/>
              <w:left w:val="single" w:sz="4" w:space="0" w:color="auto"/>
              <w:bottom w:val="single" w:sz="4" w:space="0" w:color="auto"/>
              <w:right w:val="single" w:sz="4" w:space="0" w:color="auto"/>
            </w:tcBorders>
            <w:hideMark/>
          </w:tcPr>
          <w:p w14:paraId="6E3E59C7"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6907265F" w14:textId="77777777" w:rsidR="001177A2" w:rsidRDefault="001177A2">
            <w:pPr>
              <w:suppressAutoHyphens/>
              <w:jc w:val="center"/>
              <w:rPr>
                <w:kern w:val="16"/>
              </w:rPr>
            </w:pPr>
            <w:r>
              <w:t>28</w:t>
            </w:r>
          </w:p>
        </w:tc>
      </w:tr>
      <w:tr w:rsidR="001177A2" w14:paraId="4060D168"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113C1E3B" w14:textId="77777777" w:rsidR="001177A2" w:rsidRDefault="001177A2">
            <w:pPr>
              <w:suppressAutoHyphens/>
              <w:jc w:val="center"/>
              <w:rPr>
                <w:kern w:val="16"/>
              </w:rPr>
            </w:pPr>
            <w:r>
              <w:t>L1</w:t>
            </w:r>
          </w:p>
        </w:tc>
        <w:tc>
          <w:tcPr>
            <w:tcW w:w="0" w:type="auto"/>
            <w:tcBorders>
              <w:top w:val="single" w:sz="4" w:space="0" w:color="auto"/>
              <w:left w:val="single" w:sz="4" w:space="0" w:color="auto"/>
              <w:bottom w:val="single" w:sz="4" w:space="0" w:color="auto"/>
              <w:right w:val="single" w:sz="4" w:space="0" w:color="auto"/>
            </w:tcBorders>
            <w:hideMark/>
          </w:tcPr>
          <w:p w14:paraId="4A60860A" w14:textId="77777777" w:rsidR="001177A2" w:rsidRDefault="001177A2">
            <w:pPr>
              <w:suppressAutoHyphens/>
              <w:jc w:val="center"/>
              <w:rPr>
                <w:kern w:val="16"/>
              </w:rPr>
            </w:pPr>
            <w:r>
              <w:t>200</w:t>
            </w:r>
          </w:p>
        </w:tc>
        <w:tc>
          <w:tcPr>
            <w:tcW w:w="0" w:type="auto"/>
            <w:tcBorders>
              <w:top w:val="single" w:sz="4" w:space="0" w:color="auto"/>
              <w:left w:val="single" w:sz="4" w:space="0" w:color="auto"/>
              <w:bottom w:val="single" w:sz="4" w:space="0" w:color="auto"/>
              <w:right w:val="single" w:sz="4" w:space="0" w:color="auto"/>
            </w:tcBorders>
            <w:hideMark/>
          </w:tcPr>
          <w:p w14:paraId="740307D8"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3350DDFC" w14:textId="77777777" w:rsidR="001177A2" w:rsidRDefault="001177A2">
            <w:pPr>
              <w:suppressAutoHyphens/>
              <w:jc w:val="center"/>
              <w:rPr>
                <w:kern w:val="16"/>
              </w:rPr>
            </w:pPr>
            <w:r>
              <w:t>50</w:t>
            </w:r>
          </w:p>
        </w:tc>
      </w:tr>
      <w:tr w:rsidR="001177A2" w14:paraId="2AB2C4DB"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D4E59D9" w14:textId="77777777" w:rsidR="001177A2" w:rsidRDefault="001177A2">
            <w:pPr>
              <w:suppressAutoHyphens/>
              <w:jc w:val="center"/>
              <w:rPr>
                <w:kern w:val="16"/>
              </w:rPr>
            </w:pPr>
            <w:r>
              <w:t>L2</w:t>
            </w:r>
          </w:p>
        </w:tc>
        <w:tc>
          <w:tcPr>
            <w:tcW w:w="0" w:type="auto"/>
            <w:tcBorders>
              <w:top w:val="single" w:sz="4" w:space="0" w:color="auto"/>
              <w:left w:val="single" w:sz="4" w:space="0" w:color="auto"/>
              <w:bottom w:val="single" w:sz="4" w:space="0" w:color="auto"/>
              <w:right w:val="single" w:sz="4" w:space="0" w:color="auto"/>
            </w:tcBorders>
            <w:hideMark/>
          </w:tcPr>
          <w:p w14:paraId="21D9B639" w14:textId="77777777" w:rsidR="001177A2" w:rsidRDefault="001177A2">
            <w:pPr>
              <w:suppressAutoHyphens/>
              <w:jc w:val="center"/>
              <w:rPr>
                <w:kern w:val="16"/>
              </w:rPr>
            </w:pPr>
            <w:r>
              <w:t>50</w:t>
            </w:r>
          </w:p>
        </w:tc>
        <w:tc>
          <w:tcPr>
            <w:tcW w:w="0" w:type="auto"/>
            <w:tcBorders>
              <w:top w:val="single" w:sz="4" w:space="0" w:color="auto"/>
              <w:left w:val="single" w:sz="4" w:space="0" w:color="auto"/>
              <w:bottom w:val="single" w:sz="4" w:space="0" w:color="auto"/>
              <w:right w:val="single" w:sz="4" w:space="0" w:color="auto"/>
            </w:tcBorders>
            <w:hideMark/>
          </w:tcPr>
          <w:p w14:paraId="38305AC3"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3216AB34" w14:textId="77777777" w:rsidR="001177A2" w:rsidRDefault="001177A2">
            <w:pPr>
              <w:suppressAutoHyphens/>
              <w:jc w:val="center"/>
              <w:rPr>
                <w:kern w:val="16"/>
              </w:rPr>
            </w:pPr>
            <w:r>
              <w:t>28</w:t>
            </w:r>
          </w:p>
        </w:tc>
      </w:tr>
    </w:tbl>
    <w:p w14:paraId="2736CCAB" w14:textId="77777777" w:rsidR="001177A2" w:rsidRDefault="001177A2" w:rsidP="001177A2">
      <w:pPr>
        <w:jc w:val="center"/>
      </w:pPr>
      <w:r>
        <w:t xml:space="preserve">Example 2: </w:t>
      </w:r>
      <m:oMath>
        <m:r>
          <m:rPr>
            <m:sty m:val="p"/>
          </m:rPr>
          <w:rPr>
            <w:rFonts w:ascii="Cambria Math" w:hAnsi="Cambria Math"/>
          </w:rPr>
          <m:t>µ</m:t>
        </m:r>
      </m:oMath>
      <w:r>
        <w:t xml:space="preserve"> = –$16/MWh; </w:t>
      </w:r>
      <m:oMath>
        <m:r>
          <m:rPr>
            <m:sty m:val="p"/>
          </m:rPr>
          <w:rPr>
            <w:rFonts w:ascii="Cambria Math" w:hAnsi="Cambria Math"/>
          </w:rPr>
          <m:t>η</m:t>
        </m:r>
      </m:oMath>
      <w:r>
        <w:t xml:space="preserve"> = –$6/MWh</w:t>
      </w:r>
    </w:p>
    <w:p w14:paraId="7C567E0E" w14:textId="77777777" w:rsidR="00FC6F91" w:rsidRDefault="00FC6F91" w:rsidP="001177A2">
      <w:pPr>
        <w:jc w:val="center"/>
        <w:rPr>
          <w:kern w:val="16"/>
        </w:rPr>
      </w:pPr>
    </w:p>
    <w:p w14:paraId="1D2ED94C" w14:textId="77777777" w:rsidR="001177A2" w:rsidRPr="000F299B" w:rsidRDefault="001177A2" w:rsidP="00877DDB">
      <w:pPr>
        <w:pStyle w:val="BPM"/>
      </w:pPr>
      <w:r w:rsidRPr="000F299B">
        <w:t xml:space="preserve">G3 is the least expensive resource for serving L2, and as such it sets the LMP in the EIM Entity Area to $28/MWh. It is also the least expensive resource for serving L1 at $34/MWh (including the $6/MWh GHG compliance cost). Consequently, G3 is dispatched at 150MW with 100MW exported to the </w:t>
      </w:r>
      <w:r w:rsidR="0058562B">
        <w:t>CA</w:t>
      </w:r>
      <w:r w:rsidRPr="000F299B">
        <w:t xml:space="preserve">ISO at the limit of the power transfer capability. The balance of 100MW of L1 can only be served by G1, which sets the LMP in the </w:t>
      </w:r>
      <w:r w:rsidR="0058562B">
        <w:t>CA</w:t>
      </w:r>
      <w:r w:rsidRPr="000F299B">
        <w:t>ISO to $50/MWh.</w:t>
      </w:r>
    </w:p>
    <w:p w14:paraId="2952F5FA" w14:textId="77777777" w:rsidR="001177A2" w:rsidRPr="000F299B" w:rsidRDefault="001177A2" w:rsidP="00877DDB">
      <w:pPr>
        <w:pStyle w:val="BPM"/>
      </w:pPr>
      <w:r w:rsidRPr="000F299B">
        <w:t>The LMP difference of $22/MWh is made up by the marginal congestion cost of $16/MWh and the marginal GHG compliance cost of $6/MWh. The marginal congestion cost can be easily verified if the power transfer limit is relaxed by 1MW to 101MW, in which case one additional MWh from G3 will displace 1MWh from G1 for a net benefit of $16. The marginal GHG compliance cost can be easily verified if the export allocation (which carries the GHYG allowance cost) is relaxed by 1 MW to 99MW, in which case 1MWh from G3 will not incur GHG allowance costs for a benefit of $6.</w:t>
      </w:r>
    </w:p>
    <w:p w14:paraId="6EB34897" w14:textId="77777777" w:rsidR="00970A1B" w:rsidRPr="000F299B" w:rsidRDefault="001177A2" w:rsidP="00877DDB">
      <w:pPr>
        <w:pStyle w:val="BPM"/>
      </w:pPr>
      <w:r w:rsidRPr="000F299B">
        <w:lastRenderedPageBreak/>
        <w:t>The marginal congestion cost of $16/MWh and the marginal GHG compliance cost of $6/MWh on a 100MWh energy export result in a congestion revenue of $1,600 and a GHG compliance revenue of $600, respectively. Assuming that the GHG compliance revenue is distributed to the optimal export allocations, the settlement is as follows:</w:t>
      </w:r>
    </w:p>
    <w:tbl>
      <w:tblPr>
        <w:tblW w:w="0" w:type="auto"/>
        <w:jc w:val="center"/>
        <w:tblLook w:val="04A0" w:firstRow="1" w:lastRow="0" w:firstColumn="1" w:lastColumn="0" w:noHBand="0" w:noVBand="1"/>
      </w:tblPr>
      <w:tblGrid>
        <w:gridCol w:w="1730"/>
        <w:gridCol w:w="839"/>
        <w:gridCol w:w="1443"/>
        <w:gridCol w:w="1123"/>
        <w:gridCol w:w="1123"/>
        <w:gridCol w:w="1443"/>
        <w:gridCol w:w="1150"/>
      </w:tblGrid>
      <w:tr w:rsidR="001177A2" w14:paraId="740B1D3B"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F4C1B6" w14:textId="77777777" w:rsidR="001177A2" w:rsidRDefault="001177A2">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B862DF" w14:textId="77777777" w:rsidR="001177A2" w:rsidRDefault="001177A2">
            <w:pPr>
              <w:suppressAutoHyphens/>
              <w:jc w:val="center"/>
              <w:rPr>
                <w:b/>
                <w:kern w:val="16"/>
              </w:rPr>
            </w:pPr>
            <w:r>
              <w:rPr>
                <w:b/>
              </w:rPr>
              <w:t>Energy</w:t>
            </w:r>
            <w:r>
              <w:rPr>
                <w:b/>
              </w:rPr>
              <w:br/>
              <w:t>Cost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42B5D350" w14:textId="77777777" w:rsidR="001177A2" w:rsidRDefault="001177A2">
            <w:pPr>
              <w:suppressAutoHyphens/>
              <w:jc w:val="center"/>
              <w:rPr>
                <w:b/>
                <w:kern w:val="16"/>
              </w:rPr>
            </w:pPr>
            <w:r>
              <w:rPr>
                <w:b/>
              </w:rPr>
              <w:t>GHG Compliance Cost</w:t>
            </w:r>
          </w:p>
        </w:tc>
        <w:tc>
          <w:tcPr>
            <w:tcW w:w="1123" w:type="dxa"/>
            <w:tcBorders>
              <w:top w:val="single" w:sz="18" w:space="0" w:color="auto"/>
              <w:left w:val="single" w:sz="18" w:space="0" w:color="auto"/>
              <w:bottom w:val="single" w:sz="4" w:space="0" w:color="auto"/>
              <w:right w:val="single" w:sz="18" w:space="0" w:color="auto"/>
            </w:tcBorders>
            <w:shd w:val="clear" w:color="auto" w:fill="C6D9F1" w:themeFill="text2" w:themeFillTint="33"/>
            <w:hideMark/>
          </w:tcPr>
          <w:p w14:paraId="547876C8" w14:textId="77777777" w:rsidR="001177A2" w:rsidRDefault="001177A2">
            <w:pPr>
              <w:suppressAutoHyphens/>
              <w:jc w:val="center"/>
              <w:rPr>
                <w:b/>
                <w:kern w:val="16"/>
              </w:rPr>
            </w:pPr>
            <w:r>
              <w:rPr>
                <w:b/>
              </w:rPr>
              <w:t>Total</w:t>
            </w:r>
            <w:r>
              <w:rPr>
                <w:b/>
              </w:rPr>
              <w:br/>
              <w:t>Cost</w:t>
            </w:r>
          </w:p>
        </w:tc>
        <w:tc>
          <w:tcPr>
            <w:tcW w:w="1123" w:type="dxa"/>
            <w:tcBorders>
              <w:top w:val="single" w:sz="4" w:space="0" w:color="auto"/>
              <w:left w:val="single" w:sz="18" w:space="0" w:color="auto"/>
              <w:bottom w:val="single" w:sz="4" w:space="0" w:color="auto"/>
              <w:right w:val="single" w:sz="4" w:space="0" w:color="auto"/>
            </w:tcBorders>
            <w:shd w:val="clear" w:color="auto" w:fill="C6D9F1" w:themeFill="text2" w:themeFillTint="33"/>
            <w:hideMark/>
          </w:tcPr>
          <w:p w14:paraId="2C71C4E1" w14:textId="77777777" w:rsidR="001177A2" w:rsidRDefault="001177A2">
            <w:pPr>
              <w:suppressAutoHyphens/>
              <w:jc w:val="center"/>
              <w:rPr>
                <w:b/>
                <w:kern w:val="16"/>
              </w:rPr>
            </w:pPr>
            <w:r>
              <w:rPr>
                <w:b/>
              </w:rPr>
              <w:t>Energy</w:t>
            </w:r>
            <w:r>
              <w:rPr>
                <w:b/>
              </w:rPr>
              <w:br/>
              <w:t>Payment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239AA6A2" w14:textId="77777777" w:rsidR="001177A2" w:rsidRDefault="001177A2">
            <w:pPr>
              <w:suppressAutoHyphens/>
              <w:jc w:val="center"/>
              <w:rPr>
                <w:b/>
                <w:kern w:val="16"/>
              </w:rPr>
            </w:pPr>
            <w:r>
              <w:rPr>
                <w:b/>
              </w:rPr>
              <w:t>GHG Compliance Payment</w:t>
            </w:r>
          </w:p>
        </w:tc>
        <w:tc>
          <w:tcPr>
            <w:tcW w:w="1150" w:type="dxa"/>
            <w:tcBorders>
              <w:top w:val="single" w:sz="18" w:space="0" w:color="auto"/>
              <w:left w:val="single" w:sz="18" w:space="0" w:color="auto"/>
              <w:bottom w:val="single" w:sz="4" w:space="0" w:color="auto"/>
              <w:right w:val="single" w:sz="18" w:space="0" w:color="auto"/>
            </w:tcBorders>
            <w:shd w:val="clear" w:color="auto" w:fill="C6D9F1" w:themeFill="text2" w:themeFillTint="33"/>
            <w:hideMark/>
          </w:tcPr>
          <w:p w14:paraId="7EF765D8" w14:textId="77777777" w:rsidR="001177A2" w:rsidRDefault="001177A2">
            <w:pPr>
              <w:suppressAutoHyphens/>
              <w:jc w:val="center"/>
              <w:rPr>
                <w:b/>
                <w:kern w:val="16"/>
              </w:rPr>
            </w:pPr>
            <w:r>
              <w:rPr>
                <w:b/>
              </w:rPr>
              <w:t>Total Payment</w:t>
            </w:r>
          </w:p>
        </w:tc>
      </w:tr>
      <w:tr w:rsidR="001177A2" w14:paraId="39CAD907"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96D53BF" w14:textId="77777777" w:rsidR="001177A2" w:rsidRDefault="001177A2">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2232B535" w14:textId="77777777" w:rsidR="001177A2" w:rsidRDefault="001177A2">
            <w:pPr>
              <w:suppressAutoHyphens/>
              <w:jc w:val="center"/>
              <w:rPr>
                <w:kern w:val="16"/>
              </w:rPr>
            </w:pPr>
            <w:r>
              <w:t>$5,000</w:t>
            </w:r>
          </w:p>
        </w:tc>
        <w:tc>
          <w:tcPr>
            <w:tcW w:w="1443" w:type="dxa"/>
            <w:tcBorders>
              <w:top w:val="single" w:sz="4" w:space="0" w:color="auto"/>
              <w:left w:val="single" w:sz="4" w:space="0" w:color="auto"/>
              <w:bottom w:val="single" w:sz="4" w:space="0" w:color="auto"/>
              <w:right w:val="single" w:sz="18" w:space="0" w:color="auto"/>
            </w:tcBorders>
            <w:hideMark/>
          </w:tcPr>
          <w:p w14:paraId="0E5E7E89" w14:textId="77777777" w:rsidR="001177A2" w:rsidRDefault="001177A2">
            <w:pPr>
              <w:suppressAutoHyphens/>
              <w:jc w:val="center"/>
              <w:rPr>
                <w:kern w:val="16"/>
              </w:rPr>
            </w:pPr>
            <w:r>
              <w:t>-</w:t>
            </w:r>
          </w:p>
        </w:tc>
        <w:tc>
          <w:tcPr>
            <w:tcW w:w="1123" w:type="dxa"/>
            <w:tcBorders>
              <w:top w:val="single" w:sz="4" w:space="0" w:color="auto"/>
              <w:left w:val="single" w:sz="18" w:space="0" w:color="auto"/>
              <w:bottom w:val="single" w:sz="4" w:space="0" w:color="auto"/>
              <w:right w:val="single" w:sz="18" w:space="0" w:color="auto"/>
            </w:tcBorders>
            <w:hideMark/>
          </w:tcPr>
          <w:p w14:paraId="5A28FDCC" w14:textId="77777777" w:rsidR="001177A2" w:rsidRDefault="001177A2">
            <w:pPr>
              <w:suppressAutoHyphens/>
              <w:jc w:val="center"/>
              <w:rPr>
                <w:kern w:val="16"/>
              </w:rPr>
            </w:pPr>
            <w:r>
              <w:t>$5,000</w:t>
            </w:r>
          </w:p>
        </w:tc>
        <w:tc>
          <w:tcPr>
            <w:tcW w:w="1123" w:type="dxa"/>
            <w:tcBorders>
              <w:top w:val="single" w:sz="4" w:space="0" w:color="auto"/>
              <w:left w:val="single" w:sz="18" w:space="0" w:color="auto"/>
              <w:bottom w:val="single" w:sz="4" w:space="0" w:color="auto"/>
              <w:right w:val="single" w:sz="4" w:space="0" w:color="auto"/>
            </w:tcBorders>
            <w:hideMark/>
          </w:tcPr>
          <w:p w14:paraId="719D6581" w14:textId="77777777" w:rsidR="001177A2" w:rsidRDefault="001177A2">
            <w:pPr>
              <w:suppressAutoHyphens/>
              <w:jc w:val="center"/>
              <w:rPr>
                <w:kern w:val="16"/>
              </w:rPr>
            </w:pPr>
            <w:r>
              <w:t>$5,000</w:t>
            </w:r>
          </w:p>
        </w:tc>
        <w:tc>
          <w:tcPr>
            <w:tcW w:w="1443" w:type="dxa"/>
            <w:tcBorders>
              <w:top w:val="single" w:sz="4" w:space="0" w:color="auto"/>
              <w:left w:val="single" w:sz="4" w:space="0" w:color="auto"/>
              <w:bottom w:val="single" w:sz="4" w:space="0" w:color="auto"/>
              <w:right w:val="single" w:sz="18" w:space="0" w:color="auto"/>
            </w:tcBorders>
            <w:hideMark/>
          </w:tcPr>
          <w:p w14:paraId="3E4C035E" w14:textId="77777777" w:rsidR="001177A2" w:rsidRDefault="001177A2">
            <w:pPr>
              <w:suppressAutoHyphens/>
              <w:jc w:val="center"/>
              <w:rPr>
                <w:kern w:val="16"/>
              </w:rPr>
            </w:pPr>
            <w:r>
              <w:t>-</w:t>
            </w:r>
          </w:p>
        </w:tc>
        <w:tc>
          <w:tcPr>
            <w:tcW w:w="1150" w:type="dxa"/>
            <w:tcBorders>
              <w:top w:val="single" w:sz="4" w:space="0" w:color="auto"/>
              <w:left w:val="single" w:sz="18" w:space="0" w:color="auto"/>
              <w:bottom w:val="single" w:sz="4" w:space="0" w:color="auto"/>
              <w:right w:val="single" w:sz="18" w:space="0" w:color="auto"/>
            </w:tcBorders>
            <w:hideMark/>
          </w:tcPr>
          <w:p w14:paraId="052A1095" w14:textId="77777777" w:rsidR="001177A2" w:rsidRDefault="001177A2">
            <w:pPr>
              <w:suppressAutoHyphens/>
              <w:jc w:val="center"/>
              <w:rPr>
                <w:kern w:val="16"/>
              </w:rPr>
            </w:pPr>
            <w:r>
              <w:t>$5,000</w:t>
            </w:r>
          </w:p>
        </w:tc>
      </w:tr>
      <w:tr w:rsidR="001177A2" w14:paraId="754F3310"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35F4C486" w14:textId="77777777" w:rsidR="001177A2" w:rsidRDefault="001177A2">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0A242080" w14:textId="77777777" w:rsidR="001177A2" w:rsidRDefault="001177A2">
            <w:pPr>
              <w:suppressAutoHyphens/>
              <w:jc w:val="center"/>
              <w:rPr>
                <w:kern w:val="16"/>
              </w:rPr>
            </w:pPr>
            <w:r>
              <w:t>$0</w:t>
            </w:r>
          </w:p>
        </w:tc>
        <w:tc>
          <w:tcPr>
            <w:tcW w:w="1443" w:type="dxa"/>
            <w:tcBorders>
              <w:top w:val="single" w:sz="4" w:space="0" w:color="auto"/>
              <w:left w:val="single" w:sz="4" w:space="0" w:color="auto"/>
              <w:bottom w:val="single" w:sz="4" w:space="0" w:color="auto"/>
              <w:right w:val="single" w:sz="18" w:space="0" w:color="auto"/>
            </w:tcBorders>
            <w:hideMark/>
          </w:tcPr>
          <w:p w14:paraId="26FF7D7B" w14:textId="77777777" w:rsidR="001177A2" w:rsidRDefault="001177A2">
            <w:pPr>
              <w:suppressAutoHyphens/>
              <w:jc w:val="center"/>
              <w:rPr>
                <w:kern w:val="16"/>
              </w:rPr>
            </w:pPr>
            <w:r>
              <w:t>$0</w:t>
            </w:r>
          </w:p>
        </w:tc>
        <w:tc>
          <w:tcPr>
            <w:tcW w:w="1123" w:type="dxa"/>
            <w:tcBorders>
              <w:top w:val="single" w:sz="4" w:space="0" w:color="auto"/>
              <w:left w:val="single" w:sz="18" w:space="0" w:color="auto"/>
              <w:bottom w:val="single" w:sz="4" w:space="0" w:color="auto"/>
              <w:right w:val="single" w:sz="18" w:space="0" w:color="auto"/>
            </w:tcBorders>
            <w:hideMark/>
          </w:tcPr>
          <w:p w14:paraId="327DAD41" w14:textId="77777777" w:rsidR="001177A2" w:rsidRDefault="001177A2">
            <w:pPr>
              <w:suppressAutoHyphens/>
              <w:jc w:val="center"/>
              <w:rPr>
                <w:kern w:val="16"/>
              </w:rPr>
            </w:pPr>
            <w:r>
              <w:t>$0</w:t>
            </w:r>
          </w:p>
        </w:tc>
        <w:tc>
          <w:tcPr>
            <w:tcW w:w="1123" w:type="dxa"/>
            <w:tcBorders>
              <w:top w:val="single" w:sz="4" w:space="0" w:color="auto"/>
              <w:left w:val="single" w:sz="18" w:space="0" w:color="auto"/>
              <w:bottom w:val="single" w:sz="4" w:space="0" w:color="auto"/>
              <w:right w:val="single" w:sz="4" w:space="0" w:color="auto"/>
            </w:tcBorders>
            <w:hideMark/>
          </w:tcPr>
          <w:p w14:paraId="1A6C5ABA" w14:textId="77777777" w:rsidR="001177A2" w:rsidRDefault="001177A2">
            <w:pPr>
              <w:suppressAutoHyphens/>
              <w:jc w:val="center"/>
              <w:rPr>
                <w:kern w:val="16"/>
              </w:rPr>
            </w:pPr>
            <w:r>
              <w:t>$0</w:t>
            </w:r>
          </w:p>
        </w:tc>
        <w:tc>
          <w:tcPr>
            <w:tcW w:w="1443" w:type="dxa"/>
            <w:tcBorders>
              <w:top w:val="single" w:sz="4" w:space="0" w:color="auto"/>
              <w:left w:val="single" w:sz="4" w:space="0" w:color="auto"/>
              <w:bottom w:val="single" w:sz="4" w:space="0" w:color="auto"/>
              <w:right w:val="single" w:sz="18" w:space="0" w:color="auto"/>
            </w:tcBorders>
            <w:hideMark/>
          </w:tcPr>
          <w:p w14:paraId="49E14951" w14:textId="77777777" w:rsidR="001177A2" w:rsidRDefault="001177A2">
            <w:pPr>
              <w:suppressAutoHyphens/>
              <w:jc w:val="center"/>
              <w:rPr>
                <w:kern w:val="16"/>
              </w:rPr>
            </w:pPr>
            <w:r>
              <w:t>$0</w:t>
            </w:r>
          </w:p>
        </w:tc>
        <w:tc>
          <w:tcPr>
            <w:tcW w:w="1150" w:type="dxa"/>
            <w:tcBorders>
              <w:top w:val="single" w:sz="4" w:space="0" w:color="auto"/>
              <w:left w:val="single" w:sz="18" w:space="0" w:color="auto"/>
              <w:bottom w:val="single" w:sz="4" w:space="0" w:color="auto"/>
              <w:right w:val="single" w:sz="18" w:space="0" w:color="auto"/>
            </w:tcBorders>
            <w:hideMark/>
          </w:tcPr>
          <w:p w14:paraId="62C687A8" w14:textId="77777777" w:rsidR="001177A2" w:rsidRDefault="001177A2">
            <w:pPr>
              <w:suppressAutoHyphens/>
              <w:jc w:val="center"/>
              <w:rPr>
                <w:kern w:val="16"/>
              </w:rPr>
            </w:pPr>
            <w:r>
              <w:t>$0</w:t>
            </w:r>
          </w:p>
        </w:tc>
      </w:tr>
      <w:tr w:rsidR="001177A2" w14:paraId="0F9CD52C"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7A66D064" w14:textId="77777777" w:rsidR="001177A2" w:rsidRDefault="001177A2">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5555759A" w14:textId="77777777" w:rsidR="001177A2" w:rsidRDefault="001177A2">
            <w:pPr>
              <w:suppressAutoHyphens/>
              <w:jc w:val="center"/>
              <w:rPr>
                <w:kern w:val="16"/>
              </w:rPr>
            </w:pPr>
            <w:r>
              <w:t>$4,200</w:t>
            </w:r>
          </w:p>
        </w:tc>
        <w:tc>
          <w:tcPr>
            <w:tcW w:w="1443" w:type="dxa"/>
            <w:tcBorders>
              <w:top w:val="single" w:sz="4" w:space="0" w:color="auto"/>
              <w:left w:val="single" w:sz="4" w:space="0" w:color="auto"/>
              <w:bottom w:val="single" w:sz="4" w:space="0" w:color="auto"/>
              <w:right w:val="single" w:sz="18" w:space="0" w:color="auto"/>
            </w:tcBorders>
            <w:hideMark/>
          </w:tcPr>
          <w:p w14:paraId="4A8D76BA" w14:textId="77777777" w:rsidR="001177A2" w:rsidRDefault="001177A2">
            <w:pPr>
              <w:suppressAutoHyphens/>
              <w:jc w:val="center"/>
              <w:rPr>
                <w:kern w:val="16"/>
              </w:rPr>
            </w:pPr>
            <w:r>
              <w:t>$600</w:t>
            </w:r>
          </w:p>
        </w:tc>
        <w:tc>
          <w:tcPr>
            <w:tcW w:w="1123" w:type="dxa"/>
            <w:tcBorders>
              <w:top w:val="single" w:sz="4" w:space="0" w:color="auto"/>
              <w:left w:val="single" w:sz="18" w:space="0" w:color="auto"/>
              <w:bottom w:val="single" w:sz="4" w:space="0" w:color="auto"/>
              <w:right w:val="single" w:sz="18" w:space="0" w:color="auto"/>
            </w:tcBorders>
            <w:hideMark/>
          </w:tcPr>
          <w:p w14:paraId="301098FC" w14:textId="77777777" w:rsidR="001177A2" w:rsidRDefault="001177A2">
            <w:pPr>
              <w:suppressAutoHyphens/>
              <w:jc w:val="center"/>
              <w:rPr>
                <w:kern w:val="16"/>
              </w:rPr>
            </w:pPr>
            <w:r>
              <w:t>$4,800</w:t>
            </w:r>
          </w:p>
        </w:tc>
        <w:tc>
          <w:tcPr>
            <w:tcW w:w="1123" w:type="dxa"/>
            <w:tcBorders>
              <w:top w:val="single" w:sz="4" w:space="0" w:color="auto"/>
              <w:left w:val="single" w:sz="18" w:space="0" w:color="auto"/>
              <w:bottom w:val="single" w:sz="4" w:space="0" w:color="auto"/>
              <w:right w:val="single" w:sz="4" w:space="0" w:color="auto"/>
            </w:tcBorders>
            <w:hideMark/>
          </w:tcPr>
          <w:p w14:paraId="07C9C61B" w14:textId="77777777" w:rsidR="001177A2" w:rsidRDefault="001177A2">
            <w:pPr>
              <w:suppressAutoHyphens/>
              <w:jc w:val="center"/>
              <w:rPr>
                <w:kern w:val="16"/>
              </w:rPr>
            </w:pPr>
            <w:r>
              <w:t>$4,200</w:t>
            </w:r>
          </w:p>
        </w:tc>
        <w:tc>
          <w:tcPr>
            <w:tcW w:w="1443" w:type="dxa"/>
            <w:tcBorders>
              <w:top w:val="single" w:sz="4" w:space="0" w:color="auto"/>
              <w:left w:val="single" w:sz="4" w:space="0" w:color="auto"/>
              <w:bottom w:val="single" w:sz="4" w:space="0" w:color="auto"/>
              <w:right w:val="single" w:sz="18" w:space="0" w:color="auto"/>
            </w:tcBorders>
            <w:hideMark/>
          </w:tcPr>
          <w:p w14:paraId="62C1A304" w14:textId="77777777" w:rsidR="001177A2" w:rsidRDefault="001177A2">
            <w:pPr>
              <w:suppressAutoHyphens/>
              <w:jc w:val="center"/>
              <w:rPr>
                <w:kern w:val="16"/>
              </w:rPr>
            </w:pPr>
            <w:r>
              <w:t>$600</w:t>
            </w:r>
          </w:p>
        </w:tc>
        <w:tc>
          <w:tcPr>
            <w:tcW w:w="1150" w:type="dxa"/>
            <w:tcBorders>
              <w:top w:val="single" w:sz="4" w:space="0" w:color="auto"/>
              <w:left w:val="single" w:sz="18" w:space="0" w:color="auto"/>
              <w:bottom w:val="single" w:sz="4" w:space="0" w:color="auto"/>
              <w:right w:val="single" w:sz="18" w:space="0" w:color="auto"/>
            </w:tcBorders>
            <w:hideMark/>
          </w:tcPr>
          <w:p w14:paraId="3997CCE9" w14:textId="77777777" w:rsidR="001177A2" w:rsidRDefault="001177A2">
            <w:pPr>
              <w:suppressAutoHyphens/>
              <w:jc w:val="center"/>
              <w:rPr>
                <w:kern w:val="16"/>
              </w:rPr>
            </w:pPr>
            <w:r>
              <w:t>$4,800</w:t>
            </w:r>
          </w:p>
        </w:tc>
      </w:tr>
      <w:tr w:rsidR="001177A2" w14:paraId="50DF7F3C"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0EAABA40" w14:textId="77777777" w:rsidR="001177A2" w:rsidRDefault="001177A2">
            <w:pPr>
              <w:suppressAutoHyphens/>
              <w:jc w:val="center"/>
              <w:rPr>
                <w:kern w:val="16"/>
                <w:vertAlign w:val="subscript"/>
              </w:rPr>
            </w:pPr>
            <w:r>
              <w:t>L</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6B7E4BE" w14:textId="77777777" w:rsidR="001177A2" w:rsidRDefault="001177A2">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17CF2F68"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025A6F38"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626960ED" w14:textId="77777777" w:rsidR="001177A2" w:rsidRDefault="001177A2">
            <w:pPr>
              <w:suppressAutoHyphens/>
              <w:jc w:val="center"/>
              <w:rPr>
                <w:kern w:val="16"/>
              </w:rPr>
            </w:pPr>
            <w:r>
              <w:t>–$10,000</w:t>
            </w:r>
          </w:p>
        </w:tc>
        <w:tc>
          <w:tcPr>
            <w:tcW w:w="1443" w:type="dxa"/>
            <w:tcBorders>
              <w:top w:val="single" w:sz="4" w:space="0" w:color="auto"/>
              <w:left w:val="single" w:sz="4" w:space="0" w:color="auto"/>
              <w:bottom w:val="single" w:sz="4" w:space="0" w:color="auto"/>
              <w:right w:val="single" w:sz="18" w:space="0" w:color="auto"/>
            </w:tcBorders>
          </w:tcPr>
          <w:p w14:paraId="7FB85D08" w14:textId="77777777" w:rsidR="001177A2" w:rsidRDefault="001177A2">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5ED5F331" w14:textId="77777777" w:rsidR="001177A2" w:rsidRDefault="001177A2">
            <w:pPr>
              <w:suppressAutoHyphens/>
              <w:jc w:val="center"/>
              <w:rPr>
                <w:kern w:val="16"/>
              </w:rPr>
            </w:pPr>
          </w:p>
        </w:tc>
      </w:tr>
      <w:tr w:rsidR="001177A2" w14:paraId="055301C7"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2920F1DF" w14:textId="77777777" w:rsidR="001177A2" w:rsidRDefault="001177A2">
            <w:pPr>
              <w:suppressAutoHyphens/>
              <w:jc w:val="center"/>
              <w:rPr>
                <w:kern w:val="16"/>
                <w:vertAlign w:val="subscript"/>
              </w:rPr>
            </w:pPr>
            <w:r>
              <w:t>L</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BC004" w14:textId="77777777" w:rsidR="001177A2" w:rsidRDefault="001177A2">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423248A6"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1E19D110"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5F761499" w14:textId="77777777" w:rsidR="001177A2" w:rsidRDefault="001177A2">
            <w:pPr>
              <w:suppressAutoHyphens/>
              <w:jc w:val="center"/>
              <w:rPr>
                <w:kern w:val="16"/>
              </w:rPr>
            </w:pPr>
            <w:r>
              <w:t>–$1,400</w:t>
            </w:r>
          </w:p>
        </w:tc>
        <w:tc>
          <w:tcPr>
            <w:tcW w:w="1443" w:type="dxa"/>
            <w:tcBorders>
              <w:top w:val="single" w:sz="4" w:space="0" w:color="auto"/>
              <w:left w:val="single" w:sz="4" w:space="0" w:color="auto"/>
              <w:bottom w:val="single" w:sz="4" w:space="0" w:color="auto"/>
              <w:right w:val="single" w:sz="18" w:space="0" w:color="auto"/>
            </w:tcBorders>
          </w:tcPr>
          <w:p w14:paraId="50011DDA" w14:textId="77777777" w:rsidR="001177A2" w:rsidRDefault="001177A2">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55E32017" w14:textId="77777777" w:rsidR="001177A2" w:rsidRDefault="001177A2">
            <w:pPr>
              <w:suppressAutoHyphens/>
              <w:jc w:val="center"/>
              <w:rPr>
                <w:kern w:val="16"/>
              </w:rPr>
            </w:pPr>
          </w:p>
        </w:tc>
      </w:tr>
      <w:tr w:rsidR="001177A2" w14:paraId="55AC55D9"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5C77E697" w14:textId="77777777" w:rsidR="001177A2" w:rsidRDefault="001177A2">
            <w:pPr>
              <w:suppressAutoHyphens/>
              <w:jc w:val="center"/>
              <w:rPr>
                <w:kern w:val="16"/>
              </w:rPr>
            </w:pPr>
            <w:r>
              <w:t>Congestion</w:t>
            </w:r>
            <w:r>
              <w:br/>
              <w:t>Revenue</w:t>
            </w:r>
          </w:p>
        </w:tc>
        <w:tc>
          <w:tcPr>
            <w:tcW w:w="0" w:type="auto"/>
            <w:tcBorders>
              <w:top w:val="single" w:sz="4" w:space="0" w:color="auto"/>
              <w:left w:val="single" w:sz="4" w:space="0" w:color="auto"/>
              <w:bottom w:val="single" w:sz="4" w:space="0" w:color="auto"/>
              <w:right w:val="single" w:sz="4" w:space="0" w:color="auto"/>
            </w:tcBorders>
          </w:tcPr>
          <w:p w14:paraId="7ED60AA4" w14:textId="77777777" w:rsidR="001177A2" w:rsidRDefault="001177A2">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746322F8"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1A418BCB"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5F9C9C6C" w14:textId="77777777" w:rsidR="001177A2" w:rsidRDefault="001177A2">
            <w:pPr>
              <w:suppressAutoHyphens/>
              <w:jc w:val="center"/>
              <w:rPr>
                <w:kern w:val="16"/>
              </w:rPr>
            </w:pPr>
            <w:r>
              <w:t>$1,600</w:t>
            </w:r>
          </w:p>
        </w:tc>
        <w:tc>
          <w:tcPr>
            <w:tcW w:w="1443" w:type="dxa"/>
            <w:tcBorders>
              <w:top w:val="single" w:sz="4" w:space="0" w:color="auto"/>
              <w:left w:val="single" w:sz="4" w:space="0" w:color="auto"/>
              <w:bottom w:val="single" w:sz="4" w:space="0" w:color="auto"/>
              <w:right w:val="single" w:sz="18" w:space="0" w:color="auto"/>
            </w:tcBorders>
          </w:tcPr>
          <w:p w14:paraId="1629C57C" w14:textId="77777777" w:rsidR="001177A2" w:rsidRDefault="001177A2">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5B89EF40" w14:textId="77777777" w:rsidR="001177A2" w:rsidRDefault="001177A2">
            <w:pPr>
              <w:suppressAutoHyphens/>
              <w:jc w:val="center"/>
              <w:rPr>
                <w:kern w:val="16"/>
              </w:rPr>
            </w:pPr>
          </w:p>
        </w:tc>
      </w:tr>
      <w:tr w:rsidR="001177A2" w14:paraId="2BD4BCFA"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4F663960" w14:textId="77777777" w:rsidR="001177A2" w:rsidRDefault="001177A2">
            <w:pPr>
              <w:suppressAutoHyphens/>
              <w:jc w:val="center"/>
              <w:rPr>
                <w:kern w:val="16"/>
              </w:rPr>
            </w:pPr>
            <w:r>
              <w:t>GHG Compliance</w:t>
            </w:r>
            <w:r>
              <w:br/>
              <w:t>Revenue</w:t>
            </w:r>
          </w:p>
        </w:tc>
        <w:tc>
          <w:tcPr>
            <w:tcW w:w="0" w:type="auto"/>
            <w:tcBorders>
              <w:top w:val="single" w:sz="4" w:space="0" w:color="auto"/>
              <w:left w:val="single" w:sz="4" w:space="0" w:color="auto"/>
              <w:bottom w:val="single" w:sz="4" w:space="0" w:color="auto"/>
              <w:right w:val="single" w:sz="4" w:space="0" w:color="auto"/>
            </w:tcBorders>
          </w:tcPr>
          <w:p w14:paraId="1FB40606" w14:textId="77777777" w:rsidR="001177A2" w:rsidRDefault="001177A2">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5857C81B" w14:textId="77777777" w:rsidR="001177A2" w:rsidRDefault="001177A2">
            <w:pPr>
              <w:suppressAutoHyphens/>
              <w:jc w:val="center"/>
              <w:rPr>
                <w:kern w:val="16"/>
              </w:rPr>
            </w:pPr>
          </w:p>
        </w:tc>
        <w:tc>
          <w:tcPr>
            <w:tcW w:w="1123" w:type="dxa"/>
            <w:tcBorders>
              <w:top w:val="single" w:sz="4" w:space="0" w:color="auto"/>
              <w:left w:val="single" w:sz="18" w:space="0" w:color="auto"/>
              <w:bottom w:val="single" w:sz="18" w:space="0" w:color="auto"/>
              <w:right w:val="single" w:sz="18" w:space="0" w:color="auto"/>
            </w:tcBorders>
          </w:tcPr>
          <w:p w14:paraId="3AA488EE" w14:textId="77777777" w:rsidR="001177A2" w:rsidRDefault="001177A2">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5525D320" w14:textId="77777777" w:rsidR="001177A2" w:rsidRDefault="001177A2">
            <w:pPr>
              <w:suppressAutoHyphens/>
              <w:jc w:val="center"/>
              <w:rPr>
                <w:kern w:val="16"/>
              </w:rPr>
            </w:pPr>
            <w:r>
              <w:t>$600</w:t>
            </w:r>
          </w:p>
        </w:tc>
        <w:tc>
          <w:tcPr>
            <w:tcW w:w="1443" w:type="dxa"/>
            <w:tcBorders>
              <w:top w:val="single" w:sz="4" w:space="0" w:color="auto"/>
              <w:left w:val="single" w:sz="4" w:space="0" w:color="auto"/>
              <w:bottom w:val="single" w:sz="4" w:space="0" w:color="auto"/>
              <w:right w:val="single" w:sz="18" w:space="0" w:color="auto"/>
            </w:tcBorders>
          </w:tcPr>
          <w:p w14:paraId="2721431A" w14:textId="77777777" w:rsidR="001177A2" w:rsidRDefault="001177A2">
            <w:pPr>
              <w:suppressAutoHyphens/>
              <w:jc w:val="center"/>
              <w:rPr>
                <w:kern w:val="16"/>
              </w:rPr>
            </w:pPr>
          </w:p>
        </w:tc>
        <w:tc>
          <w:tcPr>
            <w:tcW w:w="1150" w:type="dxa"/>
            <w:tcBorders>
              <w:top w:val="single" w:sz="4" w:space="0" w:color="auto"/>
              <w:left w:val="single" w:sz="18" w:space="0" w:color="auto"/>
              <w:bottom w:val="single" w:sz="18" w:space="0" w:color="auto"/>
              <w:right w:val="single" w:sz="18" w:space="0" w:color="auto"/>
            </w:tcBorders>
          </w:tcPr>
          <w:p w14:paraId="4217F311" w14:textId="77777777" w:rsidR="001177A2" w:rsidRDefault="001177A2">
            <w:pPr>
              <w:suppressAutoHyphens/>
              <w:jc w:val="center"/>
              <w:rPr>
                <w:kern w:val="16"/>
              </w:rPr>
            </w:pPr>
          </w:p>
        </w:tc>
      </w:tr>
    </w:tbl>
    <w:p w14:paraId="1B628895" w14:textId="77777777" w:rsidR="00FC6F91" w:rsidRDefault="00FC6F91" w:rsidP="000F299B">
      <w:pPr>
        <w:pStyle w:val="Paragraph"/>
        <w:spacing w:before="0" w:after="240" w:line="300" w:lineRule="auto"/>
        <w:rPr>
          <w:rFonts w:ascii="Arial" w:hAnsi="Arial" w:cs="Arial"/>
        </w:rPr>
      </w:pPr>
    </w:p>
    <w:p w14:paraId="2E1E73BA" w14:textId="77777777" w:rsidR="001177A2" w:rsidRPr="000F299B" w:rsidRDefault="001177A2" w:rsidP="00877DDB">
      <w:pPr>
        <w:pStyle w:val="BPM"/>
      </w:pPr>
      <w:r w:rsidRPr="00831D03">
        <w:t>It can be seen in the settlement results above that the total payment to each generator is sufficient to cover the respective energy and GHG allowance costs.</w:t>
      </w:r>
    </w:p>
    <w:p w14:paraId="614A77DE" w14:textId="77777777" w:rsidR="001177A2" w:rsidRPr="00877DDB" w:rsidRDefault="001177A2" w:rsidP="00877DDB">
      <w:pPr>
        <w:pStyle w:val="Heading5"/>
        <w:numPr>
          <w:ilvl w:val="0"/>
          <w:numId w:val="0"/>
        </w:numPr>
        <w:ind w:left="1080" w:hanging="1080"/>
        <w:rPr>
          <w:rFonts w:ascii="Arial" w:hAnsi="Arial" w:cs="Arial"/>
        </w:rPr>
      </w:pPr>
      <w:bookmarkStart w:id="1953" w:name="_Toc367722319"/>
      <w:bookmarkStart w:id="1954" w:name="_Toc364148864"/>
      <w:bookmarkStart w:id="1955" w:name="_Toc364147774"/>
      <w:bookmarkStart w:id="1956" w:name="_Toc363813083"/>
      <w:bookmarkStart w:id="1957" w:name="_Toc363802648"/>
      <w:bookmarkStart w:id="1958" w:name="_Toc363747656"/>
      <w:bookmarkStart w:id="1959" w:name="_Toc363747521"/>
      <w:bookmarkStart w:id="1960" w:name="_Toc360527189"/>
      <w:bookmarkStart w:id="1961" w:name="_Toc357770682"/>
      <w:bookmarkStart w:id="1962" w:name="_Toc357700104"/>
      <w:bookmarkStart w:id="1963" w:name="_Toc357692056"/>
      <w:r w:rsidRPr="00877DDB">
        <w:rPr>
          <w:rFonts w:ascii="Arial" w:hAnsi="Arial" w:cs="Arial"/>
        </w:rPr>
        <w:t>Example 3</w:t>
      </w:r>
      <w:bookmarkEnd w:id="1953"/>
      <w:bookmarkEnd w:id="1954"/>
      <w:bookmarkEnd w:id="1955"/>
      <w:bookmarkEnd w:id="1956"/>
      <w:bookmarkEnd w:id="1957"/>
      <w:bookmarkEnd w:id="1958"/>
      <w:bookmarkEnd w:id="1959"/>
      <w:bookmarkEnd w:id="1960"/>
      <w:bookmarkEnd w:id="1961"/>
      <w:bookmarkEnd w:id="1962"/>
      <w:bookmarkEnd w:id="1963"/>
    </w:p>
    <w:p w14:paraId="00E55C90" w14:textId="77777777" w:rsidR="001177A2" w:rsidRPr="000F299B" w:rsidRDefault="001177A2" w:rsidP="00877DDB">
      <w:pPr>
        <w:pStyle w:val="BPM"/>
      </w:pPr>
      <w:r w:rsidRPr="000F299B">
        <w:t>This is a variation on the second example where the available maximum capacity of G3 is reduced to 75MW in addition to reduced bid price of $28/MWh as in Example 2. In this case, G2 is dispatched to make up for the remaining 75MW and the optimal dispatch and export allocation are as follows:</w:t>
      </w:r>
    </w:p>
    <w:tbl>
      <w:tblPr>
        <w:tblW w:w="0" w:type="auto"/>
        <w:jc w:val="center"/>
        <w:tblLook w:val="04A0" w:firstRow="1" w:lastRow="0" w:firstColumn="1" w:lastColumn="0" w:noHBand="0" w:noVBand="1"/>
      </w:tblPr>
      <w:tblGrid>
        <w:gridCol w:w="1056"/>
        <w:gridCol w:w="1010"/>
        <w:gridCol w:w="1792"/>
        <w:gridCol w:w="1069"/>
      </w:tblGrid>
      <w:tr w:rsidR="001177A2" w14:paraId="1E1A040E"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1CBCC7" w14:textId="77777777" w:rsidR="001177A2" w:rsidRDefault="001177A2">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830E8A" w14:textId="77777777" w:rsidR="001177A2" w:rsidRDefault="001177A2">
            <w:pPr>
              <w:suppressAutoHyphens/>
              <w:jc w:val="center"/>
              <w:rPr>
                <w:b/>
                <w:kern w:val="16"/>
              </w:rPr>
            </w:pPr>
            <w:r>
              <w:rPr>
                <w:b/>
              </w:rPr>
              <w:t>Dispatch</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D186E5" w14:textId="77777777" w:rsidR="001177A2" w:rsidRDefault="001177A2">
            <w:pPr>
              <w:suppressAutoHyphens/>
              <w:jc w:val="center"/>
              <w:rPr>
                <w:b/>
                <w:kern w:val="16"/>
              </w:rPr>
            </w:pPr>
            <w:r>
              <w:rPr>
                <w:b/>
              </w:rPr>
              <w:t>Export Allocation</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30D2F6" w14:textId="77777777" w:rsidR="001177A2" w:rsidRDefault="001177A2">
            <w:pPr>
              <w:suppressAutoHyphens/>
              <w:jc w:val="center"/>
              <w:rPr>
                <w:b/>
                <w:kern w:val="16"/>
              </w:rPr>
            </w:pPr>
            <w:r>
              <w:rPr>
                <w:b/>
              </w:rPr>
              <w:t>LMP</w:t>
            </w:r>
            <w:r>
              <w:rPr>
                <w:b/>
              </w:rPr>
              <w:br/>
              <w:t>($/MWh)</w:t>
            </w:r>
          </w:p>
        </w:tc>
      </w:tr>
      <w:tr w:rsidR="001177A2" w14:paraId="5A8BAD41"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71A5B02" w14:textId="77777777" w:rsidR="001177A2" w:rsidRDefault="001177A2">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79225854" w14:textId="77777777" w:rsidR="001177A2" w:rsidRDefault="001177A2">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35A39157"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5F0B9623" w14:textId="77777777" w:rsidR="001177A2" w:rsidRDefault="001177A2">
            <w:pPr>
              <w:suppressAutoHyphens/>
              <w:jc w:val="center"/>
              <w:rPr>
                <w:kern w:val="16"/>
              </w:rPr>
            </w:pPr>
            <w:r>
              <w:t>50</w:t>
            </w:r>
          </w:p>
        </w:tc>
      </w:tr>
      <w:tr w:rsidR="001177A2" w14:paraId="46B3CF1E"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3B829013" w14:textId="77777777" w:rsidR="001177A2" w:rsidRDefault="001177A2">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1ADDED3D" w14:textId="77777777" w:rsidR="001177A2" w:rsidRDefault="001177A2">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4EE309D0" w14:textId="77777777" w:rsidR="001177A2" w:rsidRDefault="001177A2">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76FC436E" w14:textId="77777777" w:rsidR="001177A2" w:rsidRDefault="001177A2">
            <w:pPr>
              <w:suppressAutoHyphens/>
              <w:jc w:val="center"/>
              <w:rPr>
                <w:kern w:val="16"/>
              </w:rPr>
            </w:pPr>
            <w:r>
              <w:t>29</w:t>
            </w:r>
          </w:p>
        </w:tc>
      </w:tr>
      <w:tr w:rsidR="001177A2" w14:paraId="52840575"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7B1D8AFC" w14:textId="77777777" w:rsidR="001177A2" w:rsidRDefault="001177A2">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3769E4A0" w14:textId="77777777" w:rsidR="001177A2" w:rsidRDefault="001177A2">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7474AA5C" w14:textId="77777777" w:rsidR="001177A2" w:rsidRDefault="001177A2">
            <w:pPr>
              <w:suppressAutoHyphens/>
              <w:jc w:val="center"/>
              <w:rPr>
                <w:kern w:val="16"/>
              </w:rPr>
            </w:pPr>
            <w:r>
              <w:t>25</w:t>
            </w:r>
          </w:p>
        </w:tc>
        <w:tc>
          <w:tcPr>
            <w:tcW w:w="0" w:type="auto"/>
            <w:tcBorders>
              <w:top w:val="single" w:sz="4" w:space="0" w:color="auto"/>
              <w:left w:val="single" w:sz="4" w:space="0" w:color="auto"/>
              <w:bottom w:val="single" w:sz="4" w:space="0" w:color="auto"/>
              <w:right w:val="single" w:sz="4" w:space="0" w:color="auto"/>
            </w:tcBorders>
            <w:hideMark/>
          </w:tcPr>
          <w:p w14:paraId="3AB87C44" w14:textId="77777777" w:rsidR="001177A2" w:rsidRDefault="001177A2">
            <w:pPr>
              <w:suppressAutoHyphens/>
              <w:jc w:val="center"/>
              <w:rPr>
                <w:kern w:val="16"/>
              </w:rPr>
            </w:pPr>
            <w:r>
              <w:t>29</w:t>
            </w:r>
          </w:p>
        </w:tc>
      </w:tr>
      <w:tr w:rsidR="001177A2" w14:paraId="64995105"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2DD241A8" w14:textId="77777777" w:rsidR="001177A2" w:rsidRDefault="001177A2">
            <w:pPr>
              <w:suppressAutoHyphens/>
              <w:jc w:val="center"/>
              <w:rPr>
                <w:kern w:val="16"/>
              </w:rPr>
            </w:pPr>
            <w:r>
              <w:t>L1</w:t>
            </w:r>
          </w:p>
        </w:tc>
        <w:tc>
          <w:tcPr>
            <w:tcW w:w="0" w:type="auto"/>
            <w:tcBorders>
              <w:top w:val="single" w:sz="4" w:space="0" w:color="auto"/>
              <w:left w:val="single" w:sz="4" w:space="0" w:color="auto"/>
              <w:bottom w:val="single" w:sz="4" w:space="0" w:color="auto"/>
              <w:right w:val="single" w:sz="4" w:space="0" w:color="auto"/>
            </w:tcBorders>
            <w:hideMark/>
          </w:tcPr>
          <w:p w14:paraId="762D8FF0" w14:textId="77777777" w:rsidR="001177A2" w:rsidRDefault="001177A2">
            <w:pPr>
              <w:suppressAutoHyphens/>
              <w:jc w:val="center"/>
              <w:rPr>
                <w:kern w:val="16"/>
              </w:rPr>
            </w:pPr>
            <w:r>
              <w:t>200</w:t>
            </w:r>
          </w:p>
        </w:tc>
        <w:tc>
          <w:tcPr>
            <w:tcW w:w="0" w:type="auto"/>
            <w:tcBorders>
              <w:top w:val="single" w:sz="4" w:space="0" w:color="auto"/>
              <w:left w:val="single" w:sz="4" w:space="0" w:color="auto"/>
              <w:bottom w:val="single" w:sz="4" w:space="0" w:color="auto"/>
              <w:right w:val="single" w:sz="4" w:space="0" w:color="auto"/>
            </w:tcBorders>
            <w:hideMark/>
          </w:tcPr>
          <w:p w14:paraId="4CF7D615"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5ADCD30C" w14:textId="77777777" w:rsidR="001177A2" w:rsidRDefault="001177A2">
            <w:pPr>
              <w:suppressAutoHyphens/>
              <w:jc w:val="center"/>
              <w:rPr>
                <w:kern w:val="16"/>
              </w:rPr>
            </w:pPr>
            <w:r>
              <w:t>50</w:t>
            </w:r>
          </w:p>
        </w:tc>
      </w:tr>
      <w:tr w:rsidR="001177A2" w14:paraId="6C033572" w14:textId="77777777" w:rsidTr="001177A2">
        <w:trPr>
          <w:jc w:val="center"/>
        </w:trPr>
        <w:tc>
          <w:tcPr>
            <w:tcW w:w="0" w:type="auto"/>
            <w:tcBorders>
              <w:top w:val="single" w:sz="4" w:space="0" w:color="auto"/>
              <w:left w:val="single" w:sz="4" w:space="0" w:color="auto"/>
              <w:bottom w:val="single" w:sz="4" w:space="0" w:color="auto"/>
              <w:right w:val="single" w:sz="4" w:space="0" w:color="auto"/>
            </w:tcBorders>
            <w:hideMark/>
          </w:tcPr>
          <w:p w14:paraId="68C6089A" w14:textId="77777777" w:rsidR="001177A2" w:rsidRDefault="001177A2">
            <w:pPr>
              <w:suppressAutoHyphens/>
              <w:jc w:val="center"/>
              <w:rPr>
                <w:kern w:val="16"/>
              </w:rPr>
            </w:pPr>
            <w:r>
              <w:lastRenderedPageBreak/>
              <w:t>L2</w:t>
            </w:r>
          </w:p>
        </w:tc>
        <w:tc>
          <w:tcPr>
            <w:tcW w:w="0" w:type="auto"/>
            <w:tcBorders>
              <w:top w:val="single" w:sz="4" w:space="0" w:color="auto"/>
              <w:left w:val="single" w:sz="4" w:space="0" w:color="auto"/>
              <w:bottom w:val="single" w:sz="4" w:space="0" w:color="auto"/>
              <w:right w:val="single" w:sz="4" w:space="0" w:color="auto"/>
            </w:tcBorders>
            <w:hideMark/>
          </w:tcPr>
          <w:p w14:paraId="1044E958" w14:textId="77777777" w:rsidR="001177A2" w:rsidRDefault="001177A2">
            <w:pPr>
              <w:suppressAutoHyphens/>
              <w:jc w:val="center"/>
              <w:rPr>
                <w:kern w:val="16"/>
              </w:rPr>
            </w:pPr>
            <w:r>
              <w:t>50</w:t>
            </w:r>
          </w:p>
        </w:tc>
        <w:tc>
          <w:tcPr>
            <w:tcW w:w="0" w:type="auto"/>
            <w:tcBorders>
              <w:top w:val="single" w:sz="4" w:space="0" w:color="auto"/>
              <w:left w:val="single" w:sz="4" w:space="0" w:color="auto"/>
              <w:bottom w:val="single" w:sz="4" w:space="0" w:color="auto"/>
              <w:right w:val="single" w:sz="4" w:space="0" w:color="auto"/>
            </w:tcBorders>
            <w:hideMark/>
          </w:tcPr>
          <w:p w14:paraId="3EB88FF0" w14:textId="77777777" w:rsidR="001177A2" w:rsidRDefault="001177A2">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4976C227" w14:textId="77777777" w:rsidR="001177A2" w:rsidRDefault="001177A2">
            <w:pPr>
              <w:suppressAutoHyphens/>
              <w:jc w:val="center"/>
              <w:rPr>
                <w:kern w:val="16"/>
              </w:rPr>
            </w:pPr>
            <w:r>
              <w:t>29</w:t>
            </w:r>
          </w:p>
        </w:tc>
      </w:tr>
    </w:tbl>
    <w:p w14:paraId="52264A1A" w14:textId="77777777" w:rsidR="001177A2" w:rsidRDefault="001177A2" w:rsidP="000F299B">
      <w:pPr>
        <w:spacing w:after="240" w:line="300" w:lineRule="auto"/>
        <w:jc w:val="center"/>
        <w:rPr>
          <w:kern w:val="16"/>
        </w:rPr>
      </w:pPr>
      <w:r>
        <w:t xml:space="preserve">Example 3: </w:t>
      </w:r>
      <m:oMath>
        <m:r>
          <m:rPr>
            <m:sty m:val="p"/>
          </m:rPr>
          <w:rPr>
            <w:rFonts w:ascii="Cambria Math" w:hAnsi="Cambria Math"/>
          </w:rPr>
          <m:t>µ</m:t>
        </m:r>
      </m:oMath>
      <w:r>
        <w:t xml:space="preserve"> = –$15/MWh; </w:t>
      </w:r>
      <m:oMath>
        <m:r>
          <m:rPr>
            <m:sty m:val="p"/>
          </m:rPr>
          <w:rPr>
            <w:rFonts w:ascii="Cambria Math" w:hAnsi="Cambria Math"/>
          </w:rPr>
          <m:t>η</m:t>
        </m:r>
      </m:oMath>
      <w:r>
        <w:t xml:space="preserve"> = –$6/MWh</w:t>
      </w:r>
    </w:p>
    <w:p w14:paraId="21F5B2AB" w14:textId="77777777" w:rsidR="001177A2" w:rsidRPr="000F299B" w:rsidRDefault="001177A2" w:rsidP="00877DDB">
      <w:pPr>
        <w:pStyle w:val="BPM"/>
      </w:pPr>
      <w:r w:rsidRPr="000F299B">
        <w:t xml:space="preserve">G3 is the least expensive resource for serving L2; one additional MW of L2 will divert 1MW of G3 export to L2 saving $6/MWh on GHG compliance costs and that export will be made up by one additional MW from G2 at a net cost of $29/MWh, which is the LMP in the EIM Entity BAA. The balance of 100MW of L1 can only be served by G1, which sets the LMP in the </w:t>
      </w:r>
      <w:r w:rsidR="0058562B">
        <w:t>CA</w:t>
      </w:r>
      <w:r w:rsidRPr="000F299B">
        <w:t>ISO to $50/MWh.</w:t>
      </w:r>
    </w:p>
    <w:p w14:paraId="69D4212F" w14:textId="77777777" w:rsidR="003B49C4" w:rsidRPr="000F299B" w:rsidRDefault="001177A2" w:rsidP="00877DDB">
      <w:pPr>
        <w:pStyle w:val="BPM"/>
      </w:pPr>
      <w:r w:rsidRPr="000F299B">
        <w:t>The LMP difference of $21/MWh is made up by the marginal congestion cost of $15/MWh and the marginal GHG compliance cost of $6/MWh. The marginal congestion cost can be easily verified if the power transfer limit is relaxed by 1MW to 101MW, in which case one additional MWh from G2 will displace 1MWh from G1 for a net benefit of $15. The marginal GHG compliance cost can be easily verified if the export allocation (which carries the GHG</w:t>
      </w:r>
      <w:r w:rsidR="00755251">
        <w:t xml:space="preserve"> </w:t>
      </w:r>
      <w:r w:rsidR="003B49C4" w:rsidRPr="000F299B">
        <w:t>compliance cost) is relaxed by 1 MW to 99MW, in which case 1MWh from G3 will not incur GHG compliance costs for a benefit of $6.</w:t>
      </w:r>
    </w:p>
    <w:p w14:paraId="0A0A0AD4" w14:textId="77777777" w:rsidR="003B49C4" w:rsidRPr="000F299B" w:rsidRDefault="003B49C4" w:rsidP="00877DDB">
      <w:pPr>
        <w:pStyle w:val="BPM"/>
      </w:pPr>
      <w:r w:rsidRPr="000F299B">
        <w:t>The marginal congestion cost of $15/MWh and the marginal GHG compliance cost of $6/MWh on a 100MWh energy export result in a congestion revenue of $1,500 and GHG compliance revenue of $600, respectively. Assuming that the GHG compliance revenue is distributed to the optimal export allocations, the settlement is as follows:</w:t>
      </w:r>
    </w:p>
    <w:tbl>
      <w:tblPr>
        <w:tblW w:w="0" w:type="auto"/>
        <w:jc w:val="center"/>
        <w:tblLook w:val="04A0" w:firstRow="1" w:lastRow="0" w:firstColumn="1" w:lastColumn="0" w:noHBand="0" w:noVBand="1"/>
      </w:tblPr>
      <w:tblGrid>
        <w:gridCol w:w="1730"/>
        <w:gridCol w:w="839"/>
        <w:gridCol w:w="1443"/>
        <w:gridCol w:w="1123"/>
        <w:gridCol w:w="1123"/>
        <w:gridCol w:w="1443"/>
        <w:gridCol w:w="1150"/>
      </w:tblGrid>
      <w:tr w:rsidR="003B49C4" w14:paraId="6EA7B667"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4E1911" w14:textId="77777777" w:rsidR="003B49C4" w:rsidRDefault="003B49C4">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2487E7" w14:textId="77777777" w:rsidR="003B49C4" w:rsidRDefault="003B49C4">
            <w:pPr>
              <w:suppressAutoHyphens/>
              <w:jc w:val="center"/>
              <w:rPr>
                <w:b/>
                <w:kern w:val="16"/>
              </w:rPr>
            </w:pPr>
            <w:r>
              <w:rPr>
                <w:b/>
              </w:rPr>
              <w:t>Energy</w:t>
            </w:r>
            <w:r>
              <w:rPr>
                <w:b/>
              </w:rPr>
              <w:br/>
              <w:t>Cost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757E83E1" w14:textId="77777777" w:rsidR="003B49C4" w:rsidRDefault="003B49C4">
            <w:pPr>
              <w:suppressAutoHyphens/>
              <w:jc w:val="center"/>
              <w:rPr>
                <w:b/>
                <w:kern w:val="16"/>
              </w:rPr>
            </w:pPr>
            <w:r>
              <w:rPr>
                <w:b/>
              </w:rPr>
              <w:t>GHG Compliance Cost</w:t>
            </w:r>
          </w:p>
        </w:tc>
        <w:tc>
          <w:tcPr>
            <w:tcW w:w="1123" w:type="dxa"/>
            <w:tcBorders>
              <w:top w:val="single" w:sz="18" w:space="0" w:color="auto"/>
              <w:left w:val="single" w:sz="18" w:space="0" w:color="auto"/>
              <w:bottom w:val="single" w:sz="4" w:space="0" w:color="auto"/>
              <w:right w:val="single" w:sz="18" w:space="0" w:color="auto"/>
            </w:tcBorders>
            <w:shd w:val="clear" w:color="auto" w:fill="C6D9F1" w:themeFill="text2" w:themeFillTint="33"/>
            <w:hideMark/>
          </w:tcPr>
          <w:p w14:paraId="11963C36" w14:textId="77777777" w:rsidR="003B49C4" w:rsidRDefault="003B49C4">
            <w:pPr>
              <w:suppressAutoHyphens/>
              <w:jc w:val="center"/>
              <w:rPr>
                <w:b/>
                <w:kern w:val="16"/>
              </w:rPr>
            </w:pPr>
            <w:r>
              <w:rPr>
                <w:b/>
              </w:rPr>
              <w:t>Total</w:t>
            </w:r>
            <w:r>
              <w:rPr>
                <w:b/>
              </w:rPr>
              <w:br/>
              <w:t>Cost</w:t>
            </w:r>
          </w:p>
        </w:tc>
        <w:tc>
          <w:tcPr>
            <w:tcW w:w="1123" w:type="dxa"/>
            <w:tcBorders>
              <w:top w:val="single" w:sz="4" w:space="0" w:color="auto"/>
              <w:left w:val="single" w:sz="18" w:space="0" w:color="auto"/>
              <w:bottom w:val="single" w:sz="4" w:space="0" w:color="auto"/>
              <w:right w:val="single" w:sz="4" w:space="0" w:color="auto"/>
            </w:tcBorders>
            <w:shd w:val="clear" w:color="auto" w:fill="C6D9F1" w:themeFill="text2" w:themeFillTint="33"/>
            <w:hideMark/>
          </w:tcPr>
          <w:p w14:paraId="4B90A5A1" w14:textId="77777777" w:rsidR="003B49C4" w:rsidRDefault="003B49C4">
            <w:pPr>
              <w:suppressAutoHyphens/>
              <w:jc w:val="center"/>
              <w:rPr>
                <w:b/>
                <w:kern w:val="16"/>
              </w:rPr>
            </w:pPr>
            <w:r>
              <w:rPr>
                <w:b/>
              </w:rPr>
              <w:t>Energy</w:t>
            </w:r>
            <w:r>
              <w:rPr>
                <w:b/>
              </w:rPr>
              <w:br/>
              <w:t>Payment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072EEC4E" w14:textId="77777777" w:rsidR="003B49C4" w:rsidRDefault="003B49C4">
            <w:pPr>
              <w:suppressAutoHyphens/>
              <w:jc w:val="center"/>
              <w:rPr>
                <w:b/>
                <w:kern w:val="16"/>
              </w:rPr>
            </w:pPr>
            <w:r>
              <w:rPr>
                <w:b/>
              </w:rPr>
              <w:t>GHG Compliance Payment</w:t>
            </w:r>
          </w:p>
        </w:tc>
        <w:tc>
          <w:tcPr>
            <w:tcW w:w="1150" w:type="dxa"/>
            <w:tcBorders>
              <w:top w:val="single" w:sz="18" w:space="0" w:color="auto"/>
              <w:left w:val="single" w:sz="18" w:space="0" w:color="auto"/>
              <w:bottom w:val="single" w:sz="4" w:space="0" w:color="auto"/>
              <w:right w:val="single" w:sz="18" w:space="0" w:color="auto"/>
            </w:tcBorders>
            <w:shd w:val="clear" w:color="auto" w:fill="C6D9F1" w:themeFill="text2" w:themeFillTint="33"/>
            <w:hideMark/>
          </w:tcPr>
          <w:p w14:paraId="2E2C2582" w14:textId="77777777" w:rsidR="003B49C4" w:rsidRDefault="003B49C4">
            <w:pPr>
              <w:suppressAutoHyphens/>
              <w:jc w:val="center"/>
              <w:rPr>
                <w:b/>
                <w:kern w:val="16"/>
              </w:rPr>
            </w:pPr>
            <w:r>
              <w:rPr>
                <w:b/>
              </w:rPr>
              <w:t>Total Payment</w:t>
            </w:r>
          </w:p>
        </w:tc>
      </w:tr>
      <w:tr w:rsidR="003B49C4" w14:paraId="1A1F21BB"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330D86E1" w14:textId="77777777" w:rsidR="003B49C4" w:rsidRDefault="003B49C4">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28FC2A26" w14:textId="77777777" w:rsidR="003B49C4" w:rsidRDefault="003B49C4">
            <w:pPr>
              <w:suppressAutoHyphens/>
              <w:jc w:val="center"/>
              <w:rPr>
                <w:kern w:val="16"/>
              </w:rPr>
            </w:pPr>
            <w:r>
              <w:t>$5,000</w:t>
            </w:r>
          </w:p>
        </w:tc>
        <w:tc>
          <w:tcPr>
            <w:tcW w:w="1443" w:type="dxa"/>
            <w:tcBorders>
              <w:top w:val="single" w:sz="4" w:space="0" w:color="auto"/>
              <w:left w:val="single" w:sz="4" w:space="0" w:color="auto"/>
              <w:bottom w:val="single" w:sz="4" w:space="0" w:color="auto"/>
              <w:right w:val="single" w:sz="18" w:space="0" w:color="auto"/>
            </w:tcBorders>
            <w:hideMark/>
          </w:tcPr>
          <w:p w14:paraId="6CE9C76C" w14:textId="77777777" w:rsidR="003B49C4" w:rsidRDefault="003B49C4">
            <w:pPr>
              <w:suppressAutoHyphens/>
              <w:jc w:val="center"/>
              <w:rPr>
                <w:kern w:val="16"/>
              </w:rPr>
            </w:pPr>
            <w:r>
              <w:t>-</w:t>
            </w:r>
          </w:p>
        </w:tc>
        <w:tc>
          <w:tcPr>
            <w:tcW w:w="1123" w:type="dxa"/>
            <w:tcBorders>
              <w:top w:val="single" w:sz="4" w:space="0" w:color="auto"/>
              <w:left w:val="single" w:sz="18" w:space="0" w:color="auto"/>
              <w:bottom w:val="single" w:sz="4" w:space="0" w:color="auto"/>
              <w:right w:val="single" w:sz="18" w:space="0" w:color="auto"/>
            </w:tcBorders>
            <w:hideMark/>
          </w:tcPr>
          <w:p w14:paraId="5F946F58" w14:textId="77777777" w:rsidR="003B49C4" w:rsidRDefault="003B49C4">
            <w:pPr>
              <w:suppressAutoHyphens/>
              <w:jc w:val="center"/>
              <w:rPr>
                <w:kern w:val="16"/>
              </w:rPr>
            </w:pPr>
            <w:r>
              <w:t>$5,000</w:t>
            </w:r>
          </w:p>
        </w:tc>
        <w:tc>
          <w:tcPr>
            <w:tcW w:w="1123" w:type="dxa"/>
            <w:tcBorders>
              <w:top w:val="single" w:sz="4" w:space="0" w:color="auto"/>
              <w:left w:val="single" w:sz="18" w:space="0" w:color="auto"/>
              <w:bottom w:val="single" w:sz="4" w:space="0" w:color="auto"/>
              <w:right w:val="single" w:sz="4" w:space="0" w:color="auto"/>
            </w:tcBorders>
            <w:hideMark/>
          </w:tcPr>
          <w:p w14:paraId="5C807F93" w14:textId="77777777" w:rsidR="003B49C4" w:rsidRDefault="003B49C4">
            <w:pPr>
              <w:suppressAutoHyphens/>
              <w:jc w:val="center"/>
              <w:rPr>
                <w:kern w:val="16"/>
              </w:rPr>
            </w:pPr>
            <w:r>
              <w:t>$5,000</w:t>
            </w:r>
          </w:p>
        </w:tc>
        <w:tc>
          <w:tcPr>
            <w:tcW w:w="1443" w:type="dxa"/>
            <w:tcBorders>
              <w:top w:val="single" w:sz="4" w:space="0" w:color="auto"/>
              <w:left w:val="single" w:sz="4" w:space="0" w:color="auto"/>
              <w:bottom w:val="single" w:sz="4" w:space="0" w:color="auto"/>
              <w:right w:val="single" w:sz="18" w:space="0" w:color="auto"/>
            </w:tcBorders>
            <w:hideMark/>
          </w:tcPr>
          <w:p w14:paraId="48AB06DD" w14:textId="77777777" w:rsidR="003B49C4" w:rsidRDefault="003B49C4">
            <w:pPr>
              <w:suppressAutoHyphens/>
              <w:jc w:val="center"/>
              <w:rPr>
                <w:kern w:val="16"/>
              </w:rPr>
            </w:pPr>
            <w:r>
              <w:t>-</w:t>
            </w:r>
          </w:p>
        </w:tc>
        <w:tc>
          <w:tcPr>
            <w:tcW w:w="1150" w:type="dxa"/>
            <w:tcBorders>
              <w:top w:val="single" w:sz="4" w:space="0" w:color="auto"/>
              <w:left w:val="single" w:sz="18" w:space="0" w:color="auto"/>
              <w:bottom w:val="single" w:sz="4" w:space="0" w:color="auto"/>
              <w:right w:val="single" w:sz="18" w:space="0" w:color="auto"/>
            </w:tcBorders>
            <w:hideMark/>
          </w:tcPr>
          <w:p w14:paraId="64332BAB" w14:textId="77777777" w:rsidR="003B49C4" w:rsidRDefault="003B49C4">
            <w:pPr>
              <w:suppressAutoHyphens/>
              <w:jc w:val="center"/>
              <w:rPr>
                <w:kern w:val="16"/>
              </w:rPr>
            </w:pPr>
            <w:r>
              <w:t>$5,000</w:t>
            </w:r>
          </w:p>
        </w:tc>
      </w:tr>
      <w:tr w:rsidR="003B49C4" w14:paraId="32A40D7B"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375DB7E9" w14:textId="77777777" w:rsidR="003B49C4" w:rsidRDefault="003B49C4">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2165293B" w14:textId="77777777" w:rsidR="003B49C4" w:rsidRDefault="003B49C4">
            <w:pPr>
              <w:suppressAutoHyphens/>
              <w:jc w:val="center"/>
              <w:rPr>
                <w:kern w:val="16"/>
              </w:rPr>
            </w:pPr>
            <w:r>
              <w:t>$2,625</w:t>
            </w:r>
          </w:p>
        </w:tc>
        <w:tc>
          <w:tcPr>
            <w:tcW w:w="1443" w:type="dxa"/>
            <w:tcBorders>
              <w:top w:val="single" w:sz="4" w:space="0" w:color="auto"/>
              <w:left w:val="single" w:sz="4" w:space="0" w:color="auto"/>
              <w:bottom w:val="single" w:sz="4" w:space="0" w:color="auto"/>
              <w:right w:val="single" w:sz="18" w:space="0" w:color="auto"/>
            </w:tcBorders>
            <w:hideMark/>
          </w:tcPr>
          <w:p w14:paraId="40EB9021" w14:textId="77777777" w:rsidR="003B49C4" w:rsidRDefault="003B49C4">
            <w:pPr>
              <w:suppressAutoHyphens/>
              <w:jc w:val="center"/>
              <w:rPr>
                <w:kern w:val="16"/>
              </w:rPr>
            </w:pPr>
            <w:r>
              <w:t>$0</w:t>
            </w:r>
          </w:p>
        </w:tc>
        <w:tc>
          <w:tcPr>
            <w:tcW w:w="1123" w:type="dxa"/>
            <w:tcBorders>
              <w:top w:val="single" w:sz="4" w:space="0" w:color="auto"/>
              <w:left w:val="single" w:sz="18" w:space="0" w:color="auto"/>
              <w:bottom w:val="single" w:sz="4" w:space="0" w:color="auto"/>
              <w:right w:val="single" w:sz="18" w:space="0" w:color="auto"/>
            </w:tcBorders>
            <w:hideMark/>
          </w:tcPr>
          <w:p w14:paraId="280517B5" w14:textId="77777777" w:rsidR="003B49C4" w:rsidRDefault="003B49C4">
            <w:pPr>
              <w:suppressAutoHyphens/>
              <w:jc w:val="center"/>
              <w:rPr>
                <w:kern w:val="16"/>
              </w:rPr>
            </w:pPr>
            <w:r>
              <w:t>$2,625</w:t>
            </w:r>
          </w:p>
        </w:tc>
        <w:tc>
          <w:tcPr>
            <w:tcW w:w="1123" w:type="dxa"/>
            <w:tcBorders>
              <w:top w:val="single" w:sz="4" w:space="0" w:color="auto"/>
              <w:left w:val="single" w:sz="18" w:space="0" w:color="auto"/>
              <w:bottom w:val="single" w:sz="4" w:space="0" w:color="auto"/>
              <w:right w:val="single" w:sz="4" w:space="0" w:color="auto"/>
            </w:tcBorders>
            <w:hideMark/>
          </w:tcPr>
          <w:p w14:paraId="666B4CCC" w14:textId="77777777" w:rsidR="003B49C4" w:rsidRDefault="003B49C4">
            <w:pPr>
              <w:suppressAutoHyphens/>
              <w:jc w:val="center"/>
              <w:rPr>
                <w:kern w:val="16"/>
              </w:rPr>
            </w:pPr>
            <w:r>
              <w:t>$2,175</w:t>
            </w:r>
          </w:p>
        </w:tc>
        <w:tc>
          <w:tcPr>
            <w:tcW w:w="1443" w:type="dxa"/>
            <w:tcBorders>
              <w:top w:val="single" w:sz="4" w:space="0" w:color="auto"/>
              <w:left w:val="single" w:sz="4" w:space="0" w:color="auto"/>
              <w:bottom w:val="single" w:sz="4" w:space="0" w:color="auto"/>
              <w:right w:val="single" w:sz="18" w:space="0" w:color="auto"/>
            </w:tcBorders>
            <w:hideMark/>
          </w:tcPr>
          <w:p w14:paraId="3D6E2A57" w14:textId="77777777" w:rsidR="003B49C4" w:rsidRDefault="003B49C4">
            <w:pPr>
              <w:suppressAutoHyphens/>
              <w:jc w:val="center"/>
              <w:rPr>
                <w:kern w:val="16"/>
              </w:rPr>
            </w:pPr>
            <w:r>
              <w:t>$450</w:t>
            </w:r>
          </w:p>
        </w:tc>
        <w:tc>
          <w:tcPr>
            <w:tcW w:w="1150" w:type="dxa"/>
            <w:tcBorders>
              <w:top w:val="single" w:sz="4" w:space="0" w:color="auto"/>
              <w:left w:val="single" w:sz="18" w:space="0" w:color="auto"/>
              <w:bottom w:val="single" w:sz="4" w:space="0" w:color="auto"/>
              <w:right w:val="single" w:sz="18" w:space="0" w:color="auto"/>
            </w:tcBorders>
            <w:hideMark/>
          </w:tcPr>
          <w:p w14:paraId="465B2B97" w14:textId="77777777" w:rsidR="003B49C4" w:rsidRDefault="003B49C4">
            <w:pPr>
              <w:suppressAutoHyphens/>
              <w:jc w:val="center"/>
              <w:rPr>
                <w:kern w:val="16"/>
              </w:rPr>
            </w:pPr>
            <w:r>
              <w:t>$2,625</w:t>
            </w:r>
          </w:p>
        </w:tc>
      </w:tr>
      <w:tr w:rsidR="003B49C4" w14:paraId="36A8CC53"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5AA6086A" w14:textId="77777777" w:rsidR="003B49C4" w:rsidRDefault="003B49C4">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2E9DB774" w14:textId="77777777" w:rsidR="003B49C4" w:rsidRDefault="003B49C4">
            <w:pPr>
              <w:suppressAutoHyphens/>
              <w:jc w:val="center"/>
              <w:rPr>
                <w:kern w:val="16"/>
              </w:rPr>
            </w:pPr>
            <w:r>
              <w:t>$2,100</w:t>
            </w:r>
          </w:p>
        </w:tc>
        <w:tc>
          <w:tcPr>
            <w:tcW w:w="1443" w:type="dxa"/>
            <w:tcBorders>
              <w:top w:val="single" w:sz="4" w:space="0" w:color="auto"/>
              <w:left w:val="single" w:sz="4" w:space="0" w:color="auto"/>
              <w:bottom w:val="single" w:sz="4" w:space="0" w:color="auto"/>
              <w:right w:val="single" w:sz="18" w:space="0" w:color="auto"/>
            </w:tcBorders>
            <w:hideMark/>
          </w:tcPr>
          <w:p w14:paraId="7393BB06" w14:textId="77777777" w:rsidR="003B49C4" w:rsidRDefault="003B49C4">
            <w:pPr>
              <w:suppressAutoHyphens/>
              <w:jc w:val="center"/>
              <w:rPr>
                <w:kern w:val="16"/>
              </w:rPr>
            </w:pPr>
            <w:r>
              <w:t>$150</w:t>
            </w:r>
          </w:p>
        </w:tc>
        <w:tc>
          <w:tcPr>
            <w:tcW w:w="1123" w:type="dxa"/>
            <w:tcBorders>
              <w:top w:val="single" w:sz="4" w:space="0" w:color="auto"/>
              <w:left w:val="single" w:sz="18" w:space="0" w:color="auto"/>
              <w:bottom w:val="single" w:sz="4" w:space="0" w:color="auto"/>
              <w:right w:val="single" w:sz="18" w:space="0" w:color="auto"/>
            </w:tcBorders>
            <w:hideMark/>
          </w:tcPr>
          <w:p w14:paraId="057AC5E0" w14:textId="77777777" w:rsidR="003B49C4" w:rsidRDefault="003B49C4">
            <w:pPr>
              <w:suppressAutoHyphens/>
              <w:jc w:val="center"/>
              <w:rPr>
                <w:kern w:val="16"/>
              </w:rPr>
            </w:pPr>
            <w:r>
              <w:t>$2,250</w:t>
            </w:r>
          </w:p>
        </w:tc>
        <w:tc>
          <w:tcPr>
            <w:tcW w:w="1123" w:type="dxa"/>
            <w:tcBorders>
              <w:top w:val="single" w:sz="4" w:space="0" w:color="auto"/>
              <w:left w:val="single" w:sz="18" w:space="0" w:color="auto"/>
              <w:bottom w:val="single" w:sz="4" w:space="0" w:color="auto"/>
              <w:right w:val="single" w:sz="4" w:space="0" w:color="auto"/>
            </w:tcBorders>
            <w:hideMark/>
          </w:tcPr>
          <w:p w14:paraId="5205DD0B" w14:textId="77777777" w:rsidR="003B49C4" w:rsidRDefault="003B49C4">
            <w:pPr>
              <w:suppressAutoHyphens/>
              <w:jc w:val="center"/>
              <w:rPr>
                <w:kern w:val="16"/>
              </w:rPr>
            </w:pPr>
            <w:r>
              <w:t>$2,175</w:t>
            </w:r>
          </w:p>
        </w:tc>
        <w:tc>
          <w:tcPr>
            <w:tcW w:w="1443" w:type="dxa"/>
            <w:tcBorders>
              <w:top w:val="single" w:sz="4" w:space="0" w:color="auto"/>
              <w:left w:val="single" w:sz="4" w:space="0" w:color="auto"/>
              <w:bottom w:val="single" w:sz="4" w:space="0" w:color="auto"/>
              <w:right w:val="single" w:sz="18" w:space="0" w:color="auto"/>
            </w:tcBorders>
            <w:hideMark/>
          </w:tcPr>
          <w:p w14:paraId="45FDD174" w14:textId="77777777" w:rsidR="003B49C4" w:rsidRDefault="003B49C4">
            <w:pPr>
              <w:suppressAutoHyphens/>
              <w:jc w:val="center"/>
              <w:rPr>
                <w:kern w:val="16"/>
              </w:rPr>
            </w:pPr>
            <w:r>
              <w:t>$150</w:t>
            </w:r>
          </w:p>
        </w:tc>
        <w:tc>
          <w:tcPr>
            <w:tcW w:w="1150" w:type="dxa"/>
            <w:tcBorders>
              <w:top w:val="single" w:sz="4" w:space="0" w:color="auto"/>
              <w:left w:val="single" w:sz="18" w:space="0" w:color="auto"/>
              <w:bottom w:val="single" w:sz="4" w:space="0" w:color="auto"/>
              <w:right w:val="single" w:sz="18" w:space="0" w:color="auto"/>
            </w:tcBorders>
            <w:hideMark/>
          </w:tcPr>
          <w:p w14:paraId="35591C8B" w14:textId="77777777" w:rsidR="003B49C4" w:rsidRDefault="003B49C4">
            <w:pPr>
              <w:suppressAutoHyphens/>
              <w:jc w:val="center"/>
              <w:rPr>
                <w:kern w:val="16"/>
              </w:rPr>
            </w:pPr>
            <w:r>
              <w:t>$2,325</w:t>
            </w:r>
          </w:p>
        </w:tc>
      </w:tr>
      <w:tr w:rsidR="003B49C4" w14:paraId="531F9FAF"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04B35F1A" w14:textId="77777777" w:rsidR="003B49C4" w:rsidRDefault="003B49C4">
            <w:pPr>
              <w:suppressAutoHyphens/>
              <w:jc w:val="center"/>
              <w:rPr>
                <w:kern w:val="16"/>
                <w:vertAlign w:val="subscript"/>
              </w:rPr>
            </w:pPr>
            <w:r>
              <w:t>L</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70541ED7"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6630195C"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5E49D6FB"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51C93EFD" w14:textId="77777777" w:rsidR="003B49C4" w:rsidRDefault="003B49C4">
            <w:pPr>
              <w:suppressAutoHyphens/>
              <w:jc w:val="center"/>
              <w:rPr>
                <w:kern w:val="16"/>
              </w:rPr>
            </w:pPr>
            <w:r>
              <w:t>–$10,000</w:t>
            </w:r>
          </w:p>
        </w:tc>
        <w:tc>
          <w:tcPr>
            <w:tcW w:w="1443" w:type="dxa"/>
            <w:tcBorders>
              <w:top w:val="single" w:sz="4" w:space="0" w:color="auto"/>
              <w:left w:val="single" w:sz="4" w:space="0" w:color="auto"/>
              <w:bottom w:val="single" w:sz="4" w:space="0" w:color="auto"/>
              <w:right w:val="single" w:sz="18" w:space="0" w:color="auto"/>
            </w:tcBorders>
          </w:tcPr>
          <w:p w14:paraId="308247A7" w14:textId="77777777" w:rsidR="003B49C4" w:rsidRDefault="003B49C4">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1103A00C" w14:textId="77777777" w:rsidR="003B49C4" w:rsidRDefault="003B49C4">
            <w:pPr>
              <w:suppressAutoHyphens/>
              <w:jc w:val="center"/>
              <w:rPr>
                <w:kern w:val="16"/>
              </w:rPr>
            </w:pPr>
          </w:p>
        </w:tc>
      </w:tr>
      <w:tr w:rsidR="003B49C4" w14:paraId="76DD5151"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7F3DE6AB" w14:textId="77777777" w:rsidR="003B49C4" w:rsidRDefault="003B49C4">
            <w:pPr>
              <w:suppressAutoHyphens/>
              <w:jc w:val="center"/>
              <w:rPr>
                <w:kern w:val="16"/>
                <w:vertAlign w:val="subscript"/>
              </w:rPr>
            </w:pPr>
            <w:r>
              <w:t>L</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7361F"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6973EA72"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1EF6178B"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61F1FA33" w14:textId="77777777" w:rsidR="003B49C4" w:rsidRDefault="003B49C4">
            <w:pPr>
              <w:suppressAutoHyphens/>
              <w:jc w:val="center"/>
              <w:rPr>
                <w:kern w:val="16"/>
              </w:rPr>
            </w:pPr>
            <w:r>
              <w:t>–$1,450</w:t>
            </w:r>
          </w:p>
        </w:tc>
        <w:tc>
          <w:tcPr>
            <w:tcW w:w="1443" w:type="dxa"/>
            <w:tcBorders>
              <w:top w:val="single" w:sz="4" w:space="0" w:color="auto"/>
              <w:left w:val="single" w:sz="4" w:space="0" w:color="auto"/>
              <w:bottom w:val="single" w:sz="4" w:space="0" w:color="auto"/>
              <w:right w:val="single" w:sz="18" w:space="0" w:color="auto"/>
            </w:tcBorders>
          </w:tcPr>
          <w:p w14:paraId="1B18540A" w14:textId="77777777" w:rsidR="003B49C4" w:rsidRDefault="003B49C4">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0F5CD17D" w14:textId="77777777" w:rsidR="003B49C4" w:rsidRDefault="003B49C4">
            <w:pPr>
              <w:suppressAutoHyphens/>
              <w:jc w:val="center"/>
              <w:rPr>
                <w:kern w:val="16"/>
              </w:rPr>
            </w:pPr>
          </w:p>
        </w:tc>
      </w:tr>
      <w:tr w:rsidR="003B49C4" w14:paraId="739E44D8"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23859760" w14:textId="77777777" w:rsidR="003B49C4" w:rsidRDefault="003B49C4">
            <w:pPr>
              <w:suppressAutoHyphens/>
              <w:jc w:val="center"/>
              <w:rPr>
                <w:kern w:val="16"/>
              </w:rPr>
            </w:pPr>
            <w:r>
              <w:t>Congestion</w:t>
            </w:r>
            <w:r>
              <w:br/>
              <w:t>Revenue</w:t>
            </w:r>
          </w:p>
        </w:tc>
        <w:tc>
          <w:tcPr>
            <w:tcW w:w="0" w:type="auto"/>
            <w:tcBorders>
              <w:top w:val="single" w:sz="4" w:space="0" w:color="auto"/>
              <w:left w:val="single" w:sz="4" w:space="0" w:color="auto"/>
              <w:bottom w:val="single" w:sz="4" w:space="0" w:color="auto"/>
              <w:right w:val="single" w:sz="4" w:space="0" w:color="auto"/>
            </w:tcBorders>
          </w:tcPr>
          <w:p w14:paraId="570CF698"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275D1251"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18" w:space="0" w:color="auto"/>
            </w:tcBorders>
          </w:tcPr>
          <w:p w14:paraId="389472E3"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3208308E" w14:textId="77777777" w:rsidR="003B49C4" w:rsidRDefault="003B49C4">
            <w:pPr>
              <w:suppressAutoHyphens/>
              <w:jc w:val="center"/>
              <w:rPr>
                <w:kern w:val="16"/>
              </w:rPr>
            </w:pPr>
            <w:r>
              <w:t>$1,500</w:t>
            </w:r>
          </w:p>
        </w:tc>
        <w:tc>
          <w:tcPr>
            <w:tcW w:w="1443" w:type="dxa"/>
            <w:tcBorders>
              <w:top w:val="single" w:sz="4" w:space="0" w:color="auto"/>
              <w:left w:val="single" w:sz="4" w:space="0" w:color="auto"/>
              <w:bottom w:val="single" w:sz="4" w:space="0" w:color="auto"/>
              <w:right w:val="single" w:sz="18" w:space="0" w:color="auto"/>
            </w:tcBorders>
          </w:tcPr>
          <w:p w14:paraId="7F3B7300" w14:textId="77777777" w:rsidR="003B49C4" w:rsidRDefault="003B49C4">
            <w:pPr>
              <w:suppressAutoHyphens/>
              <w:jc w:val="center"/>
              <w:rPr>
                <w:kern w:val="16"/>
              </w:rPr>
            </w:pPr>
          </w:p>
        </w:tc>
        <w:tc>
          <w:tcPr>
            <w:tcW w:w="1150" w:type="dxa"/>
            <w:tcBorders>
              <w:top w:val="single" w:sz="4" w:space="0" w:color="auto"/>
              <w:left w:val="single" w:sz="18" w:space="0" w:color="auto"/>
              <w:bottom w:val="single" w:sz="4" w:space="0" w:color="auto"/>
              <w:right w:val="single" w:sz="18" w:space="0" w:color="auto"/>
            </w:tcBorders>
          </w:tcPr>
          <w:p w14:paraId="26B7C8C7" w14:textId="77777777" w:rsidR="003B49C4" w:rsidRDefault="003B49C4">
            <w:pPr>
              <w:suppressAutoHyphens/>
              <w:jc w:val="center"/>
              <w:rPr>
                <w:kern w:val="16"/>
              </w:rPr>
            </w:pPr>
          </w:p>
        </w:tc>
      </w:tr>
      <w:tr w:rsidR="003B49C4" w14:paraId="258EBF5C"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19C40869" w14:textId="77777777" w:rsidR="003B49C4" w:rsidRDefault="003B49C4">
            <w:pPr>
              <w:suppressAutoHyphens/>
              <w:jc w:val="center"/>
              <w:rPr>
                <w:kern w:val="16"/>
              </w:rPr>
            </w:pPr>
            <w:r>
              <w:t>GHG Compliance</w:t>
            </w:r>
            <w:r>
              <w:br/>
              <w:t>Revenue</w:t>
            </w:r>
          </w:p>
        </w:tc>
        <w:tc>
          <w:tcPr>
            <w:tcW w:w="0" w:type="auto"/>
            <w:tcBorders>
              <w:top w:val="single" w:sz="4" w:space="0" w:color="auto"/>
              <w:left w:val="single" w:sz="4" w:space="0" w:color="auto"/>
              <w:bottom w:val="single" w:sz="4" w:space="0" w:color="auto"/>
              <w:right w:val="single" w:sz="4" w:space="0" w:color="auto"/>
            </w:tcBorders>
          </w:tcPr>
          <w:p w14:paraId="10835407"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193B46A5" w14:textId="77777777" w:rsidR="003B49C4" w:rsidRDefault="003B49C4">
            <w:pPr>
              <w:suppressAutoHyphens/>
              <w:jc w:val="center"/>
              <w:rPr>
                <w:kern w:val="16"/>
              </w:rPr>
            </w:pPr>
          </w:p>
        </w:tc>
        <w:tc>
          <w:tcPr>
            <w:tcW w:w="1123" w:type="dxa"/>
            <w:tcBorders>
              <w:top w:val="single" w:sz="4" w:space="0" w:color="auto"/>
              <w:left w:val="single" w:sz="18" w:space="0" w:color="auto"/>
              <w:bottom w:val="single" w:sz="18" w:space="0" w:color="auto"/>
              <w:right w:val="single" w:sz="18" w:space="0" w:color="auto"/>
            </w:tcBorders>
          </w:tcPr>
          <w:p w14:paraId="1211E0F7"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52F01FF9" w14:textId="77777777" w:rsidR="003B49C4" w:rsidRDefault="003B49C4">
            <w:pPr>
              <w:suppressAutoHyphens/>
              <w:jc w:val="center"/>
              <w:rPr>
                <w:kern w:val="16"/>
              </w:rPr>
            </w:pPr>
            <w:r>
              <w:t>$600</w:t>
            </w:r>
          </w:p>
        </w:tc>
        <w:tc>
          <w:tcPr>
            <w:tcW w:w="1443" w:type="dxa"/>
            <w:tcBorders>
              <w:top w:val="single" w:sz="4" w:space="0" w:color="auto"/>
              <w:left w:val="single" w:sz="4" w:space="0" w:color="auto"/>
              <w:bottom w:val="single" w:sz="4" w:space="0" w:color="auto"/>
              <w:right w:val="single" w:sz="18" w:space="0" w:color="auto"/>
            </w:tcBorders>
          </w:tcPr>
          <w:p w14:paraId="61076ECB" w14:textId="77777777" w:rsidR="003B49C4" w:rsidRDefault="003B49C4">
            <w:pPr>
              <w:suppressAutoHyphens/>
              <w:jc w:val="center"/>
              <w:rPr>
                <w:kern w:val="16"/>
              </w:rPr>
            </w:pPr>
          </w:p>
        </w:tc>
        <w:tc>
          <w:tcPr>
            <w:tcW w:w="1150" w:type="dxa"/>
            <w:tcBorders>
              <w:top w:val="single" w:sz="4" w:space="0" w:color="auto"/>
              <w:left w:val="single" w:sz="18" w:space="0" w:color="auto"/>
              <w:bottom w:val="single" w:sz="18" w:space="0" w:color="auto"/>
              <w:right w:val="single" w:sz="18" w:space="0" w:color="auto"/>
            </w:tcBorders>
          </w:tcPr>
          <w:p w14:paraId="75324BB1" w14:textId="77777777" w:rsidR="003B49C4" w:rsidRDefault="003B49C4">
            <w:pPr>
              <w:suppressAutoHyphens/>
              <w:jc w:val="center"/>
              <w:rPr>
                <w:kern w:val="16"/>
              </w:rPr>
            </w:pPr>
          </w:p>
        </w:tc>
      </w:tr>
    </w:tbl>
    <w:p w14:paraId="70500236" w14:textId="77777777" w:rsidR="00FC6F91" w:rsidRDefault="00FC6F91" w:rsidP="000F299B">
      <w:pPr>
        <w:pStyle w:val="Paragraph"/>
        <w:spacing w:before="0" w:after="240" w:line="300" w:lineRule="auto"/>
        <w:rPr>
          <w:rFonts w:ascii="Arial" w:hAnsi="Arial" w:cs="Arial"/>
        </w:rPr>
      </w:pPr>
    </w:p>
    <w:p w14:paraId="4871D0FF" w14:textId="77777777" w:rsidR="003B49C4" w:rsidRPr="000F299B" w:rsidRDefault="003B49C4" w:rsidP="00877DDB">
      <w:pPr>
        <w:pStyle w:val="BPM"/>
      </w:pPr>
      <w:r w:rsidRPr="000F299B">
        <w:lastRenderedPageBreak/>
        <w:t>It can be seen in the settlement results above that the total payment to each generator is sufficient to cover the respective energy and GHG compliance costs.</w:t>
      </w:r>
    </w:p>
    <w:p w14:paraId="516B9862" w14:textId="77777777" w:rsidR="003B49C4" w:rsidRPr="00877DDB" w:rsidRDefault="003B49C4" w:rsidP="00877DDB">
      <w:pPr>
        <w:rPr>
          <w:rFonts w:ascii="Arial" w:hAnsi="Arial" w:cs="Arial"/>
        </w:rPr>
      </w:pPr>
      <w:bookmarkStart w:id="1964" w:name="_Toc367722320"/>
      <w:bookmarkStart w:id="1965" w:name="_Toc364148865"/>
      <w:bookmarkStart w:id="1966" w:name="_Toc364147775"/>
      <w:bookmarkStart w:id="1967" w:name="_Toc363813084"/>
      <w:bookmarkStart w:id="1968" w:name="_Toc363802649"/>
      <w:bookmarkStart w:id="1969" w:name="_Toc363747657"/>
      <w:bookmarkStart w:id="1970" w:name="_Toc363747522"/>
      <w:bookmarkStart w:id="1971" w:name="_Toc360527190"/>
      <w:bookmarkStart w:id="1972" w:name="_Toc357770683"/>
      <w:bookmarkStart w:id="1973" w:name="_Toc357700105"/>
      <w:bookmarkStart w:id="1974" w:name="_Toc357692057"/>
      <w:r w:rsidRPr="00877DDB">
        <w:rPr>
          <w:rFonts w:ascii="Arial" w:hAnsi="Arial" w:cs="Arial"/>
          <w:b/>
        </w:rPr>
        <w:t>Example 4</w:t>
      </w:r>
      <w:bookmarkEnd w:id="1964"/>
      <w:bookmarkEnd w:id="1965"/>
      <w:bookmarkEnd w:id="1966"/>
      <w:bookmarkEnd w:id="1967"/>
      <w:bookmarkEnd w:id="1968"/>
      <w:bookmarkEnd w:id="1969"/>
      <w:bookmarkEnd w:id="1970"/>
      <w:bookmarkEnd w:id="1971"/>
      <w:bookmarkEnd w:id="1972"/>
      <w:bookmarkEnd w:id="1973"/>
      <w:bookmarkEnd w:id="1974"/>
    </w:p>
    <w:p w14:paraId="27C1C7F6" w14:textId="77777777" w:rsidR="003B49C4" w:rsidRPr="000F299B" w:rsidRDefault="003B49C4" w:rsidP="00877DDB">
      <w:pPr>
        <w:pStyle w:val="BPM"/>
      </w:pPr>
      <w:r w:rsidRPr="000F299B">
        <w:t>This is a variation on the third example where a new resource G4 is introduced in the EIM Entity BAA with a generating capacity of 100MW, a GHG compliance bid adder of $3.00/MWh, and an energy bid of $30/MWh, while the power transfer capability is increased to 300MW. Therefore, the resource data is as follows:</w:t>
      </w:r>
    </w:p>
    <w:tbl>
      <w:tblPr>
        <w:tblW w:w="0" w:type="auto"/>
        <w:jc w:val="center"/>
        <w:tblLook w:val="04A0" w:firstRow="1" w:lastRow="0" w:firstColumn="1" w:lastColumn="0" w:noHBand="0" w:noVBand="1"/>
      </w:tblPr>
      <w:tblGrid>
        <w:gridCol w:w="1156"/>
        <w:gridCol w:w="1111"/>
        <w:gridCol w:w="1148"/>
        <w:gridCol w:w="1069"/>
        <w:gridCol w:w="1755"/>
      </w:tblGrid>
      <w:tr w:rsidR="003B49C4" w14:paraId="5AAD09B8"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20F278" w14:textId="77777777" w:rsidR="003B49C4" w:rsidRDefault="003B49C4">
            <w:pPr>
              <w:suppressAutoHyphens/>
              <w:jc w:val="center"/>
              <w:rPr>
                <w:b/>
                <w:kern w:val="16"/>
              </w:rPr>
            </w:pPr>
            <w:r>
              <w:rPr>
                <w:b/>
              </w:rPr>
              <w:t>Generator</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02D816" w14:textId="77777777" w:rsidR="003B49C4" w:rsidRDefault="003B49C4">
            <w:pPr>
              <w:suppressAutoHyphens/>
              <w:jc w:val="center"/>
              <w:rPr>
                <w:b/>
                <w:kern w:val="16"/>
              </w:rPr>
            </w:pPr>
            <w:r>
              <w:rPr>
                <w:b/>
              </w:rPr>
              <w:t>Minimum</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288C72" w14:textId="77777777" w:rsidR="003B49C4" w:rsidRDefault="003B49C4">
            <w:pPr>
              <w:suppressAutoHyphens/>
              <w:jc w:val="center"/>
              <w:rPr>
                <w:b/>
                <w:kern w:val="16"/>
              </w:rPr>
            </w:pPr>
            <w:r>
              <w:rPr>
                <w:b/>
              </w:rPr>
              <w:t>Maximum</w:t>
            </w:r>
            <w:r>
              <w:rPr>
                <w:b/>
              </w:rPr>
              <w:br/>
              <w:t>(MW)</w:t>
            </w:r>
          </w:p>
        </w:tc>
        <w:tc>
          <w:tcPr>
            <w:tcW w:w="10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A0E40E" w14:textId="77777777" w:rsidR="003B49C4" w:rsidRDefault="003B49C4">
            <w:pPr>
              <w:suppressAutoHyphens/>
              <w:jc w:val="center"/>
              <w:rPr>
                <w:b/>
                <w:kern w:val="16"/>
              </w:rPr>
            </w:pPr>
            <w:r>
              <w:rPr>
                <w:b/>
              </w:rPr>
              <w:t>Energy Bid</w:t>
            </w:r>
            <w:r>
              <w:rPr>
                <w:b/>
              </w:rPr>
              <w:br/>
              <w:t>($/MWh)</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59C37B" w14:textId="77777777" w:rsidR="003B49C4" w:rsidRDefault="003B49C4">
            <w:pPr>
              <w:suppressAutoHyphens/>
              <w:jc w:val="center"/>
              <w:rPr>
                <w:b/>
                <w:kern w:val="16"/>
              </w:rPr>
            </w:pPr>
            <w:r>
              <w:rPr>
                <w:b/>
              </w:rPr>
              <w:t xml:space="preserve">GHG Compliance </w:t>
            </w:r>
            <w:r>
              <w:rPr>
                <w:b/>
              </w:rPr>
              <w:br/>
              <w:t>Bid Adder</w:t>
            </w:r>
            <w:r>
              <w:rPr>
                <w:b/>
              </w:rPr>
              <w:br/>
              <w:t>($/MWh)</w:t>
            </w:r>
          </w:p>
        </w:tc>
      </w:tr>
      <w:tr w:rsidR="003B49C4" w14:paraId="705F8F62"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3B5AAEFC" w14:textId="77777777" w:rsidR="003B49C4" w:rsidRDefault="003B49C4">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20F7DCE7" w14:textId="77777777" w:rsidR="003B49C4" w:rsidRDefault="003B49C4">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5FE25E36" w14:textId="77777777" w:rsidR="003B49C4" w:rsidRDefault="003B49C4">
            <w:pPr>
              <w:suppressAutoHyphens/>
              <w:jc w:val="center"/>
              <w:rPr>
                <w:kern w:val="16"/>
              </w:rPr>
            </w:pPr>
            <w:r>
              <w:t>300</w:t>
            </w:r>
          </w:p>
        </w:tc>
        <w:tc>
          <w:tcPr>
            <w:tcW w:w="1032" w:type="dxa"/>
            <w:tcBorders>
              <w:top w:val="single" w:sz="4" w:space="0" w:color="auto"/>
              <w:left w:val="single" w:sz="4" w:space="0" w:color="auto"/>
              <w:bottom w:val="single" w:sz="4" w:space="0" w:color="auto"/>
              <w:right w:val="single" w:sz="4" w:space="0" w:color="auto"/>
            </w:tcBorders>
            <w:hideMark/>
          </w:tcPr>
          <w:p w14:paraId="0A4524B9" w14:textId="77777777" w:rsidR="003B49C4" w:rsidRDefault="003B49C4">
            <w:pPr>
              <w:suppressAutoHyphens/>
              <w:jc w:val="center"/>
              <w:rPr>
                <w:kern w:val="16"/>
              </w:rPr>
            </w:pPr>
            <w:r>
              <w:t>50</w:t>
            </w:r>
          </w:p>
        </w:tc>
        <w:tc>
          <w:tcPr>
            <w:tcW w:w="0" w:type="auto"/>
            <w:tcBorders>
              <w:top w:val="single" w:sz="4" w:space="0" w:color="auto"/>
              <w:left w:val="single" w:sz="4" w:space="0" w:color="auto"/>
              <w:bottom w:val="single" w:sz="4" w:space="0" w:color="auto"/>
              <w:right w:val="single" w:sz="4" w:space="0" w:color="auto"/>
            </w:tcBorders>
            <w:hideMark/>
          </w:tcPr>
          <w:p w14:paraId="199E7E4A" w14:textId="77777777" w:rsidR="003B49C4" w:rsidRDefault="003B49C4">
            <w:pPr>
              <w:suppressAutoHyphens/>
              <w:jc w:val="center"/>
              <w:rPr>
                <w:kern w:val="16"/>
              </w:rPr>
            </w:pPr>
            <w:r>
              <w:t>-</w:t>
            </w:r>
          </w:p>
        </w:tc>
      </w:tr>
      <w:tr w:rsidR="003B49C4" w14:paraId="60D1F697"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1D0C8CC7" w14:textId="77777777" w:rsidR="003B49C4" w:rsidRDefault="003B49C4">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0581709C" w14:textId="77777777" w:rsidR="003B49C4" w:rsidRDefault="003B49C4">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51C9BAA2" w14:textId="77777777" w:rsidR="003B49C4" w:rsidRDefault="003B49C4">
            <w:pPr>
              <w:suppressAutoHyphens/>
              <w:jc w:val="center"/>
              <w:rPr>
                <w:kern w:val="16"/>
              </w:rPr>
            </w:pPr>
            <w:r>
              <w:t>200</w:t>
            </w:r>
          </w:p>
        </w:tc>
        <w:tc>
          <w:tcPr>
            <w:tcW w:w="1032" w:type="dxa"/>
            <w:tcBorders>
              <w:top w:val="single" w:sz="4" w:space="0" w:color="auto"/>
              <w:left w:val="single" w:sz="4" w:space="0" w:color="auto"/>
              <w:bottom w:val="single" w:sz="4" w:space="0" w:color="auto"/>
              <w:right w:val="single" w:sz="4" w:space="0" w:color="auto"/>
            </w:tcBorders>
            <w:hideMark/>
          </w:tcPr>
          <w:p w14:paraId="4309A7E7" w14:textId="77777777" w:rsidR="003B49C4" w:rsidRDefault="003B49C4">
            <w:pPr>
              <w:suppressAutoHyphens/>
              <w:jc w:val="center"/>
              <w:rPr>
                <w:kern w:val="16"/>
              </w:rPr>
            </w:pPr>
            <w:r>
              <w:t>35</w:t>
            </w:r>
          </w:p>
        </w:tc>
        <w:tc>
          <w:tcPr>
            <w:tcW w:w="0" w:type="auto"/>
            <w:tcBorders>
              <w:top w:val="single" w:sz="4" w:space="0" w:color="auto"/>
              <w:left w:val="single" w:sz="4" w:space="0" w:color="auto"/>
              <w:bottom w:val="single" w:sz="4" w:space="0" w:color="auto"/>
              <w:right w:val="single" w:sz="4" w:space="0" w:color="auto"/>
            </w:tcBorders>
            <w:hideMark/>
          </w:tcPr>
          <w:p w14:paraId="647B1498" w14:textId="77777777" w:rsidR="003B49C4" w:rsidRDefault="003B49C4">
            <w:pPr>
              <w:suppressAutoHyphens/>
              <w:jc w:val="center"/>
              <w:rPr>
                <w:kern w:val="16"/>
              </w:rPr>
            </w:pPr>
            <w:r>
              <w:t>0</w:t>
            </w:r>
          </w:p>
        </w:tc>
      </w:tr>
      <w:tr w:rsidR="003B49C4" w14:paraId="237D8B0F"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71EDE3DB" w14:textId="77777777" w:rsidR="003B49C4" w:rsidRDefault="003B49C4">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4E4B4311" w14:textId="77777777" w:rsidR="003B49C4" w:rsidRDefault="003B49C4">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3858BC6B" w14:textId="77777777" w:rsidR="003B49C4" w:rsidRDefault="003B49C4">
            <w:pPr>
              <w:suppressAutoHyphens/>
              <w:jc w:val="center"/>
              <w:rPr>
                <w:kern w:val="16"/>
              </w:rPr>
            </w:pPr>
            <w:r>
              <w:t>75</w:t>
            </w:r>
          </w:p>
        </w:tc>
        <w:tc>
          <w:tcPr>
            <w:tcW w:w="1032" w:type="dxa"/>
            <w:tcBorders>
              <w:top w:val="single" w:sz="4" w:space="0" w:color="auto"/>
              <w:left w:val="single" w:sz="4" w:space="0" w:color="auto"/>
              <w:bottom w:val="single" w:sz="4" w:space="0" w:color="auto"/>
              <w:right w:val="single" w:sz="4" w:space="0" w:color="auto"/>
            </w:tcBorders>
            <w:hideMark/>
          </w:tcPr>
          <w:p w14:paraId="3F411529" w14:textId="77777777" w:rsidR="003B49C4" w:rsidRDefault="003B49C4">
            <w:pPr>
              <w:suppressAutoHyphens/>
              <w:jc w:val="center"/>
              <w:rPr>
                <w:kern w:val="16"/>
              </w:rPr>
            </w:pPr>
            <w:r>
              <w:t>28</w:t>
            </w:r>
          </w:p>
        </w:tc>
        <w:tc>
          <w:tcPr>
            <w:tcW w:w="0" w:type="auto"/>
            <w:tcBorders>
              <w:top w:val="single" w:sz="4" w:space="0" w:color="auto"/>
              <w:left w:val="single" w:sz="4" w:space="0" w:color="auto"/>
              <w:bottom w:val="single" w:sz="4" w:space="0" w:color="auto"/>
              <w:right w:val="single" w:sz="4" w:space="0" w:color="auto"/>
            </w:tcBorders>
            <w:hideMark/>
          </w:tcPr>
          <w:p w14:paraId="3ED599E4" w14:textId="77777777" w:rsidR="003B49C4" w:rsidRDefault="003B49C4">
            <w:pPr>
              <w:suppressAutoHyphens/>
              <w:jc w:val="center"/>
              <w:rPr>
                <w:kern w:val="16"/>
              </w:rPr>
            </w:pPr>
            <w:r>
              <w:t>6</w:t>
            </w:r>
          </w:p>
        </w:tc>
      </w:tr>
      <w:tr w:rsidR="003B49C4" w14:paraId="774105B7"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224C8003" w14:textId="77777777" w:rsidR="003B49C4" w:rsidRDefault="003B49C4">
            <w:pPr>
              <w:suppressAutoHyphens/>
              <w:jc w:val="center"/>
              <w:rPr>
                <w:kern w:val="16"/>
              </w:rPr>
            </w:pPr>
            <w:r>
              <w:t>G</w:t>
            </w:r>
            <w:r>
              <w:rPr>
                <w:vertAlign w:val="subscript"/>
              </w:rPr>
              <w:t>4</w:t>
            </w:r>
          </w:p>
        </w:tc>
        <w:tc>
          <w:tcPr>
            <w:tcW w:w="0" w:type="auto"/>
            <w:tcBorders>
              <w:top w:val="single" w:sz="4" w:space="0" w:color="auto"/>
              <w:left w:val="single" w:sz="4" w:space="0" w:color="auto"/>
              <w:bottom w:val="single" w:sz="4" w:space="0" w:color="auto"/>
              <w:right w:val="single" w:sz="4" w:space="0" w:color="auto"/>
            </w:tcBorders>
            <w:hideMark/>
          </w:tcPr>
          <w:p w14:paraId="6BD7CA74" w14:textId="77777777" w:rsidR="003B49C4" w:rsidRDefault="003B49C4">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507EBC66" w14:textId="77777777" w:rsidR="003B49C4" w:rsidRDefault="003B49C4">
            <w:pPr>
              <w:suppressAutoHyphens/>
              <w:jc w:val="center"/>
              <w:rPr>
                <w:kern w:val="16"/>
              </w:rPr>
            </w:pPr>
            <w:r>
              <w:t>100</w:t>
            </w:r>
          </w:p>
        </w:tc>
        <w:tc>
          <w:tcPr>
            <w:tcW w:w="1032" w:type="dxa"/>
            <w:tcBorders>
              <w:top w:val="single" w:sz="4" w:space="0" w:color="auto"/>
              <w:left w:val="single" w:sz="4" w:space="0" w:color="auto"/>
              <w:bottom w:val="single" w:sz="4" w:space="0" w:color="auto"/>
              <w:right w:val="single" w:sz="4" w:space="0" w:color="auto"/>
            </w:tcBorders>
            <w:hideMark/>
          </w:tcPr>
          <w:p w14:paraId="290E836D" w14:textId="77777777" w:rsidR="003B49C4" w:rsidRDefault="003B49C4">
            <w:pPr>
              <w:suppressAutoHyphens/>
              <w:jc w:val="center"/>
              <w:rPr>
                <w:kern w:val="16"/>
              </w:rPr>
            </w:pPr>
            <w:r>
              <w:t>30</w:t>
            </w:r>
          </w:p>
        </w:tc>
        <w:tc>
          <w:tcPr>
            <w:tcW w:w="0" w:type="auto"/>
            <w:tcBorders>
              <w:top w:val="single" w:sz="4" w:space="0" w:color="auto"/>
              <w:left w:val="single" w:sz="4" w:space="0" w:color="auto"/>
              <w:bottom w:val="single" w:sz="4" w:space="0" w:color="auto"/>
              <w:right w:val="single" w:sz="4" w:space="0" w:color="auto"/>
            </w:tcBorders>
            <w:hideMark/>
          </w:tcPr>
          <w:p w14:paraId="2CD4B56E" w14:textId="77777777" w:rsidR="003B49C4" w:rsidRDefault="003B49C4">
            <w:pPr>
              <w:suppressAutoHyphens/>
              <w:jc w:val="center"/>
              <w:rPr>
                <w:kern w:val="16"/>
              </w:rPr>
            </w:pPr>
            <w:r>
              <w:t>3</w:t>
            </w:r>
          </w:p>
        </w:tc>
      </w:tr>
    </w:tbl>
    <w:p w14:paraId="148525A2" w14:textId="77777777" w:rsidR="00970A1B" w:rsidRDefault="00970A1B" w:rsidP="000F299B">
      <w:pPr>
        <w:pStyle w:val="Paragraph"/>
        <w:spacing w:before="0" w:after="240" w:line="300" w:lineRule="auto"/>
        <w:rPr>
          <w:rFonts w:ascii="Arial" w:hAnsi="Arial" w:cs="Arial"/>
        </w:rPr>
      </w:pPr>
    </w:p>
    <w:p w14:paraId="53017DE9" w14:textId="77777777" w:rsidR="003B49C4" w:rsidRPr="000F299B" w:rsidRDefault="003B49C4" w:rsidP="00877DDB">
      <w:pPr>
        <w:pStyle w:val="BPM"/>
      </w:pPr>
      <w:r w:rsidRPr="000F299B">
        <w:t xml:space="preserve">The purpose of this example is to show that the LMP in the </w:t>
      </w:r>
      <w:r w:rsidR="0058562B">
        <w:t>CA</w:t>
      </w:r>
      <w:r w:rsidRPr="000F299B">
        <w:t xml:space="preserve">ISO would include the GHG compliance costs for imports; this effect was masked in the previous examples because the more expensive resource G1 was setting the LMP in the </w:t>
      </w:r>
      <w:r w:rsidR="0058562B">
        <w:t>CA</w:t>
      </w:r>
      <w:r w:rsidRPr="000F299B">
        <w:t>ISO. In this case, without a binding power transfer limit, G2, G3 and G4 are dispatched to serve both loads L1 and L2. The optimal dispatch and export allocation are as follows:</w:t>
      </w:r>
    </w:p>
    <w:tbl>
      <w:tblPr>
        <w:tblW w:w="0" w:type="auto"/>
        <w:jc w:val="center"/>
        <w:tblLook w:val="04A0" w:firstRow="1" w:lastRow="0" w:firstColumn="1" w:lastColumn="0" w:noHBand="0" w:noVBand="1"/>
      </w:tblPr>
      <w:tblGrid>
        <w:gridCol w:w="1156"/>
        <w:gridCol w:w="1010"/>
        <w:gridCol w:w="1792"/>
        <w:gridCol w:w="1069"/>
      </w:tblGrid>
      <w:tr w:rsidR="003B49C4" w14:paraId="18ED3C76"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48271D" w14:textId="77777777" w:rsidR="003B49C4" w:rsidRDefault="003B49C4">
            <w:pPr>
              <w:suppressAutoHyphens/>
              <w:jc w:val="center"/>
              <w:rPr>
                <w:b/>
                <w:kern w:val="16"/>
              </w:rPr>
            </w:pPr>
            <w:r>
              <w:rPr>
                <w:b/>
              </w:rPr>
              <w:t>Generator</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116AB7" w14:textId="77777777" w:rsidR="003B49C4" w:rsidRDefault="003B49C4">
            <w:pPr>
              <w:suppressAutoHyphens/>
              <w:jc w:val="center"/>
              <w:rPr>
                <w:b/>
                <w:kern w:val="16"/>
              </w:rPr>
            </w:pPr>
            <w:r>
              <w:rPr>
                <w:b/>
              </w:rPr>
              <w:t>Dispatch</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37A69A" w14:textId="77777777" w:rsidR="003B49C4" w:rsidRDefault="003B49C4">
            <w:pPr>
              <w:suppressAutoHyphens/>
              <w:jc w:val="center"/>
              <w:rPr>
                <w:b/>
                <w:kern w:val="16"/>
              </w:rPr>
            </w:pPr>
            <w:r>
              <w:rPr>
                <w:b/>
              </w:rPr>
              <w:t>Export Allocation</w:t>
            </w:r>
            <w:r>
              <w:rPr>
                <w:b/>
              </w:rPr>
              <w:br/>
              <w:t>(MW)</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FF3DA8" w14:textId="77777777" w:rsidR="003B49C4" w:rsidRDefault="003B49C4">
            <w:pPr>
              <w:suppressAutoHyphens/>
              <w:jc w:val="center"/>
              <w:rPr>
                <w:b/>
                <w:kern w:val="16"/>
              </w:rPr>
            </w:pPr>
            <w:r>
              <w:rPr>
                <w:b/>
              </w:rPr>
              <w:t>LMP</w:t>
            </w:r>
            <w:r>
              <w:rPr>
                <w:b/>
              </w:rPr>
              <w:br/>
              <w:t>($/MWh)</w:t>
            </w:r>
          </w:p>
        </w:tc>
      </w:tr>
      <w:tr w:rsidR="003B49C4" w14:paraId="4BC6F2BC"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603539F5" w14:textId="77777777" w:rsidR="003B49C4" w:rsidRDefault="003B49C4">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74FD4398" w14:textId="77777777" w:rsidR="003B49C4" w:rsidRDefault="003B49C4">
            <w:pPr>
              <w:suppressAutoHyphens/>
              <w:jc w:val="center"/>
              <w:rPr>
                <w:kern w:val="16"/>
              </w:rPr>
            </w:pPr>
            <w:r>
              <w:t>0</w:t>
            </w:r>
          </w:p>
        </w:tc>
        <w:tc>
          <w:tcPr>
            <w:tcW w:w="0" w:type="auto"/>
            <w:tcBorders>
              <w:top w:val="single" w:sz="4" w:space="0" w:color="auto"/>
              <w:left w:val="single" w:sz="4" w:space="0" w:color="auto"/>
              <w:bottom w:val="single" w:sz="4" w:space="0" w:color="auto"/>
              <w:right w:val="single" w:sz="4" w:space="0" w:color="auto"/>
            </w:tcBorders>
            <w:hideMark/>
          </w:tcPr>
          <w:p w14:paraId="33170505" w14:textId="77777777" w:rsidR="003B49C4" w:rsidRDefault="003B49C4">
            <w:pPr>
              <w:suppressAutoHyphens/>
              <w:jc w:val="center"/>
              <w:rPr>
                <w:kern w:val="16"/>
              </w:rPr>
            </w:pPr>
            <w:r>
              <w:t>-</w:t>
            </w:r>
          </w:p>
        </w:tc>
        <w:tc>
          <w:tcPr>
            <w:tcW w:w="0" w:type="auto"/>
            <w:tcBorders>
              <w:top w:val="single" w:sz="4" w:space="0" w:color="auto"/>
              <w:left w:val="single" w:sz="4" w:space="0" w:color="auto"/>
              <w:bottom w:val="single" w:sz="4" w:space="0" w:color="auto"/>
              <w:right w:val="single" w:sz="4" w:space="0" w:color="auto"/>
            </w:tcBorders>
            <w:hideMark/>
          </w:tcPr>
          <w:p w14:paraId="152872C0" w14:textId="77777777" w:rsidR="003B49C4" w:rsidRDefault="003B49C4">
            <w:pPr>
              <w:suppressAutoHyphens/>
              <w:jc w:val="center"/>
              <w:rPr>
                <w:kern w:val="16"/>
              </w:rPr>
            </w:pPr>
            <w:r>
              <w:t>35</w:t>
            </w:r>
          </w:p>
        </w:tc>
      </w:tr>
      <w:tr w:rsidR="003B49C4" w14:paraId="4979E334"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2A5AFEF9" w14:textId="77777777" w:rsidR="003B49C4" w:rsidRDefault="003B49C4">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7FF466C7" w14:textId="77777777" w:rsidR="003B49C4" w:rsidRDefault="003B49C4">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5E17D5B4" w14:textId="77777777" w:rsidR="003B49C4" w:rsidRDefault="003B49C4">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536E4C81" w14:textId="77777777" w:rsidR="003B49C4" w:rsidRDefault="003B49C4">
            <w:pPr>
              <w:suppressAutoHyphens/>
              <w:jc w:val="center"/>
              <w:rPr>
                <w:kern w:val="16"/>
              </w:rPr>
            </w:pPr>
            <w:r>
              <w:t>29</w:t>
            </w:r>
          </w:p>
        </w:tc>
      </w:tr>
      <w:tr w:rsidR="003B49C4" w14:paraId="48F0440D"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640E22C5" w14:textId="77777777" w:rsidR="003B49C4" w:rsidRDefault="003B49C4">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0D58DA74" w14:textId="77777777" w:rsidR="003B49C4" w:rsidRDefault="003B49C4">
            <w:pPr>
              <w:suppressAutoHyphens/>
              <w:jc w:val="center"/>
              <w:rPr>
                <w:kern w:val="16"/>
              </w:rPr>
            </w:pPr>
            <w:r>
              <w:t>75</w:t>
            </w:r>
          </w:p>
        </w:tc>
        <w:tc>
          <w:tcPr>
            <w:tcW w:w="0" w:type="auto"/>
            <w:tcBorders>
              <w:top w:val="single" w:sz="4" w:space="0" w:color="auto"/>
              <w:left w:val="single" w:sz="4" w:space="0" w:color="auto"/>
              <w:bottom w:val="single" w:sz="4" w:space="0" w:color="auto"/>
              <w:right w:val="single" w:sz="4" w:space="0" w:color="auto"/>
            </w:tcBorders>
            <w:hideMark/>
          </w:tcPr>
          <w:p w14:paraId="24C1436C" w14:textId="77777777" w:rsidR="003B49C4" w:rsidRDefault="003B49C4">
            <w:pPr>
              <w:suppressAutoHyphens/>
              <w:jc w:val="center"/>
              <w:rPr>
                <w:kern w:val="16"/>
              </w:rPr>
            </w:pPr>
            <w:r>
              <w:t>25</w:t>
            </w:r>
          </w:p>
        </w:tc>
        <w:tc>
          <w:tcPr>
            <w:tcW w:w="0" w:type="auto"/>
            <w:tcBorders>
              <w:top w:val="single" w:sz="4" w:space="0" w:color="auto"/>
              <w:left w:val="single" w:sz="4" w:space="0" w:color="auto"/>
              <w:bottom w:val="single" w:sz="4" w:space="0" w:color="auto"/>
              <w:right w:val="single" w:sz="4" w:space="0" w:color="auto"/>
            </w:tcBorders>
            <w:hideMark/>
          </w:tcPr>
          <w:p w14:paraId="25445151" w14:textId="77777777" w:rsidR="003B49C4" w:rsidRDefault="003B49C4">
            <w:pPr>
              <w:suppressAutoHyphens/>
              <w:jc w:val="center"/>
              <w:rPr>
                <w:kern w:val="16"/>
              </w:rPr>
            </w:pPr>
            <w:r>
              <w:t>29</w:t>
            </w:r>
          </w:p>
        </w:tc>
      </w:tr>
      <w:tr w:rsidR="003B49C4" w14:paraId="3476FBAD"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446F8655" w14:textId="77777777" w:rsidR="003B49C4" w:rsidRDefault="003B49C4">
            <w:pPr>
              <w:suppressAutoHyphens/>
              <w:jc w:val="center"/>
              <w:rPr>
                <w:kern w:val="16"/>
              </w:rPr>
            </w:pPr>
            <w:r>
              <w:t>G</w:t>
            </w:r>
            <w:r>
              <w:rPr>
                <w:vertAlign w:val="subscript"/>
              </w:rPr>
              <w:t>4</w:t>
            </w:r>
          </w:p>
        </w:tc>
        <w:tc>
          <w:tcPr>
            <w:tcW w:w="0" w:type="auto"/>
            <w:tcBorders>
              <w:top w:val="single" w:sz="4" w:space="0" w:color="auto"/>
              <w:left w:val="single" w:sz="4" w:space="0" w:color="auto"/>
              <w:bottom w:val="single" w:sz="4" w:space="0" w:color="auto"/>
              <w:right w:val="single" w:sz="4" w:space="0" w:color="auto"/>
            </w:tcBorders>
            <w:hideMark/>
          </w:tcPr>
          <w:p w14:paraId="05813C08" w14:textId="77777777" w:rsidR="003B49C4" w:rsidRDefault="003B49C4">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49E8A784" w14:textId="77777777" w:rsidR="003B49C4" w:rsidRDefault="003B49C4">
            <w:pPr>
              <w:suppressAutoHyphens/>
              <w:jc w:val="center"/>
              <w:rPr>
                <w:kern w:val="16"/>
              </w:rPr>
            </w:pPr>
            <w:r>
              <w:t>100</w:t>
            </w:r>
          </w:p>
        </w:tc>
        <w:tc>
          <w:tcPr>
            <w:tcW w:w="0" w:type="auto"/>
            <w:tcBorders>
              <w:top w:val="single" w:sz="4" w:space="0" w:color="auto"/>
              <w:left w:val="single" w:sz="4" w:space="0" w:color="auto"/>
              <w:bottom w:val="single" w:sz="4" w:space="0" w:color="auto"/>
              <w:right w:val="single" w:sz="4" w:space="0" w:color="auto"/>
            </w:tcBorders>
            <w:hideMark/>
          </w:tcPr>
          <w:p w14:paraId="7D6F5E06" w14:textId="77777777" w:rsidR="003B49C4" w:rsidRDefault="003B49C4">
            <w:pPr>
              <w:suppressAutoHyphens/>
              <w:jc w:val="center"/>
              <w:rPr>
                <w:kern w:val="16"/>
              </w:rPr>
            </w:pPr>
            <w:r>
              <w:t>29</w:t>
            </w:r>
          </w:p>
        </w:tc>
      </w:tr>
    </w:tbl>
    <w:p w14:paraId="53A1DA1D" w14:textId="77777777" w:rsidR="003B49C4" w:rsidRDefault="003B49C4" w:rsidP="003B49C4">
      <w:pPr>
        <w:jc w:val="center"/>
      </w:pPr>
      <w:r>
        <w:t xml:space="preserve">Example 4: </w:t>
      </w:r>
      <m:oMath>
        <m:r>
          <m:rPr>
            <m:sty m:val="p"/>
          </m:rPr>
          <w:rPr>
            <w:rFonts w:ascii="Cambria Math" w:hAnsi="Cambria Math"/>
          </w:rPr>
          <m:t>µ</m:t>
        </m:r>
      </m:oMath>
      <w:r>
        <w:t xml:space="preserve"> = $0/MWh; </w:t>
      </w:r>
      <m:oMath>
        <m:r>
          <m:rPr>
            <m:sty m:val="p"/>
          </m:rPr>
          <w:rPr>
            <w:rFonts w:ascii="Cambria Math" w:hAnsi="Cambria Math"/>
          </w:rPr>
          <m:t>η</m:t>
        </m:r>
      </m:oMath>
      <w:r>
        <w:t xml:space="preserve"> = –$6/MWh</w:t>
      </w:r>
    </w:p>
    <w:p w14:paraId="03396235" w14:textId="77777777" w:rsidR="00FC6F91" w:rsidRDefault="00FC6F91" w:rsidP="003B49C4">
      <w:pPr>
        <w:jc w:val="center"/>
        <w:rPr>
          <w:kern w:val="16"/>
        </w:rPr>
      </w:pPr>
    </w:p>
    <w:p w14:paraId="4B792C4C" w14:textId="77777777" w:rsidR="003B49C4" w:rsidRPr="000F299B" w:rsidRDefault="003B49C4" w:rsidP="00877DDB">
      <w:pPr>
        <w:pStyle w:val="BPM"/>
      </w:pPr>
      <w:r w:rsidRPr="000F299B">
        <w:lastRenderedPageBreak/>
        <w:t xml:space="preserve">G3 is the least expensive resource for serving L2 and G4 is the least expensive resource for serving L1; consequently, both resources are dispatched at their maximum capacity. G2 is marginal for serving L1 and sets the LMP in the </w:t>
      </w:r>
      <w:r w:rsidR="0058562B">
        <w:t>CA</w:t>
      </w:r>
      <w:r w:rsidRPr="000F299B">
        <w:t>ISO to $35/MWh. One additional MW of L2 will divert 1MW of G3 export to L2 saving $6/MWh on GHG compliance costs and that export will be made up by one additional MW from G2 at a net cost of $29/MWh, which is the LMP in the EIM Entity BAA.</w:t>
      </w:r>
    </w:p>
    <w:p w14:paraId="02A53D6D" w14:textId="77777777" w:rsidR="003B49C4" w:rsidRPr="000F299B" w:rsidRDefault="003B49C4" w:rsidP="00877DDB">
      <w:pPr>
        <w:pStyle w:val="BPM"/>
      </w:pPr>
      <w:r w:rsidRPr="000F299B">
        <w:t>Since there is no transmission congestion, the LMP difference of $6/MWh amounts to the marginal GHG compliance cost of $6/MWh. The marginal GHG compliance cost can be easily verified if the export allocation (which carries the GHG compliance cost) is relaxed by 1 MW to 199MW, in which case 1MWh from G3 will not incur GHG compliance costs for a benefit of $6.</w:t>
      </w:r>
    </w:p>
    <w:p w14:paraId="1832329A" w14:textId="77777777" w:rsidR="003B49C4" w:rsidRPr="000F299B" w:rsidRDefault="003B49C4" w:rsidP="00877DDB">
      <w:pPr>
        <w:pStyle w:val="BPM"/>
      </w:pPr>
      <w:r w:rsidRPr="000F299B">
        <w:t>The marginal GHG compliance cost of $6/MWh on a 200MWh energy export results in a GHG compliance revenue of $1,200. Assuming that the GHG compliance revenue is distributed to the optimal export allocations, the settlement is as follows:</w:t>
      </w:r>
    </w:p>
    <w:tbl>
      <w:tblPr>
        <w:tblW w:w="0" w:type="auto"/>
        <w:jc w:val="center"/>
        <w:tblLook w:val="04A0" w:firstRow="1" w:lastRow="0" w:firstColumn="1" w:lastColumn="0" w:noHBand="0" w:noVBand="1"/>
      </w:tblPr>
      <w:tblGrid>
        <w:gridCol w:w="1730"/>
        <w:gridCol w:w="839"/>
        <w:gridCol w:w="1443"/>
        <w:gridCol w:w="1416"/>
        <w:gridCol w:w="1123"/>
        <w:gridCol w:w="1443"/>
        <w:gridCol w:w="1150"/>
      </w:tblGrid>
      <w:tr w:rsidR="003B49C4" w14:paraId="79E6E23E"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CBF3AC" w14:textId="77777777" w:rsidR="003B49C4" w:rsidRDefault="003B49C4">
            <w:pPr>
              <w:suppressAutoHyphens/>
              <w:jc w:val="center"/>
              <w:rPr>
                <w:b/>
                <w:kern w:val="16"/>
              </w:rPr>
            </w:pPr>
            <w:r>
              <w:rPr>
                <w:b/>
              </w:rPr>
              <w:t>Resource</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4FE108" w14:textId="77777777" w:rsidR="003B49C4" w:rsidRDefault="003B49C4">
            <w:pPr>
              <w:suppressAutoHyphens/>
              <w:jc w:val="center"/>
              <w:rPr>
                <w:b/>
                <w:kern w:val="16"/>
              </w:rPr>
            </w:pPr>
            <w:r>
              <w:rPr>
                <w:b/>
              </w:rPr>
              <w:t>Energy</w:t>
            </w:r>
            <w:r>
              <w:rPr>
                <w:b/>
              </w:rPr>
              <w:br/>
              <w:t>Cost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4A78B7B0" w14:textId="77777777" w:rsidR="003B49C4" w:rsidRDefault="003B49C4">
            <w:pPr>
              <w:suppressAutoHyphens/>
              <w:jc w:val="center"/>
              <w:rPr>
                <w:b/>
                <w:kern w:val="16"/>
              </w:rPr>
            </w:pPr>
            <w:r>
              <w:rPr>
                <w:b/>
              </w:rPr>
              <w:t>GHG Compliance Cost</w:t>
            </w:r>
          </w:p>
        </w:tc>
        <w:tc>
          <w:tcPr>
            <w:tcW w:w="1416" w:type="dxa"/>
            <w:tcBorders>
              <w:top w:val="single" w:sz="18" w:space="0" w:color="auto"/>
              <w:left w:val="single" w:sz="18" w:space="0" w:color="auto"/>
              <w:bottom w:val="single" w:sz="6" w:space="0" w:color="auto"/>
              <w:right w:val="single" w:sz="18" w:space="0" w:color="auto"/>
            </w:tcBorders>
            <w:shd w:val="clear" w:color="auto" w:fill="C6D9F1" w:themeFill="text2" w:themeFillTint="33"/>
            <w:hideMark/>
          </w:tcPr>
          <w:p w14:paraId="142BB53B" w14:textId="77777777" w:rsidR="003B49C4" w:rsidRDefault="003B49C4">
            <w:pPr>
              <w:suppressAutoHyphens/>
              <w:jc w:val="center"/>
              <w:rPr>
                <w:b/>
                <w:kern w:val="16"/>
              </w:rPr>
            </w:pPr>
            <w:r>
              <w:rPr>
                <w:b/>
              </w:rPr>
              <w:t>Total</w:t>
            </w:r>
            <w:r>
              <w:rPr>
                <w:b/>
              </w:rPr>
              <w:br/>
              <w:t>Cost</w:t>
            </w:r>
          </w:p>
        </w:tc>
        <w:tc>
          <w:tcPr>
            <w:tcW w:w="1123" w:type="dxa"/>
            <w:tcBorders>
              <w:top w:val="single" w:sz="4" w:space="0" w:color="auto"/>
              <w:left w:val="single" w:sz="18" w:space="0" w:color="auto"/>
              <w:bottom w:val="single" w:sz="4" w:space="0" w:color="auto"/>
              <w:right w:val="single" w:sz="4" w:space="0" w:color="auto"/>
            </w:tcBorders>
            <w:shd w:val="clear" w:color="auto" w:fill="C6D9F1" w:themeFill="text2" w:themeFillTint="33"/>
            <w:hideMark/>
          </w:tcPr>
          <w:p w14:paraId="6BD44730" w14:textId="77777777" w:rsidR="003B49C4" w:rsidRDefault="003B49C4">
            <w:pPr>
              <w:suppressAutoHyphens/>
              <w:jc w:val="center"/>
              <w:rPr>
                <w:b/>
                <w:kern w:val="16"/>
              </w:rPr>
            </w:pPr>
            <w:r>
              <w:rPr>
                <w:b/>
              </w:rPr>
              <w:t>Energy</w:t>
            </w:r>
            <w:r>
              <w:rPr>
                <w:b/>
              </w:rPr>
              <w:br/>
              <w:t>Payment</w:t>
            </w:r>
          </w:p>
        </w:tc>
        <w:tc>
          <w:tcPr>
            <w:tcW w:w="1443" w:type="dxa"/>
            <w:tcBorders>
              <w:top w:val="single" w:sz="4" w:space="0" w:color="auto"/>
              <w:left w:val="single" w:sz="4" w:space="0" w:color="auto"/>
              <w:bottom w:val="single" w:sz="4" w:space="0" w:color="auto"/>
              <w:right w:val="single" w:sz="18" w:space="0" w:color="auto"/>
            </w:tcBorders>
            <w:shd w:val="clear" w:color="auto" w:fill="C6D9F1" w:themeFill="text2" w:themeFillTint="33"/>
            <w:hideMark/>
          </w:tcPr>
          <w:p w14:paraId="49BBE377" w14:textId="77777777" w:rsidR="003B49C4" w:rsidRDefault="003B49C4">
            <w:pPr>
              <w:suppressAutoHyphens/>
              <w:jc w:val="center"/>
              <w:rPr>
                <w:b/>
                <w:kern w:val="16"/>
              </w:rPr>
            </w:pPr>
            <w:r>
              <w:rPr>
                <w:b/>
              </w:rPr>
              <w:t>GHG Compliance Payment</w:t>
            </w:r>
          </w:p>
        </w:tc>
        <w:tc>
          <w:tcPr>
            <w:tcW w:w="1150" w:type="dxa"/>
            <w:tcBorders>
              <w:top w:val="single" w:sz="18" w:space="0" w:color="auto"/>
              <w:left w:val="single" w:sz="18" w:space="0" w:color="auto"/>
              <w:bottom w:val="single" w:sz="6" w:space="0" w:color="auto"/>
              <w:right w:val="single" w:sz="18" w:space="0" w:color="auto"/>
            </w:tcBorders>
            <w:shd w:val="clear" w:color="auto" w:fill="C6D9F1" w:themeFill="text2" w:themeFillTint="33"/>
            <w:hideMark/>
          </w:tcPr>
          <w:p w14:paraId="48121CC7" w14:textId="77777777" w:rsidR="003B49C4" w:rsidRDefault="003B49C4">
            <w:pPr>
              <w:suppressAutoHyphens/>
              <w:jc w:val="center"/>
              <w:rPr>
                <w:b/>
                <w:kern w:val="16"/>
              </w:rPr>
            </w:pPr>
            <w:r>
              <w:rPr>
                <w:b/>
              </w:rPr>
              <w:t>Total Payment</w:t>
            </w:r>
          </w:p>
        </w:tc>
      </w:tr>
      <w:tr w:rsidR="003B49C4" w14:paraId="747C309C"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29827091" w14:textId="77777777" w:rsidR="003B49C4" w:rsidRDefault="003B49C4">
            <w:pPr>
              <w:suppressAutoHyphens/>
              <w:jc w:val="center"/>
              <w:rPr>
                <w:kern w:val="16"/>
                <w:vertAlign w:val="subscript"/>
              </w:rPr>
            </w:pPr>
            <w:r>
              <w:t>G</w:t>
            </w:r>
            <w:r>
              <w:rPr>
                <w:vertAlign w:val="subscript"/>
              </w:rPr>
              <w:t>1</w:t>
            </w:r>
          </w:p>
        </w:tc>
        <w:tc>
          <w:tcPr>
            <w:tcW w:w="0" w:type="auto"/>
            <w:tcBorders>
              <w:top w:val="single" w:sz="4" w:space="0" w:color="auto"/>
              <w:left w:val="single" w:sz="4" w:space="0" w:color="auto"/>
              <w:bottom w:val="single" w:sz="4" w:space="0" w:color="auto"/>
              <w:right w:val="single" w:sz="4" w:space="0" w:color="auto"/>
            </w:tcBorders>
            <w:hideMark/>
          </w:tcPr>
          <w:p w14:paraId="0C2530E3" w14:textId="77777777" w:rsidR="003B49C4" w:rsidRDefault="003B49C4">
            <w:pPr>
              <w:suppressAutoHyphens/>
              <w:jc w:val="center"/>
              <w:rPr>
                <w:kern w:val="16"/>
              </w:rPr>
            </w:pPr>
            <w:r>
              <w:t>$0</w:t>
            </w:r>
          </w:p>
        </w:tc>
        <w:tc>
          <w:tcPr>
            <w:tcW w:w="1443" w:type="dxa"/>
            <w:tcBorders>
              <w:top w:val="single" w:sz="4" w:space="0" w:color="auto"/>
              <w:left w:val="single" w:sz="4" w:space="0" w:color="auto"/>
              <w:bottom w:val="single" w:sz="4" w:space="0" w:color="auto"/>
              <w:right w:val="single" w:sz="18" w:space="0" w:color="auto"/>
            </w:tcBorders>
          </w:tcPr>
          <w:p w14:paraId="09D12F83" w14:textId="77777777" w:rsidR="003B49C4" w:rsidRDefault="003B49C4">
            <w:pPr>
              <w:suppressAutoHyphens/>
              <w:jc w:val="center"/>
              <w:rPr>
                <w:kern w:val="16"/>
              </w:rPr>
            </w:pPr>
          </w:p>
        </w:tc>
        <w:tc>
          <w:tcPr>
            <w:tcW w:w="1416" w:type="dxa"/>
            <w:tcBorders>
              <w:top w:val="single" w:sz="6" w:space="0" w:color="auto"/>
              <w:left w:val="single" w:sz="18" w:space="0" w:color="auto"/>
              <w:bottom w:val="single" w:sz="6" w:space="0" w:color="auto"/>
              <w:right w:val="single" w:sz="18" w:space="0" w:color="auto"/>
            </w:tcBorders>
            <w:hideMark/>
          </w:tcPr>
          <w:p w14:paraId="39186D29" w14:textId="77777777" w:rsidR="003B49C4" w:rsidRDefault="003B49C4">
            <w:pPr>
              <w:suppressAutoHyphens/>
              <w:jc w:val="center"/>
              <w:rPr>
                <w:kern w:val="16"/>
              </w:rPr>
            </w:pPr>
            <w:r>
              <w:t>$0</w:t>
            </w:r>
          </w:p>
        </w:tc>
        <w:tc>
          <w:tcPr>
            <w:tcW w:w="1123" w:type="dxa"/>
            <w:tcBorders>
              <w:top w:val="single" w:sz="4" w:space="0" w:color="auto"/>
              <w:left w:val="single" w:sz="18" w:space="0" w:color="auto"/>
              <w:bottom w:val="single" w:sz="4" w:space="0" w:color="auto"/>
              <w:right w:val="single" w:sz="4" w:space="0" w:color="auto"/>
            </w:tcBorders>
            <w:hideMark/>
          </w:tcPr>
          <w:p w14:paraId="79209D0D" w14:textId="77777777" w:rsidR="003B49C4" w:rsidRDefault="003B49C4">
            <w:pPr>
              <w:suppressAutoHyphens/>
              <w:jc w:val="center"/>
              <w:rPr>
                <w:kern w:val="16"/>
              </w:rPr>
            </w:pPr>
            <w:r>
              <w:t>$0</w:t>
            </w:r>
          </w:p>
        </w:tc>
        <w:tc>
          <w:tcPr>
            <w:tcW w:w="1443" w:type="dxa"/>
            <w:tcBorders>
              <w:top w:val="single" w:sz="4" w:space="0" w:color="auto"/>
              <w:left w:val="single" w:sz="4" w:space="0" w:color="auto"/>
              <w:bottom w:val="single" w:sz="4" w:space="0" w:color="auto"/>
              <w:right w:val="single" w:sz="18" w:space="0" w:color="auto"/>
            </w:tcBorders>
          </w:tcPr>
          <w:p w14:paraId="7335EFC9" w14:textId="77777777" w:rsidR="003B49C4" w:rsidRDefault="003B49C4">
            <w:pPr>
              <w:suppressAutoHyphens/>
              <w:jc w:val="center"/>
              <w:rPr>
                <w:kern w:val="16"/>
              </w:rPr>
            </w:pPr>
          </w:p>
        </w:tc>
        <w:tc>
          <w:tcPr>
            <w:tcW w:w="1150" w:type="dxa"/>
            <w:tcBorders>
              <w:top w:val="single" w:sz="6" w:space="0" w:color="auto"/>
              <w:left w:val="single" w:sz="18" w:space="0" w:color="auto"/>
              <w:bottom w:val="single" w:sz="6" w:space="0" w:color="auto"/>
              <w:right w:val="single" w:sz="18" w:space="0" w:color="auto"/>
            </w:tcBorders>
            <w:hideMark/>
          </w:tcPr>
          <w:p w14:paraId="773CD9CB" w14:textId="77777777" w:rsidR="003B49C4" w:rsidRDefault="003B49C4">
            <w:pPr>
              <w:suppressAutoHyphens/>
              <w:jc w:val="center"/>
              <w:rPr>
                <w:kern w:val="16"/>
              </w:rPr>
            </w:pPr>
            <w:r>
              <w:t>$0</w:t>
            </w:r>
          </w:p>
        </w:tc>
      </w:tr>
      <w:tr w:rsidR="003B49C4" w14:paraId="0F806267"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5B61D837" w14:textId="77777777" w:rsidR="003B49C4" w:rsidRDefault="003B49C4">
            <w:pPr>
              <w:suppressAutoHyphens/>
              <w:jc w:val="center"/>
              <w:rPr>
                <w:kern w:val="16"/>
                <w:vertAlign w:val="subscript"/>
              </w:rPr>
            </w:pPr>
            <w:r>
              <w:t>G</w:t>
            </w:r>
            <w:r>
              <w:rPr>
                <w:vertAlign w:val="subscript"/>
              </w:rPr>
              <w:t>2</w:t>
            </w:r>
          </w:p>
        </w:tc>
        <w:tc>
          <w:tcPr>
            <w:tcW w:w="0" w:type="auto"/>
            <w:tcBorders>
              <w:top w:val="single" w:sz="4" w:space="0" w:color="auto"/>
              <w:left w:val="single" w:sz="4" w:space="0" w:color="auto"/>
              <w:bottom w:val="single" w:sz="4" w:space="0" w:color="auto"/>
              <w:right w:val="single" w:sz="4" w:space="0" w:color="auto"/>
            </w:tcBorders>
            <w:hideMark/>
          </w:tcPr>
          <w:p w14:paraId="53B0A672" w14:textId="77777777" w:rsidR="003B49C4" w:rsidRDefault="003B49C4">
            <w:pPr>
              <w:suppressAutoHyphens/>
              <w:jc w:val="center"/>
              <w:rPr>
                <w:kern w:val="16"/>
              </w:rPr>
            </w:pPr>
            <w:r>
              <w:t>$2,625</w:t>
            </w:r>
          </w:p>
        </w:tc>
        <w:tc>
          <w:tcPr>
            <w:tcW w:w="1443" w:type="dxa"/>
            <w:tcBorders>
              <w:top w:val="single" w:sz="4" w:space="0" w:color="auto"/>
              <w:left w:val="single" w:sz="4" w:space="0" w:color="auto"/>
              <w:bottom w:val="single" w:sz="4" w:space="0" w:color="auto"/>
              <w:right w:val="single" w:sz="18" w:space="0" w:color="auto"/>
            </w:tcBorders>
            <w:hideMark/>
          </w:tcPr>
          <w:p w14:paraId="3AEE55E8" w14:textId="77777777" w:rsidR="003B49C4" w:rsidRDefault="003B49C4">
            <w:pPr>
              <w:suppressAutoHyphens/>
              <w:jc w:val="center"/>
              <w:rPr>
                <w:kern w:val="16"/>
              </w:rPr>
            </w:pPr>
            <w:r>
              <w:t>$0</w:t>
            </w:r>
          </w:p>
        </w:tc>
        <w:tc>
          <w:tcPr>
            <w:tcW w:w="1416" w:type="dxa"/>
            <w:tcBorders>
              <w:top w:val="single" w:sz="6" w:space="0" w:color="auto"/>
              <w:left w:val="single" w:sz="18" w:space="0" w:color="auto"/>
              <w:bottom w:val="single" w:sz="6" w:space="0" w:color="auto"/>
              <w:right w:val="single" w:sz="18" w:space="0" w:color="auto"/>
            </w:tcBorders>
            <w:hideMark/>
          </w:tcPr>
          <w:p w14:paraId="64626DBC" w14:textId="77777777" w:rsidR="003B49C4" w:rsidRDefault="003B49C4">
            <w:pPr>
              <w:suppressAutoHyphens/>
              <w:jc w:val="center"/>
              <w:rPr>
                <w:kern w:val="16"/>
              </w:rPr>
            </w:pPr>
            <w:r>
              <w:t>$2,625</w:t>
            </w:r>
          </w:p>
        </w:tc>
        <w:tc>
          <w:tcPr>
            <w:tcW w:w="1123" w:type="dxa"/>
            <w:tcBorders>
              <w:top w:val="single" w:sz="4" w:space="0" w:color="auto"/>
              <w:left w:val="single" w:sz="18" w:space="0" w:color="auto"/>
              <w:bottom w:val="single" w:sz="4" w:space="0" w:color="auto"/>
              <w:right w:val="single" w:sz="4" w:space="0" w:color="auto"/>
            </w:tcBorders>
            <w:hideMark/>
          </w:tcPr>
          <w:p w14:paraId="2F18B7F0" w14:textId="77777777" w:rsidR="003B49C4" w:rsidRDefault="003B49C4">
            <w:pPr>
              <w:suppressAutoHyphens/>
              <w:jc w:val="center"/>
              <w:rPr>
                <w:kern w:val="16"/>
              </w:rPr>
            </w:pPr>
            <w:r>
              <w:t>$2,175</w:t>
            </w:r>
          </w:p>
        </w:tc>
        <w:tc>
          <w:tcPr>
            <w:tcW w:w="1443" w:type="dxa"/>
            <w:tcBorders>
              <w:top w:val="single" w:sz="4" w:space="0" w:color="auto"/>
              <w:left w:val="single" w:sz="4" w:space="0" w:color="auto"/>
              <w:bottom w:val="single" w:sz="4" w:space="0" w:color="auto"/>
              <w:right w:val="single" w:sz="18" w:space="0" w:color="auto"/>
            </w:tcBorders>
            <w:hideMark/>
          </w:tcPr>
          <w:p w14:paraId="62554894" w14:textId="77777777" w:rsidR="003B49C4" w:rsidRDefault="003B49C4">
            <w:pPr>
              <w:suppressAutoHyphens/>
              <w:jc w:val="center"/>
              <w:rPr>
                <w:kern w:val="16"/>
              </w:rPr>
            </w:pPr>
            <w:r>
              <w:t>$450</w:t>
            </w:r>
          </w:p>
        </w:tc>
        <w:tc>
          <w:tcPr>
            <w:tcW w:w="1150" w:type="dxa"/>
            <w:tcBorders>
              <w:top w:val="single" w:sz="6" w:space="0" w:color="auto"/>
              <w:left w:val="single" w:sz="18" w:space="0" w:color="auto"/>
              <w:bottom w:val="single" w:sz="6" w:space="0" w:color="auto"/>
              <w:right w:val="single" w:sz="18" w:space="0" w:color="auto"/>
            </w:tcBorders>
            <w:hideMark/>
          </w:tcPr>
          <w:p w14:paraId="7CCE4029" w14:textId="77777777" w:rsidR="003B49C4" w:rsidRDefault="003B49C4">
            <w:pPr>
              <w:suppressAutoHyphens/>
              <w:jc w:val="center"/>
              <w:rPr>
                <w:kern w:val="16"/>
              </w:rPr>
            </w:pPr>
            <w:r>
              <w:t>$2,625</w:t>
            </w:r>
          </w:p>
        </w:tc>
      </w:tr>
      <w:tr w:rsidR="003B49C4" w14:paraId="0DC7CD6D"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4B4BC67C" w14:textId="77777777" w:rsidR="003B49C4" w:rsidRDefault="003B49C4">
            <w:pPr>
              <w:suppressAutoHyphens/>
              <w:jc w:val="center"/>
              <w:rPr>
                <w:kern w:val="16"/>
                <w:vertAlign w:val="subscript"/>
              </w:rPr>
            </w:pPr>
            <w:r>
              <w:t>G</w:t>
            </w:r>
            <w:r>
              <w:rPr>
                <w:vertAlign w:val="subscript"/>
              </w:rPr>
              <w:t>3</w:t>
            </w:r>
          </w:p>
        </w:tc>
        <w:tc>
          <w:tcPr>
            <w:tcW w:w="0" w:type="auto"/>
            <w:tcBorders>
              <w:top w:val="single" w:sz="4" w:space="0" w:color="auto"/>
              <w:left w:val="single" w:sz="4" w:space="0" w:color="auto"/>
              <w:bottom w:val="single" w:sz="4" w:space="0" w:color="auto"/>
              <w:right w:val="single" w:sz="4" w:space="0" w:color="auto"/>
            </w:tcBorders>
            <w:hideMark/>
          </w:tcPr>
          <w:p w14:paraId="350A5E4F" w14:textId="77777777" w:rsidR="003B49C4" w:rsidRDefault="003B49C4">
            <w:pPr>
              <w:suppressAutoHyphens/>
              <w:jc w:val="center"/>
              <w:rPr>
                <w:kern w:val="16"/>
              </w:rPr>
            </w:pPr>
            <w:r>
              <w:t>$2,100</w:t>
            </w:r>
          </w:p>
        </w:tc>
        <w:tc>
          <w:tcPr>
            <w:tcW w:w="1443" w:type="dxa"/>
            <w:tcBorders>
              <w:top w:val="single" w:sz="4" w:space="0" w:color="auto"/>
              <w:left w:val="single" w:sz="4" w:space="0" w:color="auto"/>
              <w:bottom w:val="single" w:sz="4" w:space="0" w:color="auto"/>
              <w:right w:val="single" w:sz="18" w:space="0" w:color="auto"/>
            </w:tcBorders>
            <w:hideMark/>
          </w:tcPr>
          <w:p w14:paraId="69D0DFAD" w14:textId="77777777" w:rsidR="003B49C4" w:rsidRDefault="003B49C4">
            <w:pPr>
              <w:suppressAutoHyphens/>
              <w:jc w:val="center"/>
              <w:rPr>
                <w:kern w:val="16"/>
              </w:rPr>
            </w:pPr>
            <w:r>
              <w:t>$150</w:t>
            </w:r>
          </w:p>
        </w:tc>
        <w:tc>
          <w:tcPr>
            <w:tcW w:w="1416" w:type="dxa"/>
            <w:tcBorders>
              <w:top w:val="single" w:sz="6" w:space="0" w:color="auto"/>
              <w:left w:val="single" w:sz="18" w:space="0" w:color="auto"/>
              <w:bottom w:val="single" w:sz="6" w:space="0" w:color="auto"/>
              <w:right w:val="single" w:sz="18" w:space="0" w:color="auto"/>
            </w:tcBorders>
            <w:hideMark/>
          </w:tcPr>
          <w:p w14:paraId="0D21EE08" w14:textId="77777777" w:rsidR="003B49C4" w:rsidRDefault="003B49C4">
            <w:pPr>
              <w:suppressAutoHyphens/>
              <w:jc w:val="center"/>
              <w:rPr>
                <w:kern w:val="16"/>
              </w:rPr>
            </w:pPr>
            <w:r>
              <w:t>$2,250</w:t>
            </w:r>
          </w:p>
        </w:tc>
        <w:tc>
          <w:tcPr>
            <w:tcW w:w="1123" w:type="dxa"/>
            <w:tcBorders>
              <w:top w:val="single" w:sz="4" w:space="0" w:color="auto"/>
              <w:left w:val="single" w:sz="18" w:space="0" w:color="auto"/>
              <w:bottom w:val="single" w:sz="4" w:space="0" w:color="auto"/>
              <w:right w:val="single" w:sz="4" w:space="0" w:color="auto"/>
            </w:tcBorders>
            <w:hideMark/>
          </w:tcPr>
          <w:p w14:paraId="69B557E2" w14:textId="77777777" w:rsidR="003B49C4" w:rsidRDefault="003B49C4">
            <w:pPr>
              <w:suppressAutoHyphens/>
              <w:jc w:val="center"/>
              <w:rPr>
                <w:kern w:val="16"/>
              </w:rPr>
            </w:pPr>
            <w:r>
              <w:t>$2,175</w:t>
            </w:r>
          </w:p>
        </w:tc>
        <w:tc>
          <w:tcPr>
            <w:tcW w:w="1443" w:type="dxa"/>
            <w:tcBorders>
              <w:top w:val="single" w:sz="4" w:space="0" w:color="auto"/>
              <w:left w:val="single" w:sz="4" w:space="0" w:color="auto"/>
              <w:bottom w:val="single" w:sz="4" w:space="0" w:color="auto"/>
              <w:right w:val="single" w:sz="18" w:space="0" w:color="auto"/>
            </w:tcBorders>
            <w:hideMark/>
          </w:tcPr>
          <w:p w14:paraId="6CF97508" w14:textId="77777777" w:rsidR="003B49C4" w:rsidRDefault="003B49C4">
            <w:pPr>
              <w:suppressAutoHyphens/>
              <w:jc w:val="center"/>
              <w:rPr>
                <w:kern w:val="16"/>
              </w:rPr>
            </w:pPr>
            <w:r>
              <w:t>$150</w:t>
            </w:r>
          </w:p>
        </w:tc>
        <w:tc>
          <w:tcPr>
            <w:tcW w:w="1150" w:type="dxa"/>
            <w:tcBorders>
              <w:top w:val="single" w:sz="6" w:space="0" w:color="auto"/>
              <w:left w:val="single" w:sz="18" w:space="0" w:color="auto"/>
              <w:bottom w:val="single" w:sz="6" w:space="0" w:color="auto"/>
              <w:right w:val="single" w:sz="18" w:space="0" w:color="auto"/>
            </w:tcBorders>
            <w:hideMark/>
          </w:tcPr>
          <w:p w14:paraId="390B9E61" w14:textId="77777777" w:rsidR="003B49C4" w:rsidRDefault="003B49C4">
            <w:pPr>
              <w:suppressAutoHyphens/>
              <w:jc w:val="center"/>
              <w:rPr>
                <w:kern w:val="16"/>
              </w:rPr>
            </w:pPr>
            <w:r>
              <w:t>$2,325</w:t>
            </w:r>
          </w:p>
        </w:tc>
      </w:tr>
      <w:tr w:rsidR="003B49C4" w14:paraId="035C0A27"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45208E70" w14:textId="77777777" w:rsidR="003B49C4" w:rsidRDefault="003B49C4">
            <w:pPr>
              <w:suppressAutoHyphens/>
              <w:jc w:val="center"/>
              <w:rPr>
                <w:kern w:val="16"/>
              </w:rPr>
            </w:pPr>
            <w:r>
              <w:t>G</w:t>
            </w:r>
            <w:r>
              <w:rPr>
                <w:vertAlign w:val="subscript"/>
              </w:rPr>
              <w:t>4</w:t>
            </w:r>
          </w:p>
        </w:tc>
        <w:tc>
          <w:tcPr>
            <w:tcW w:w="0" w:type="auto"/>
            <w:tcBorders>
              <w:top w:val="single" w:sz="4" w:space="0" w:color="auto"/>
              <w:left w:val="single" w:sz="4" w:space="0" w:color="auto"/>
              <w:bottom w:val="single" w:sz="4" w:space="0" w:color="auto"/>
              <w:right w:val="single" w:sz="4" w:space="0" w:color="auto"/>
            </w:tcBorders>
            <w:hideMark/>
          </w:tcPr>
          <w:p w14:paraId="0D052F3D" w14:textId="77777777" w:rsidR="003B49C4" w:rsidRDefault="003B49C4">
            <w:pPr>
              <w:suppressAutoHyphens/>
              <w:jc w:val="center"/>
              <w:rPr>
                <w:kern w:val="16"/>
              </w:rPr>
            </w:pPr>
            <w:r>
              <w:t>$3,000</w:t>
            </w:r>
          </w:p>
        </w:tc>
        <w:tc>
          <w:tcPr>
            <w:tcW w:w="1443" w:type="dxa"/>
            <w:tcBorders>
              <w:top w:val="single" w:sz="4" w:space="0" w:color="auto"/>
              <w:left w:val="single" w:sz="4" w:space="0" w:color="auto"/>
              <w:bottom w:val="single" w:sz="4" w:space="0" w:color="auto"/>
              <w:right w:val="single" w:sz="18" w:space="0" w:color="auto"/>
            </w:tcBorders>
            <w:hideMark/>
          </w:tcPr>
          <w:p w14:paraId="1AF1F4C1" w14:textId="77777777" w:rsidR="003B49C4" w:rsidRDefault="003B49C4">
            <w:pPr>
              <w:suppressAutoHyphens/>
              <w:jc w:val="center"/>
              <w:rPr>
                <w:kern w:val="16"/>
              </w:rPr>
            </w:pPr>
            <w:r>
              <w:t>$300</w:t>
            </w:r>
          </w:p>
        </w:tc>
        <w:tc>
          <w:tcPr>
            <w:tcW w:w="1416" w:type="dxa"/>
            <w:tcBorders>
              <w:top w:val="single" w:sz="6" w:space="0" w:color="auto"/>
              <w:left w:val="single" w:sz="18" w:space="0" w:color="auto"/>
              <w:bottom w:val="single" w:sz="6" w:space="0" w:color="auto"/>
              <w:right w:val="single" w:sz="18" w:space="0" w:color="auto"/>
            </w:tcBorders>
            <w:hideMark/>
          </w:tcPr>
          <w:p w14:paraId="4F474F6D" w14:textId="77777777" w:rsidR="003B49C4" w:rsidRDefault="003B49C4">
            <w:pPr>
              <w:suppressAutoHyphens/>
              <w:jc w:val="center"/>
              <w:rPr>
                <w:kern w:val="16"/>
              </w:rPr>
            </w:pPr>
            <w:r>
              <w:t>$3,300</w:t>
            </w:r>
          </w:p>
        </w:tc>
        <w:tc>
          <w:tcPr>
            <w:tcW w:w="1123" w:type="dxa"/>
            <w:tcBorders>
              <w:top w:val="single" w:sz="4" w:space="0" w:color="auto"/>
              <w:left w:val="single" w:sz="18" w:space="0" w:color="auto"/>
              <w:bottom w:val="single" w:sz="4" w:space="0" w:color="auto"/>
              <w:right w:val="single" w:sz="4" w:space="0" w:color="auto"/>
            </w:tcBorders>
            <w:hideMark/>
          </w:tcPr>
          <w:p w14:paraId="7DBEF517" w14:textId="77777777" w:rsidR="003B49C4" w:rsidRDefault="003B49C4">
            <w:pPr>
              <w:suppressAutoHyphens/>
              <w:jc w:val="center"/>
              <w:rPr>
                <w:kern w:val="16"/>
              </w:rPr>
            </w:pPr>
            <w:r>
              <w:t>$2,900</w:t>
            </w:r>
          </w:p>
        </w:tc>
        <w:tc>
          <w:tcPr>
            <w:tcW w:w="1443" w:type="dxa"/>
            <w:tcBorders>
              <w:top w:val="single" w:sz="4" w:space="0" w:color="auto"/>
              <w:left w:val="single" w:sz="4" w:space="0" w:color="auto"/>
              <w:bottom w:val="single" w:sz="4" w:space="0" w:color="auto"/>
              <w:right w:val="single" w:sz="18" w:space="0" w:color="auto"/>
            </w:tcBorders>
            <w:hideMark/>
          </w:tcPr>
          <w:p w14:paraId="21CD7429" w14:textId="77777777" w:rsidR="003B49C4" w:rsidRDefault="003B49C4">
            <w:pPr>
              <w:suppressAutoHyphens/>
              <w:jc w:val="center"/>
              <w:rPr>
                <w:kern w:val="16"/>
              </w:rPr>
            </w:pPr>
            <w:r>
              <w:t>$600</w:t>
            </w:r>
          </w:p>
        </w:tc>
        <w:tc>
          <w:tcPr>
            <w:tcW w:w="1150" w:type="dxa"/>
            <w:tcBorders>
              <w:top w:val="single" w:sz="6" w:space="0" w:color="auto"/>
              <w:left w:val="single" w:sz="18" w:space="0" w:color="auto"/>
              <w:bottom w:val="single" w:sz="6" w:space="0" w:color="auto"/>
              <w:right w:val="single" w:sz="18" w:space="0" w:color="auto"/>
            </w:tcBorders>
            <w:hideMark/>
          </w:tcPr>
          <w:p w14:paraId="61EE05A9" w14:textId="77777777" w:rsidR="003B49C4" w:rsidRDefault="003B49C4">
            <w:pPr>
              <w:suppressAutoHyphens/>
              <w:jc w:val="center"/>
              <w:rPr>
                <w:kern w:val="16"/>
              </w:rPr>
            </w:pPr>
            <w:r>
              <w:t>$3,500</w:t>
            </w:r>
          </w:p>
        </w:tc>
      </w:tr>
      <w:tr w:rsidR="003B49C4" w14:paraId="71F70203"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7CFE20E7" w14:textId="77777777" w:rsidR="003B49C4" w:rsidRDefault="003B49C4">
            <w:pPr>
              <w:suppressAutoHyphens/>
              <w:jc w:val="center"/>
              <w:rPr>
                <w:kern w:val="16"/>
                <w:vertAlign w:val="subscript"/>
              </w:rPr>
            </w:pPr>
            <w:r>
              <w:t>L</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C413A99"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2D71E303" w14:textId="77777777" w:rsidR="003B49C4" w:rsidRDefault="003B49C4">
            <w:pPr>
              <w:suppressAutoHyphens/>
              <w:jc w:val="center"/>
              <w:rPr>
                <w:kern w:val="16"/>
              </w:rPr>
            </w:pPr>
          </w:p>
        </w:tc>
        <w:tc>
          <w:tcPr>
            <w:tcW w:w="1416" w:type="dxa"/>
            <w:tcBorders>
              <w:top w:val="single" w:sz="6" w:space="0" w:color="auto"/>
              <w:left w:val="single" w:sz="18" w:space="0" w:color="auto"/>
              <w:bottom w:val="single" w:sz="6" w:space="0" w:color="auto"/>
              <w:right w:val="single" w:sz="18" w:space="0" w:color="auto"/>
            </w:tcBorders>
          </w:tcPr>
          <w:p w14:paraId="051EC55B"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0885F0AE" w14:textId="77777777" w:rsidR="003B49C4" w:rsidRDefault="003B49C4">
            <w:pPr>
              <w:suppressAutoHyphens/>
              <w:jc w:val="center"/>
              <w:rPr>
                <w:kern w:val="16"/>
              </w:rPr>
            </w:pPr>
            <w:r>
              <w:t>–$7,000</w:t>
            </w:r>
          </w:p>
        </w:tc>
        <w:tc>
          <w:tcPr>
            <w:tcW w:w="1443" w:type="dxa"/>
            <w:tcBorders>
              <w:top w:val="single" w:sz="4" w:space="0" w:color="auto"/>
              <w:left w:val="single" w:sz="4" w:space="0" w:color="auto"/>
              <w:bottom w:val="single" w:sz="4" w:space="0" w:color="auto"/>
              <w:right w:val="single" w:sz="18" w:space="0" w:color="auto"/>
            </w:tcBorders>
          </w:tcPr>
          <w:p w14:paraId="156EF4AB" w14:textId="77777777" w:rsidR="003B49C4" w:rsidRDefault="003B49C4">
            <w:pPr>
              <w:suppressAutoHyphens/>
              <w:jc w:val="center"/>
              <w:rPr>
                <w:kern w:val="16"/>
              </w:rPr>
            </w:pPr>
          </w:p>
        </w:tc>
        <w:tc>
          <w:tcPr>
            <w:tcW w:w="1150" w:type="dxa"/>
            <w:tcBorders>
              <w:top w:val="single" w:sz="6" w:space="0" w:color="auto"/>
              <w:left w:val="single" w:sz="18" w:space="0" w:color="auto"/>
              <w:bottom w:val="single" w:sz="6" w:space="0" w:color="auto"/>
              <w:right w:val="single" w:sz="18" w:space="0" w:color="auto"/>
            </w:tcBorders>
          </w:tcPr>
          <w:p w14:paraId="5CACF31A" w14:textId="77777777" w:rsidR="003B49C4" w:rsidRDefault="003B49C4">
            <w:pPr>
              <w:suppressAutoHyphens/>
              <w:jc w:val="center"/>
              <w:rPr>
                <w:kern w:val="16"/>
              </w:rPr>
            </w:pPr>
          </w:p>
        </w:tc>
      </w:tr>
      <w:tr w:rsidR="003B49C4" w14:paraId="1FCBF5F6"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2C151791" w14:textId="77777777" w:rsidR="003B49C4" w:rsidRDefault="003B49C4">
            <w:pPr>
              <w:suppressAutoHyphens/>
              <w:jc w:val="center"/>
              <w:rPr>
                <w:kern w:val="16"/>
                <w:vertAlign w:val="subscript"/>
              </w:rPr>
            </w:pPr>
            <w:r>
              <w:t>L</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35CD7F"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6B196756" w14:textId="77777777" w:rsidR="003B49C4" w:rsidRDefault="003B49C4">
            <w:pPr>
              <w:suppressAutoHyphens/>
              <w:jc w:val="center"/>
              <w:rPr>
                <w:kern w:val="16"/>
              </w:rPr>
            </w:pPr>
          </w:p>
        </w:tc>
        <w:tc>
          <w:tcPr>
            <w:tcW w:w="1416" w:type="dxa"/>
            <w:tcBorders>
              <w:top w:val="single" w:sz="6" w:space="0" w:color="auto"/>
              <w:left w:val="single" w:sz="18" w:space="0" w:color="auto"/>
              <w:bottom w:val="single" w:sz="6" w:space="0" w:color="auto"/>
              <w:right w:val="single" w:sz="18" w:space="0" w:color="auto"/>
            </w:tcBorders>
          </w:tcPr>
          <w:p w14:paraId="489E4527"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7ACFCD32" w14:textId="77777777" w:rsidR="003B49C4" w:rsidRDefault="003B49C4">
            <w:pPr>
              <w:suppressAutoHyphens/>
              <w:jc w:val="center"/>
              <w:rPr>
                <w:kern w:val="16"/>
              </w:rPr>
            </w:pPr>
            <w:r>
              <w:t>–$1,450</w:t>
            </w:r>
          </w:p>
        </w:tc>
        <w:tc>
          <w:tcPr>
            <w:tcW w:w="1443" w:type="dxa"/>
            <w:tcBorders>
              <w:top w:val="single" w:sz="4" w:space="0" w:color="auto"/>
              <w:left w:val="single" w:sz="4" w:space="0" w:color="auto"/>
              <w:bottom w:val="single" w:sz="4" w:space="0" w:color="auto"/>
              <w:right w:val="single" w:sz="18" w:space="0" w:color="auto"/>
            </w:tcBorders>
          </w:tcPr>
          <w:p w14:paraId="10FFE3D0" w14:textId="77777777" w:rsidR="003B49C4" w:rsidRDefault="003B49C4">
            <w:pPr>
              <w:suppressAutoHyphens/>
              <w:jc w:val="center"/>
              <w:rPr>
                <w:kern w:val="16"/>
              </w:rPr>
            </w:pPr>
          </w:p>
        </w:tc>
        <w:tc>
          <w:tcPr>
            <w:tcW w:w="1150" w:type="dxa"/>
            <w:tcBorders>
              <w:top w:val="single" w:sz="6" w:space="0" w:color="auto"/>
              <w:left w:val="single" w:sz="18" w:space="0" w:color="auto"/>
              <w:bottom w:val="single" w:sz="6" w:space="0" w:color="auto"/>
              <w:right w:val="single" w:sz="18" w:space="0" w:color="auto"/>
            </w:tcBorders>
          </w:tcPr>
          <w:p w14:paraId="43D364B9" w14:textId="77777777" w:rsidR="003B49C4" w:rsidRDefault="003B49C4">
            <w:pPr>
              <w:suppressAutoHyphens/>
              <w:jc w:val="center"/>
              <w:rPr>
                <w:kern w:val="16"/>
              </w:rPr>
            </w:pPr>
          </w:p>
        </w:tc>
      </w:tr>
      <w:tr w:rsidR="003B49C4" w14:paraId="2F9BD4BE"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6EA78F4B" w14:textId="77777777" w:rsidR="003B49C4" w:rsidRDefault="003B49C4">
            <w:pPr>
              <w:suppressAutoHyphens/>
              <w:jc w:val="center"/>
              <w:rPr>
                <w:kern w:val="16"/>
              </w:rPr>
            </w:pPr>
            <w:r>
              <w:t>Congestion</w:t>
            </w:r>
            <w:r>
              <w:br/>
              <w:t>Revenue</w:t>
            </w:r>
          </w:p>
        </w:tc>
        <w:tc>
          <w:tcPr>
            <w:tcW w:w="0" w:type="auto"/>
            <w:tcBorders>
              <w:top w:val="single" w:sz="4" w:space="0" w:color="auto"/>
              <w:left w:val="single" w:sz="4" w:space="0" w:color="auto"/>
              <w:bottom w:val="single" w:sz="4" w:space="0" w:color="auto"/>
              <w:right w:val="single" w:sz="4" w:space="0" w:color="auto"/>
            </w:tcBorders>
          </w:tcPr>
          <w:p w14:paraId="2D31218A"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50E0772F" w14:textId="77777777" w:rsidR="003B49C4" w:rsidRDefault="003B49C4">
            <w:pPr>
              <w:suppressAutoHyphens/>
              <w:jc w:val="center"/>
              <w:rPr>
                <w:kern w:val="16"/>
              </w:rPr>
            </w:pPr>
          </w:p>
        </w:tc>
        <w:tc>
          <w:tcPr>
            <w:tcW w:w="1416" w:type="dxa"/>
            <w:tcBorders>
              <w:top w:val="single" w:sz="6" w:space="0" w:color="auto"/>
              <w:left w:val="single" w:sz="18" w:space="0" w:color="auto"/>
              <w:bottom w:val="single" w:sz="6" w:space="0" w:color="auto"/>
              <w:right w:val="single" w:sz="18" w:space="0" w:color="auto"/>
            </w:tcBorders>
          </w:tcPr>
          <w:p w14:paraId="4E492DED"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6873AD7E" w14:textId="77777777" w:rsidR="003B49C4" w:rsidRDefault="003B49C4">
            <w:pPr>
              <w:suppressAutoHyphens/>
              <w:jc w:val="center"/>
              <w:rPr>
                <w:kern w:val="16"/>
              </w:rPr>
            </w:pPr>
            <w:r>
              <w:t>$0</w:t>
            </w:r>
          </w:p>
        </w:tc>
        <w:tc>
          <w:tcPr>
            <w:tcW w:w="1443" w:type="dxa"/>
            <w:tcBorders>
              <w:top w:val="single" w:sz="4" w:space="0" w:color="auto"/>
              <w:left w:val="single" w:sz="4" w:space="0" w:color="auto"/>
              <w:bottom w:val="single" w:sz="4" w:space="0" w:color="auto"/>
              <w:right w:val="single" w:sz="18" w:space="0" w:color="auto"/>
            </w:tcBorders>
          </w:tcPr>
          <w:p w14:paraId="38D3B728" w14:textId="77777777" w:rsidR="003B49C4" w:rsidRDefault="003B49C4">
            <w:pPr>
              <w:suppressAutoHyphens/>
              <w:jc w:val="center"/>
              <w:rPr>
                <w:kern w:val="16"/>
              </w:rPr>
            </w:pPr>
          </w:p>
        </w:tc>
        <w:tc>
          <w:tcPr>
            <w:tcW w:w="1150" w:type="dxa"/>
            <w:tcBorders>
              <w:top w:val="single" w:sz="6" w:space="0" w:color="auto"/>
              <w:left w:val="single" w:sz="18" w:space="0" w:color="auto"/>
              <w:bottom w:val="single" w:sz="6" w:space="0" w:color="auto"/>
              <w:right w:val="single" w:sz="18" w:space="0" w:color="auto"/>
            </w:tcBorders>
          </w:tcPr>
          <w:p w14:paraId="2D264117" w14:textId="77777777" w:rsidR="003B49C4" w:rsidRDefault="003B49C4">
            <w:pPr>
              <w:suppressAutoHyphens/>
              <w:jc w:val="center"/>
              <w:rPr>
                <w:kern w:val="16"/>
              </w:rPr>
            </w:pPr>
          </w:p>
        </w:tc>
      </w:tr>
      <w:tr w:rsidR="003B49C4" w14:paraId="112B8E11" w14:textId="77777777" w:rsidTr="003B49C4">
        <w:trPr>
          <w:jc w:val="center"/>
        </w:trPr>
        <w:tc>
          <w:tcPr>
            <w:tcW w:w="0" w:type="auto"/>
            <w:tcBorders>
              <w:top w:val="single" w:sz="4" w:space="0" w:color="auto"/>
              <w:left w:val="single" w:sz="4" w:space="0" w:color="auto"/>
              <w:bottom w:val="single" w:sz="4" w:space="0" w:color="auto"/>
              <w:right w:val="single" w:sz="4" w:space="0" w:color="auto"/>
            </w:tcBorders>
            <w:hideMark/>
          </w:tcPr>
          <w:p w14:paraId="083D3825" w14:textId="77777777" w:rsidR="003B49C4" w:rsidRDefault="003B49C4">
            <w:pPr>
              <w:suppressAutoHyphens/>
              <w:jc w:val="center"/>
              <w:rPr>
                <w:kern w:val="16"/>
              </w:rPr>
            </w:pPr>
            <w:r>
              <w:t>GHG Compliance</w:t>
            </w:r>
            <w:r>
              <w:br/>
              <w:t>Revenue</w:t>
            </w:r>
          </w:p>
        </w:tc>
        <w:tc>
          <w:tcPr>
            <w:tcW w:w="0" w:type="auto"/>
            <w:tcBorders>
              <w:top w:val="single" w:sz="4" w:space="0" w:color="auto"/>
              <w:left w:val="single" w:sz="4" w:space="0" w:color="auto"/>
              <w:bottom w:val="single" w:sz="4" w:space="0" w:color="auto"/>
              <w:right w:val="single" w:sz="4" w:space="0" w:color="auto"/>
            </w:tcBorders>
          </w:tcPr>
          <w:p w14:paraId="2F9FA2FB" w14:textId="77777777" w:rsidR="003B49C4" w:rsidRDefault="003B49C4">
            <w:pPr>
              <w:suppressAutoHyphens/>
              <w:jc w:val="center"/>
              <w:rPr>
                <w:kern w:val="16"/>
              </w:rPr>
            </w:pPr>
          </w:p>
        </w:tc>
        <w:tc>
          <w:tcPr>
            <w:tcW w:w="1443" w:type="dxa"/>
            <w:tcBorders>
              <w:top w:val="single" w:sz="4" w:space="0" w:color="auto"/>
              <w:left w:val="single" w:sz="4" w:space="0" w:color="auto"/>
              <w:bottom w:val="single" w:sz="4" w:space="0" w:color="auto"/>
              <w:right w:val="single" w:sz="18" w:space="0" w:color="auto"/>
            </w:tcBorders>
          </w:tcPr>
          <w:p w14:paraId="1A3C5239" w14:textId="77777777" w:rsidR="003B49C4" w:rsidRDefault="003B49C4">
            <w:pPr>
              <w:suppressAutoHyphens/>
              <w:jc w:val="center"/>
              <w:rPr>
                <w:kern w:val="16"/>
              </w:rPr>
            </w:pPr>
          </w:p>
        </w:tc>
        <w:tc>
          <w:tcPr>
            <w:tcW w:w="1416" w:type="dxa"/>
            <w:tcBorders>
              <w:top w:val="single" w:sz="6" w:space="0" w:color="auto"/>
              <w:left w:val="single" w:sz="18" w:space="0" w:color="auto"/>
              <w:bottom w:val="single" w:sz="18" w:space="0" w:color="auto"/>
              <w:right w:val="single" w:sz="18" w:space="0" w:color="auto"/>
            </w:tcBorders>
          </w:tcPr>
          <w:p w14:paraId="172B22C9" w14:textId="77777777" w:rsidR="003B49C4" w:rsidRDefault="003B49C4">
            <w:pPr>
              <w:suppressAutoHyphens/>
              <w:jc w:val="center"/>
              <w:rPr>
                <w:kern w:val="16"/>
              </w:rPr>
            </w:pPr>
          </w:p>
        </w:tc>
        <w:tc>
          <w:tcPr>
            <w:tcW w:w="1123" w:type="dxa"/>
            <w:tcBorders>
              <w:top w:val="single" w:sz="4" w:space="0" w:color="auto"/>
              <w:left w:val="single" w:sz="18" w:space="0" w:color="auto"/>
              <w:bottom w:val="single" w:sz="4" w:space="0" w:color="auto"/>
              <w:right w:val="single" w:sz="4" w:space="0" w:color="auto"/>
            </w:tcBorders>
            <w:hideMark/>
          </w:tcPr>
          <w:p w14:paraId="6CE236D5" w14:textId="77777777" w:rsidR="003B49C4" w:rsidRDefault="003B49C4">
            <w:pPr>
              <w:suppressAutoHyphens/>
              <w:jc w:val="center"/>
              <w:rPr>
                <w:kern w:val="16"/>
              </w:rPr>
            </w:pPr>
            <w:r>
              <w:t>$1,200</w:t>
            </w:r>
          </w:p>
        </w:tc>
        <w:tc>
          <w:tcPr>
            <w:tcW w:w="1443" w:type="dxa"/>
            <w:tcBorders>
              <w:top w:val="single" w:sz="4" w:space="0" w:color="auto"/>
              <w:left w:val="single" w:sz="4" w:space="0" w:color="auto"/>
              <w:bottom w:val="single" w:sz="4" w:space="0" w:color="auto"/>
              <w:right w:val="single" w:sz="18" w:space="0" w:color="auto"/>
            </w:tcBorders>
          </w:tcPr>
          <w:p w14:paraId="3D5E83F6" w14:textId="77777777" w:rsidR="003B49C4" w:rsidRDefault="003B49C4">
            <w:pPr>
              <w:suppressAutoHyphens/>
              <w:jc w:val="center"/>
              <w:rPr>
                <w:kern w:val="16"/>
              </w:rPr>
            </w:pPr>
          </w:p>
        </w:tc>
        <w:tc>
          <w:tcPr>
            <w:tcW w:w="1150" w:type="dxa"/>
            <w:tcBorders>
              <w:top w:val="single" w:sz="6" w:space="0" w:color="auto"/>
              <w:left w:val="single" w:sz="18" w:space="0" w:color="auto"/>
              <w:bottom w:val="single" w:sz="18" w:space="0" w:color="auto"/>
              <w:right w:val="single" w:sz="18" w:space="0" w:color="auto"/>
            </w:tcBorders>
          </w:tcPr>
          <w:p w14:paraId="6DF9547F" w14:textId="77777777" w:rsidR="003B49C4" w:rsidRDefault="003B49C4">
            <w:pPr>
              <w:suppressAutoHyphens/>
              <w:jc w:val="center"/>
              <w:rPr>
                <w:kern w:val="16"/>
              </w:rPr>
            </w:pPr>
          </w:p>
        </w:tc>
      </w:tr>
    </w:tbl>
    <w:p w14:paraId="4EF5D474" w14:textId="77777777" w:rsidR="00970A1B" w:rsidRDefault="00970A1B" w:rsidP="000F299B">
      <w:pPr>
        <w:pStyle w:val="Paragraph"/>
        <w:spacing w:before="0" w:after="240" w:line="300" w:lineRule="auto"/>
        <w:rPr>
          <w:rFonts w:ascii="Arial" w:hAnsi="Arial" w:cs="Arial"/>
        </w:rPr>
      </w:pPr>
    </w:p>
    <w:p w14:paraId="47E43B69" w14:textId="77777777" w:rsidR="001E7023" w:rsidRDefault="003B49C4" w:rsidP="00877DDB">
      <w:pPr>
        <w:pStyle w:val="BPM"/>
      </w:pPr>
      <w:r w:rsidRPr="000F299B">
        <w:t>It can be seen in the settlement results above that the total payment to each generator is sufficient to cover the respective energy and GHG compliance costs. Furthermore, all export allocations receive the marginal GHG compliance cost irrespective of the resource’s GHG compliance bid.</w:t>
      </w:r>
    </w:p>
    <w:p w14:paraId="19C7F9BF" w14:textId="77777777" w:rsidR="00BD15CD" w:rsidRDefault="00BD15CD" w:rsidP="00A43B57">
      <w:pPr>
        <w:pStyle w:val="BPM3"/>
      </w:pPr>
      <w:r>
        <w:lastRenderedPageBreak/>
        <w:t xml:space="preserve">Impact </w:t>
      </w:r>
      <w:r w:rsidR="00711B49">
        <w:t>of</w:t>
      </w:r>
      <w:r>
        <w:t xml:space="preserve"> EIM Transfer Cost</w:t>
      </w:r>
      <w:r w:rsidR="00711B49">
        <w:t xml:space="preserve"> on LMPs</w:t>
      </w:r>
    </w:p>
    <w:p w14:paraId="27C4DC9F" w14:textId="77777777" w:rsidR="00211D91" w:rsidRDefault="00417BDC" w:rsidP="00877DDB">
      <w:pPr>
        <w:pStyle w:val="BPM"/>
      </w:pPr>
      <w:r>
        <w:t xml:space="preserve">The impact of EIM Transfer Cost on LMPs </w:t>
      </w:r>
      <w:r w:rsidR="00B96223">
        <w:t>is</w:t>
      </w:r>
      <w:r>
        <w:t xml:space="preserve"> </w:t>
      </w:r>
      <w:r w:rsidR="00A43B57">
        <w:rPr>
          <w:i/>
        </w:rPr>
        <w:t>de minimus</w:t>
      </w:r>
      <w:r>
        <w:rPr>
          <w:rFonts w:cs="Arial"/>
          <w:color w:val="222222"/>
          <w:shd w:val="clear" w:color="auto" w:fill="FFFFFF"/>
        </w:rPr>
        <w:t xml:space="preserve"> since the maximum of EIM Tr</w:t>
      </w:r>
      <w:r w:rsidR="00BD0A9B">
        <w:rPr>
          <w:rFonts w:cs="Arial"/>
          <w:color w:val="222222"/>
          <w:shd w:val="clear" w:color="auto" w:fill="FFFFFF"/>
        </w:rPr>
        <w:t xml:space="preserve">ansfer </w:t>
      </w:r>
      <w:r w:rsidR="00B96223">
        <w:rPr>
          <w:rFonts w:cs="Arial"/>
          <w:color w:val="222222"/>
          <w:shd w:val="clear" w:color="auto" w:fill="FFFFFF"/>
        </w:rPr>
        <w:t>schedule c</w:t>
      </w:r>
      <w:r w:rsidR="00BD0A9B">
        <w:rPr>
          <w:rFonts w:cs="Arial"/>
          <w:color w:val="222222"/>
          <w:shd w:val="clear" w:color="auto" w:fill="FFFFFF"/>
        </w:rPr>
        <w:t xml:space="preserve">ost is </w:t>
      </w:r>
      <w:r w:rsidR="00B96223">
        <w:rPr>
          <w:rFonts w:cs="Arial"/>
          <w:color w:val="222222"/>
          <w:shd w:val="clear" w:color="auto" w:fill="FFFFFF"/>
        </w:rPr>
        <w:t>less than</w:t>
      </w:r>
      <w:r w:rsidR="00BD0A9B">
        <w:rPr>
          <w:rFonts w:cs="Arial"/>
          <w:color w:val="222222"/>
          <w:shd w:val="clear" w:color="auto" w:fill="FFFFFF"/>
        </w:rPr>
        <w:t xml:space="preserve"> $0.01</w:t>
      </w:r>
      <w:r>
        <w:rPr>
          <w:rFonts w:cs="Arial"/>
          <w:color w:val="222222"/>
          <w:shd w:val="clear" w:color="auto" w:fill="FFFFFF"/>
        </w:rPr>
        <w:t>. Thus t</w:t>
      </w:r>
      <w:r w:rsidR="00BD15CD" w:rsidRPr="004B4158">
        <w:t xml:space="preserve">he transfer cost will </w:t>
      </w:r>
      <w:r w:rsidR="00B96223">
        <w:t xml:space="preserve">be included in the Marginal Cost of Congestion and </w:t>
      </w:r>
      <w:r w:rsidR="00BD15CD" w:rsidRPr="004B4158">
        <w:t>not explicitly settled</w:t>
      </w:r>
      <w:r>
        <w:t>.</w:t>
      </w:r>
    </w:p>
    <w:p w14:paraId="4A5CD3ED" w14:textId="77777777" w:rsidR="00B47D9D" w:rsidRDefault="00B47D9D" w:rsidP="00B47D9D">
      <w:pPr>
        <w:pStyle w:val="BPM3"/>
      </w:pPr>
      <w:r w:rsidRPr="00684F4A">
        <w:t>Marginal Cost of Congestion (MCC</w:t>
      </w:r>
      <w:r>
        <w:t xml:space="preserve"> )</w:t>
      </w:r>
    </w:p>
    <w:p w14:paraId="663B0BE7" w14:textId="77777777" w:rsidR="00B47D9D" w:rsidRDefault="00B47D9D" w:rsidP="00B47D9D">
      <w:pPr>
        <w:rPr>
          <w:b/>
        </w:rPr>
      </w:pPr>
    </w:p>
    <w:p w14:paraId="02449C4D" w14:textId="77777777" w:rsidR="00B47D9D" w:rsidRDefault="00B47D9D" w:rsidP="00B47D9D">
      <w:r>
        <w:t xml:space="preserve">MCC is the component of the Locational Marginal Price that reflects the sensitivity of relieving congestion by increasing supply at the location balanced by an equal increase in demand at the reference bus. The impact of the EIM Transfer Cost on the LMP will be included in the MCC calculation to help address the issues concerning allocation of congestion revenues at interties. </w:t>
      </w:r>
    </w:p>
    <w:p w14:paraId="1D2CE15C" w14:textId="77777777" w:rsidR="00B47D9D" w:rsidRDefault="00B47D9D" w:rsidP="00B47D9D"/>
    <w:p w14:paraId="5DCE406B" w14:textId="77777777" w:rsidR="00B47D9D" w:rsidRDefault="00B47D9D" w:rsidP="00B47D9D">
      <w:r>
        <w:t>Notation:</w:t>
      </w:r>
    </w:p>
    <w:p w14:paraId="4C8A29FA" w14:textId="76F3F85C" w:rsidR="00B47D9D" w:rsidRDefault="00B47D9D" w:rsidP="00B47D9D">
      <w:pPr>
        <w:pStyle w:val="Paragraph"/>
      </w:pPr>
      <w:r>
        <w:t xml:space="preserve">The following notation is used in this </w:t>
      </w:r>
      <w:r w:rsidR="001545F7">
        <w:t>section</w:t>
      </w:r>
      <w:r>
        <w:t>:</w:t>
      </w: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810"/>
      </w:tblGrid>
      <w:tr w:rsidR="00B47D9D" w14:paraId="23EA7CFA" w14:textId="77777777" w:rsidTr="005D0E24">
        <w:trPr>
          <w:cantSplit/>
        </w:trPr>
        <w:tc>
          <w:tcPr>
            <w:tcW w:w="900" w:type="dxa"/>
          </w:tcPr>
          <w:p w14:paraId="6B79453E" w14:textId="77777777" w:rsidR="00B47D9D" w:rsidRPr="00267D96" w:rsidRDefault="00B47D9D" w:rsidP="005D0E24">
            <w:pPr>
              <w:pStyle w:val="Paragraph"/>
              <w:spacing w:before="0" w:line="240" w:lineRule="auto"/>
              <w:jc w:val="left"/>
              <w:rPr>
                <w:i/>
              </w:rPr>
            </w:pPr>
            <w:r w:rsidRPr="00267D96">
              <w:rPr>
                <w:i/>
              </w:rPr>
              <w:t>i</w:t>
            </w:r>
          </w:p>
        </w:tc>
        <w:tc>
          <w:tcPr>
            <w:tcW w:w="9810" w:type="dxa"/>
          </w:tcPr>
          <w:p w14:paraId="26624B2B" w14:textId="77777777" w:rsidR="00B47D9D" w:rsidRDefault="00B47D9D" w:rsidP="005D0E24">
            <w:pPr>
              <w:pStyle w:val="Paragraph"/>
              <w:spacing w:before="0" w:line="240" w:lineRule="auto"/>
              <w:jc w:val="left"/>
            </w:pPr>
            <w:r>
              <w:t>Node index.</w:t>
            </w:r>
          </w:p>
        </w:tc>
      </w:tr>
      <w:tr w:rsidR="00B47D9D" w14:paraId="1B87BB7C" w14:textId="77777777" w:rsidTr="005D0E24">
        <w:trPr>
          <w:cantSplit/>
        </w:trPr>
        <w:tc>
          <w:tcPr>
            <w:tcW w:w="900" w:type="dxa"/>
          </w:tcPr>
          <w:p w14:paraId="75C939D1" w14:textId="77777777" w:rsidR="00B47D9D" w:rsidRPr="00267D96" w:rsidRDefault="00B47D9D" w:rsidP="005D0E24">
            <w:pPr>
              <w:pStyle w:val="Paragraph"/>
              <w:spacing w:before="0" w:line="240" w:lineRule="auto"/>
              <w:jc w:val="left"/>
              <w:rPr>
                <w:i/>
              </w:rPr>
            </w:pPr>
            <w:r w:rsidRPr="00267D96">
              <w:rPr>
                <w:i/>
              </w:rPr>
              <w:t>j, k</w:t>
            </w:r>
            <w:r>
              <w:rPr>
                <w:i/>
              </w:rPr>
              <w:t>, r</w:t>
            </w:r>
          </w:p>
        </w:tc>
        <w:tc>
          <w:tcPr>
            <w:tcW w:w="9810" w:type="dxa"/>
          </w:tcPr>
          <w:p w14:paraId="43BBED34" w14:textId="77777777" w:rsidR="00B47D9D" w:rsidRDefault="00B47D9D" w:rsidP="005D0E24">
            <w:pPr>
              <w:pStyle w:val="Paragraph"/>
              <w:spacing w:before="0" w:line="240" w:lineRule="auto"/>
              <w:jc w:val="left"/>
            </w:pPr>
            <w:r>
              <w:t>BAA indexes; zero (0) is used for CISO.</w:t>
            </w:r>
          </w:p>
        </w:tc>
      </w:tr>
      <w:tr w:rsidR="00B47D9D" w14:paraId="2E3DA22C" w14:textId="77777777" w:rsidTr="005D0E24">
        <w:trPr>
          <w:cantSplit/>
        </w:trPr>
        <w:tc>
          <w:tcPr>
            <w:tcW w:w="900" w:type="dxa"/>
          </w:tcPr>
          <w:p w14:paraId="4130447C" w14:textId="77777777" w:rsidR="00B47D9D" w:rsidRPr="00267D96" w:rsidRDefault="00B47D9D" w:rsidP="005D0E24">
            <w:pPr>
              <w:pStyle w:val="Paragraph"/>
              <w:spacing w:before="0" w:line="240" w:lineRule="auto"/>
              <w:jc w:val="left"/>
              <w:rPr>
                <w:i/>
              </w:rPr>
            </w:pPr>
            <w:r w:rsidRPr="00267D96">
              <w:rPr>
                <w:i/>
              </w:rPr>
              <w:t>l</w:t>
            </w:r>
          </w:p>
        </w:tc>
        <w:tc>
          <w:tcPr>
            <w:tcW w:w="9810" w:type="dxa"/>
          </w:tcPr>
          <w:p w14:paraId="73C02AFA" w14:textId="77777777" w:rsidR="00B47D9D" w:rsidRDefault="00B47D9D" w:rsidP="005D0E24">
            <w:pPr>
              <w:pStyle w:val="Paragraph"/>
              <w:spacing w:before="0" w:line="240" w:lineRule="auto"/>
              <w:jc w:val="left"/>
            </w:pPr>
            <w:r>
              <w:t>Intertie or Energy Transfer schedule index; in the latter case, it is the corresponding ETSR index (ETSR pair for Energy Transfers between BAAs in the EIM Area).</w:t>
            </w:r>
          </w:p>
        </w:tc>
      </w:tr>
    </w:tbl>
    <w:tbl>
      <w:tblPr>
        <w:tblStyle w:val="TableGrid4"/>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9841"/>
      </w:tblGrid>
      <w:tr w:rsidR="00B47D9D" w14:paraId="2C81CEA8" w14:textId="77777777" w:rsidTr="00024366">
        <w:trPr>
          <w:cantSplit/>
        </w:trPr>
        <w:tc>
          <w:tcPr>
            <w:tcW w:w="0" w:type="auto"/>
          </w:tcPr>
          <w:p w14:paraId="0D833473" w14:textId="77777777" w:rsidR="00B47D9D" w:rsidRPr="00267D96" w:rsidRDefault="00B47D9D" w:rsidP="005D0E24">
            <w:pPr>
              <w:pStyle w:val="Paragraph"/>
              <w:spacing w:before="0" w:line="240" w:lineRule="auto"/>
              <w:rPr>
                <w:i/>
              </w:rPr>
            </w:pPr>
            <w:r w:rsidRPr="00267D96">
              <w:rPr>
                <w:i/>
              </w:rPr>
              <w:t>m</w:t>
            </w:r>
          </w:p>
        </w:tc>
        <w:tc>
          <w:tcPr>
            <w:tcW w:w="0" w:type="auto"/>
          </w:tcPr>
          <w:p w14:paraId="7D7FD7AC" w14:textId="77777777" w:rsidR="00B47D9D" w:rsidRDefault="00B47D9D" w:rsidP="005D0E24">
            <w:pPr>
              <w:pStyle w:val="Paragraph"/>
              <w:spacing w:before="0" w:line="240" w:lineRule="auto"/>
            </w:pPr>
            <w:r>
              <w:t>Transmission constraint index.</w:t>
            </w:r>
          </w:p>
        </w:tc>
      </w:tr>
      <w:tr w:rsidR="00B47D9D" w14:paraId="19A6FA6E" w14:textId="77777777" w:rsidTr="00024366">
        <w:trPr>
          <w:cantSplit/>
        </w:trPr>
        <w:tc>
          <w:tcPr>
            <w:tcW w:w="0" w:type="auto"/>
          </w:tcPr>
          <w:p w14:paraId="0AE1CF89" w14:textId="77777777" w:rsidR="00B47D9D" w:rsidRPr="00267D96" w:rsidRDefault="00B47D9D" w:rsidP="005D0E24">
            <w:pPr>
              <w:pStyle w:val="Paragraph"/>
              <w:spacing w:before="0" w:line="240" w:lineRule="auto"/>
              <w:rPr>
                <w:i/>
              </w:rPr>
            </w:pPr>
            <w:r w:rsidRPr="00267D96">
              <w:rPr>
                <w:i/>
              </w:rPr>
              <w:t>n</w:t>
            </w:r>
          </w:p>
        </w:tc>
        <w:tc>
          <w:tcPr>
            <w:tcW w:w="0" w:type="auto"/>
          </w:tcPr>
          <w:p w14:paraId="13E37FB5" w14:textId="77777777" w:rsidR="00B47D9D" w:rsidRDefault="00B47D9D" w:rsidP="005D0E24">
            <w:pPr>
              <w:pStyle w:val="Paragraph"/>
              <w:spacing w:before="0" w:line="240" w:lineRule="auto"/>
            </w:pPr>
            <w:r>
              <w:t xml:space="preserve">Component index in transmission constraint </w:t>
            </w:r>
            <w:r w:rsidRPr="00245685">
              <w:rPr>
                <w:i/>
              </w:rPr>
              <w:t>m</w:t>
            </w:r>
            <w:r>
              <w:t>.</w:t>
            </w:r>
          </w:p>
        </w:tc>
      </w:tr>
    </w:tbl>
    <w:tbl>
      <w:tblPr>
        <w:tblStyle w:val="TableGrid5"/>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810"/>
      </w:tblGrid>
      <w:tr w:rsidR="00B47D9D" w14:paraId="3620AE1C" w14:textId="77777777" w:rsidTr="005D0E24">
        <w:trPr>
          <w:cantSplit/>
        </w:trPr>
        <w:tc>
          <w:tcPr>
            <w:tcW w:w="900" w:type="dxa"/>
          </w:tcPr>
          <w:p w14:paraId="35E1FFDD" w14:textId="77777777" w:rsidR="00B47D9D" w:rsidRPr="00267D96" w:rsidRDefault="00B47D9D" w:rsidP="005D0E24">
            <w:pPr>
              <w:pStyle w:val="Paragraph"/>
              <w:spacing w:before="0" w:line="240" w:lineRule="auto"/>
            </w:pPr>
            <w:r w:rsidRPr="00267D96">
              <w:sym w:font="Symbol" w:char="F022"/>
            </w:r>
          </w:p>
        </w:tc>
        <w:tc>
          <w:tcPr>
            <w:tcW w:w="9810" w:type="dxa"/>
          </w:tcPr>
          <w:p w14:paraId="3A219A13" w14:textId="77777777" w:rsidR="00B47D9D" w:rsidRDefault="00B47D9D" w:rsidP="005D0E24">
            <w:pPr>
              <w:pStyle w:val="Paragraph"/>
              <w:spacing w:before="0" w:line="240" w:lineRule="auto"/>
            </w:pPr>
            <w:r>
              <w:t>For all…</w:t>
            </w:r>
          </w:p>
        </w:tc>
      </w:tr>
      <w:tr w:rsidR="00B47D9D" w14:paraId="32620CA8" w14:textId="77777777" w:rsidTr="005D0E24">
        <w:trPr>
          <w:cantSplit/>
        </w:trPr>
        <w:tc>
          <w:tcPr>
            <w:tcW w:w="900" w:type="dxa"/>
          </w:tcPr>
          <w:p w14:paraId="1EC42E88" w14:textId="77777777" w:rsidR="00B47D9D" w:rsidRPr="00267D96" w:rsidRDefault="00B47D9D" w:rsidP="005D0E24">
            <w:pPr>
              <w:pStyle w:val="Paragraph"/>
              <w:spacing w:before="0" w:line="240" w:lineRule="auto"/>
            </w:pPr>
            <w:r w:rsidRPr="00267D96">
              <w:sym w:font="Symbol" w:char="F0CE"/>
            </w:r>
          </w:p>
        </w:tc>
        <w:tc>
          <w:tcPr>
            <w:tcW w:w="9810" w:type="dxa"/>
          </w:tcPr>
          <w:p w14:paraId="6739E062" w14:textId="77777777" w:rsidR="00B47D9D" w:rsidRDefault="00B47D9D" w:rsidP="005D0E24">
            <w:pPr>
              <w:pStyle w:val="Paragraph"/>
              <w:spacing w:before="0" w:line="240" w:lineRule="auto"/>
            </w:pPr>
            <w:r>
              <w:t>Member of…</w:t>
            </w:r>
          </w:p>
        </w:tc>
      </w:tr>
      <w:tr w:rsidR="00B47D9D" w14:paraId="12B5522F" w14:textId="77777777" w:rsidTr="005D0E24">
        <w:trPr>
          <w:cantSplit/>
        </w:trPr>
        <w:tc>
          <w:tcPr>
            <w:tcW w:w="900" w:type="dxa"/>
          </w:tcPr>
          <w:p w14:paraId="768C68F0" w14:textId="77777777" w:rsidR="00B47D9D" w:rsidRPr="00267D96" w:rsidRDefault="00B47D9D" w:rsidP="005D0E24">
            <w:pPr>
              <w:pStyle w:val="Paragraph"/>
              <w:spacing w:before="0" w:line="240" w:lineRule="auto"/>
            </w:pPr>
            <w:r w:rsidRPr="00267D96">
              <w:sym w:font="Symbol" w:char="F0D9"/>
            </w:r>
          </w:p>
        </w:tc>
        <w:tc>
          <w:tcPr>
            <w:tcW w:w="9810" w:type="dxa"/>
          </w:tcPr>
          <w:p w14:paraId="03A2AC36" w14:textId="77777777" w:rsidR="00B47D9D" w:rsidRDefault="00B47D9D" w:rsidP="005D0E24">
            <w:pPr>
              <w:pStyle w:val="Paragraph"/>
              <w:spacing w:before="0" w:line="240" w:lineRule="auto"/>
            </w:pPr>
            <w:r>
              <w:t>…and…</w:t>
            </w:r>
          </w:p>
        </w:tc>
      </w:tr>
      <w:tr w:rsidR="00F73536" w14:paraId="3DA9FF26" w14:textId="77777777" w:rsidTr="00F9524E">
        <w:trPr>
          <w:cantSplit/>
        </w:trPr>
        <w:tc>
          <w:tcPr>
            <w:tcW w:w="900" w:type="dxa"/>
          </w:tcPr>
          <w:p w14:paraId="72D7F742" w14:textId="50202FD9" w:rsidR="00F73536" w:rsidRPr="00267D96" w:rsidRDefault="00F73536" w:rsidP="00F73536">
            <w:pPr>
              <w:pStyle w:val="Paragraph"/>
              <w:spacing w:before="0" w:line="240" w:lineRule="auto"/>
            </w:pPr>
            <w:r w:rsidRPr="00267D96">
              <w:rPr>
                <w:i/>
              </w:rPr>
              <w:t>N</w:t>
            </w:r>
            <w:r w:rsidRPr="00267D96">
              <w:rPr>
                <w:i/>
                <w:vertAlign w:val="subscript"/>
              </w:rPr>
              <w:t>m</w:t>
            </w:r>
          </w:p>
        </w:tc>
        <w:tc>
          <w:tcPr>
            <w:tcW w:w="9810" w:type="dxa"/>
          </w:tcPr>
          <w:p w14:paraId="62359BE1" w14:textId="74E75328" w:rsidR="00F73536" w:rsidRDefault="00F73536" w:rsidP="00275EDF">
            <w:pPr>
              <w:pStyle w:val="Paragraph"/>
              <w:spacing w:before="0" w:line="240" w:lineRule="auto"/>
            </w:pPr>
            <w:r>
              <w:t xml:space="preserve">Set of components for transmission constraint </w:t>
            </w:r>
            <w:r w:rsidRPr="00245685">
              <w:rPr>
                <w:i/>
              </w:rPr>
              <w:t>m</w:t>
            </w:r>
            <w:r w:rsidR="00275EDF">
              <w:t xml:space="preserve"> (only one component for simple constraints, but there may be multiple components for nomograms)</w:t>
            </w:r>
            <w:r>
              <w:t>.</w:t>
            </w:r>
          </w:p>
        </w:tc>
      </w:tr>
      <w:tr w:rsidR="00B47D9D" w14:paraId="7428BD13" w14:textId="77777777" w:rsidTr="005D0E24">
        <w:trPr>
          <w:cantSplit/>
        </w:trPr>
        <w:tc>
          <w:tcPr>
            <w:tcW w:w="900" w:type="dxa"/>
          </w:tcPr>
          <w:p w14:paraId="511EA240" w14:textId="77777777" w:rsidR="00B47D9D" w:rsidRPr="00267D96" w:rsidRDefault="00B47D9D" w:rsidP="005D0E24">
            <w:pPr>
              <w:pStyle w:val="Paragraph"/>
              <w:spacing w:before="0" w:line="240" w:lineRule="auto"/>
              <w:rPr>
                <w:i/>
              </w:rPr>
            </w:pPr>
            <w:r w:rsidRPr="00267D96">
              <w:rPr>
                <w:i/>
              </w:rPr>
              <w:t>EIM</w:t>
            </w:r>
          </w:p>
        </w:tc>
        <w:tc>
          <w:tcPr>
            <w:tcW w:w="9810" w:type="dxa"/>
          </w:tcPr>
          <w:p w14:paraId="1F434E8A" w14:textId="77777777" w:rsidR="00B47D9D" w:rsidRDefault="00B47D9D" w:rsidP="005D0E24">
            <w:pPr>
              <w:pStyle w:val="Paragraph"/>
              <w:spacing w:before="0" w:line="240" w:lineRule="auto"/>
            </w:pPr>
            <w:r>
              <w:t>Set of CISO and all EIM BAAs; the EIM Area.</w:t>
            </w:r>
          </w:p>
        </w:tc>
      </w:tr>
      <w:tr w:rsidR="00B47D9D" w14:paraId="00C47053" w14:textId="77777777" w:rsidTr="005D0E24">
        <w:trPr>
          <w:cantSplit/>
        </w:trPr>
        <w:tc>
          <w:tcPr>
            <w:tcW w:w="900" w:type="dxa"/>
          </w:tcPr>
          <w:p w14:paraId="59EA83E7" w14:textId="77777777" w:rsidR="00B47D9D" w:rsidRPr="00267D96" w:rsidRDefault="00B47D9D" w:rsidP="005D0E24">
            <w:pPr>
              <w:pStyle w:val="Paragraph"/>
              <w:spacing w:before="0" w:line="240" w:lineRule="auto"/>
              <w:rPr>
                <w:i/>
                <w:vertAlign w:val="subscript"/>
              </w:rPr>
            </w:pPr>
            <w:r w:rsidRPr="00267D96">
              <w:rPr>
                <w:i/>
              </w:rPr>
              <w:t>BAA</w:t>
            </w:r>
            <w:r w:rsidRPr="00267D96">
              <w:rPr>
                <w:i/>
                <w:vertAlign w:val="subscript"/>
              </w:rPr>
              <w:t>j</w:t>
            </w:r>
          </w:p>
        </w:tc>
        <w:tc>
          <w:tcPr>
            <w:tcW w:w="9810" w:type="dxa"/>
          </w:tcPr>
          <w:p w14:paraId="14D31474" w14:textId="77777777" w:rsidR="00B47D9D" w:rsidRDefault="00B47D9D" w:rsidP="005D0E24">
            <w:pPr>
              <w:pStyle w:val="Paragraph"/>
              <w:spacing w:before="0" w:line="240" w:lineRule="auto"/>
            </w:pPr>
            <w:r>
              <w:t xml:space="preserve">Set of nodes in BAA </w:t>
            </w:r>
            <w:r>
              <w:rPr>
                <w:i/>
              </w:rPr>
              <w:t>j</w:t>
            </w:r>
            <w:r>
              <w:t>.</w:t>
            </w:r>
          </w:p>
        </w:tc>
      </w:tr>
      <w:tr w:rsidR="00571609" w14:paraId="13444529" w14:textId="77777777" w:rsidTr="00F9524E">
        <w:trPr>
          <w:cantSplit/>
        </w:trPr>
        <w:tc>
          <w:tcPr>
            <w:tcW w:w="900" w:type="dxa"/>
          </w:tcPr>
          <w:p w14:paraId="648D9E25" w14:textId="3B54E261" w:rsidR="00571609" w:rsidRPr="00267D96" w:rsidRDefault="00571609" w:rsidP="00571609">
            <w:pPr>
              <w:pStyle w:val="Paragraph"/>
              <w:spacing w:before="0" w:line="240" w:lineRule="auto"/>
              <w:rPr>
                <w:i/>
              </w:rPr>
            </w:pPr>
            <w:r w:rsidRPr="00267D96">
              <w:rPr>
                <w:i/>
              </w:rPr>
              <w:t>L</w:t>
            </w:r>
            <w:r w:rsidRPr="00267D96">
              <w:rPr>
                <w:i/>
                <w:vertAlign w:val="subscript"/>
              </w:rPr>
              <w:t>j,k</w:t>
            </w:r>
          </w:p>
        </w:tc>
        <w:tc>
          <w:tcPr>
            <w:tcW w:w="9810" w:type="dxa"/>
          </w:tcPr>
          <w:p w14:paraId="27F8EA61" w14:textId="427D6566" w:rsidR="00571609" w:rsidRDefault="00571609" w:rsidP="00571609">
            <w:pPr>
              <w:pStyle w:val="Paragraph"/>
              <w:spacing w:before="0" w:line="240" w:lineRule="auto"/>
            </w:pPr>
            <w:r>
              <w:t xml:space="preserve">Set of interties between BAAs </w:t>
            </w:r>
            <w:r w:rsidRPr="00267D96">
              <w:rPr>
                <w:i/>
              </w:rPr>
              <w:t>j</w:t>
            </w:r>
            <w:r>
              <w:t xml:space="preserve"> and </w:t>
            </w:r>
            <w:r w:rsidRPr="00267D96">
              <w:rPr>
                <w:i/>
              </w:rPr>
              <w:t>k</w:t>
            </w:r>
            <w:r>
              <w:t>.</w:t>
            </w:r>
          </w:p>
        </w:tc>
      </w:tr>
    </w:tbl>
    <w:tbl>
      <w:tblPr>
        <w:tblStyle w:val="TableGrid6"/>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9841"/>
      </w:tblGrid>
      <w:tr w:rsidR="00B47D9D" w14:paraId="6C9364A0" w14:textId="77777777" w:rsidTr="00024366">
        <w:trPr>
          <w:cantSplit/>
        </w:trPr>
        <w:tc>
          <w:tcPr>
            <w:tcW w:w="0" w:type="auto"/>
          </w:tcPr>
          <w:p w14:paraId="0B15CCE3" w14:textId="77777777" w:rsidR="00B47D9D" w:rsidRPr="00267D96" w:rsidRDefault="00B47D9D" w:rsidP="005D0E24">
            <w:pPr>
              <w:pStyle w:val="Paragraph"/>
              <w:spacing w:before="0" w:line="240" w:lineRule="auto"/>
              <w:rPr>
                <w:i/>
                <w:vertAlign w:val="subscript"/>
              </w:rPr>
            </w:pPr>
            <w:r w:rsidRPr="00267D96">
              <w:rPr>
                <w:i/>
              </w:rPr>
              <w:t>LPF</w:t>
            </w:r>
            <w:r w:rsidRPr="00267D96">
              <w:rPr>
                <w:i/>
                <w:vertAlign w:val="subscript"/>
              </w:rPr>
              <w:t>i</w:t>
            </w:r>
          </w:p>
        </w:tc>
        <w:tc>
          <w:tcPr>
            <w:tcW w:w="0" w:type="auto"/>
          </w:tcPr>
          <w:p w14:paraId="5E61E4CD" w14:textId="77777777" w:rsidR="00B47D9D" w:rsidRDefault="00B47D9D" w:rsidP="005D0E24">
            <w:pPr>
              <w:pStyle w:val="Paragraph"/>
              <w:spacing w:before="0" w:line="240" w:lineRule="auto"/>
            </w:pPr>
            <w:r>
              <w:t xml:space="preserve">Loss penalty factor at node </w:t>
            </w:r>
            <w:r>
              <w:rPr>
                <w:i/>
              </w:rPr>
              <w:t>i</w:t>
            </w:r>
            <w:r>
              <w:t>.</w:t>
            </w:r>
          </w:p>
        </w:tc>
      </w:tr>
      <w:tr w:rsidR="00B47D9D" w14:paraId="5DE0A35C" w14:textId="77777777" w:rsidTr="00024366">
        <w:trPr>
          <w:cantSplit/>
        </w:trPr>
        <w:tc>
          <w:tcPr>
            <w:tcW w:w="0" w:type="auto"/>
          </w:tcPr>
          <w:p w14:paraId="6D882FAE" w14:textId="77777777" w:rsidR="00B47D9D" w:rsidRPr="00267D96" w:rsidRDefault="00B47D9D" w:rsidP="005D0E24">
            <w:pPr>
              <w:pStyle w:val="Paragraph"/>
              <w:spacing w:before="0" w:line="240" w:lineRule="auto"/>
              <w:rPr>
                <w:i/>
                <w:vertAlign w:val="subscript"/>
              </w:rPr>
            </w:pPr>
            <w:r w:rsidRPr="00267D96">
              <w:rPr>
                <w:i/>
              </w:rPr>
              <w:t>LPF</w:t>
            </w:r>
            <w:r w:rsidRPr="00267D96">
              <w:rPr>
                <w:i/>
                <w:vertAlign w:val="subscript"/>
              </w:rPr>
              <w:t>j,k,l</w:t>
            </w:r>
          </w:p>
        </w:tc>
        <w:tc>
          <w:tcPr>
            <w:tcW w:w="0" w:type="auto"/>
          </w:tcPr>
          <w:p w14:paraId="1C9A133C" w14:textId="77777777" w:rsidR="00B47D9D" w:rsidRDefault="00B47D9D" w:rsidP="005D0E24">
            <w:pPr>
              <w:pStyle w:val="Paragraph"/>
              <w:spacing w:before="0" w:line="240" w:lineRule="auto"/>
            </w:pPr>
            <w:r>
              <w:t xml:space="preserve">Loss penalty factor at the Scheduling Point for import/export schedule </w:t>
            </w:r>
            <w:r w:rsidRPr="00551B0F">
              <w:rPr>
                <w:i/>
              </w:rPr>
              <w:t>l</w:t>
            </w:r>
            <w:r>
              <w:t xml:space="preserve"> to/from BAA </w:t>
            </w:r>
            <w:r>
              <w:rPr>
                <w:i/>
              </w:rPr>
              <w:t>j</w:t>
            </w:r>
            <w:r>
              <w:t xml:space="preserve"> from/to BAA </w:t>
            </w:r>
            <w:r>
              <w:rPr>
                <w:i/>
              </w:rPr>
              <w:t>k</w:t>
            </w:r>
            <w:r>
              <w:t>.</w:t>
            </w:r>
          </w:p>
        </w:tc>
      </w:tr>
      <w:tr w:rsidR="00B47D9D" w14:paraId="545742FA" w14:textId="77777777" w:rsidTr="00024366">
        <w:trPr>
          <w:cantSplit/>
        </w:trPr>
        <w:tc>
          <w:tcPr>
            <w:tcW w:w="0" w:type="auto"/>
          </w:tcPr>
          <w:p w14:paraId="0DE7F3F7" w14:textId="77777777" w:rsidR="00B47D9D" w:rsidRPr="00267D96" w:rsidRDefault="00B47D9D" w:rsidP="005D0E24">
            <w:pPr>
              <w:pStyle w:val="Paragraph"/>
              <w:spacing w:before="0" w:line="240" w:lineRule="auto"/>
              <w:rPr>
                <w:i/>
              </w:rPr>
            </w:pPr>
            <w:r w:rsidRPr="00267D96">
              <w:rPr>
                <w:i/>
              </w:rPr>
              <w:lastRenderedPageBreak/>
              <w:t>a</w:t>
            </w:r>
            <w:r w:rsidRPr="00267D96">
              <w:rPr>
                <w:i/>
                <w:vertAlign w:val="subscript"/>
              </w:rPr>
              <w:t>m,n</w:t>
            </w:r>
          </w:p>
        </w:tc>
        <w:tc>
          <w:tcPr>
            <w:tcW w:w="0" w:type="auto"/>
          </w:tcPr>
          <w:p w14:paraId="168701A8" w14:textId="225BDDDC" w:rsidR="00B47D9D" w:rsidRDefault="00B47D9D" w:rsidP="005D0E24">
            <w:pPr>
              <w:pStyle w:val="Paragraph"/>
              <w:spacing w:before="0" w:line="240" w:lineRule="auto"/>
            </w:pPr>
            <w:r>
              <w:t xml:space="preserve">Coefficient for component </w:t>
            </w:r>
            <w:r w:rsidRPr="00245685">
              <w:rPr>
                <w:i/>
              </w:rPr>
              <w:t>n</w:t>
            </w:r>
            <w:r>
              <w:t xml:space="preserve"> of transmission constraint </w:t>
            </w:r>
            <w:r w:rsidRPr="00245685">
              <w:rPr>
                <w:i/>
              </w:rPr>
              <w:t>m</w:t>
            </w:r>
            <w:r w:rsidR="006D3D8B">
              <w:t xml:space="preserve"> (1.0 for simple constraints with a single component)</w:t>
            </w:r>
            <w:r>
              <w:t>.</w:t>
            </w:r>
          </w:p>
        </w:tc>
      </w:tr>
      <w:tr w:rsidR="00B47D9D" w14:paraId="5ED7DDF1" w14:textId="77777777" w:rsidTr="00024366">
        <w:trPr>
          <w:cantSplit/>
        </w:trPr>
        <w:tc>
          <w:tcPr>
            <w:tcW w:w="0" w:type="auto"/>
          </w:tcPr>
          <w:p w14:paraId="32B14C75" w14:textId="77777777" w:rsidR="00B47D9D" w:rsidRPr="00267D96" w:rsidRDefault="00B47D9D" w:rsidP="005D0E24">
            <w:pPr>
              <w:pStyle w:val="Paragraph"/>
              <w:spacing w:before="0" w:line="240" w:lineRule="auto"/>
              <w:rPr>
                <w:i/>
              </w:rPr>
            </w:pPr>
            <w:r w:rsidRPr="00267D96">
              <w:rPr>
                <w:i/>
              </w:rPr>
              <w:t>SF</w:t>
            </w:r>
            <w:r w:rsidRPr="00267D96">
              <w:rPr>
                <w:i/>
                <w:vertAlign w:val="subscript"/>
              </w:rPr>
              <w:t>m,n,i</w:t>
            </w:r>
          </w:p>
        </w:tc>
        <w:tc>
          <w:tcPr>
            <w:tcW w:w="0" w:type="auto"/>
          </w:tcPr>
          <w:p w14:paraId="56CF03F6" w14:textId="77777777" w:rsidR="00B47D9D" w:rsidRDefault="00B47D9D" w:rsidP="005D0E24">
            <w:pPr>
              <w:pStyle w:val="Paragraph"/>
              <w:spacing w:before="0" w:line="240" w:lineRule="auto"/>
            </w:pPr>
            <w:r>
              <w:t xml:space="preserve">Shift factor for injection at node </w:t>
            </w:r>
            <w:r w:rsidRPr="00245685">
              <w:rPr>
                <w:i/>
              </w:rPr>
              <w:t>i</w:t>
            </w:r>
            <w:r>
              <w:t xml:space="preserve"> on component </w:t>
            </w:r>
            <w:r w:rsidRPr="00245685">
              <w:rPr>
                <w:i/>
              </w:rPr>
              <w:t>n</w:t>
            </w:r>
            <w:r>
              <w:t xml:space="preserve"> of transmission constraint </w:t>
            </w:r>
            <w:r w:rsidRPr="00245685">
              <w:rPr>
                <w:i/>
              </w:rPr>
              <w:t>m</w:t>
            </w:r>
            <w:r>
              <w:t>.</w:t>
            </w:r>
          </w:p>
        </w:tc>
      </w:tr>
      <w:tr w:rsidR="00B47D9D" w14:paraId="6FC67537" w14:textId="77777777" w:rsidTr="00024366">
        <w:trPr>
          <w:cantSplit/>
        </w:trPr>
        <w:tc>
          <w:tcPr>
            <w:tcW w:w="0" w:type="auto"/>
          </w:tcPr>
          <w:p w14:paraId="1A6A3DC5" w14:textId="77777777" w:rsidR="00B47D9D" w:rsidRPr="00267D96" w:rsidRDefault="00B47D9D" w:rsidP="005D0E24">
            <w:pPr>
              <w:pStyle w:val="Paragraph"/>
              <w:spacing w:before="0" w:line="240" w:lineRule="auto"/>
              <w:rPr>
                <w:i/>
              </w:rPr>
            </w:pPr>
            <w:r w:rsidRPr="00267D96">
              <w:rPr>
                <w:i/>
              </w:rPr>
              <w:t>SF</w:t>
            </w:r>
            <w:r w:rsidRPr="00267D96">
              <w:rPr>
                <w:i/>
                <w:vertAlign w:val="subscript"/>
              </w:rPr>
              <w:t>m,n,j,k,l</w:t>
            </w:r>
          </w:p>
        </w:tc>
        <w:tc>
          <w:tcPr>
            <w:tcW w:w="0" w:type="auto"/>
          </w:tcPr>
          <w:p w14:paraId="78D07286" w14:textId="77777777" w:rsidR="00B47D9D" w:rsidRDefault="00B47D9D" w:rsidP="005D0E24">
            <w:pPr>
              <w:pStyle w:val="Paragraph"/>
              <w:spacing w:before="0" w:line="240" w:lineRule="auto"/>
            </w:pPr>
            <w:r>
              <w:t xml:space="preserve">Shift factor for import/export schedule </w:t>
            </w:r>
            <w:r>
              <w:rPr>
                <w:i/>
              </w:rPr>
              <w:t>l</w:t>
            </w:r>
            <w:r>
              <w:t xml:space="preserve"> to/from BAA </w:t>
            </w:r>
            <w:r>
              <w:rPr>
                <w:i/>
              </w:rPr>
              <w:t>j</w:t>
            </w:r>
            <w:r>
              <w:t xml:space="preserve"> from/to BAA </w:t>
            </w:r>
            <w:r>
              <w:rPr>
                <w:i/>
              </w:rPr>
              <w:t>k</w:t>
            </w:r>
            <w:r>
              <w:t xml:space="preserve"> on component </w:t>
            </w:r>
            <w:r w:rsidRPr="00245685">
              <w:rPr>
                <w:i/>
              </w:rPr>
              <w:t>n</w:t>
            </w:r>
            <w:r>
              <w:t xml:space="preserve"> of transmission constraint </w:t>
            </w:r>
            <w:r w:rsidRPr="00245685">
              <w:rPr>
                <w:i/>
              </w:rPr>
              <w:t>m</w:t>
            </w:r>
            <w:r>
              <w:t>.</w:t>
            </w:r>
          </w:p>
        </w:tc>
      </w:tr>
    </w:tbl>
    <w:tbl>
      <w:tblPr>
        <w:tblStyle w:val="TableGrid7"/>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9778"/>
      </w:tblGrid>
      <w:tr w:rsidR="00B47D9D" w14:paraId="778F8F82" w14:textId="77777777" w:rsidTr="00024366">
        <w:trPr>
          <w:cantSplit/>
        </w:trPr>
        <w:tc>
          <w:tcPr>
            <w:tcW w:w="0" w:type="auto"/>
          </w:tcPr>
          <w:p w14:paraId="2B8BA69C" w14:textId="77777777" w:rsidR="00B47D9D" w:rsidRPr="00267D96" w:rsidRDefault="00B47D9D" w:rsidP="005D0E24">
            <w:pPr>
              <w:pStyle w:val="Paragraph"/>
              <w:spacing w:before="0" w:line="240" w:lineRule="auto"/>
              <w:rPr>
                <w:i/>
              </w:rPr>
            </w:pPr>
            <w:r>
              <w:rPr>
                <w:i/>
              </w:rPr>
              <w:sym w:font="Symbol" w:char="F06C"/>
            </w:r>
          </w:p>
        </w:tc>
        <w:tc>
          <w:tcPr>
            <w:tcW w:w="0" w:type="auto"/>
          </w:tcPr>
          <w:p w14:paraId="27836A3E" w14:textId="77777777" w:rsidR="00B47D9D" w:rsidRDefault="00B47D9D" w:rsidP="005D0E24">
            <w:pPr>
              <w:pStyle w:val="Paragraph"/>
              <w:spacing w:before="0" w:line="240" w:lineRule="auto"/>
            </w:pPr>
            <w:r>
              <w:t>Shadow price of the system power balance constraint.</w:t>
            </w:r>
          </w:p>
        </w:tc>
      </w:tr>
      <w:tr w:rsidR="00B47D9D" w14:paraId="72B27571" w14:textId="77777777" w:rsidTr="00024366">
        <w:trPr>
          <w:cantSplit/>
        </w:trPr>
        <w:tc>
          <w:tcPr>
            <w:tcW w:w="0" w:type="auto"/>
          </w:tcPr>
          <w:p w14:paraId="598156E6" w14:textId="77777777" w:rsidR="00B47D9D" w:rsidRPr="00267D96" w:rsidRDefault="00B47D9D" w:rsidP="005D0E24">
            <w:pPr>
              <w:pStyle w:val="Paragraph"/>
              <w:spacing w:before="0" w:line="240" w:lineRule="auto"/>
              <w:rPr>
                <w:i/>
              </w:rPr>
            </w:pPr>
            <w:r>
              <w:rPr>
                <w:i/>
              </w:rPr>
              <w:sym w:font="Symbol" w:char="F06C"/>
            </w:r>
            <w:r w:rsidRPr="004C4412">
              <w:rPr>
                <w:i/>
                <w:vertAlign w:val="subscript"/>
              </w:rPr>
              <w:t>j</w:t>
            </w:r>
          </w:p>
        </w:tc>
        <w:tc>
          <w:tcPr>
            <w:tcW w:w="0" w:type="auto"/>
          </w:tcPr>
          <w:p w14:paraId="51EFAC51" w14:textId="77777777" w:rsidR="00B47D9D" w:rsidRDefault="00B47D9D" w:rsidP="005D0E24">
            <w:pPr>
              <w:pStyle w:val="Paragraph"/>
              <w:spacing w:before="0" w:line="240" w:lineRule="auto"/>
            </w:pPr>
            <w:r>
              <w:t xml:space="preserve">Shadow price of the power balance constraint for BAA </w:t>
            </w:r>
            <w:r w:rsidRPr="004C4412">
              <w:rPr>
                <w:i/>
              </w:rPr>
              <w:t>j</w:t>
            </w:r>
            <w:r>
              <w:t>.</w:t>
            </w:r>
          </w:p>
        </w:tc>
      </w:tr>
      <w:tr w:rsidR="00B47D9D" w14:paraId="7D419F74" w14:textId="77777777" w:rsidTr="00024366">
        <w:trPr>
          <w:cantSplit/>
        </w:trPr>
        <w:tc>
          <w:tcPr>
            <w:tcW w:w="0" w:type="auto"/>
          </w:tcPr>
          <w:p w14:paraId="43505DF9" w14:textId="77777777" w:rsidR="00B47D9D" w:rsidRPr="00267D96" w:rsidRDefault="00B47D9D" w:rsidP="005D0E24">
            <w:pPr>
              <w:pStyle w:val="Paragraph"/>
              <w:spacing w:before="0" w:line="240" w:lineRule="auto"/>
              <w:rPr>
                <w:i/>
              </w:rPr>
            </w:pPr>
            <w:r>
              <w:rPr>
                <w:i/>
              </w:rPr>
              <w:sym w:font="Symbol" w:char="F06A"/>
            </w:r>
            <w:r w:rsidRPr="004C4412">
              <w:rPr>
                <w:i/>
                <w:vertAlign w:val="subscript"/>
              </w:rPr>
              <w:t>j</w:t>
            </w:r>
          </w:p>
        </w:tc>
        <w:tc>
          <w:tcPr>
            <w:tcW w:w="0" w:type="auto"/>
          </w:tcPr>
          <w:p w14:paraId="7D31DEEA" w14:textId="77777777" w:rsidR="00B47D9D" w:rsidRDefault="00B47D9D" w:rsidP="005D0E24">
            <w:pPr>
              <w:pStyle w:val="Paragraph"/>
              <w:spacing w:before="0" w:line="240" w:lineRule="auto"/>
            </w:pPr>
            <w:r>
              <w:t xml:space="preserve">Shadow price of the energy transfer distribution constraint for BAA </w:t>
            </w:r>
            <w:r w:rsidRPr="004C4412">
              <w:rPr>
                <w:i/>
              </w:rPr>
              <w:t>j</w:t>
            </w:r>
            <w:r>
              <w:t>.</w:t>
            </w:r>
          </w:p>
        </w:tc>
      </w:tr>
      <w:tr w:rsidR="00B47D9D" w14:paraId="702A6307" w14:textId="77777777" w:rsidTr="00024366">
        <w:trPr>
          <w:cantSplit/>
        </w:trPr>
        <w:tc>
          <w:tcPr>
            <w:tcW w:w="0" w:type="auto"/>
          </w:tcPr>
          <w:p w14:paraId="598F2D6F" w14:textId="77777777" w:rsidR="00B47D9D" w:rsidRPr="00267D96" w:rsidRDefault="00B47D9D" w:rsidP="005D0E24">
            <w:pPr>
              <w:pStyle w:val="Paragraph"/>
              <w:spacing w:before="0" w:line="240" w:lineRule="auto"/>
              <w:rPr>
                <w:i/>
              </w:rPr>
            </w:pPr>
            <w:r>
              <w:rPr>
                <w:i/>
              </w:rPr>
              <w:sym w:font="Symbol" w:char="F06D"/>
            </w:r>
            <w:r>
              <w:rPr>
                <w:i/>
                <w:vertAlign w:val="subscript"/>
              </w:rPr>
              <w:t>m</w:t>
            </w:r>
          </w:p>
        </w:tc>
        <w:tc>
          <w:tcPr>
            <w:tcW w:w="0" w:type="auto"/>
          </w:tcPr>
          <w:p w14:paraId="64CEE4BF" w14:textId="77777777" w:rsidR="00B47D9D" w:rsidRDefault="00B47D9D" w:rsidP="005D0E24">
            <w:pPr>
              <w:pStyle w:val="Paragraph"/>
              <w:spacing w:before="0" w:line="240" w:lineRule="auto"/>
            </w:pPr>
            <w:r>
              <w:t xml:space="preserve">Shadow price of transmission constraint </w:t>
            </w:r>
            <w:r>
              <w:rPr>
                <w:i/>
              </w:rPr>
              <w:t>m</w:t>
            </w:r>
            <w:r>
              <w:t>.</w:t>
            </w:r>
          </w:p>
        </w:tc>
      </w:tr>
      <w:tr w:rsidR="00B47D9D" w14:paraId="31E6189C" w14:textId="77777777" w:rsidTr="00024366">
        <w:trPr>
          <w:cantSplit/>
        </w:trPr>
        <w:tc>
          <w:tcPr>
            <w:tcW w:w="0" w:type="auto"/>
          </w:tcPr>
          <w:p w14:paraId="2525F61C" w14:textId="77777777" w:rsidR="00B47D9D" w:rsidRPr="00267D96" w:rsidRDefault="00B47D9D" w:rsidP="005D0E24">
            <w:pPr>
              <w:pStyle w:val="Paragraph"/>
              <w:spacing w:before="0" w:line="240" w:lineRule="auto"/>
              <w:rPr>
                <w:i/>
              </w:rPr>
            </w:pPr>
            <w:r>
              <w:rPr>
                <w:i/>
              </w:rPr>
              <w:sym w:font="Symbol" w:char="F079"/>
            </w:r>
          </w:p>
        </w:tc>
        <w:tc>
          <w:tcPr>
            <w:tcW w:w="0" w:type="auto"/>
          </w:tcPr>
          <w:p w14:paraId="3C5F5FAC" w14:textId="77777777" w:rsidR="00B47D9D" w:rsidRDefault="00B47D9D" w:rsidP="005D0E24">
            <w:pPr>
              <w:pStyle w:val="Paragraph"/>
              <w:spacing w:before="0" w:line="240" w:lineRule="auto"/>
            </w:pPr>
            <w:r>
              <w:t>Shadow price of GHG regulation export allocation constraint.</w:t>
            </w:r>
          </w:p>
        </w:tc>
      </w:tr>
      <w:tr w:rsidR="00B47D9D" w14:paraId="450CF73A" w14:textId="77777777" w:rsidTr="00024366">
        <w:trPr>
          <w:cantSplit/>
        </w:trPr>
        <w:tc>
          <w:tcPr>
            <w:tcW w:w="0" w:type="auto"/>
          </w:tcPr>
          <w:p w14:paraId="634AEB51" w14:textId="77777777" w:rsidR="00B47D9D" w:rsidRPr="00267D96" w:rsidRDefault="00B47D9D" w:rsidP="005D0E24">
            <w:pPr>
              <w:pStyle w:val="Paragraph"/>
              <w:spacing w:before="0" w:line="240" w:lineRule="auto"/>
              <w:rPr>
                <w:i/>
              </w:rPr>
            </w:pPr>
            <w:r>
              <w:rPr>
                <w:i/>
              </w:rPr>
              <w:sym w:font="Symbol" w:char="F07A"/>
            </w:r>
            <w:r w:rsidRPr="00267D96">
              <w:rPr>
                <w:i/>
                <w:vertAlign w:val="subscript"/>
              </w:rPr>
              <w:t>j,k,l</w:t>
            </w:r>
            <w:r>
              <w:t xml:space="preserve">, </w:t>
            </w:r>
            <w:r>
              <w:rPr>
                <w:i/>
              </w:rPr>
              <w:sym w:font="Symbol" w:char="F068"/>
            </w:r>
            <w:r w:rsidRPr="00267D96">
              <w:rPr>
                <w:i/>
                <w:vertAlign w:val="subscript"/>
              </w:rPr>
              <w:t>j,k,l</w:t>
            </w:r>
          </w:p>
        </w:tc>
        <w:tc>
          <w:tcPr>
            <w:tcW w:w="0" w:type="auto"/>
          </w:tcPr>
          <w:p w14:paraId="4C3269AD" w14:textId="77777777" w:rsidR="00B47D9D" w:rsidRDefault="00B47D9D" w:rsidP="005D0E24">
            <w:pPr>
              <w:pStyle w:val="Paragraph"/>
              <w:spacing w:before="0" w:line="240" w:lineRule="auto"/>
            </w:pPr>
            <w:r>
              <w:t xml:space="preserve">Shadow prices of upper/lower scheduling limits on intertie </w:t>
            </w:r>
            <w:r>
              <w:rPr>
                <w:i/>
              </w:rPr>
              <w:t>l</w:t>
            </w:r>
            <w:r>
              <w:t xml:space="preserve"> to BAA </w:t>
            </w:r>
            <w:r>
              <w:rPr>
                <w:i/>
              </w:rPr>
              <w:t>j</w:t>
            </w:r>
            <w:r>
              <w:t xml:space="preserve"> from BAA </w:t>
            </w:r>
            <w:r>
              <w:rPr>
                <w:i/>
              </w:rPr>
              <w:t>k</w:t>
            </w:r>
            <w:r>
              <w:t>, on interties with energy transfers.</w:t>
            </w:r>
          </w:p>
        </w:tc>
      </w:tr>
    </w:tbl>
    <w:tbl>
      <w:tblPr>
        <w:tblStyle w:val="TableGrid8"/>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9735"/>
      </w:tblGrid>
      <w:tr w:rsidR="00B47D9D" w14:paraId="45879543" w14:textId="77777777" w:rsidTr="00024366">
        <w:trPr>
          <w:cantSplit/>
        </w:trPr>
        <w:tc>
          <w:tcPr>
            <w:tcW w:w="0" w:type="auto"/>
          </w:tcPr>
          <w:p w14:paraId="1D753CB2" w14:textId="77777777" w:rsidR="00B47D9D" w:rsidRDefault="00B47D9D" w:rsidP="005D0E24">
            <w:pPr>
              <w:pStyle w:val="Paragraph"/>
              <w:spacing w:before="0" w:line="240" w:lineRule="auto"/>
              <w:rPr>
                <w:i/>
              </w:rPr>
            </w:pPr>
            <w:r>
              <w:rPr>
                <w:i/>
              </w:rPr>
              <w:sym w:font="Symbol" w:char="F06E"/>
            </w:r>
            <w:r>
              <w:rPr>
                <w:i/>
                <w:vertAlign w:val="subscript"/>
              </w:rPr>
              <w:t>j</w:t>
            </w:r>
            <w:r>
              <w:t xml:space="preserve">, </w:t>
            </w:r>
            <w:r>
              <w:rPr>
                <w:i/>
              </w:rPr>
              <w:sym w:font="Symbol" w:char="F078"/>
            </w:r>
            <w:r>
              <w:rPr>
                <w:i/>
                <w:vertAlign w:val="subscript"/>
              </w:rPr>
              <w:t>j</w:t>
            </w:r>
          </w:p>
        </w:tc>
        <w:tc>
          <w:tcPr>
            <w:tcW w:w="0" w:type="auto"/>
          </w:tcPr>
          <w:p w14:paraId="35A63D39" w14:textId="77777777" w:rsidR="00B47D9D" w:rsidRDefault="00B47D9D" w:rsidP="005D0E24">
            <w:pPr>
              <w:pStyle w:val="Paragraph"/>
              <w:spacing w:before="0" w:line="240" w:lineRule="auto"/>
            </w:pPr>
            <w:r>
              <w:t xml:space="preserve">Shadow prices of upper/lower bound constraints on EIM transfer of EIM BAA </w:t>
            </w:r>
            <w:r>
              <w:rPr>
                <w:i/>
              </w:rPr>
              <w:t>j</w:t>
            </w:r>
            <w:r>
              <w:t>.</w:t>
            </w:r>
          </w:p>
        </w:tc>
      </w:tr>
      <w:tr w:rsidR="00B47D9D" w14:paraId="2680A439" w14:textId="77777777" w:rsidTr="00024366">
        <w:trPr>
          <w:cantSplit/>
        </w:trPr>
        <w:tc>
          <w:tcPr>
            <w:tcW w:w="0" w:type="auto"/>
          </w:tcPr>
          <w:p w14:paraId="7D761835" w14:textId="77777777" w:rsidR="00B47D9D" w:rsidRPr="00267D96" w:rsidRDefault="00B47D9D" w:rsidP="005D0E24">
            <w:pPr>
              <w:pStyle w:val="Paragraph"/>
              <w:spacing w:before="0" w:line="240" w:lineRule="auto"/>
              <w:rPr>
                <w:i/>
              </w:rPr>
            </w:pPr>
            <w:r>
              <w:rPr>
                <w:i/>
              </w:rPr>
              <w:sym w:font="Symbol" w:char="F072"/>
            </w:r>
            <w:r w:rsidRPr="00267D96">
              <w:rPr>
                <w:i/>
                <w:vertAlign w:val="subscript"/>
              </w:rPr>
              <w:t>j,k,l</w:t>
            </w:r>
            <w:r>
              <w:t xml:space="preserve">, </w:t>
            </w:r>
            <w:r>
              <w:rPr>
                <w:i/>
              </w:rPr>
              <w:sym w:font="Symbol" w:char="F073"/>
            </w:r>
            <w:r w:rsidRPr="00267D96">
              <w:rPr>
                <w:i/>
                <w:vertAlign w:val="subscript"/>
              </w:rPr>
              <w:t>j,k,l</w:t>
            </w:r>
          </w:p>
        </w:tc>
        <w:tc>
          <w:tcPr>
            <w:tcW w:w="0" w:type="auto"/>
          </w:tcPr>
          <w:p w14:paraId="368BA689" w14:textId="77777777" w:rsidR="00B47D9D" w:rsidRDefault="00B47D9D" w:rsidP="005D0E24">
            <w:pPr>
              <w:pStyle w:val="Paragraph"/>
              <w:spacing w:before="0" w:line="240" w:lineRule="auto"/>
            </w:pPr>
            <w:r>
              <w:t xml:space="preserve">Shadow prices of upper/lower bound constraints on export energy transfer schedule </w:t>
            </w:r>
            <w:r>
              <w:rPr>
                <w:i/>
              </w:rPr>
              <w:t>l</w:t>
            </w:r>
            <w:r>
              <w:t xml:space="preserve"> from BAA </w:t>
            </w:r>
            <w:r>
              <w:rPr>
                <w:i/>
              </w:rPr>
              <w:t>j</w:t>
            </w:r>
            <w:r>
              <w:t xml:space="preserve"> to BAA </w:t>
            </w:r>
            <w:r>
              <w:rPr>
                <w:i/>
              </w:rPr>
              <w:t>k</w:t>
            </w:r>
            <w:r>
              <w:t>.</w:t>
            </w:r>
          </w:p>
        </w:tc>
      </w:tr>
    </w:tbl>
    <w:tbl>
      <w:tblPr>
        <w:tblStyle w:val="TableGrid9"/>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9709"/>
      </w:tblGrid>
      <w:tr w:rsidR="00B47D9D" w14:paraId="3826EAD4" w14:textId="77777777" w:rsidTr="005D0E24">
        <w:trPr>
          <w:cantSplit/>
        </w:trPr>
        <w:tc>
          <w:tcPr>
            <w:tcW w:w="1001" w:type="dxa"/>
          </w:tcPr>
          <w:p w14:paraId="3028D901" w14:textId="77777777" w:rsidR="00B47D9D" w:rsidRPr="00267D96" w:rsidRDefault="00B47D9D" w:rsidP="005D0E24">
            <w:pPr>
              <w:pStyle w:val="Paragraph"/>
              <w:spacing w:before="0" w:line="240" w:lineRule="auto"/>
              <w:rPr>
                <w:i/>
              </w:rPr>
            </w:pPr>
            <w:r w:rsidRPr="00267D96">
              <w:rPr>
                <w:i/>
              </w:rPr>
              <w:t>LMP</w:t>
            </w:r>
            <w:r w:rsidRPr="00267D96">
              <w:rPr>
                <w:i/>
                <w:vertAlign w:val="subscript"/>
              </w:rPr>
              <w:t>i</w:t>
            </w:r>
          </w:p>
        </w:tc>
        <w:tc>
          <w:tcPr>
            <w:tcW w:w="9709" w:type="dxa"/>
          </w:tcPr>
          <w:p w14:paraId="2A19BAFB" w14:textId="77777777" w:rsidR="00B47D9D" w:rsidRDefault="00B47D9D" w:rsidP="005D0E24">
            <w:pPr>
              <w:pStyle w:val="Paragraph"/>
              <w:spacing w:before="0" w:line="240" w:lineRule="auto"/>
            </w:pPr>
            <w:r>
              <w:t xml:space="preserve">LMP at node </w:t>
            </w:r>
            <w:r w:rsidRPr="002E4F66">
              <w:rPr>
                <w:i/>
              </w:rPr>
              <w:t>i</w:t>
            </w:r>
            <w:r>
              <w:t>.</w:t>
            </w:r>
          </w:p>
        </w:tc>
      </w:tr>
      <w:tr w:rsidR="00B47D9D" w14:paraId="74CCD700" w14:textId="77777777" w:rsidTr="005D0E24">
        <w:trPr>
          <w:cantSplit/>
        </w:trPr>
        <w:tc>
          <w:tcPr>
            <w:tcW w:w="1001" w:type="dxa"/>
          </w:tcPr>
          <w:p w14:paraId="480B90F8" w14:textId="77777777" w:rsidR="00B47D9D" w:rsidRPr="00267D96" w:rsidRDefault="00B47D9D" w:rsidP="005D0E24">
            <w:pPr>
              <w:pStyle w:val="Paragraph"/>
              <w:spacing w:before="0" w:line="240" w:lineRule="auto"/>
              <w:rPr>
                <w:i/>
              </w:rPr>
            </w:pPr>
            <w:r w:rsidRPr="00267D96">
              <w:rPr>
                <w:i/>
              </w:rPr>
              <w:t>LMP</w:t>
            </w:r>
            <w:r w:rsidRPr="00267D96">
              <w:rPr>
                <w:i/>
                <w:vertAlign w:val="subscript"/>
              </w:rPr>
              <w:t>j,k,l</w:t>
            </w:r>
          </w:p>
        </w:tc>
        <w:tc>
          <w:tcPr>
            <w:tcW w:w="9709" w:type="dxa"/>
          </w:tcPr>
          <w:p w14:paraId="7EC55EA5" w14:textId="77777777" w:rsidR="00B47D9D" w:rsidRDefault="00B47D9D" w:rsidP="005D0E24">
            <w:pPr>
              <w:pStyle w:val="Paragraph"/>
              <w:spacing w:before="0" w:line="240" w:lineRule="auto"/>
            </w:pPr>
            <w:r>
              <w:t xml:space="preserve">SP-TIE LMP for import/export schedule </w:t>
            </w:r>
            <w:r>
              <w:rPr>
                <w:i/>
              </w:rPr>
              <w:t>l</w:t>
            </w:r>
            <w:r>
              <w:t xml:space="preserve"> to/from BAA </w:t>
            </w:r>
            <w:r>
              <w:rPr>
                <w:i/>
              </w:rPr>
              <w:t>j</w:t>
            </w:r>
            <w:r>
              <w:t xml:space="preserve"> from/to BAA </w:t>
            </w:r>
            <w:r>
              <w:rPr>
                <w:i/>
              </w:rPr>
              <w:t>k</w:t>
            </w:r>
            <w:r>
              <w:t>.</w:t>
            </w:r>
          </w:p>
        </w:tc>
      </w:tr>
      <w:tr w:rsidR="00B47D9D" w14:paraId="03B4956D" w14:textId="77777777" w:rsidTr="005D0E24">
        <w:trPr>
          <w:cantSplit/>
        </w:trPr>
        <w:tc>
          <w:tcPr>
            <w:tcW w:w="1001" w:type="dxa"/>
          </w:tcPr>
          <w:p w14:paraId="71610CF7" w14:textId="77777777" w:rsidR="00B47D9D" w:rsidRPr="00267D96" w:rsidRDefault="00B47D9D" w:rsidP="005D0E24">
            <w:pPr>
              <w:pStyle w:val="Paragraph"/>
              <w:spacing w:before="0" w:line="240" w:lineRule="auto"/>
              <w:rPr>
                <w:i/>
              </w:rPr>
            </w:pPr>
            <w:r>
              <w:rPr>
                <w:i/>
              </w:rPr>
              <w:t>SMEC</w:t>
            </w:r>
          </w:p>
        </w:tc>
        <w:tc>
          <w:tcPr>
            <w:tcW w:w="9709" w:type="dxa"/>
          </w:tcPr>
          <w:p w14:paraId="333B4436" w14:textId="77777777" w:rsidR="00B47D9D" w:rsidRDefault="00B47D9D" w:rsidP="005D0E24">
            <w:pPr>
              <w:pStyle w:val="Paragraph"/>
              <w:spacing w:before="0" w:line="240" w:lineRule="auto"/>
            </w:pPr>
            <w:r>
              <w:t>System marginal energy cost (SMEC).</w:t>
            </w:r>
          </w:p>
        </w:tc>
      </w:tr>
      <w:tr w:rsidR="00B47D9D" w14:paraId="239BD37F" w14:textId="77777777" w:rsidTr="005D0E24">
        <w:trPr>
          <w:cantSplit/>
        </w:trPr>
        <w:tc>
          <w:tcPr>
            <w:tcW w:w="1001" w:type="dxa"/>
          </w:tcPr>
          <w:p w14:paraId="41D526DA" w14:textId="088BD0EB" w:rsidR="00B47D9D" w:rsidRDefault="00854973" w:rsidP="005D0E24">
            <w:pPr>
              <w:pStyle w:val="Paragraph"/>
              <w:spacing w:before="0" w:line="240" w:lineRule="auto"/>
              <w:rPr>
                <w:i/>
              </w:rPr>
            </w:pPr>
            <w:r>
              <w:rPr>
                <w:i/>
              </w:rPr>
              <w:t>MCL</w:t>
            </w:r>
          </w:p>
        </w:tc>
        <w:tc>
          <w:tcPr>
            <w:tcW w:w="9709" w:type="dxa"/>
          </w:tcPr>
          <w:p w14:paraId="29405223" w14:textId="384595E2" w:rsidR="00B47D9D" w:rsidRDefault="00B47D9D" w:rsidP="005D0E24">
            <w:pPr>
              <w:pStyle w:val="Paragraph"/>
              <w:spacing w:before="0" w:line="240" w:lineRule="auto"/>
            </w:pPr>
            <w:r>
              <w:t xml:space="preserve">Marginal </w:t>
            </w:r>
            <w:r w:rsidR="00854973">
              <w:t>cost</w:t>
            </w:r>
            <w:r w:rsidR="00F9524E">
              <w:t xml:space="preserve"> of</w:t>
            </w:r>
            <w:r w:rsidR="00854973">
              <w:t xml:space="preserve"> losses</w:t>
            </w:r>
            <w:r>
              <w:t xml:space="preserve"> (</w:t>
            </w:r>
            <w:r w:rsidR="00854973">
              <w:t>MCL</w:t>
            </w:r>
            <w:r>
              <w:t>).</w:t>
            </w:r>
          </w:p>
        </w:tc>
      </w:tr>
      <w:tr w:rsidR="00B47D9D" w14:paraId="1D569F9F" w14:textId="77777777" w:rsidTr="005D0E24">
        <w:trPr>
          <w:cantSplit/>
        </w:trPr>
        <w:tc>
          <w:tcPr>
            <w:tcW w:w="1001" w:type="dxa"/>
          </w:tcPr>
          <w:p w14:paraId="2C0D6D41" w14:textId="77777777" w:rsidR="00B47D9D" w:rsidRDefault="00B47D9D" w:rsidP="005D0E24">
            <w:pPr>
              <w:pStyle w:val="Paragraph"/>
              <w:spacing w:before="0" w:line="240" w:lineRule="auto"/>
              <w:rPr>
                <w:i/>
              </w:rPr>
            </w:pPr>
            <w:r>
              <w:rPr>
                <w:i/>
              </w:rPr>
              <w:t>MCC</w:t>
            </w:r>
          </w:p>
        </w:tc>
        <w:tc>
          <w:tcPr>
            <w:tcW w:w="9709" w:type="dxa"/>
          </w:tcPr>
          <w:p w14:paraId="1A252058" w14:textId="77777777" w:rsidR="00B47D9D" w:rsidRDefault="00B47D9D" w:rsidP="005D0E24">
            <w:pPr>
              <w:pStyle w:val="Paragraph"/>
              <w:spacing w:before="0" w:line="240" w:lineRule="auto"/>
            </w:pPr>
            <w:r>
              <w:t>Marginal congestion cost (MCC).</w:t>
            </w:r>
          </w:p>
        </w:tc>
      </w:tr>
      <w:tr w:rsidR="00B47D9D" w14:paraId="069AA912" w14:textId="77777777" w:rsidTr="005D0E24">
        <w:trPr>
          <w:cantSplit/>
        </w:trPr>
        <w:tc>
          <w:tcPr>
            <w:tcW w:w="1001" w:type="dxa"/>
          </w:tcPr>
          <w:p w14:paraId="1F364D76" w14:textId="77777777" w:rsidR="00B47D9D" w:rsidRDefault="00B47D9D" w:rsidP="005D0E24">
            <w:pPr>
              <w:pStyle w:val="Paragraph"/>
              <w:spacing w:before="0" w:line="240" w:lineRule="auto"/>
              <w:rPr>
                <w:i/>
              </w:rPr>
            </w:pPr>
            <w:r>
              <w:rPr>
                <w:i/>
              </w:rPr>
              <w:t>MGC</w:t>
            </w:r>
          </w:p>
        </w:tc>
        <w:tc>
          <w:tcPr>
            <w:tcW w:w="9709" w:type="dxa"/>
          </w:tcPr>
          <w:p w14:paraId="01467246" w14:textId="77777777" w:rsidR="00B47D9D" w:rsidRDefault="00B47D9D" w:rsidP="005D0E24">
            <w:pPr>
              <w:pStyle w:val="Paragraph"/>
              <w:spacing w:before="0" w:line="240" w:lineRule="auto"/>
            </w:pPr>
            <w:r>
              <w:t>Marginal greenhouse gas regulation cost (MGC).</w:t>
            </w:r>
          </w:p>
        </w:tc>
      </w:tr>
      <w:tr w:rsidR="00B47D9D" w:rsidRPr="00D56399" w14:paraId="3E7FC6A2" w14:textId="77777777" w:rsidTr="005D0E24">
        <w:trPr>
          <w:cantSplit/>
        </w:trPr>
        <w:tc>
          <w:tcPr>
            <w:tcW w:w="1001" w:type="dxa"/>
          </w:tcPr>
          <w:p w14:paraId="7654CF82" w14:textId="77777777" w:rsidR="00B47D9D" w:rsidRDefault="00B47D9D" w:rsidP="005D0E24">
            <w:pPr>
              <w:pStyle w:val="Paragraph"/>
              <w:spacing w:before="0" w:line="240" w:lineRule="auto"/>
              <w:rPr>
                <w:i/>
              </w:rPr>
            </w:pPr>
            <w:r>
              <w:rPr>
                <w:i/>
              </w:rPr>
              <w:t>MCC</w:t>
            </w:r>
            <w:r>
              <w:rPr>
                <w:i/>
                <w:vertAlign w:val="subscript"/>
              </w:rPr>
              <w:t>i,r</w:t>
            </w:r>
          </w:p>
        </w:tc>
        <w:tc>
          <w:tcPr>
            <w:tcW w:w="9709" w:type="dxa"/>
          </w:tcPr>
          <w:p w14:paraId="2EA9ADDD" w14:textId="77777777" w:rsidR="00B47D9D" w:rsidRPr="00D56399" w:rsidRDefault="00B47D9D" w:rsidP="005D0E24">
            <w:pPr>
              <w:pStyle w:val="Paragraph"/>
              <w:spacing w:before="0" w:line="240" w:lineRule="auto"/>
            </w:pPr>
            <w:r>
              <w:t xml:space="preserve">MCC component for BAA </w:t>
            </w:r>
            <w:r>
              <w:rPr>
                <w:i/>
              </w:rPr>
              <w:t>r</w:t>
            </w:r>
            <w:r>
              <w:t xml:space="preserve"> at node </w:t>
            </w:r>
            <w:r>
              <w:rPr>
                <w:i/>
              </w:rPr>
              <w:t>i</w:t>
            </w:r>
            <w:r>
              <w:t>.</w:t>
            </w:r>
          </w:p>
        </w:tc>
      </w:tr>
      <w:tr w:rsidR="00B47D9D" w:rsidRPr="00D56399" w14:paraId="79B174D6" w14:textId="77777777" w:rsidTr="005D0E24">
        <w:trPr>
          <w:cantSplit/>
        </w:trPr>
        <w:tc>
          <w:tcPr>
            <w:tcW w:w="1001" w:type="dxa"/>
          </w:tcPr>
          <w:p w14:paraId="46F41C67" w14:textId="77777777" w:rsidR="00B47D9D" w:rsidRDefault="00B47D9D" w:rsidP="005D0E24">
            <w:pPr>
              <w:pStyle w:val="Paragraph"/>
              <w:spacing w:before="0" w:line="240" w:lineRule="auto"/>
              <w:rPr>
                <w:i/>
              </w:rPr>
            </w:pPr>
            <w:r>
              <w:rPr>
                <w:i/>
              </w:rPr>
              <w:t>MCC</w:t>
            </w:r>
            <w:r>
              <w:rPr>
                <w:i/>
                <w:vertAlign w:val="subscript"/>
              </w:rPr>
              <w:t>j,k,l,r</w:t>
            </w:r>
          </w:p>
        </w:tc>
        <w:tc>
          <w:tcPr>
            <w:tcW w:w="9709" w:type="dxa"/>
          </w:tcPr>
          <w:p w14:paraId="1DF2764F" w14:textId="77777777" w:rsidR="00B47D9D" w:rsidRPr="00D56399" w:rsidRDefault="00B47D9D" w:rsidP="005D0E24">
            <w:pPr>
              <w:pStyle w:val="Paragraph"/>
              <w:spacing w:before="0" w:line="240" w:lineRule="auto"/>
            </w:pPr>
            <w:r>
              <w:t xml:space="preserve">MCC component for BAA </w:t>
            </w:r>
            <w:r>
              <w:rPr>
                <w:i/>
              </w:rPr>
              <w:t>r</w:t>
            </w:r>
            <w:r>
              <w:t xml:space="preserve"> for import/export schedule </w:t>
            </w:r>
            <w:r>
              <w:rPr>
                <w:i/>
              </w:rPr>
              <w:t>l</w:t>
            </w:r>
            <w:r>
              <w:t xml:space="preserve"> to/from BAA </w:t>
            </w:r>
            <w:r>
              <w:rPr>
                <w:i/>
              </w:rPr>
              <w:t>j</w:t>
            </w:r>
            <w:r>
              <w:t xml:space="preserve"> from/to BAA </w:t>
            </w:r>
            <w:r>
              <w:rPr>
                <w:i/>
              </w:rPr>
              <w:t>k</w:t>
            </w:r>
            <w:r>
              <w:t>.</w:t>
            </w:r>
          </w:p>
        </w:tc>
      </w:tr>
      <w:tr w:rsidR="00882856" w:rsidRPr="00D56399" w14:paraId="3CD4B85D" w14:textId="77777777" w:rsidTr="00F9524E">
        <w:trPr>
          <w:cantSplit/>
        </w:trPr>
        <w:tc>
          <w:tcPr>
            <w:tcW w:w="1001" w:type="dxa"/>
          </w:tcPr>
          <w:p w14:paraId="3508D246" w14:textId="424D3517" w:rsidR="00882856" w:rsidRDefault="00882856" w:rsidP="00882856">
            <w:pPr>
              <w:pStyle w:val="Paragraph"/>
              <w:spacing w:before="0" w:line="240" w:lineRule="auto"/>
              <w:rPr>
                <w:i/>
              </w:rPr>
            </w:pPr>
            <w:r>
              <w:rPr>
                <w:i/>
              </w:rPr>
              <w:t>b</w:t>
            </w:r>
            <w:r>
              <w:rPr>
                <w:i/>
                <w:vertAlign w:val="subscript"/>
              </w:rPr>
              <w:t>m</w:t>
            </w:r>
          </w:p>
        </w:tc>
        <w:tc>
          <w:tcPr>
            <w:tcW w:w="9709" w:type="dxa"/>
          </w:tcPr>
          <w:p w14:paraId="2E77967B" w14:textId="75C8202B" w:rsidR="00882856" w:rsidRDefault="00882856" w:rsidP="00882856">
            <w:pPr>
              <w:pStyle w:val="Paragraph"/>
              <w:spacing w:before="0" w:line="240" w:lineRule="auto"/>
            </w:pPr>
            <w:r>
              <w:t xml:space="preserve">Power flow limit for transmission constraint </w:t>
            </w:r>
            <w:r>
              <w:rPr>
                <w:i/>
              </w:rPr>
              <w:t>m</w:t>
            </w:r>
            <w:r>
              <w:t>.</w:t>
            </w:r>
          </w:p>
        </w:tc>
      </w:tr>
      <w:tr w:rsidR="007D1E46" w:rsidRPr="00D56399" w14:paraId="70248F6E" w14:textId="77777777" w:rsidTr="00F9524E">
        <w:trPr>
          <w:cantSplit/>
        </w:trPr>
        <w:tc>
          <w:tcPr>
            <w:tcW w:w="1001" w:type="dxa"/>
          </w:tcPr>
          <w:p w14:paraId="16A52CB5" w14:textId="459F5A7C" w:rsidR="007D1E46" w:rsidRDefault="007D1E46" w:rsidP="00882856">
            <w:pPr>
              <w:pStyle w:val="Paragraph"/>
              <w:spacing w:before="0" w:line="240" w:lineRule="auto"/>
              <w:rPr>
                <w:i/>
              </w:rPr>
            </w:pPr>
            <w:r>
              <w:rPr>
                <w:i/>
              </w:rPr>
              <w:t>T</w:t>
            </w:r>
            <w:r w:rsidRPr="005D0E24">
              <w:rPr>
                <w:i/>
                <w:vertAlign w:val="subscript"/>
              </w:rPr>
              <w:t>j</w:t>
            </w:r>
          </w:p>
        </w:tc>
        <w:tc>
          <w:tcPr>
            <w:tcW w:w="9709" w:type="dxa"/>
          </w:tcPr>
          <w:p w14:paraId="59B0D692" w14:textId="02A246F6" w:rsidR="007D1E46" w:rsidRDefault="007D1E46" w:rsidP="00882856">
            <w:pPr>
              <w:pStyle w:val="Paragraph"/>
              <w:spacing w:before="0" w:line="240" w:lineRule="auto"/>
            </w:pPr>
            <w:r>
              <w:t xml:space="preserve">Net EIM Transfer of BAA </w:t>
            </w:r>
            <w:r w:rsidRPr="005D0E24">
              <w:rPr>
                <w:i/>
              </w:rPr>
              <w:t>j</w:t>
            </w:r>
            <w:r w:rsidR="006C3DAF" w:rsidRPr="005D0E24">
              <w:t>; positive for export and negative for import</w:t>
            </w:r>
            <w:r>
              <w:t>.</w:t>
            </w:r>
          </w:p>
        </w:tc>
      </w:tr>
      <w:tr w:rsidR="006C3DAF" w:rsidRPr="00D56399" w14:paraId="7B7E636B" w14:textId="77777777" w:rsidTr="00F9524E">
        <w:trPr>
          <w:cantSplit/>
        </w:trPr>
        <w:tc>
          <w:tcPr>
            <w:tcW w:w="1001" w:type="dxa"/>
          </w:tcPr>
          <w:p w14:paraId="0A8E2C73" w14:textId="0F782B32" w:rsidR="006C3DAF" w:rsidRDefault="006C3DAF" w:rsidP="006C3DAF">
            <w:pPr>
              <w:pStyle w:val="Paragraph"/>
              <w:spacing w:before="0" w:line="240" w:lineRule="auto"/>
              <w:rPr>
                <w:i/>
              </w:rPr>
            </w:pPr>
            <w:r w:rsidRPr="00267D96">
              <w:rPr>
                <w:i/>
              </w:rPr>
              <w:t>ET</w:t>
            </w:r>
            <w:r w:rsidRPr="00267D96">
              <w:rPr>
                <w:i/>
                <w:vertAlign w:val="subscript"/>
              </w:rPr>
              <w:t>j,k,l</w:t>
            </w:r>
          </w:p>
        </w:tc>
        <w:tc>
          <w:tcPr>
            <w:tcW w:w="9709" w:type="dxa"/>
          </w:tcPr>
          <w:p w14:paraId="0B4BF18D" w14:textId="101DE5FF" w:rsidR="006C3DAF" w:rsidRDefault="006C3DAF" w:rsidP="006C3DAF">
            <w:pPr>
              <w:pStyle w:val="Paragraph"/>
              <w:spacing w:before="0" w:line="240" w:lineRule="auto"/>
            </w:pPr>
            <w:r>
              <w:t xml:space="preserve">Export energy transfer (ETSR) schedule </w:t>
            </w:r>
            <w:r>
              <w:rPr>
                <w:i/>
              </w:rPr>
              <w:t>l</w:t>
            </w:r>
            <w:r>
              <w:t xml:space="preserve"> from BAA </w:t>
            </w:r>
            <w:r>
              <w:rPr>
                <w:i/>
              </w:rPr>
              <w:t>j</w:t>
            </w:r>
            <w:r>
              <w:t xml:space="preserve"> to BAA </w:t>
            </w:r>
            <w:r>
              <w:rPr>
                <w:i/>
              </w:rPr>
              <w:t>k</w:t>
            </w:r>
            <w:r>
              <w:t>.</w:t>
            </w:r>
          </w:p>
        </w:tc>
      </w:tr>
    </w:tbl>
    <w:tbl>
      <w:tblPr>
        <w:tblStyle w:val="TableGrid10"/>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9720"/>
      </w:tblGrid>
      <w:tr w:rsidR="00B47D9D" w14:paraId="76823E9D" w14:textId="77777777" w:rsidTr="005D0E24">
        <w:trPr>
          <w:cantSplit/>
        </w:trPr>
        <w:tc>
          <w:tcPr>
            <w:tcW w:w="990" w:type="dxa"/>
          </w:tcPr>
          <w:p w14:paraId="27DC222A" w14:textId="77777777" w:rsidR="00B47D9D" w:rsidRPr="00267D96" w:rsidRDefault="00B47D9D" w:rsidP="005D0E24">
            <w:pPr>
              <w:pStyle w:val="Paragraph"/>
              <w:spacing w:before="0" w:line="240" w:lineRule="auto"/>
              <w:rPr>
                <w:i/>
              </w:rPr>
            </w:pPr>
            <w:r w:rsidRPr="00267D96">
              <w:rPr>
                <w:i/>
              </w:rPr>
              <w:t>R</w:t>
            </w:r>
            <w:r>
              <w:rPr>
                <w:i/>
                <w:vertAlign w:val="subscript"/>
              </w:rPr>
              <w:t>m</w:t>
            </w:r>
          </w:p>
        </w:tc>
        <w:tc>
          <w:tcPr>
            <w:tcW w:w="9720" w:type="dxa"/>
          </w:tcPr>
          <w:p w14:paraId="431778CE" w14:textId="77777777" w:rsidR="00B47D9D" w:rsidRDefault="00B47D9D" w:rsidP="005D0E24">
            <w:pPr>
              <w:pStyle w:val="Paragraph"/>
              <w:spacing w:before="0" w:line="240" w:lineRule="auto"/>
            </w:pPr>
            <w:r>
              <w:t xml:space="preserve">Congestion revenue from transmission constraint </w:t>
            </w:r>
            <w:r>
              <w:rPr>
                <w:i/>
              </w:rPr>
              <w:t>m</w:t>
            </w:r>
            <w:r>
              <w:t>.</w:t>
            </w:r>
          </w:p>
        </w:tc>
      </w:tr>
      <w:tr w:rsidR="00B47D9D" w14:paraId="7582560E" w14:textId="77777777" w:rsidTr="005D0E24">
        <w:trPr>
          <w:cantSplit/>
        </w:trPr>
        <w:tc>
          <w:tcPr>
            <w:tcW w:w="990" w:type="dxa"/>
          </w:tcPr>
          <w:p w14:paraId="7DA90DAF" w14:textId="77777777" w:rsidR="00B47D9D" w:rsidRPr="00267D96" w:rsidRDefault="00B47D9D" w:rsidP="005D0E24">
            <w:pPr>
              <w:pStyle w:val="Paragraph"/>
              <w:spacing w:before="0" w:line="240" w:lineRule="auto"/>
              <w:rPr>
                <w:i/>
              </w:rPr>
            </w:pPr>
            <w:r w:rsidRPr="00267D96">
              <w:rPr>
                <w:i/>
              </w:rPr>
              <w:t>R</w:t>
            </w:r>
            <w:r>
              <w:rPr>
                <w:i/>
                <w:vertAlign w:val="subscript"/>
              </w:rPr>
              <w:t>Tj</w:t>
            </w:r>
          </w:p>
        </w:tc>
        <w:tc>
          <w:tcPr>
            <w:tcW w:w="9720" w:type="dxa"/>
          </w:tcPr>
          <w:p w14:paraId="597EEE21" w14:textId="77777777" w:rsidR="00B47D9D" w:rsidRDefault="00B47D9D" w:rsidP="005D0E24">
            <w:pPr>
              <w:pStyle w:val="Paragraph"/>
              <w:spacing w:before="0" w:line="240" w:lineRule="auto"/>
            </w:pPr>
            <w:r>
              <w:t xml:space="preserve">Congestion revenue from EIM transfer scheduling limits for BAA </w:t>
            </w:r>
            <w:r>
              <w:rPr>
                <w:i/>
              </w:rPr>
              <w:t>j</w:t>
            </w:r>
            <w:r>
              <w:t>.</w:t>
            </w:r>
          </w:p>
        </w:tc>
      </w:tr>
      <w:tr w:rsidR="00B47D9D" w14:paraId="115EBB7E" w14:textId="77777777" w:rsidTr="005D0E24">
        <w:trPr>
          <w:cantSplit/>
        </w:trPr>
        <w:tc>
          <w:tcPr>
            <w:tcW w:w="990" w:type="dxa"/>
          </w:tcPr>
          <w:p w14:paraId="242C50C6" w14:textId="77777777" w:rsidR="00B47D9D" w:rsidRPr="00267D96" w:rsidRDefault="00B47D9D" w:rsidP="005D0E24">
            <w:pPr>
              <w:pStyle w:val="Paragraph"/>
              <w:spacing w:before="0" w:line="240" w:lineRule="auto"/>
              <w:rPr>
                <w:i/>
              </w:rPr>
            </w:pPr>
            <w:r w:rsidRPr="00267D96">
              <w:rPr>
                <w:i/>
              </w:rPr>
              <w:t>R</w:t>
            </w:r>
            <w:r w:rsidRPr="00267D96">
              <w:rPr>
                <w:i/>
                <w:vertAlign w:val="subscript"/>
              </w:rPr>
              <w:t>j,k,l</w:t>
            </w:r>
          </w:p>
        </w:tc>
        <w:tc>
          <w:tcPr>
            <w:tcW w:w="9720" w:type="dxa"/>
          </w:tcPr>
          <w:p w14:paraId="53236ECE" w14:textId="77777777" w:rsidR="00B47D9D" w:rsidRDefault="00B47D9D" w:rsidP="005D0E24">
            <w:pPr>
              <w:pStyle w:val="Paragraph"/>
              <w:spacing w:before="0" w:line="240" w:lineRule="auto"/>
            </w:pPr>
            <w:r>
              <w:t xml:space="preserve">Congestion revenue from ETSR </w:t>
            </w:r>
            <w:r w:rsidRPr="00267D96">
              <w:rPr>
                <w:i/>
              </w:rPr>
              <w:t>ET</w:t>
            </w:r>
            <w:r w:rsidRPr="00267D96">
              <w:rPr>
                <w:i/>
                <w:vertAlign w:val="subscript"/>
              </w:rPr>
              <w:t>j,k,l</w:t>
            </w:r>
            <w:r>
              <w:t>.</w:t>
            </w:r>
          </w:p>
        </w:tc>
      </w:tr>
      <w:tr w:rsidR="00B47D9D" w14:paraId="6E0E5FA6" w14:textId="77777777" w:rsidTr="005D0E24">
        <w:trPr>
          <w:cantSplit/>
        </w:trPr>
        <w:tc>
          <w:tcPr>
            <w:tcW w:w="990" w:type="dxa"/>
          </w:tcPr>
          <w:p w14:paraId="7A4B7E67" w14:textId="77777777" w:rsidR="00B47D9D" w:rsidRPr="00267D96" w:rsidRDefault="00B47D9D" w:rsidP="005D0E24">
            <w:pPr>
              <w:pStyle w:val="Paragraph"/>
              <w:spacing w:before="0" w:line="240" w:lineRule="auto"/>
              <w:rPr>
                <w:i/>
              </w:rPr>
            </w:pPr>
            <w:r w:rsidRPr="00267D96">
              <w:rPr>
                <w:i/>
              </w:rPr>
              <w:t>R</w:t>
            </w:r>
            <w:r w:rsidRPr="00942E54">
              <w:rPr>
                <w:i/>
                <w:vertAlign w:val="subscript"/>
              </w:rPr>
              <w:t>D</w:t>
            </w:r>
            <w:r w:rsidRPr="00267D96">
              <w:rPr>
                <w:i/>
                <w:vertAlign w:val="subscript"/>
              </w:rPr>
              <w:t>j</w:t>
            </w:r>
          </w:p>
        </w:tc>
        <w:tc>
          <w:tcPr>
            <w:tcW w:w="9720" w:type="dxa"/>
          </w:tcPr>
          <w:p w14:paraId="3D3D2702" w14:textId="77777777" w:rsidR="00B47D9D" w:rsidRDefault="00B47D9D" w:rsidP="005D0E24">
            <w:pPr>
              <w:pStyle w:val="Paragraph"/>
              <w:spacing w:before="0" w:line="240" w:lineRule="auto"/>
            </w:pPr>
            <w:r>
              <w:t xml:space="preserve">Congestion revenue from the EIM transfer distribution constraint for BAA </w:t>
            </w:r>
            <w:r>
              <w:rPr>
                <w:i/>
              </w:rPr>
              <w:t>j</w:t>
            </w:r>
            <w:r>
              <w:t>.</w:t>
            </w:r>
          </w:p>
        </w:tc>
      </w:tr>
      <w:tr w:rsidR="00B47D9D" w14:paraId="1EC1C14C" w14:textId="77777777" w:rsidTr="005D0E24">
        <w:trPr>
          <w:cantSplit/>
        </w:trPr>
        <w:tc>
          <w:tcPr>
            <w:tcW w:w="990" w:type="dxa"/>
          </w:tcPr>
          <w:p w14:paraId="38786109" w14:textId="77777777" w:rsidR="00B47D9D" w:rsidRPr="00267D96" w:rsidRDefault="00B47D9D" w:rsidP="005D0E24">
            <w:pPr>
              <w:pStyle w:val="Paragraph"/>
              <w:spacing w:before="0" w:line="240" w:lineRule="auto"/>
              <w:rPr>
                <w:i/>
              </w:rPr>
            </w:pPr>
            <w:r w:rsidRPr="00267D96">
              <w:rPr>
                <w:i/>
              </w:rPr>
              <w:t>R</w:t>
            </w:r>
            <w:r w:rsidRPr="00942E54">
              <w:rPr>
                <w:i/>
                <w:vertAlign w:val="subscript"/>
              </w:rPr>
              <w:t>D</w:t>
            </w:r>
          </w:p>
        </w:tc>
        <w:tc>
          <w:tcPr>
            <w:tcW w:w="9720" w:type="dxa"/>
          </w:tcPr>
          <w:p w14:paraId="7D2F6850" w14:textId="77777777" w:rsidR="00B47D9D" w:rsidRDefault="00B47D9D" w:rsidP="005D0E24">
            <w:pPr>
              <w:pStyle w:val="Paragraph"/>
              <w:spacing w:before="0" w:line="240" w:lineRule="auto"/>
            </w:pPr>
            <w:r>
              <w:t>Congestion revenue from all EIM transfer distribution constraints.</w:t>
            </w:r>
          </w:p>
        </w:tc>
      </w:tr>
      <w:tr w:rsidR="00B47D9D" w14:paraId="46DF6EF6" w14:textId="77777777" w:rsidTr="005D0E24">
        <w:trPr>
          <w:cantSplit/>
        </w:trPr>
        <w:tc>
          <w:tcPr>
            <w:tcW w:w="990" w:type="dxa"/>
          </w:tcPr>
          <w:p w14:paraId="0A213A62" w14:textId="77777777" w:rsidR="00B47D9D" w:rsidRPr="00267D96" w:rsidRDefault="00B47D9D" w:rsidP="005D0E24">
            <w:pPr>
              <w:pStyle w:val="Paragraph"/>
              <w:spacing w:before="0" w:line="240" w:lineRule="auto"/>
              <w:rPr>
                <w:i/>
              </w:rPr>
            </w:pPr>
            <w:r w:rsidRPr="00267D96">
              <w:rPr>
                <w:i/>
              </w:rPr>
              <w:t>R</w:t>
            </w:r>
            <w:r>
              <w:rPr>
                <w:i/>
                <w:vertAlign w:val="subscript"/>
              </w:rPr>
              <w:t>CT</w:t>
            </w:r>
            <w:r w:rsidRPr="00267D96">
              <w:rPr>
                <w:i/>
                <w:vertAlign w:val="subscript"/>
              </w:rPr>
              <w:t>j,k,l</w:t>
            </w:r>
          </w:p>
        </w:tc>
        <w:tc>
          <w:tcPr>
            <w:tcW w:w="9720" w:type="dxa"/>
          </w:tcPr>
          <w:p w14:paraId="37C976CD" w14:textId="77777777" w:rsidR="00B47D9D" w:rsidRDefault="00B47D9D" w:rsidP="005D0E24">
            <w:pPr>
              <w:pStyle w:val="Paragraph"/>
              <w:spacing w:before="0" w:line="240" w:lineRule="auto"/>
            </w:pPr>
            <w:r>
              <w:t xml:space="preserve">Congestion revenue from the transmission cost of the energy transfer schedule </w:t>
            </w:r>
            <w:r w:rsidRPr="00F13B3E">
              <w:rPr>
                <w:i/>
              </w:rPr>
              <w:t>l</w:t>
            </w:r>
            <w:r>
              <w:t xml:space="preserve"> between BAAs </w:t>
            </w:r>
            <w:r>
              <w:rPr>
                <w:i/>
              </w:rPr>
              <w:t>j</w:t>
            </w:r>
            <w:r>
              <w:t xml:space="preserve"> and </w:t>
            </w:r>
            <w:r>
              <w:rPr>
                <w:i/>
              </w:rPr>
              <w:t>k</w:t>
            </w:r>
            <w:r>
              <w:t>.</w:t>
            </w:r>
          </w:p>
        </w:tc>
      </w:tr>
      <w:tr w:rsidR="00B47D9D" w14:paraId="5EDB4983" w14:textId="77777777" w:rsidTr="005D0E24">
        <w:trPr>
          <w:cantSplit/>
        </w:trPr>
        <w:tc>
          <w:tcPr>
            <w:tcW w:w="990" w:type="dxa"/>
          </w:tcPr>
          <w:p w14:paraId="04B0C111" w14:textId="77777777" w:rsidR="00B47D9D" w:rsidRPr="00267D96" w:rsidRDefault="00B47D9D" w:rsidP="005D0E24">
            <w:pPr>
              <w:pStyle w:val="Paragraph"/>
              <w:spacing w:before="0" w:line="240" w:lineRule="auto"/>
              <w:rPr>
                <w:i/>
              </w:rPr>
            </w:pPr>
            <w:r w:rsidRPr="00267D96">
              <w:rPr>
                <w:i/>
              </w:rPr>
              <w:t>R</w:t>
            </w:r>
            <w:r>
              <w:rPr>
                <w:i/>
                <w:vertAlign w:val="subscript"/>
              </w:rPr>
              <w:t>ET</w:t>
            </w:r>
            <w:r w:rsidRPr="00267D96">
              <w:rPr>
                <w:i/>
                <w:vertAlign w:val="subscript"/>
              </w:rPr>
              <w:t>j,k,l</w:t>
            </w:r>
          </w:p>
        </w:tc>
        <w:tc>
          <w:tcPr>
            <w:tcW w:w="9720" w:type="dxa"/>
          </w:tcPr>
          <w:p w14:paraId="0BEB59A8" w14:textId="77777777" w:rsidR="00B47D9D" w:rsidRDefault="00B47D9D" w:rsidP="005D0E24">
            <w:pPr>
              <w:pStyle w:val="Paragraph"/>
              <w:spacing w:before="0" w:line="240" w:lineRule="auto"/>
            </w:pPr>
            <w:r>
              <w:t xml:space="preserve">Congestion revenue from the upper/lower bound constraints on ETSR </w:t>
            </w:r>
            <w:r w:rsidRPr="00267D96">
              <w:rPr>
                <w:i/>
              </w:rPr>
              <w:t>ET</w:t>
            </w:r>
            <w:r w:rsidRPr="00267D96">
              <w:rPr>
                <w:i/>
                <w:vertAlign w:val="subscript"/>
              </w:rPr>
              <w:t>j,k,l</w:t>
            </w:r>
            <w:r>
              <w:t>.</w:t>
            </w:r>
          </w:p>
        </w:tc>
      </w:tr>
      <w:tr w:rsidR="00B47D9D" w14:paraId="15007D48" w14:textId="77777777" w:rsidTr="005D0E24">
        <w:trPr>
          <w:cantSplit/>
        </w:trPr>
        <w:tc>
          <w:tcPr>
            <w:tcW w:w="990" w:type="dxa"/>
          </w:tcPr>
          <w:p w14:paraId="1DA00B5F" w14:textId="77777777" w:rsidR="00B47D9D" w:rsidRPr="00267D96" w:rsidRDefault="00B47D9D" w:rsidP="005D0E24">
            <w:pPr>
              <w:pStyle w:val="Paragraph"/>
              <w:spacing w:before="0" w:line="240" w:lineRule="auto"/>
              <w:rPr>
                <w:i/>
              </w:rPr>
            </w:pPr>
            <w:r w:rsidRPr="00267D96">
              <w:rPr>
                <w:i/>
              </w:rPr>
              <w:t>R</w:t>
            </w:r>
            <w:r>
              <w:rPr>
                <w:i/>
                <w:vertAlign w:val="subscript"/>
              </w:rPr>
              <w:t>SL</w:t>
            </w:r>
            <w:r w:rsidRPr="00267D96">
              <w:rPr>
                <w:i/>
                <w:vertAlign w:val="subscript"/>
              </w:rPr>
              <w:t>j,k,l</w:t>
            </w:r>
          </w:p>
        </w:tc>
        <w:tc>
          <w:tcPr>
            <w:tcW w:w="9720" w:type="dxa"/>
          </w:tcPr>
          <w:p w14:paraId="1FE0FAC1" w14:textId="77777777" w:rsidR="00B47D9D" w:rsidRDefault="00B47D9D" w:rsidP="005D0E24">
            <w:pPr>
              <w:pStyle w:val="Paragraph"/>
              <w:spacing w:before="0" w:line="240" w:lineRule="auto"/>
            </w:pPr>
            <w:r>
              <w:t xml:space="preserve">Congestion revenue from the upper/lower scheduling limits on intertie </w:t>
            </w:r>
            <w:r>
              <w:rPr>
                <w:i/>
              </w:rPr>
              <w:t>l</w:t>
            </w:r>
            <w:r>
              <w:t xml:space="preserve"> to BAA </w:t>
            </w:r>
            <w:r>
              <w:rPr>
                <w:i/>
              </w:rPr>
              <w:t>j</w:t>
            </w:r>
            <w:r>
              <w:t xml:space="preserve"> from BAA </w:t>
            </w:r>
            <w:r>
              <w:rPr>
                <w:i/>
              </w:rPr>
              <w:t>k</w:t>
            </w:r>
            <w:r>
              <w:t>, on interties with energy transfers.</w:t>
            </w:r>
          </w:p>
        </w:tc>
      </w:tr>
      <w:tr w:rsidR="00B47D9D" w14:paraId="4DE34B2E" w14:textId="77777777" w:rsidTr="005D0E24">
        <w:trPr>
          <w:cantSplit/>
        </w:trPr>
        <w:tc>
          <w:tcPr>
            <w:tcW w:w="990" w:type="dxa"/>
          </w:tcPr>
          <w:p w14:paraId="4ED2EB5A" w14:textId="77777777" w:rsidR="00B47D9D" w:rsidRPr="00267D96" w:rsidRDefault="00B47D9D" w:rsidP="005D0E24">
            <w:pPr>
              <w:pStyle w:val="Paragraph"/>
              <w:spacing w:before="0" w:line="240" w:lineRule="auto"/>
              <w:rPr>
                <w:i/>
              </w:rPr>
            </w:pPr>
            <w:r>
              <w:rPr>
                <w:i/>
              </w:rPr>
              <w:t>f</w:t>
            </w:r>
            <w:r>
              <w:rPr>
                <w:i/>
                <w:vertAlign w:val="subscript"/>
              </w:rPr>
              <w:t>m,r</w:t>
            </w:r>
          </w:p>
        </w:tc>
        <w:tc>
          <w:tcPr>
            <w:tcW w:w="9720" w:type="dxa"/>
          </w:tcPr>
          <w:p w14:paraId="0C9BBE61" w14:textId="77777777" w:rsidR="00B47D9D" w:rsidRDefault="00B47D9D" w:rsidP="005D0E24">
            <w:pPr>
              <w:pStyle w:val="Paragraph"/>
              <w:spacing w:before="0" w:line="240" w:lineRule="auto"/>
            </w:pPr>
            <w:r>
              <w:t xml:space="preserve">Congestion revenue distribution factor from transmission constraint </w:t>
            </w:r>
            <w:r>
              <w:rPr>
                <w:i/>
              </w:rPr>
              <w:t>m</w:t>
            </w:r>
            <w:r>
              <w:t xml:space="preserve"> on BAA </w:t>
            </w:r>
            <w:r>
              <w:rPr>
                <w:i/>
              </w:rPr>
              <w:t>r</w:t>
            </w:r>
            <w:r>
              <w:t>.</w:t>
            </w:r>
          </w:p>
        </w:tc>
      </w:tr>
      <w:tr w:rsidR="00B47D9D" w14:paraId="6D40E816" w14:textId="77777777" w:rsidTr="005D0E24">
        <w:trPr>
          <w:cantSplit/>
        </w:trPr>
        <w:tc>
          <w:tcPr>
            <w:tcW w:w="990" w:type="dxa"/>
          </w:tcPr>
          <w:p w14:paraId="23C8098A" w14:textId="77777777" w:rsidR="00B47D9D" w:rsidRPr="00267D96" w:rsidRDefault="00B47D9D" w:rsidP="005D0E24">
            <w:pPr>
              <w:pStyle w:val="Paragraph"/>
              <w:spacing w:before="0" w:line="240" w:lineRule="auto"/>
              <w:rPr>
                <w:i/>
              </w:rPr>
            </w:pPr>
            <w:r>
              <w:rPr>
                <w:i/>
              </w:rPr>
              <w:t>f</w:t>
            </w:r>
            <w:r>
              <w:rPr>
                <w:i/>
                <w:vertAlign w:val="subscript"/>
              </w:rPr>
              <w:t>T,j,r</w:t>
            </w:r>
          </w:p>
        </w:tc>
        <w:tc>
          <w:tcPr>
            <w:tcW w:w="9720" w:type="dxa"/>
          </w:tcPr>
          <w:p w14:paraId="4C22C734" w14:textId="77777777" w:rsidR="00B47D9D" w:rsidRDefault="00B47D9D" w:rsidP="005D0E24">
            <w:pPr>
              <w:pStyle w:val="Paragraph"/>
              <w:spacing w:before="0" w:line="240" w:lineRule="auto"/>
            </w:pPr>
            <w:r>
              <w:t xml:space="preserve">Congestion revenue distribution factor from EIM transfer scheduling limits for BAA </w:t>
            </w:r>
            <w:r>
              <w:rPr>
                <w:i/>
              </w:rPr>
              <w:t>j</w:t>
            </w:r>
            <w:r>
              <w:t xml:space="preserve"> on BAA </w:t>
            </w:r>
            <w:r>
              <w:rPr>
                <w:i/>
              </w:rPr>
              <w:t>r</w:t>
            </w:r>
            <w:r>
              <w:t>.</w:t>
            </w:r>
          </w:p>
        </w:tc>
      </w:tr>
      <w:tr w:rsidR="00B47D9D" w14:paraId="3E750DA5" w14:textId="77777777" w:rsidTr="005D0E24">
        <w:trPr>
          <w:cantSplit/>
        </w:trPr>
        <w:tc>
          <w:tcPr>
            <w:tcW w:w="990" w:type="dxa"/>
          </w:tcPr>
          <w:p w14:paraId="6E1477CB" w14:textId="77777777" w:rsidR="00B47D9D" w:rsidRPr="00267D96" w:rsidRDefault="00B47D9D" w:rsidP="005D0E24">
            <w:pPr>
              <w:pStyle w:val="Paragraph"/>
              <w:spacing w:before="0" w:line="240" w:lineRule="auto"/>
              <w:rPr>
                <w:i/>
              </w:rPr>
            </w:pPr>
            <w:r>
              <w:rPr>
                <w:i/>
              </w:rPr>
              <w:t>f</w:t>
            </w:r>
            <w:r>
              <w:rPr>
                <w:i/>
                <w:vertAlign w:val="subscript"/>
              </w:rPr>
              <w:t>CT,j,k,l,r</w:t>
            </w:r>
          </w:p>
        </w:tc>
        <w:tc>
          <w:tcPr>
            <w:tcW w:w="9720" w:type="dxa"/>
          </w:tcPr>
          <w:p w14:paraId="2244A4DA" w14:textId="77777777" w:rsidR="00B47D9D" w:rsidRDefault="00B47D9D" w:rsidP="005D0E24">
            <w:pPr>
              <w:pStyle w:val="Paragraph"/>
              <w:spacing w:before="0" w:line="240" w:lineRule="auto"/>
            </w:pPr>
            <w:r>
              <w:t xml:space="preserve">Congestion revenue distribution factor from transmission cost of the energy transfer schedule </w:t>
            </w:r>
            <w:r w:rsidRPr="00F13B3E">
              <w:rPr>
                <w:i/>
              </w:rPr>
              <w:t>l</w:t>
            </w:r>
            <w:r>
              <w:t xml:space="preserve"> between BAAs </w:t>
            </w:r>
            <w:r>
              <w:rPr>
                <w:i/>
              </w:rPr>
              <w:t>j</w:t>
            </w:r>
            <w:r>
              <w:t xml:space="preserve"> and </w:t>
            </w:r>
            <w:r>
              <w:rPr>
                <w:i/>
              </w:rPr>
              <w:t>k</w:t>
            </w:r>
            <w:r>
              <w:t xml:space="preserve"> on BAA </w:t>
            </w:r>
            <w:r>
              <w:rPr>
                <w:i/>
              </w:rPr>
              <w:t>r</w:t>
            </w:r>
            <w:r>
              <w:t>.</w:t>
            </w:r>
          </w:p>
        </w:tc>
      </w:tr>
      <w:tr w:rsidR="00B47D9D" w14:paraId="232121F5" w14:textId="77777777" w:rsidTr="005D0E24">
        <w:trPr>
          <w:cantSplit/>
        </w:trPr>
        <w:tc>
          <w:tcPr>
            <w:tcW w:w="990" w:type="dxa"/>
          </w:tcPr>
          <w:p w14:paraId="2B99539A" w14:textId="77777777" w:rsidR="00B47D9D" w:rsidRPr="00267D96" w:rsidRDefault="00B47D9D" w:rsidP="005D0E24">
            <w:pPr>
              <w:pStyle w:val="Paragraph"/>
              <w:spacing w:before="0" w:line="240" w:lineRule="auto"/>
              <w:rPr>
                <w:i/>
              </w:rPr>
            </w:pPr>
            <w:r>
              <w:rPr>
                <w:i/>
              </w:rPr>
              <w:t>f</w:t>
            </w:r>
            <w:r>
              <w:rPr>
                <w:i/>
                <w:vertAlign w:val="subscript"/>
              </w:rPr>
              <w:t>ET,j,k,l,r</w:t>
            </w:r>
          </w:p>
        </w:tc>
        <w:tc>
          <w:tcPr>
            <w:tcW w:w="9720" w:type="dxa"/>
          </w:tcPr>
          <w:p w14:paraId="3428FA8F" w14:textId="77777777" w:rsidR="00B47D9D" w:rsidRDefault="00B47D9D" w:rsidP="005D0E24">
            <w:pPr>
              <w:pStyle w:val="Paragraph"/>
              <w:spacing w:before="0" w:line="240" w:lineRule="auto"/>
            </w:pPr>
            <w:r>
              <w:t xml:space="preserve">Congestion revenue distribution factor from upper/lower bound constraints on export energy transfer schedule </w:t>
            </w:r>
            <w:r>
              <w:rPr>
                <w:i/>
              </w:rPr>
              <w:t>l</w:t>
            </w:r>
            <w:r>
              <w:t xml:space="preserve"> from BAA </w:t>
            </w:r>
            <w:r>
              <w:rPr>
                <w:i/>
              </w:rPr>
              <w:t>j</w:t>
            </w:r>
            <w:r>
              <w:t xml:space="preserve"> to BAA </w:t>
            </w:r>
            <w:r>
              <w:rPr>
                <w:i/>
              </w:rPr>
              <w:t>k</w:t>
            </w:r>
            <w:r>
              <w:t xml:space="preserve"> on BAA </w:t>
            </w:r>
            <w:r>
              <w:rPr>
                <w:i/>
              </w:rPr>
              <w:t>r.</w:t>
            </w:r>
          </w:p>
        </w:tc>
      </w:tr>
      <w:tr w:rsidR="00B47D9D" w14:paraId="02F4B2A7" w14:textId="77777777" w:rsidTr="005D0E24">
        <w:trPr>
          <w:cantSplit/>
        </w:trPr>
        <w:tc>
          <w:tcPr>
            <w:tcW w:w="990" w:type="dxa"/>
          </w:tcPr>
          <w:p w14:paraId="49207DF5" w14:textId="77777777" w:rsidR="00B47D9D" w:rsidRPr="00267D96" w:rsidRDefault="00B47D9D" w:rsidP="00B255B1">
            <w:pPr>
              <w:pStyle w:val="Paragraph"/>
              <w:spacing w:before="0" w:line="240" w:lineRule="auto"/>
              <w:rPr>
                <w:i/>
              </w:rPr>
            </w:pPr>
            <w:r>
              <w:rPr>
                <w:i/>
              </w:rPr>
              <w:t>f</w:t>
            </w:r>
            <w:r>
              <w:rPr>
                <w:i/>
                <w:vertAlign w:val="subscript"/>
              </w:rPr>
              <w:t>SL,j,k,l,r</w:t>
            </w:r>
          </w:p>
        </w:tc>
        <w:tc>
          <w:tcPr>
            <w:tcW w:w="9720" w:type="dxa"/>
          </w:tcPr>
          <w:p w14:paraId="7E8D048E" w14:textId="77777777" w:rsidR="00B47D9D" w:rsidRDefault="00B47D9D" w:rsidP="00B255B1">
            <w:pPr>
              <w:pStyle w:val="Paragraph"/>
              <w:spacing w:before="0" w:line="240" w:lineRule="auto"/>
            </w:pPr>
            <w:r>
              <w:t xml:space="preserve">Congestion revenue distribution factor from upper/lower scheduling limits on intertie </w:t>
            </w:r>
            <w:r>
              <w:rPr>
                <w:i/>
              </w:rPr>
              <w:t>l</w:t>
            </w:r>
            <w:r>
              <w:t xml:space="preserve"> to BAA </w:t>
            </w:r>
            <w:r>
              <w:rPr>
                <w:i/>
              </w:rPr>
              <w:t>j</w:t>
            </w:r>
            <w:r>
              <w:t xml:space="preserve"> from BAA </w:t>
            </w:r>
            <w:r>
              <w:rPr>
                <w:i/>
              </w:rPr>
              <w:t>k</w:t>
            </w:r>
            <w:r>
              <w:t xml:space="preserve"> on BAA </w:t>
            </w:r>
            <w:r>
              <w:rPr>
                <w:i/>
              </w:rPr>
              <w:t>r</w:t>
            </w:r>
            <w:r>
              <w:t>.</w:t>
            </w:r>
          </w:p>
        </w:tc>
      </w:tr>
      <w:tr w:rsidR="00B47D9D" w14:paraId="3310FEB2" w14:textId="77777777" w:rsidTr="005D0E24">
        <w:trPr>
          <w:cantSplit/>
        </w:trPr>
        <w:tc>
          <w:tcPr>
            <w:tcW w:w="990" w:type="dxa"/>
          </w:tcPr>
          <w:p w14:paraId="007655E9" w14:textId="77777777" w:rsidR="00B47D9D" w:rsidRPr="00267D96" w:rsidRDefault="00B47D9D" w:rsidP="00B255B1">
            <w:pPr>
              <w:pStyle w:val="Paragraph"/>
              <w:spacing w:before="0" w:line="240" w:lineRule="auto"/>
              <w:rPr>
                <w:i/>
              </w:rPr>
            </w:pPr>
            <w:r>
              <w:rPr>
                <w:i/>
              </w:rPr>
              <w:t>f</w:t>
            </w:r>
            <w:r>
              <w:rPr>
                <w:i/>
                <w:vertAlign w:val="subscript"/>
              </w:rPr>
              <w:t>Dr</w:t>
            </w:r>
          </w:p>
        </w:tc>
        <w:tc>
          <w:tcPr>
            <w:tcW w:w="9720" w:type="dxa"/>
          </w:tcPr>
          <w:p w14:paraId="56CA89B0" w14:textId="77777777" w:rsidR="00B47D9D" w:rsidRDefault="00B47D9D" w:rsidP="00B255B1">
            <w:pPr>
              <w:pStyle w:val="Paragraph"/>
              <w:spacing w:before="0" w:line="240" w:lineRule="auto"/>
            </w:pPr>
            <w:r>
              <w:t xml:space="preserve">Distribution factor for the shadow price of the energy transfer distribution constraint of any BAA in the EIM Area on BAA </w:t>
            </w:r>
            <w:r>
              <w:rPr>
                <w:i/>
              </w:rPr>
              <w:t>r</w:t>
            </w:r>
            <w:r>
              <w:t>.</w:t>
            </w:r>
          </w:p>
        </w:tc>
      </w:tr>
    </w:tbl>
    <w:p w14:paraId="2E07D0A0" w14:textId="77777777" w:rsidR="00B47D9D" w:rsidRDefault="00B47D9D" w:rsidP="00B47D9D"/>
    <w:p w14:paraId="7CDB5B6B" w14:textId="77777777" w:rsidR="00B47D9D" w:rsidRDefault="00B47D9D" w:rsidP="00B47D9D">
      <w:pPr>
        <w:pStyle w:val="Heading5"/>
      </w:pPr>
      <w:r w:rsidRPr="00C71D25">
        <w:t>Congestion Revenue Allocation (MCC Decomposition</w:t>
      </w:r>
      <w:r>
        <w:t>)</w:t>
      </w:r>
    </w:p>
    <w:p w14:paraId="4EB0088D" w14:textId="42D78201" w:rsidR="00CD272F" w:rsidRDefault="00B255B1" w:rsidP="00B255B1">
      <w:r>
        <w:t xml:space="preserve">The LMP decomposition is used in neutrality cost allocation. </w:t>
      </w:r>
      <w:r w:rsidR="001545F7">
        <w:t xml:space="preserve">Before presenting the MCC decomposition, it is useful to present </w:t>
      </w:r>
      <w:r w:rsidR="00CD272F">
        <w:t>all LMP components first. The LMP can be decomposed to the following components:</w:t>
      </w:r>
    </w:p>
    <w:p w14:paraId="5244F7F7" w14:textId="77777777" w:rsidR="00CD272F" w:rsidRDefault="00CD272F" w:rsidP="000F0531">
      <w:pPr>
        <w:pStyle w:val="Paragraph"/>
        <w:numPr>
          <w:ilvl w:val="0"/>
          <w:numId w:val="74"/>
        </w:numPr>
        <w:spacing w:after="0" w:line="240" w:lineRule="auto"/>
        <w:jc w:val="both"/>
      </w:pPr>
      <w:r>
        <w:t>the System marginal energy cost (SMEC)</w:t>
      </w:r>
      <w:r w:rsidRPr="00DD507C">
        <w:t xml:space="preserve"> </w:t>
      </w:r>
      <w:r>
        <w:t>component;</w:t>
      </w:r>
    </w:p>
    <w:p w14:paraId="3AE9AA67" w14:textId="60C3CA9C" w:rsidR="00CD272F" w:rsidRDefault="00CD272F" w:rsidP="000F0531">
      <w:pPr>
        <w:pStyle w:val="Paragraph"/>
        <w:numPr>
          <w:ilvl w:val="0"/>
          <w:numId w:val="74"/>
        </w:numPr>
        <w:spacing w:after="0" w:line="240" w:lineRule="auto"/>
        <w:jc w:val="both"/>
      </w:pPr>
      <w:r>
        <w:t>the marginal cost</w:t>
      </w:r>
      <w:r w:rsidR="00F7061B">
        <w:t xml:space="preserve"> of losses (M</w:t>
      </w:r>
      <w:r>
        <w:t>C</w:t>
      </w:r>
      <w:r w:rsidR="00F7061B">
        <w:t>L</w:t>
      </w:r>
      <w:r>
        <w:t>)</w:t>
      </w:r>
      <w:r w:rsidRPr="00DD507C">
        <w:t xml:space="preserve"> </w:t>
      </w:r>
      <w:r>
        <w:t>component;</w:t>
      </w:r>
    </w:p>
    <w:p w14:paraId="313B0BEF" w14:textId="77777777" w:rsidR="00CD272F" w:rsidRDefault="00CD272F" w:rsidP="000F0531">
      <w:pPr>
        <w:pStyle w:val="Paragraph"/>
        <w:numPr>
          <w:ilvl w:val="0"/>
          <w:numId w:val="74"/>
        </w:numPr>
        <w:spacing w:after="0" w:line="240" w:lineRule="auto"/>
        <w:jc w:val="both"/>
      </w:pPr>
      <w:r>
        <w:t>the marginal congestion cost (MCC) component; and</w:t>
      </w:r>
    </w:p>
    <w:p w14:paraId="4145937C" w14:textId="77777777" w:rsidR="00CD272F" w:rsidRDefault="00CD272F" w:rsidP="000F0531">
      <w:pPr>
        <w:pStyle w:val="Paragraph"/>
        <w:numPr>
          <w:ilvl w:val="0"/>
          <w:numId w:val="74"/>
        </w:numPr>
        <w:spacing w:after="0" w:line="240" w:lineRule="auto"/>
        <w:jc w:val="both"/>
      </w:pPr>
      <w:r>
        <w:t>the marginal greenhouse gas cost (MGC) component.</w:t>
      </w:r>
    </w:p>
    <w:p w14:paraId="2537D6B6" w14:textId="77777777" w:rsidR="00CD272F" w:rsidRDefault="00CD272F" w:rsidP="00CD272F">
      <w:pPr>
        <w:pStyle w:val="Paragraph"/>
      </w:pPr>
      <w:r>
        <w:t>These LMP components are as follows:</w:t>
      </w:r>
    </w:p>
    <w:p w14:paraId="6A34D5B6" w14:textId="27FFDC29" w:rsidR="00CD272F" w:rsidRPr="0066701D" w:rsidRDefault="007818F5" w:rsidP="00CD272F">
      <w:pPr>
        <w:pStyle w:val="Equation"/>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LMP</m:t>
              </m:r>
            </m:e>
            <m:sub>
              <m:r>
                <w:rPr>
                  <w:rFonts w:ascii="Cambria Math" w:hAnsi="Cambria Math"/>
                </w:rPr>
                <m:t>i</m:t>
              </m:r>
            </m:sub>
          </m:sSub>
          <m:r>
            <w:rPr>
              <w:rFonts w:ascii="Cambria Math" w:hAnsi="Cambria Math"/>
            </w:rPr>
            <m:t>=SMEC+</m:t>
          </m:r>
          <m:sSub>
            <m:sSubPr>
              <m:ctrlPr>
                <w:rPr>
                  <w:rFonts w:ascii="Cambria Math" w:hAnsi="Cambria Math"/>
                  <w:i/>
                </w:rPr>
              </m:ctrlPr>
            </m:sSubPr>
            <m:e>
              <m:r>
                <w:rPr>
                  <w:rFonts w:ascii="Cambria Math" w:hAnsi="Cambria Math"/>
                </w:rPr>
                <m:t>MLC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MCC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MGC</m:t>
              </m:r>
            </m:e>
            <m:sub>
              <m:r>
                <w:rPr>
                  <w:rFonts w:ascii="Cambria Math" w:hAnsi="Cambria Math"/>
                </w:rPr>
                <m:t>i</m:t>
              </m:r>
            </m:sub>
          </m:sSub>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m:t>
          </m:r>
          <m:r>
            <m:rPr>
              <m:sty m:val="p"/>
            </m:rPr>
            <w:br/>
          </m:r>
        </m:oMath>
        <m:oMath>
          <m:sSub>
            <m:sSubPr>
              <m:ctrlPr>
                <w:rPr>
                  <w:rFonts w:ascii="Cambria Math" w:hAnsi="Cambria Math"/>
                  <w:i/>
                </w:rPr>
              </m:ctrlPr>
            </m:sSubPr>
            <m:e>
              <m:r>
                <w:rPr>
                  <w:rFonts w:ascii="Cambria Math" w:hAnsi="Cambria Math"/>
                </w:rPr>
                <m:t>LMP</m:t>
              </m:r>
            </m:e>
            <m:sub>
              <m:r>
                <w:rPr>
                  <w:rFonts w:ascii="Cambria Math" w:hAnsi="Cambria Math"/>
                </w:rPr>
                <m:t>j,k,l</m:t>
              </m:r>
            </m:sub>
          </m:sSub>
          <m:r>
            <w:rPr>
              <w:rFonts w:ascii="Cambria Math" w:hAnsi="Cambria Math"/>
            </w:rPr>
            <m:t>=SMEC+</m:t>
          </m:r>
          <m:sSub>
            <m:sSubPr>
              <m:ctrlPr>
                <w:rPr>
                  <w:rFonts w:ascii="Cambria Math" w:hAnsi="Cambria Math"/>
                  <w:i/>
                </w:rPr>
              </m:ctrlPr>
            </m:sSubPr>
            <m:e>
              <m:r>
                <w:rPr>
                  <w:rFonts w:ascii="Cambria Math" w:hAnsi="Cambria Math"/>
                </w:rPr>
                <m:t>MLC</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MCC</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MGC</m:t>
              </m:r>
            </m:e>
            <m:sub>
              <m:r>
                <w:rPr>
                  <w:rFonts w:ascii="Cambria Math" w:hAnsi="Cambria Math"/>
                </w:rPr>
                <m:t>j,k,l</m:t>
              </m:r>
            </m:sub>
          </m:sSub>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EIM∧k≠j∧l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r>
            <m:rPr>
              <m:sty m:val="p"/>
            </m:rPr>
            <w:br/>
          </m:r>
        </m:oMath>
        <m:oMath>
          <m:r>
            <w:rPr>
              <w:rFonts w:ascii="Cambria Math" w:hAnsi="Cambria Math"/>
            </w:rPr>
            <m:t>SMEC=λ</m:t>
          </m:r>
          <m:r>
            <m:rPr>
              <m:sty m:val="p"/>
            </m:rPr>
            <w:br/>
          </m:r>
        </m:oMath>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MLC</m:t>
                        </m:r>
                      </m:e>
                      <m:sub>
                        <m:r>
                          <w:rPr>
                            <w:rFonts w:ascii="Cambria Math" w:hAnsi="Cambria Math"/>
                          </w:rPr>
                          <m:t>i</m:t>
                        </m:r>
                      </m:sub>
                    </m:sSub>
                    <m:r>
                      <w:rPr>
                        <w:rFonts w:ascii="Cambria Math" w:hAnsi="Cambria Math"/>
                      </w:rPr>
                      <m:t>=λ</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i</m:t>
                                </m:r>
                              </m:sub>
                            </m:sSub>
                          </m:den>
                        </m:f>
                        <m:r>
                          <w:rPr>
                            <w:rFonts w:ascii="Cambria Math" w:hAnsi="Cambria Math"/>
                          </w:rPr>
                          <m:t>-1</m:t>
                        </m:r>
                      </m:e>
                    </m:d>
                  </m:e>
                </m:mr>
                <m:mr>
                  <m:e>
                    <m:sSub>
                      <m:sSubPr>
                        <m:ctrlPr>
                          <w:rPr>
                            <w:rFonts w:ascii="Cambria Math" w:hAnsi="Cambria Math"/>
                            <w:i/>
                          </w:rPr>
                        </m:ctrlPr>
                      </m:sSubPr>
                      <m:e>
                        <m:r>
                          <w:rPr>
                            <w:rFonts w:ascii="Cambria Math" w:hAnsi="Cambria Math"/>
                          </w:rPr>
                          <m:t>MCC</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e>
                </m:mr>
                <m:mr>
                  <m:e>
                    <m:sSub>
                      <m:sSubPr>
                        <m:ctrlPr>
                          <w:rPr>
                            <w:rFonts w:ascii="Cambria Math" w:hAnsi="Cambria Math"/>
                            <w:i/>
                          </w:rPr>
                        </m:ctrlPr>
                      </m:sSubPr>
                      <m:e>
                        <m:r>
                          <w:rPr>
                            <w:rFonts w:ascii="Cambria Math" w:hAnsi="Cambria Math"/>
                          </w:rPr>
                          <m:t>MGC</m:t>
                        </m:r>
                      </m:e>
                      <m:sub>
                        <m:r>
                          <w:rPr>
                            <w:rFonts w:ascii="Cambria Math" w:hAnsi="Cambria Math"/>
                          </w:rPr>
                          <m:t>i</m:t>
                        </m:r>
                      </m:sub>
                    </m:sSub>
                    <m:r>
                      <w:rPr>
                        <w:rFonts w:ascii="Cambria Math" w:hAnsi="Cambria Math"/>
                      </w:rPr>
                      <m:t>=0</m:t>
                    </m:r>
                  </m:e>
                </m:mr>
              </m:m>
            </m:e>
          </m:d>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0</m:t>
              </m:r>
            </m:sub>
          </m:sSub>
          <m:r>
            <m:rPr>
              <m:sty m:val="p"/>
            </m:rPr>
            <w:br/>
          </m:r>
        </m:oMath>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MLC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-ψ</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i</m:t>
                                </m:r>
                              </m:sub>
                            </m:sSub>
                          </m:den>
                        </m:f>
                        <m:r>
                          <w:rPr>
                            <w:rFonts w:ascii="Cambria Math" w:hAnsi="Cambria Math"/>
                          </w:rPr>
                          <m:t>-1</m:t>
                        </m:r>
                      </m:e>
                    </m:d>
                  </m:e>
                </m:mr>
                <m:mr>
                  <m:e>
                    <m:sSub>
                      <m:sSubPr>
                        <m:ctrlPr>
                          <w:rPr>
                            <w:rFonts w:ascii="Cambria Math" w:hAnsi="Cambria Math"/>
                            <w:i/>
                          </w:rPr>
                        </m:ctrlPr>
                      </m:sSubPr>
                      <m:e>
                        <m:r>
                          <w:rPr>
                            <w:rFonts w:ascii="Cambria Math" w:hAnsi="Cambria Math"/>
                          </w:rPr>
                          <m:t>MCC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e>
                </m:mr>
                <m:mr>
                  <m:e>
                    <m:sSub>
                      <m:sSubPr>
                        <m:ctrlPr>
                          <w:rPr>
                            <w:rFonts w:ascii="Cambria Math" w:hAnsi="Cambria Math"/>
                            <w:i/>
                          </w:rPr>
                        </m:ctrlPr>
                      </m:sSubPr>
                      <m:e>
                        <m:r>
                          <w:rPr>
                            <w:rFonts w:ascii="Cambria Math" w:hAnsi="Cambria Math"/>
                          </w:rPr>
                          <m:t>MGC</m:t>
                        </m:r>
                      </m:e>
                      <m:sub>
                        <m:r>
                          <w:rPr>
                            <w:rFonts w:ascii="Cambria Math" w:hAnsi="Cambria Math"/>
                          </w:rPr>
                          <m:t>i</m:t>
                        </m:r>
                      </m:sub>
                    </m:sSub>
                    <m:r>
                      <w:rPr>
                        <w:rFonts w:ascii="Cambria Math" w:hAnsi="Cambria Math"/>
                      </w:rPr>
                      <m:t>=-ψ</m:t>
                    </m:r>
                  </m:e>
                </m:mr>
              </m:m>
            </m:e>
          </m:d>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∧j∈EIM∧j&gt;0</m:t>
          </m:r>
          <m:r>
            <m:rPr>
              <m:sty m:val="p"/>
            </m:rPr>
            <w:br/>
          </m:r>
        </m:oMath>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MLC</m:t>
                        </m:r>
                      </m:e>
                      <m:sub>
                        <m:r>
                          <w:rPr>
                            <w:rFonts w:ascii="Cambria Math" w:hAnsi="Cambria Math"/>
                          </w:rPr>
                          <m:t>0,k,l</m:t>
                        </m:r>
                      </m:sub>
                    </m:sSub>
                    <m:r>
                      <w:rPr>
                        <w:rFonts w:ascii="Cambria Math" w:hAnsi="Cambria Math"/>
                      </w:rPr>
                      <m:t>=λ</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0,k,l</m:t>
                                </m:r>
                              </m:sub>
                            </m:sSub>
                          </m:den>
                        </m:f>
                        <m:r>
                          <w:rPr>
                            <w:rFonts w:ascii="Cambria Math" w:hAnsi="Cambria Math"/>
                          </w:rPr>
                          <m:t>-1</m:t>
                        </m:r>
                      </m:e>
                    </m:d>
                  </m:e>
                </m:mr>
                <m:mr>
                  <m:e>
                    <m:sSub>
                      <m:sSubPr>
                        <m:ctrlPr>
                          <w:rPr>
                            <w:rFonts w:ascii="Cambria Math" w:hAnsi="Cambria Math"/>
                            <w:i/>
                          </w:rPr>
                        </m:ctrlPr>
                      </m:sSubPr>
                      <m:e>
                        <m:r>
                          <w:rPr>
                            <w:rFonts w:ascii="Cambria Math" w:hAnsi="Cambria Math"/>
                          </w:rPr>
                          <m:t>MCC</m:t>
                        </m:r>
                      </m:e>
                      <m:sub>
                        <m:r>
                          <w:rPr>
                            <w:rFonts w:ascii="Cambria Math" w:hAnsi="Cambria Math"/>
                          </w:rPr>
                          <m:t>0,k,l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m,n,0,k,l</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0,k,l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0,k,l</m:t>
                        </m:r>
                      </m:sub>
                    </m:sSub>
                  </m:e>
                </m:mr>
                <m:mr>
                  <m:e>
                    <m:sSub>
                      <m:sSubPr>
                        <m:ctrlPr>
                          <w:rPr>
                            <w:rFonts w:ascii="Cambria Math" w:hAnsi="Cambria Math"/>
                            <w:i/>
                          </w:rPr>
                        </m:ctrlPr>
                      </m:sSubPr>
                      <m:e>
                        <m:r>
                          <w:rPr>
                            <w:rFonts w:ascii="Cambria Math" w:hAnsi="Cambria Math"/>
                          </w:rPr>
                          <m:t>MGC</m:t>
                        </m:r>
                      </m:e>
                      <m:sub>
                        <m:r>
                          <w:rPr>
                            <w:rFonts w:ascii="Cambria Math" w:hAnsi="Cambria Math"/>
                          </w:rPr>
                          <m:t>0,k,l</m:t>
                        </m:r>
                      </m:sub>
                    </m:sSub>
                    <m:r>
                      <w:rPr>
                        <w:rFonts w:ascii="Cambria Math" w:hAnsi="Cambria Math"/>
                      </w:rPr>
                      <m:t>=0</m:t>
                    </m:r>
                  </m:e>
                </m:mr>
              </m:m>
            </m:e>
          </m:d>
          <m:r>
            <w:rPr>
              <w:rFonts w:ascii="Cambria Math" w:hAnsi="Cambria Math"/>
            </w:rPr>
            <m:t xml:space="preserve">,  </m:t>
          </m:r>
          <m:r>
            <m:rPr>
              <m:sty m:val="p"/>
            </m:rPr>
            <w:rPr>
              <w:rFonts w:ascii="Cambria Math" w:hAnsi="Cambria Math"/>
            </w:rPr>
            <m:t>∀</m:t>
          </m:r>
          <m:r>
            <w:rPr>
              <w:rFonts w:ascii="Cambria Math" w:hAnsi="Cambria Math"/>
            </w:rPr>
            <m:t>k</m:t>
          </m:r>
          <m:r>
            <m:rPr>
              <m:sty m:val="p"/>
            </m:rPr>
            <w:rPr>
              <w:rFonts w:ascii="Cambria Math" w:hAnsi="Cambria Math"/>
            </w:rPr>
            <m:t>&gt;0</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r>
            <m:rPr>
              <m:sty m:val="p"/>
            </m:rPr>
            <w:br/>
          </m:r>
        </m:oMath>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MLC</m:t>
                        </m:r>
                      </m:e>
                      <m:sub>
                        <m:r>
                          <w:rPr>
                            <w:rFonts w:ascii="Cambria Math" w:hAnsi="Cambria Math"/>
                          </w:rPr>
                          <m:t>j,k,l</m:t>
                        </m:r>
                      </m:sub>
                    </m:sSub>
                    <m:r>
                      <w:rPr>
                        <w:rFonts w:ascii="Cambria Math" w:hAnsi="Cambria Math"/>
                      </w:rPr>
                      <m:t>=</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-ψ</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j,k,l</m:t>
                                </m:r>
                              </m:sub>
                            </m:sSub>
                          </m:den>
                        </m:f>
                        <m:r>
                          <w:rPr>
                            <w:rFonts w:ascii="Cambria Math" w:hAnsi="Cambria Math"/>
                          </w:rPr>
                          <m:t>-1</m:t>
                        </m:r>
                      </m:e>
                    </m:d>
                  </m:e>
                </m:mr>
                <m:mr>
                  <m:e>
                    <m:sSub>
                      <m:sSubPr>
                        <m:ctrlPr>
                          <w:rPr>
                            <w:rFonts w:ascii="Cambria Math" w:hAnsi="Cambria Math"/>
                            <w:i/>
                          </w:rPr>
                        </m:ctrlPr>
                      </m:sSubPr>
                      <m:e>
                        <m:r>
                          <w:rPr>
                            <w:rFonts w:ascii="Cambria Math" w:hAnsi="Cambria Math"/>
                          </w:rPr>
                          <m:t>MCC</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m,n,j,k,l</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mr>
                <m:mr>
                  <m:e>
                    <m:sSub>
                      <m:sSubPr>
                        <m:ctrlPr>
                          <w:rPr>
                            <w:rFonts w:ascii="Cambria Math" w:hAnsi="Cambria Math"/>
                            <w:i/>
                          </w:rPr>
                        </m:ctrlPr>
                      </m:sSubPr>
                      <m:e>
                        <m:r>
                          <w:rPr>
                            <w:rFonts w:ascii="Cambria Math" w:hAnsi="Cambria Math"/>
                          </w:rPr>
                          <m:t>MGC</m:t>
                        </m:r>
                      </m:e>
                      <m:sub>
                        <m:r>
                          <w:rPr>
                            <w:rFonts w:ascii="Cambria Math" w:hAnsi="Cambria Math"/>
                          </w:rPr>
                          <m:t>j,k,l</m:t>
                        </m:r>
                      </m:sub>
                    </m:sSub>
                    <m:r>
                      <w:rPr>
                        <w:rFonts w:ascii="Cambria Math" w:hAnsi="Cambria Math"/>
                      </w:rPr>
                      <m:t>=-ψ</m:t>
                    </m:r>
                  </m:e>
                </m:mr>
              </m:m>
            </m:e>
          </m:d>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EIM∧j&gt;0∧k∉EIM∧l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07F79FE8" w14:textId="6093C6A8" w:rsidR="00CD272F" w:rsidRPr="00A77A19" w:rsidRDefault="00125E03" w:rsidP="00CD272F">
      <w:pPr>
        <w:pStyle w:val="Paragraph"/>
      </w:pPr>
      <w:r>
        <w:t xml:space="preserve">Where the MCC contributions from FRP requirement constraints are not shown for simplicity. </w:t>
      </w:r>
    </w:p>
    <w:p w14:paraId="064F1B26" w14:textId="52A41C6A" w:rsidR="00B47D9D" w:rsidRDefault="00B47D9D" w:rsidP="00B47D9D">
      <w:r>
        <w:t xml:space="preserve">For the MCC Decomposition, the allocation of congestion revenue to corresponding BAAs in the EIM area is based on the </w:t>
      </w:r>
      <w:r w:rsidR="0041523D">
        <w:t>c</w:t>
      </w:r>
      <w:r>
        <w:t xml:space="preserve">ongestion revenue distribution factors set up for each constraint whose shadow price contributes to the MCC. The </w:t>
      </w:r>
      <w:r w:rsidR="0041523D">
        <w:t>c</w:t>
      </w:r>
      <w:r>
        <w:t xml:space="preserve">ongestion revenue distribution factors for BAA constraints of all types are defined in the Master File (MF) and these congestion distribution factors are </w:t>
      </w:r>
      <w:r w:rsidR="0041523D">
        <w:t>used in</w:t>
      </w:r>
      <w:r>
        <w:t xml:space="preserve"> the market. </w:t>
      </w:r>
    </w:p>
    <w:p w14:paraId="23D13D46" w14:textId="77777777" w:rsidR="00B47D9D" w:rsidRDefault="00B47D9D" w:rsidP="00B47D9D">
      <w:r>
        <w:t>Example:</w:t>
      </w:r>
    </w:p>
    <w:tbl>
      <w:tblPr>
        <w:tblStyle w:val="TableGrid"/>
        <w:tblW w:w="0" w:type="auto"/>
        <w:tblLook w:val="04A0" w:firstRow="1" w:lastRow="0" w:firstColumn="1" w:lastColumn="0" w:noHBand="0" w:noVBand="1"/>
      </w:tblPr>
      <w:tblGrid>
        <w:gridCol w:w="3116"/>
        <w:gridCol w:w="3117"/>
        <w:gridCol w:w="3117"/>
      </w:tblGrid>
      <w:tr w:rsidR="00B47D9D" w14:paraId="128DE9C3" w14:textId="77777777" w:rsidTr="00024366">
        <w:tc>
          <w:tcPr>
            <w:tcW w:w="3116" w:type="dxa"/>
          </w:tcPr>
          <w:p w14:paraId="2D28704F" w14:textId="77777777" w:rsidR="00B47D9D" w:rsidRDefault="00B47D9D" w:rsidP="00B255B1">
            <w:pPr>
              <w:spacing w:after="0"/>
              <w:jc w:val="left"/>
            </w:pPr>
            <w:r>
              <w:t>BAA</w:t>
            </w:r>
          </w:p>
        </w:tc>
        <w:tc>
          <w:tcPr>
            <w:tcW w:w="3117" w:type="dxa"/>
          </w:tcPr>
          <w:p w14:paraId="0369644A" w14:textId="58AA3799" w:rsidR="00B47D9D" w:rsidRDefault="00B47D9D" w:rsidP="00B255B1">
            <w:pPr>
              <w:spacing w:after="0"/>
              <w:jc w:val="left"/>
            </w:pPr>
            <w:r>
              <w:t>Intertie Schedule/EIM Transfer/Constraints</w:t>
            </w:r>
          </w:p>
        </w:tc>
        <w:tc>
          <w:tcPr>
            <w:tcW w:w="3117" w:type="dxa"/>
          </w:tcPr>
          <w:p w14:paraId="7D391956" w14:textId="77777777" w:rsidR="00B47D9D" w:rsidRDefault="00B47D9D" w:rsidP="00B255B1">
            <w:pPr>
              <w:spacing w:after="0"/>
              <w:jc w:val="left"/>
            </w:pPr>
            <w:r>
              <w:t>Congestion Revenue Distribution Factor</w:t>
            </w:r>
          </w:p>
        </w:tc>
      </w:tr>
      <w:tr w:rsidR="00B47D9D" w14:paraId="4C996DA6" w14:textId="77777777" w:rsidTr="00024366">
        <w:tc>
          <w:tcPr>
            <w:tcW w:w="3116" w:type="dxa"/>
          </w:tcPr>
          <w:p w14:paraId="694D9882" w14:textId="77777777" w:rsidR="00B47D9D" w:rsidRDefault="00B47D9D" w:rsidP="00B255B1">
            <w:pPr>
              <w:spacing w:after="0"/>
            </w:pPr>
            <w:r>
              <w:t>BAA 1</w:t>
            </w:r>
          </w:p>
        </w:tc>
        <w:tc>
          <w:tcPr>
            <w:tcW w:w="3117" w:type="dxa"/>
          </w:tcPr>
          <w:p w14:paraId="60E095AE" w14:textId="7CE302F1" w:rsidR="00B47D9D" w:rsidRDefault="00B47D9D" w:rsidP="00B255B1">
            <w:pPr>
              <w:spacing w:after="0"/>
            </w:pPr>
            <w:r>
              <w:t>Tie 1-Schedul</w:t>
            </w:r>
            <w:r w:rsidR="002A1EF4">
              <w:t>ing limit</w:t>
            </w:r>
          </w:p>
        </w:tc>
        <w:tc>
          <w:tcPr>
            <w:tcW w:w="3117" w:type="dxa"/>
          </w:tcPr>
          <w:p w14:paraId="22DB27FA" w14:textId="77777777" w:rsidR="00B47D9D" w:rsidRDefault="00B47D9D" w:rsidP="00B255B1">
            <w:pPr>
              <w:spacing w:after="0"/>
            </w:pPr>
            <w:r>
              <w:t>1</w:t>
            </w:r>
          </w:p>
        </w:tc>
      </w:tr>
      <w:tr w:rsidR="00B47D9D" w14:paraId="3485F0AB" w14:textId="77777777" w:rsidTr="00024366">
        <w:tc>
          <w:tcPr>
            <w:tcW w:w="3116" w:type="dxa"/>
          </w:tcPr>
          <w:p w14:paraId="35104C40" w14:textId="77777777" w:rsidR="00B47D9D" w:rsidRDefault="00B47D9D" w:rsidP="00B255B1">
            <w:pPr>
              <w:spacing w:after="0"/>
            </w:pPr>
            <w:r>
              <w:t>BAA 1</w:t>
            </w:r>
          </w:p>
        </w:tc>
        <w:tc>
          <w:tcPr>
            <w:tcW w:w="3117" w:type="dxa"/>
          </w:tcPr>
          <w:p w14:paraId="4D4A1003" w14:textId="77777777" w:rsidR="00B47D9D" w:rsidRDefault="00B47D9D" w:rsidP="00B255B1">
            <w:pPr>
              <w:spacing w:after="0"/>
            </w:pPr>
            <w:r>
              <w:t>Tie 1-EIM transfer: ETSR (BAA 1)</w:t>
            </w:r>
          </w:p>
        </w:tc>
        <w:tc>
          <w:tcPr>
            <w:tcW w:w="3117" w:type="dxa"/>
          </w:tcPr>
          <w:p w14:paraId="2D5517FC" w14:textId="77777777" w:rsidR="00B47D9D" w:rsidRDefault="00B47D9D" w:rsidP="00B255B1">
            <w:pPr>
              <w:spacing w:after="0"/>
            </w:pPr>
            <w:r>
              <w:t>0.5</w:t>
            </w:r>
          </w:p>
        </w:tc>
      </w:tr>
      <w:tr w:rsidR="00B47D9D" w14:paraId="43CD4584" w14:textId="77777777" w:rsidTr="00024366">
        <w:tc>
          <w:tcPr>
            <w:tcW w:w="3116" w:type="dxa"/>
          </w:tcPr>
          <w:p w14:paraId="116EACF6" w14:textId="77777777" w:rsidR="00B47D9D" w:rsidRDefault="00B47D9D" w:rsidP="00B255B1">
            <w:pPr>
              <w:spacing w:after="0"/>
            </w:pPr>
            <w:r>
              <w:t>BAA 2</w:t>
            </w:r>
          </w:p>
        </w:tc>
        <w:tc>
          <w:tcPr>
            <w:tcW w:w="3117" w:type="dxa"/>
          </w:tcPr>
          <w:p w14:paraId="5DEE0EDD" w14:textId="636C2A4B" w:rsidR="00B47D9D" w:rsidRDefault="00B47D9D" w:rsidP="00B255B1">
            <w:pPr>
              <w:spacing w:after="0"/>
            </w:pPr>
            <w:r>
              <w:t>Tie 1- EIM transfer ETSR (BAA</w:t>
            </w:r>
            <w:r w:rsidR="002A1EF4">
              <w:t xml:space="preserve"> </w:t>
            </w:r>
            <w:r>
              <w:t>2)</w:t>
            </w:r>
          </w:p>
        </w:tc>
        <w:tc>
          <w:tcPr>
            <w:tcW w:w="3117" w:type="dxa"/>
          </w:tcPr>
          <w:p w14:paraId="10BD28A7" w14:textId="77777777" w:rsidR="00B47D9D" w:rsidRDefault="00B47D9D" w:rsidP="00B255B1">
            <w:pPr>
              <w:spacing w:after="0"/>
            </w:pPr>
            <w:r>
              <w:t>0.5</w:t>
            </w:r>
          </w:p>
        </w:tc>
      </w:tr>
    </w:tbl>
    <w:p w14:paraId="3E65E2E2" w14:textId="4A0E0890" w:rsidR="009839BA" w:rsidRDefault="009839BA" w:rsidP="009839BA">
      <w:pPr>
        <w:pStyle w:val="Paragraph"/>
      </w:pPr>
      <w:r>
        <w:t xml:space="preserve">For transmission constraints that do not affect </w:t>
      </w:r>
      <w:r w:rsidR="00035DAF">
        <w:t xml:space="preserve">energy </w:t>
      </w:r>
      <w:r>
        <w:t>transfers (</w:t>
      </w:r>
      <w:r w:rsidR="00035DAF">
        <w:t xml:space="preserve">generic transmission constraint </w:t>
      </w:r>
      <w:r w:rsidR="00035DAF" w:rsidRPr="00B255B1">
        <w:rPr>
          <w:i/>
        </w:rPr>
        <w:t>m</w:t>
      </w:r>
      <w:r>
        <w:t>), the congestion revenue is allocated as follows:</w:t>
      </w:r>
    </w:p>
    <w:p w14:paraId="65BDDEFA" w14:textId="77777777" w:rsidR="009839BA" w:rsidRDefault="007818F5" w:rsidP="009839BA">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e>
          </m:nary>
          <m:r>
            <w:rPr>
              <w:rFonts w:ascii="Cambria Math" w:hAnsi="Cambria Math"/>
            </w:rPr>
            <m:t>,  ∀m</m:t>
          </m:r>
        </m:oMath>
      </m:oMathPara>
    </w:p>
    <w:p w14:paraId="402005B8" w14:textId="77777777" w:rsidR="009839BA" w:rsidRDefault="009839BA" w:rsidP="009839BA">
      <w:pPr>
        <w:pStyle w:val="Paragraph"/>
      </w:pPr>
      <w:r>
        <w:t>Where:</w:t>
      </w:r>
    </w:p>
    <w:p w14:paraId="27884913" w14:textId="77777777" w:rsidR="009839BA" w:rsidRDefault="007818F5" w:rsidP="009839BA">
      <w:pPr>
        <w:pStyle w:val="Equation"/>
      </w:pPr>
      <m:oMathPara>
        <m:oMath>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m,r</m:t>
                  </m:r>
                </m:sub>
              </m:sSub>
            </m:e>
          </m:nary>
          <m:r>
            <w:rPr>
              <w:rFonts w:ascii="Cambria Math" w:hAnsi="Cambria Math"/>
            </w:rPr>
            <m:t>=1,  ∀m</m:t>
          </m:r>
        </m:oMath>
      </m:oMathPara>
    </w:p>
    <w:p w14:paraId="32682097" w14:textId="77777777" w:rsidR="009839BA" w:rsidRDefault="009839BA" w:rsidP="009839BA">
      <w:pPr>
        <w:pStyle w:val="Paragraph"/>
      </w:pPr>
      <w:r>
        <w:t>This is accomplished by decomposing the corresponding MCC contributions using the congestion revenue distribution factors, as follows:</w:t>
      </w:r>
    </w:p>
    <w:p w14:paraId="5FB70DA8" w14:textId="77777777" w:rsidR="009839BA" w:rsidRDefault="009839BA" w:rsidP="009839BA">
      <w:pPr>
        <w:pStyle w:val="Equation"/>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e>
          </m:nary>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m:t>
          </m:r>
          <m:r>
            <m:rPr>
              <m:sty m:val="p"/>
            </m: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m,n,j,k,l</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m,n,j,k,l</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e>
          </m:nary>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EIM∧k∉EIM∧l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09A81850" w14:textId="74E2288C" w:rsidR="008C1669" w:rsidRDefault="008C1669" w:rsidP="008C1669">
      <w:r>
        <w:t xml:space="preserve">This is equivalent to distributing the transmission constraint shadow price across BAAs in the EIM Area. Typically, the congestion revenue distribution factors for these constraints allocate the congestion revenue 100% to a single BAA, the one the constraint resides in, or if it is an intertie constraint, the BAA at the intertie definition side where the constraint is enforced.  </w:t>
      </w:r>
    </w:p>
    <w:p w14:paraId="10B97714" w14:textId="77777777" w:rsidR="008C1669" w:rsidRDefault="008C1669" w:rsidP="009839BA">
      <w:pPr>
        <w:pStyle w:val="Paragraph"/>
      </w:pPr>
      <w:r>
        <w:t>If the constraint is located in a non-EIM BAA (e.g., Rate of Change constraints or EIM flow limits in BPAT pursuant to the Coordinated Transmission Agreement), the congestion revenue distribution factors for these constraints allocate the congestion revenue among the EIM Area BAAs responsible for the limits in proportion to the transmission rights made available by the relevant EIM BAAs through the non-EIM BAA, which are generally those EIM BAAs that have made transmission rights through the non-EIM BAA available to the EIM model.</w:t>
      </w:r>
    </w:p>
    <w:p w14:paraId="3619EEB7" w14:textId="77777777" w:rsidR="008C1669" w:rsidRDefault="008C1669" w:rsidP="009839BA">
      <w:pPr>
        <w:pStyle w:val="Paragraph"/>
      </w:pPr>
    </w:p>
    <w:tbl>
      <w:tblPr>
        <w:tblW w:w="0" w:type="auto"/>
        <w:tblInd w:w="720" w:type="dxa"/>
        <w:tblCellMar>
          <w:left w:w="0" w:type="dxa"/>
          <w:right w:w="0" w:type="dxa"/>
        </w:tblCellMar>
        <w:tblLook w:val="04A0" w:firstRow="1" w:lastRow="0" w:firstColumn="1" w:lastColumn="0" w:noHBand="0" w:noVBand="1"/>
      </w:tblPr>
      <w:tblGrid>
        <w:gridCol w:w="1139"/>
        <w:gridCol w:w="1591"/>
        <w:gridCol w:w="929"/>
        <w:gridCol w:w="929"/>
        <w:gridCol w:w="779"/>
        <w:gridCol w:w="658"/>
      </w:tblGrid>
      <w:tr w:rsidR="008C1669" w14:paraId="0049FBB1" w14:textId="77777777" w:rsidTr="008C1669">
        <w:tc>
          <w:tcPr>
            <w:tcW w:w="0" w:type="auto"/>
            <w:tcBorders>
              <w:top w:val="single" w:sz="8" w:space="0" w:color="auto"/>
              <w:left w:val="single" w:sz="8" w:space="0" w:color="auto"/>
              <w:bottom w:val="single" w:sz="8" w:space="0" w:color="auto"/>
              <w:right w:val="single" w:sz="8" w:space="0" w:color="auto"/>
            </w:tcBorders>
            <w:shd w:val="clear" w:color="auto" w:fill="9CC2E5"/>
            <w:tcMar>
              <w:top w:w="0" w:type="dxa"/>
              <w:left w:w="108" w:type="dxa"/>
              <w:bottom w:w="0" w:type="dxa"/>
              <w:right w:w="108" w:type="dxa"/>
            </w:tcMar>
            <w:hideMark/>
          </w:tcPr>
          <w:p w14:paraId="1BE7C204" w14:textId="77777777" w:rsidR="008C1669" w:rsidRDefault="008C1669" w:rsidP="008C1669">
            <w:pPr>
              <w:rPr>
                <w:rFonts w:ascii="Times New Roman" w:hAnsi="Times New Roman"/>
              </w:rPr>
            </w:pPr>
            <w:r>
              <w:rPr>
                <w:rFonts w:ascii="Times New Roman" w:hAnsi="Times New Roman"/>
              </w:rPr>
              <w:t>EIM BAA</w:t>
            </w:r>
          </w:p>
        </w:tc>
        <w:tc>
          <w:tcPr>
            <w:tcW w:w="0" w:type="auto"/>
            <w:tcBorders>
              <w:top w:val="single" w:sz="8" w:space="0" w:color="auto"/>
              <w:left w:val="nil"/>
              <w:bottom w:val="single" w:sz="8" w:space="0" w:color="auto"/>
              <w:right w:val="single" w:sz="8" w:space="0" w:color="auto"/>
            </w:tcBorders>
            <w:shd w:val="clear" w:color="auto" w:fill="9CC2E5"/>
            <w:tcMar>
              <w:top w:w="0" w:type="dxa"/>
              <w:left w:w="108" w:type="dxa"/>
              <w:bottom w:w="0" w:type="dxa"/>
              <w:right w:w="108" w:type="dxa"/>
            </w:tcMar>
            <w:hideMark/>
          </w:tcPr>
          <w:p w14:paraId="250ADDA2" w14:textId="77777777" w:rsidR="008C1669" w:rsidRDefault="008C1669" w:rsidP="008C1669">
            <w:pPr>
              <w:rPr>
                <w:rFonts w:ascii="Times New Roman" w:hAnsi="Times New Roman"/>
              </w:rPr>
            </w:pPr>
            <w:r>
              <w:rPr>
                <w:rFonts w:ascii="Times New Roman" w:hAnsi="Times New Roman"/>
              </w:rPr>
              <w:t>Non-EIM BAA</w:t>
            </w:r>
          </w:p>
        </w:tc>
        <w:tc>
          <w:tcPr>
            <w:tcW w:w="0" w:type="auto"/>
            <w:gridSpan w:val="3"/>
            <w:tcBorders>
              <w:top w:val="single" w:sz="8" w:space="0" w:color="auto"/>
              <w:left w:val="nil"/>
              <w:bottom w:val="single" w:sz="8" w:space="0" w:color="auto"/>
              <w:right w:val="single" w:sz="8" w:space="0" w:color="auto"/>
            </w:tcBorders>
            <w:shd w:val="clear" w:color="auto" w:fill="9CC2E5"/>
            <w:tcMar>
              <w:top w:w="0" w:type="dxa"/>
              <w:left w:w="108" w:type="dxa"/>
              <w:bottom w:w="0" w:type="dxa"/>
              <w:right w:w="108" w:type="dxa"/>
            </w:tcMar>
            <w:hideMark/>
          </w:tcPr>
          <w:p w14:paraId="2CE562F3" w14:textId="77777777" w:rsidR="008C1669" w:rsidRDefault="008C1669" w:rsidP="008C1669">
            <w:pPr>
              <w:rPr>
                <w:rFonts w:ascii="Times New Roman" w:hAnsi="Times New Roman"/>
              </w:rPr>
            </w:pPr>
            <w:r>
              <w:rPr>
                <w:rFonts w:ascii="Times New Roman" w:hAnsi="Times New Roman"/>
              </w:rPr>
              <w:t>Transmission Rights (MW)</w:t>
            </w:r>
          </w:p>
        </w:tc>
        <w:tc>
          <w:tcPr>
            <w:tcW w:w="0" w:type="auto"/>
            <w:tcBorders>
              <w:top w:val="single" w:sz="8" w:space="0" w:color="auto"/>
              <w:left w:val="nil"/>
              <w:bottom w:val="single" w:sz="8" w:space="0" w:color="auto"/>
              <w:right w:val="single" w:sz="8" w:space="0" w:color="auto"/>
            </w:tcBorders>
            <w:shd w:val="clear" w:color="auto" w:fill="9CC2E5"/>
            <w:tcMar>
              <w:top w:w="0" w:type="dxa"/>
              <w:left w:w="115" w:type="dxa"/>
              <w:bottom w:w="0" w:type="dxa"/>
              <w:right w:w="115" w:type="dxa"/>
            </w:tcMar>
            <w:hideMark/>
          </w:tcPr>
          <w:p w14:paraId="7711C89C" w14:textId="77777777" w:rsidR="008C1669" w:rsidRDefault="008C1669" w:rsidP="008C1669">
            <w:pPr>
              <w:rPr>
                <w:rFonts w:ascii="Times New Roman" w:hAnsi="Times New Roman"/>
              </w:rPr>
            </w:pPr>
            <w:r>
              <w:rPr>
                <w:rFonts w:ascii="Times New Roman" w:hAnsi="Times New Roman"/>
              </w:rPr>
              <w:t>CDF</w:t>
            </w:r>
          </w:p>
        </w:tc>
      </w:tr>
      <w:tr w:rsidR="008C1669" w14:paraId="61AF6C51" w14:textId="77777777" w:rsidTr="008C1669">
        <w:tc>
          <w:tcPr>
            <w:tcW w:w="0" w:type="auto"/>
            <w:tcBorders>
              <w:top w:val="nil"/>
              <w:left w:val="single" w:sz="8" w:space="0" w:color="auto"/>
              <w:bottom w:val="single" w:sz="8" w:space="0" w:color="auto"/>
              <w:right w:val="single" w:sz="8" w:space="0" w:color="auto"/>
            </w:tcBorders>
            <w:shd w:val="clear" w:color="auto" w:fill="9CC2E5"/>
            <w:tcMar>
              <w:top w:w="0" w:type="dxa"/>
              <w:left w:w="108" w:type="dxa"/>
              <w:bottom w:w="0" w:type="dxa"/>
              <w:right w:w="108" w:type="dxa"/>
            </w:tcMar>
          </w:tcPr>
          <w:p w14:paraId="314961E2" w14:textId="77777777" w:rsidR="008C1669" w:rsidRDefault="008C1669" w:rsidP="008C1669">
            <w:pPr>
              <w:rPr>
                <w:rFonts w:ascii="Times New Roman" w:hAnsi="Times New Roman"/>
              </w:rPr>
            </w:pPr>
          </w:p>
        </w:tc>
        <w:tc>
          <w:tcPr>
            <w:tcW w:w="0" w:type="auto"/>
            <w:tcBorders>
              <w:top w:val="nil"/>
              <w:left w:val="nil"/>
              <w:bottom w:val="single" w:sz="8" w:space="0" w:color="auto"/>
              <w:right w:val="single" w:sz="8" w:space="0" w:color="auto"/>
            </w:tcBorders>
            <w:shd w:val="clear" w:color="auto" w:fill="9CC2E5"/>
            <w:tcMar>
              <w:top w:w="0" w:type="dxa"/>
              <w:left w:w="108" w:type="dxa"/>
              <w:bottom w:w="0" w:type="dxa"/>
              <w:right w:w="108" w:type="dxa"/>
            </w:tcMar>
          </w:tcPr>
          <w:p w14:paraId="673CF7DD" w14:textId="77777777" w:rsidR="008C1669" w:rsidRDefault="008C1669" w:rsidP="008C1669">
            <w:pPr>
              <w:rPr>
                <w:rFonts w:ascii="Times New Roman" w:hAnsi="Times New Roman"/>
              </w:rPr>
            </w:pPr>
          </w:p>
        </w:tc>
        <w:tc>
          <w:tcPr>
            <w:tcW w:w="0" w:type="auto"/>
            <w:tcBorders>
              <w:top w:val="nil"/>
              <w:left w:val="nil"/>
              <w:bottom w:val="single" w:sz="8" w:space="0" w:color="auto"/>
              <w:right w:val="single" w:sz="8" w:space="0" w:color="auto"/>
            </w:tcBorders>
            <w:shd w:val="clear" w:color="auto" w:fill="9CC2E5"/>
            <w:tcMar>
              <w:top w:w="0" w:type="dxa"/>
              <w:left w:w="115" w:type="dxa"/>
              <w:bottom w:w="0" w:type="dxa"/>
              <w:right w:w="115" w:type="dxa"/>
            </w:tcMar>
            <w:hideMark/>
          </w:tcPr>
          <w:p w14:paraId="28FDBC91" w14:textId="77777777" w:rsidR="008C1669" w:rsidRDefault="008C1669" w:rsidP="008C1669">
            <w:pPr>
              <w:rPr>
                <w:rFonts w:ascii="Times New Roman" w:hAnsi="Times New Roman"/>
              </w:rPr>
            </w:pPr>
            <w:r>
              <w:rPr>
                <w:rFonts w:ascii="Times New Roman" w:hAnsi="Times New Roman"/>
              </w:rPr>
              <w:t>Import</w:t>
            </w:r>
          </w:p>
        </w:tc>
        <w:tc>
          <w:tcPr>
            <w:tcW w:w="0" w:type="auto"/>
            <w:tcBorders>
              <w:top w:val="nil"/>
              <w:left w:val="nil"/>
              <w:bottom w:val="single" w:sz="8" w:space="0" w:color="auto"/>
              <w:right w:val="single" w:sz="8" w:space="0" w:color="auto"/>
            </w:tcBorders>
            <w:shd w:val="clear" w:color="auto" w:fill="9CC2E5"/>
            <w:tcMar>
              <w:top w:w="0" w:type="dxa"/>
              <w:left w:w="115" w:type="dxa"/>
              <w:bottom w:w="0" w:type="dxa"/>
              <w:right w:w="115" w:type="dxa"/>
            </w:tcMar>
            <w:hideMark/>
          </w:tcPr>
          <w:p w14:paraId="2937D401" w14:textId="77777777" w:rsidR="008C1669" w:rsidRDefault="008C1669" w:rsidP="008C1669">
            <w:pPr>
              <w:rPr>
                <w:rFonts w:ascii="Times New Roman" w:hAnsi="Times New Roman"/>
              </w:rPr>
            </w:pPr>
            <w:r>
              <w:rPr>
                <w:rFonts w:ascii="Times New Roman" w:hAnsi="Times New Roman"/>
              </w:rPr>
              <w:t>Export</w:t>
            </w:r>
          </w:p>
        </w:tc>
        <w:tc>
          <w:tcPr>
            <w:tcW w:w="0" w:type="auto"/>
            <w:tcBorders>
              <w:top w:val="nil"/>
              <w:left w:val="nil"/>
              <w:bottom w:val="single" w:sz="8" w:space="0" w:color="auto"/>
              <w:right w:val="single" w:sz="8" w:space="0" w:color="auto"/>
            </w:tcBorders>
            <w:shd w:val="clear" w:color="auto" w:fill="9CC2E5"/>
            <w:tcMar>
              <w:top w:w="0" w:type="dxa"/>
              <w:left w:w="115" w:type="dxa"/>
              <w:bottom w:w="0" w:type="dxa"/>
              <w:right w:w="115" w:type="dxa"/>
            </w:tcMar>
            <w:hideMark/>
          </w:tcPr>
          <w:p w14:paraId="5DCCEF39" w14:textId="77777777" w:rsidR="008C1669" w:rsidRDefault="008C1669" w:rsidP="008C1669">
            <w:pPr>
              <w:rPr>
                <w:rFonts w:ascii="Times New Roman" w:hAnsi="Times New Roman"/>
              </w:rPr>
            </w:pPr>
            <w:r>
              <w:rPr>
                <w:rFonts w:ascii="Times New Roman" w:hAnsi="Times New Roman"/>
              </w:rPr>
              <w:t>Total</w:t>
            </w:r>
          </w:p>
        </w:tc>
        <w:tc>
          <w:tcPr>
            <w:tcW w:w="0" w:type="auto"/>
            <w:tcBorders>
              <w:top w:val="nil"/>
              <w:left w:val="nil"/>
              <w:bottom w:val="single" w:sz="8" w:space="0" w:color="auto"/>
              <w:right w:val="single" w:sz="8" w:space="0" w:color="auto"/>
            </w:tcBorders>
            <w:shd w:val="clear" w:color="auto" w:fill="9CC2E5"/>
            <w:tcMar>
              <w:top w:w="0" w:type="dxa"/>
              <w:left w:w="115" w:type="dxa"/>
              <w:bottom w:w="0" w:type="dxa"/>
              <w:right w:w="115" w:type="dxa"/>
            </w:tcMar>
          </w:tcPr>
          <w:p w14:paraId="1A0234C7" w14:textId="77777777" w:rsidR="008C1669" w:rsidRDefault="008C1669" w:rsidP="008C1669">
            <w:pPr>
              <w:rPr>
                <w:rFonts w:ascii="Times New Roman" w:hAnsi="Times New Roman"/>
              </w:rPr>
            </w:pPr>
          </w:p>
        </w:tc>
      </w:tr>
      <w:tr w:rsidR="008C1669" w14:paraId="6D253D5B" w14:textId="77777777" w:rsidTr="008C16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DB37D8" w14:textId="77777777" w:rsidR="008C1669" w:rsidRDefault="008C1669" w:rsidP="008C1669">
            <w:pPr>
              <w:rPr>
                <w:rFonts w:ascii="Times New Roman" w:hAnsi="Times New Roman"/>
              </w:rPr>
            </w:pPr>
            <w:r>
              <w:rPr>
                <w:rFonts w:ascii="Times New Roman" w:hAnsi="Times New Roman"/>
              </w:rPr>
              <w:t>PACW</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FA19D4" w14:textId="77777777" w:rsidR="008C1669" w:rsidRDefault="008C1669" w:rsidP="008C1669">
            <w:pPr>
              <w:rPr>
                <w:rFonts w:ascii="Times New Roman" w:hAnsi="Times New Roman"/>
              </w:rPr>
            </w:pPr>
            <w:r>
              <w:rPr>
                <w:rFonts w:ascii="Times New Roman" w:hAnsi="Times New Roman"/>
              </w:rPr>
              <w:t>BPAT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2BDDB58" w14:textId="77777777" w:rsidR="008C1669" w:rsidRDefault="008C1669" w:rsidP="008C1669">
            <w:pPr>
              <w:jc w:val="right"/>
              <w:rPr>
                <w:rFonts w:ascii="Times New Roman" w:hAnsi="Times New Roman"/>
              </w:rPr>
            </w:pPr>
            <w:r>
              <w:rPr>
                <w:rFonts w:ascii="Times New Roman" w:hAnsi="Times New Roman"/>
              </w:rPr>
              <w:t>400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68948639" w14:textId="77777777" w:rsidR="008C1669" w:rsidRDefault="008C1669" w:rsidP="008C1669">
            <w:pPr>
              <w:jc w:val="right"/>
              <w:rPr>
                <w:rFonts w:ascii="Times New Roman" w:hAnsi="Times New Roman"/>
              </w:rPr>
            </w:pPr>
            <w:r>
              <w:rPr>
                <w:rFonts w:ascii="Times New Roman" w:hAnsi="Times New Roman"/>
              </w:rPr>
              <w:t>400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24EE2EF2" w14:textId="77777777" w:rsidR="008C1669" w:rsidRDefault="008C1669" w:rsidP="008C1669">
            <w:pPr>
              <w:jc w:val="right"/>
              <w:rPr>
                <w:rFonts w:ascii="Times New Roman" w:hAnsi="Times New Roman"/>
              </w:rPr>
            </w:pPr>
            <w:r>
              <w:rPr>
                <w:rFonts w:ascii="Times New Roman" w:hAnsi="Times New Roman"/>
              </w:rPr>
              <w:t>800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608BC584" w14:textId="77777777" w:rsidR="008C1669" w:rsidRDefault="008C1669" w:rsidP="008C1669">
            <w:pPr>
              <w:jc w:val="right"/>
              <w:rPr>
                <w:rFonts w:ascii="Times New Roman" w:hAnsi="Times New Roman"/>
              </w:rPr>
            </w:pPr>
            <w:r>
              <w:rPr>
                <w:rFonts w:ascii="Times New Roman" w:hAnsi="Times New Roman"/>
              </w:rPr>
              <w:t>0.4</w:t>
            </w:r>
          </w:p>
        </w:tc>
      </w:tr>
      <w:tr w:rsidR="008C1669" w14:paraId="51327E1F" w14:textId="77777777" w:rsidTr="008C16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FB52F" w14:textId="77777777" w:rsidR="008C1669" w:rsidRDefault="008C1669" w:rsidP="008C1669">
            <w:pPr>
              <w:rPr>
                <w:rFonts w:ascii="Times New Roman" w:hAnsi="Times New Roman"/>
              </w:rPr>
            </w:pPr>
            <w:r>
              <w:rPr>
                <w:rFonts w:ascii="Times New Roman" w:hAnsi="Times New Roman"/>
              </w:rPr>
              <w:t>PSEI</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69FEC" w14:textId="77777777" w:rsidR="008C1669" w:rsidRDefault="008C1669" w:rsidP="008C1669">
            <w:pPr>
              <w:rPr>
                <w:rFonts w:ascii="Times New Roman" w:hAnsi="Times New Roman"/>
              </w:rPr>
            </w:pPr>
            <w:r>
              <w:rPr>
                <w:rFonts w:ascii="Times New Roman" w:hAnsi="Times New Roman"/>
              </w:rPr>
              <w:t>BPAT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F1DE07" w14:textId="77777777" w:rsidR="008C1669" w:rsidRDefault="008C1669" w:rsidP="008C1669">
            <w:pPr>
              <w:jc w:val="right"/>
              <w:rPr>
                <w:rFonts w:ascii="Times New Roman" w:hAnsi="Times New Roman"/>
              </w:rPr>
            </w:pPr>
            <w:r>
              <w:rPr>
                <w:rFonts w:ascii="Times New Roman" w:hAnsi="Times New Roman"/>
              </w:rPr>
              <w:t>300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0EDF7C5A" w14:textId="77777777" w:rsidR="008C1669" w:rsidRDefault="008C1669" w:rsidP="008C1669">
            <w:pPr>
              <w:jc w:val="right"/>
              <w:rPr>
                <w:rFonts w:ascii="Times New Roman" w:hAnsi="Times New Roman"/>
              </w:rPr>
            </w:pPr>
            <w:r>
              <w:rPr>
                <w:rFonts w:ascii="Times New Roman" w:hAnsi="Times New Roman"/>
              </w:rPr>
              <w:t>300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2EB238F3" w14:textId="77777777" w:rsidR="008C1669" w:rsidRDefault="008C1669" w:rsidP="008C1669">
            <w:pPr>
              <w:jc w:val="right"/>
              <w:rPr>
                <w:rFonts w:ascii="Times New Roman" w:hAnsi="Times New Roman"/>
              </w:rPr>
            </w:pPr>
            <w:r>
              <w:rPr>
                <w:rFonts w:ascii="Times New Roman" w:hAnsi="Times New Roman"/>
              </w:rPr>
              <w:t>600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063F9B39" w14:textId="77777777" w:rsidR="008C1669" w:rsidRDefault="008C1669" w:rsidP="008C1669">
            <w:pPr>
              <w:jc w:val="right"/>
              <w:rPr>
                <w:rFonts w:ascii="Times New Roman" w:hAnsi="Times New Roman"/>
              </w:rPr>
            </w:pPr>
            <w:r>
              <w:rPr>
                <w:rFonts w:ascii="Times New Roman" w:hAnsi="Times New Roman"/>
              </w:rPr>
              <w:t>0.3</w:t>
            </w:r>
          </w:p>
        </w:tc>
      </w:tr>
      <w:tr w:rsidR="008C1669" w14:paraId="4BD87DB8" w14:textId="77777777" w:rsidTr="008C166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1D4FBE" w14:textId="77777777" w:rsidR="008C1669" w:rsidRDefault="008C1669" w:rsidP="008C1669">
            <w:pPr>
              <w:rPr>
                <w:rFonts w:ascii="Times New Roman" w:hAnsi="Times New Roman"/>
              </w:rPr>
            </w:pPr>
            <w:r>
              <w:rPr>
                <w:rFonts w:ascii="Times New Roman" w:hAnsi="Times New Roman"/>
              </w:rPr>
              <w:t>PGE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88F5C1" w14:textId="77777777" w:rsidR="008C1669" w:rsidRDefault="008C1669" w:rsidP="008C1669">
            <w:pPr>
              <w:rPr>
                <w:rFonts w:ascii="Times New Roman" w:hAnsi="Times New Roman"/>
              </w:rPr>
            </w:pPr>
            <w:r>
              <w:rPr>
                <w:rFonts w:ascii="Times New Roman" w:hAnsi="Times New Roman"/>
              </w:rPr>
              <w:t>BPAT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48BCC3" w14:textId="77777777" w:rsidR="008C1669" w:rsidRDefault="008C1669" w:rsidP="008C1669">
            <w:pPr>
              <w:jc w:val="right"/>
              <w:rPr>
                <w:rFonts w:ascii="Times New Roman" w:hAnsi="Times New Roman"/>
              </w:rPr>
            </w:pPr>
            <w:r>
              <w:rPr>
                <w:rFonts w:ascii="Times New Roman" w:hAnsi="Times New Roman"/>
              </w:rPr>
              <w:t>300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327E61E7" w14:textId="77777777" w:rsidR="008C1669" w:rsidRDefault="008C1669" w:rsidP="008C1669">
            <w:pPr>
              <w:jc w:val="right"/>
              <w:rPr>
                <w:rFonts w:ascii="Times New Roman" w:hAnsi="Times New Roman"/>
              </w:rPr>
            </w:pPr>
            <w:r>
              <w:rPr>
                <w:rFonts w:ascii="Times New Roman" w:hAnsi="Times New Roman"/>
              </w:rPr>
              <w:t>300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357EA553" w14:textId="77777777" w:rsidR="008C1669" w:rsidRDefault="008C1669" w:rsidP="008C1669">
            <w:pPr>
              <w:jc w:val="right"/>
              <w:rPr>
                <w:rFonts w:ascii="Times New Roman" w:hAnsi="Times New Roman"/>
              </w:rPr>
            </w:pPr>
            <w:r>
              <w:rPr>
                <w:rFonts w:ascii="Times New Roman" w:hAnsi="Times New Roman"/>
              </w:rPr>
              <w:t>600</w:t>
            </w:r>
          </w:p>
        </w:tc>
        <w:tc>
          <w:tcPr>
            <w:tcW w:w="0" w:type="auto"/>
            <w:tcBorders>
              <w:top w:val="nil"/>
              <w:left w:val="nil"/>
              <w:bottom w:val="single" w:sz="8" w:space="0" w:color="auto"/>
              <w:right w:val="single" w:sz="8" w:space="0" w:color="auto"/>
            </w:tcBorders>
            <w:tcMar>
              <w:top w:w="0" w:type="dxa"/>
              <w:left w:w="115" w:type="dxa"/>
              <w:bottom w:w="0" w:type="dxa"/>
              <w:right w:w="115" w:type="dxa"/>
            </w:tcMar>
            <w:hideMark/>
          </w:tcPr>
          <w:p w14:paraId="569922CA" w14:textId="77777777" w:rsidR="008C1669" w:rsidRDefault="008C1669" w:rsidP="008C1669">
            <w:pPr>
              <w:jc w:val="right"/>
              <w:rPr>
                <w:rFonts w:ascii="Times New Roman" w:hAnsi="Times New Roman"/>
              </w:rPr>
            </w:pPr>
            <w:r>
              <w:rPr>
                <w:rFonts w:ascii="Times New Roman" w:hAnsi="Times New Roman"/>
              </w:rPr>
              <w:t>0.3</w:t>
            </w:r>
          </w:p>
        </w:tc>
      </w:tr>
    </w:tbl>
    <w:p w14:paraId="4B5BC99E" w14:textId="77777777" w:rsidR="008C1669" w:rsidRDefault="008C1669"/>
    <w:p w14:paraId="1C3FF3A9" w14:textId="77777777" w:rsidR="009839BA" w:rsidRDefault="009839BA" w:rsidP="009839BA">
      <w:pPr>
        <w:pStyle w:val="Paragraph"/>
      </w:pPr>
      <w:r>
        <w:t>This methodology can be extended to the shadow prices of the EIM transfer scheduling limits (</w:t>
      </w:r>
      <w:r w:rsidRPr="00E17250">
        <w:rPr>
          <w:i/>
        </w:rPr>
        <w:sym w:font="Symbol" w:char="F06E"/>
      </w:r>
      <w:r>
        <w:t xml:space="preserve"> or </w:t>
      </w:r>
      <w:r w:rsidRPr="00E17250">
        <w:rPr>
          <w:i/>
        </w:rPr>
        <w:sym w:font="Symbol" w:char="F078"/>
      </w:r>
      <w:r>
        <w:t>).</w:t>
      </w:r>
      <w:r w:rsidRPr="000E710B">
        <w:t xml:space="preserve"> </w:t>
      </w:r>
      <w:r>
        <w:t>The congestion revenue from the EIM transfer scheduling limits is allocated as follows:</w:t>
      </w:r>
    </w:p>
    <w:p w14:paraId="5C734DCB" w14:textId="77777777" w:rsidR="009839BA" w:rsidRDefault="007818F5" w:rsidP="009839BA">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Tj</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EIM∧j&gt;0</m:t>
          </m:r>
        </m:oMath>
      </m:oMathPara>
    </w:p>
    <w:p w14:paraId="4E7C55D0" w14:textId="77777777" w:rsidR="009839BA" w:rsidRDefault="009839BA" w:rsidP="009839BA">
      <w:pPr>
        <w:pStyle w:val="Paragraph"/>
      </w:pPr>
      <w:r>
        <w:t>Where:</w:t>
      </w:r>
    </w:p>
    <w:p w14:paraId="12F4EA13" w14:textId="77777777" w:rsidR="009839BA" w:rsidRDefault="007818F5" w:rsidP="009839BA">
      <w:pPr>
        <w:pStyle w:val="Equation"/>
      </w:pPr>
      <m:oMathPara>
        <m:oMath>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Tj,r</m:t>
                  </m:r>
                </m:sub>
              </m:sSub>
            </m:e>
          </m:nary>
          <m:r>
            <w:rPr>
              <w:rFonts w:ascii="Cambria Math" w:hAnsi="Cambria Math"/>
            </w:rPr>
            <m:t>=1,  ∀j</m:t>
          </m:r>
          <m:r>
            <m:rPr>
              <m:sty m:val="p"/>
            </m:rPr>
            <w:rPr>
              <w:rFonts w:ascii="Cambria Math" w:hAnsi="Cambria Math"/>
            </w:rPr>
            <m:t>∈</m:t>
          </m:r>
          <m:r>
            <w:rPr>
              <w:rFonts w:ascii="Cambria Math" w:hAnsi="Cambria Math"/>
            </w:rPr>
            <m:t>EIM∧j&gt;0</m:t>
          </m:r>
        </m:oMath>
      </m:oMathPara>
    </w:p>
    <w:p w14:paraId="58C4A8C0" w14:textId="77777777" w:rsidR="009839BA" w:rsidRDefault="009839BA" w:rsidP="009839BA">
      <w:pPr>
        <w:pStyle w:val="Paragraph"/>
      </w:pPr>
      <w:r>
        <w:t>This is accomplished by decomposing the corresponding MCC contributions using the congestion revenue distribution factors, as follows:</w:t>
      </w:r>
    </w:p>
    <w:p w14:paraId="0B8AC364" w14:textId="77777777" w:rsidR="009839BA" w:rsidRDefault="009839BA" w:rsidP="009839BA">
      <w:pPr>
        <w:pStyle w:val="Equation"/>
      </w:pPr>
      <m:oMathPara>
        <m:oMath>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e>
              </m:d>
            </m:e>
          </m:nary>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EIM∧j&gt;0</m:t>
          </m:r>
        </m:oMath>
      </m:oMathPara>
    </w:p>
    <w:p w14:paraId="65768D8C" w14:textId="48DA36B6" w:rsidR="009839BA" w:rsidRDefault="00FD5ED6" w:rsidP="009839BA">
      <w:pPr>
        <w:pStyle w:val="Paragraph"/>
      </w:pPr>
      <w:r>
        <w:t>T</w:t>
      </w:r>
      <w:r w:rsidR="009839BA">
        <w:t>he congestion revenue distribution factors for these constraints allocate the congestion revenue 100% to the BAA for which the constraint is formulated:</w:t>
      </w:r>
    </w:p>
    <w:p w14:paraId="102112DF" w14:textId="77777777" w:rsidR="009839BA" w:rsidRDefault="007818F5" w:rsidP="009839BA">
      <w:pPr>
        <w:pStyle w:val="Equation"/>
      </w:pPr>
      <m:oMathPara>
        <m:oMath>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=1</m:t>
                    </m:r>
                  </m:e>
                  <m:e>
                    <m:r>
                      <w:rPr>
                        <w:rFonts w:ascii="Cambria Math" w:hAnsi="Cambria Math"/>
                      </w:rPr>
                      <m:t>∴r=j</m:t>
                    </m:r>
                  </m:e>
                </m:mr>
                <m:mr>
                  <m:e>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=0</m:t>
                    </m:r>
                  </m:e>
                  <m:e>
                    <m:r>
                      <w:rPr>
                        <w:rFonts w:ascii="Cambria Math" w:hAnsi="Cambria Math"/>
                      </w:rPr>
                      <m:t>∴r≠j</m:t>
                    </m:r>
                  </m:e>
                </m:mr>
              </m:m>
            </m:e>
          </m:d>
          <m:r>
            <w:rPr>
              <w:rFonts w:ascii="Cambria Math" w:hAnsi="Cambria Math"/>
            </w:rPr>
            <m:t>,  ∀j</m:t>
          </m:r>
          <m:r>
            <m:rPr>
              <m:sty m:val="p"/>
            </m:rPr>
            <w:rPr>
              <w:rFonts w:ascii="Cambria Math" w:hAnsi="Cambria Math"/>
            </w:rPr>
            <m:t>∈</m:t>
          </m:r>
          <m:r>
            <w:rPr>
              <w:rFonts w:ascii="Cambria Math" w:hAnsi="Cambria Math"/>
            </w:rPr>
            <m:t>EIM∧j&gt;0</m:t>
          </m:r>
        </m:oMath>
      </m:oMathPara>
    </w:p>
    <w:p w14:paraId="3547BCCA" w14:textId="49B4D5DC" w:rsidR="00FD5ED6" w:rsidRDefault="00FD5ED6" w:rsidP="009839BA">
      <w:pPr>
        <w:pStyle w:val="Paragraph"/>
      </w:pPr>
      <w:r>
        <w:t>MCC contributions from FRP requirement constraints</w:t>
      </w:r>
      <w:r w:rsidR="00123564">
        <w:t xml:space="preserve"> for specific BAAs (due to the dependency on the available net import/export capability)</w:t>
      </w:r>
      <w:r w:rsidR="000C0DDC">
        <w:t xml:space="preserve"> are similarly distributed 100% to the BAA for which the constraint is formulated.</w:t>
      </w:r>
    </w:p>
    <w:p w14:paraId="5FDDB4C6" w14:textId="0C982DF3" w:rsidR="009839BA" w:rsidRDefault="009839BA" w:rsidP="009839BA">
      <w:pPr>
        <w:pStyle w:val="Paragraph"/>
      </w:pPr>
      <w:r>
        <w:t>The only remaining MCC component after the allocation of the shadow prices of generic transmission constraints (</w:t>
      </w:r>
      <w:r w:rsidRPr="00A65D19">
        <w:rPr>
          <w:i/>
        </w:rPr>
        <w:sym w:font="Symbol" w:char="F06D"/>
      </w:r>
      <w:r>
        <w:t>)</w:t>
      </w:r>
      <w:r w:rsidR="00D06167">
        <w:t xml:space="preserve">, </w:t>
      </w:r>
      <w:r>
        <w:t>EIM transfer scheduling limits (</w:t>
      </w:r>
      <w:r w:rsidRPr="00E17250">
        <w:rPr>
          <w:i/>
        </w:rPr>
        <w:sym w:font="Symbol" w:char="F06E"/>
      </w:r>
      <w:r>
        <w:t xml:space="preserve"> or </w:t>
      </w:r>
      <w:r w:rsidRPr="00E17250">
        <w:rPr>
          <w:i/>
        </w:rPr>
        <w:sym w:font="Symbol" w:char="F078"/>
      </w:r>
      <w:r>
        <w:t>)</w:t>
      </w:r>
      <w:r w:rsidR="00D06167">
        <w:t>, and FRP requirement constraints,</w:t>
      </w:r>
      <w:r>
        <w:t xml:space="preserve"> is the shadow price of the EIM transfer distribution constraint (</w:t>
      </w:r>
      <w:r w:rsidRPr="0000273E">
        <w:rPr>
          <w:i/>
        </w:rPr>
        <w:sym w:font="Symbol" w:char="F06A"/>
      </w:r>
      <w:r>
        <w:t xml:space="preserve">). </w:t>
      </w:r>
      <w:r w:rsidR="00D379A1">
        <w:t>T</w:t>
      </w:r>
      <w:r>
        <w:t>he same allocation process</w:t>
      </w:r>
      <w:r w:rsidR="00D379A1">
        <w:t xml:space="preserve"> is used</w:t>
      </w:r>
      <w:r>
        <w:t xml:space="preserve">, but instead of allocating the congestion revenue at the BAA level, the allocation </w:t>
      </w:r>
      <w:r w:rsidR="00D379A1">
        <w:t xml:space="preserve">is performed </w:t>
      </w:r>
      <w:r>
        <w:t xml:space="preserve">for each BAA intertie instead. The congestion revenue collected at the BAA level through </w:t>
      </w:r>
      <w:r w:rsidRPr="0000273E">
        <w:rPr>
          <w:i/>
        </w:rPr>
        <w:sym w:font="Symbol" w:char="F06A"/>
      </w:r>
      <w:r>
        <w:t xml:space="preserve"> is equal overall to the congestion revenue collected from each intertie with ETSRs due to the ETSR transmission cost (</w:t>
      </w:r>
      <w:r w:rsidRPr="00713CD5">
        <w:rPr>
          <w:i/>
        </w:rPr>
        <w:t>CT</w:t>
      </w:r>
      <w:r>
        <w:t>), the shadow price of the ETSR schedule limit (</w:t>
      </w:r>
      <w:r>
        <w:rPr>
          <w:i/>
        </w:rPr>
        <w:sym w:font="Symbol" w:char="F072"/>
      </w:r>
      <w:r>
        <w:t xml:space="preserve"> or </w:t>
      </w:r>
      <w:r>
        <w:rPr>
          <w:i/>
        </w:rPr>
        <w:sym w:font="Symbol" w:char="F073"/>
      </w:r>
      <w:r>
        <w:t>), and the intertie scheduling limit</w:t>
      </w:r>
      <w:r w:rsidR="00B43647">
        <w:t xml:space="preserve"> (ISL or ITC)</w:t>
      </w:r>
      <w:r>
        <w:t xml:space="preserve"> shadow price (</w:t>
      </w:r>
      <w:r>
        <w:rPr>
          <w:i/>
        </w:rPr>
        <w:sym w:font="Symbol" w:char="F068"/>
      </w:r>
      <w:r>
        <w:t xml:space="preserve"> or </w:t>
      </w:r>
      <w:r>
        <w:rPr>
          <w:i/>
        </w:rPr>
        <w:sym w:font="Symbol" w:char="F07A"/>
      </w:r>
      <w:r>
        <w:t>).</w:t>
      </w:r>
    </w:p>
    <w:p w14:paraId="0D6E0C03" w14:textId="1570A499" w:rsidR="001A4653" w:rsidRDefault="007818F5" w:rsidP="009839BA">
      <w:pPr>
        <w:pStyle w:val="Paragrap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r>
                <w:rPr>
                  <w:rFonts w:ascii="Cambria Math" w:hAnsi="Cambria Math"/>
                </w:rPr>
                <m:t>EIM</m:t>
              </m:r>
            </m:sub>
            <m:sup/>
            <m:e>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sSub>
                    <m:sSubPr>
                      <m:ctrlPr>
                        <w:rPr>
                          <w:rFonts w:ascii="Cambria Math" w:hAnsi="Cambria Math"/>
                          <w:i/>
                        </w:rPr>
                      </m:ctrlPr>
                    </m:sSubPr>
                    <m:e>
                      <m:r>
                        <w:rPr>
                          <w:rFonts w:ascii="Cambria Math" w:hAnsi="Cambria Math"/>
                        </w:rPr>
                        <m:t>R</m:t>
                      </m:r>
                    </m:e>
                    <m:sub>
                      <m:r>
                        <w:rPr>
                          <w:rFonts w:ascii="Cambria Math" w:hAnsi="Cambria Math"/>
                        </w:rPr>
                        <m:t>j,k,l</m:t>
                      </m:r>
                    </m:sub>
                  </m:sSub>
                </m:e>
              </m:nary>
            </m:e>
          </m:nary>
        </m:oMath>
      </m:oMathPara>
    </w:p>
    <w:p w14:paraId="216AEBE2" w14:textId="2BF4E218" w:rsidR="00641A10" w:rsidRDefault="00880DC4" w:rsidP="00641A10">
      <w:pPr>
        <w:pStyle w:val="Paragraph"/>
      </w:pPr>
      <w:r>
        <w:t>T</w:t>
      </w:r>
      <w:r w:rsidR="00641A10">
        <w:t>he congestion revenue from each ETSR (</w:t>
      </w:r>
      <m:oMath>
        <m:sSub>
          <m:sSubPr>
            <m:ctrlPr>
              <w:rPr>
                <w:rFonts w:ascii="Cambria Math" w:hAnsi="Cambria Math"/>
                <w:i/>
              </w:rPr>
            </m:ctrlPr>
          </m:sSubPr>
          <m:e>
            <m:r>
              <w:rPr>
                <w:rFonts w:ascii="Cambria Math" w:hAnsi="Cambria Math"/>
              </w:rPr>
              <m:t>R</m:t>
            </m:r>
          </m:e>
          <m:sub>
            <m:r>
              <w:rPr>
                <w:rFonts w:ascii="Cambria Math" w:hAnsi="Cambria Math"/>
              </w:rPr>
              <m:t>j,k,l</m:t>
            </m:r>
          </m:sub>
        </m:sSub>
      </m:oMath>
      <w:r w:rsidR="00641A10">
        <w:t xml:space="preserve">) </w:t>
      </w:r>
      <w:r>
        <w:t xml:space="preserve">can be separated </w:t>
      </w:r>
      <w:r w:rsidR="00641A10">
        <w:t>to its contributions from the ETSR transmission cost (</w:t>
      </w:r>
      <w:r w:rsidR="00641A10" w:rsidRPr="00713CD5">
        <w:rPr>
          <w:i/>
        </w:rPr>
        <w:t>CT</w:t>
      </w:r>
      <w:r w:rsidR="00641A10">
        <w:t>), the shadow price of the ETSR schedule limit (</w:t>
      </w:r>
      <w:r w:rsidR="00641A10">
        <w:rPr>
          <w:i/>
        </w:rPr>
        <w:sym w:font="Symbol" w:char="F072"/>
      </w:r>
      <w:r w:rsidR="00641A10">
        <w:t xml:space="preserve"> or </w:t>
      </w:r>
      <w:r w:rsidR="00641A10">
        <w:rPr>
          <w:i/>
        </w:rPr>
        <w:sym w:font="Symbol" w:char="F073"/>
      </w:r>
      <w:r w:rsidR="00641A10">
        <w:t>), and the intertie scheduling limit shadow price (</w:t>
      </w:r>
      <w:r w:rsidR="00641A10">
        <w:rPr>
          <w:i/>
        </w:rPr>
        <w:sym w:font="Symbol" w:char="F068"/>
      </w:r>
      <w:r w:rsidR="00641A10">
        <w:t xml:space="preserve"> or </w:t>
      </w:r>
      <w:r w:rsidR="00641A10">
        <w:rPr>
          <w:i/>
        </w:rPr>
        <w:sym w:font="Symbol" w:char="F07A"/>
      </w:r>
      <w:r w:rsidR="00641A10">
        <w:t>) as follows:</w:t>
      </w:r>
    </w:p>
    <w:p w14:paraId="1DE80389" w14:textId="77777777" w:rsidR="00641A10" w:rsidRPr="00176726" w:rsidRDefault="007818F5" w:rsidP="00641A10">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CTj,k,l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ETj,k,l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SLj,k,l</m:t>
                        </m:r>
                      </m:sub>
                    </m:sSub>
                  </m:e>
                </m:mr>
                <m:mr>
                  <m:e>
                    <m:sSub>
                      <m:sSubPr>
                        <m:ctrlPr>
                          <w:rPr>
                            <w:rFonts w:ascii="Cambria Math" w:hAnsi="Cambria Math"/>
                            <w:i/>
                          </w:rPr>
                        </m:ctrlPr>
                      </m:sSubPr>
                      <m:e>
                        <m:r>
                          <w:rPr>
                            <w:rFonts w:ascii="Cambria Math" w:hAnsi="Cambria Math"/>
                          </w:rPr>
                          <m:t>R</m:t>
                        </m:r>
                      </m:e>
                      <m:sub>
                        <m:r>
                          <w:rPr>
                            <w:rFonts w:ascii="Cambria Math" w:hAnsi="Cambria Math"/>
                          </w:rPr>
                          <m:t>CTj,k,l</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j,k,l</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mr>
                <m:mr>
                  <m:e>
                    <m:sSub>
                      <m:sSubPr>
                        <m:ctrlPr>
                          <w:rPr>
                            <w:rFonts w:ascii="Cambria Math" w:hAnsi="Cambria Math"/>
                            <w:i/>
                          </w:rPr>
                        </m:ctrlPr>
                      </m:sSubPr>
                      <m:e>
                        <m:r>
                          <w:rPr>
                            <w:rFonts w:ascii="Cambria Math" w:hAnsi="Cambria Math"/>
                          </w:rPr>
                          <m:t>R</m:t>
                        </m:r>
                      </m:e>
                      <m:sub>
                        <m:r>
                          <w:rPr>
                            <w:rFonts w:ascii="Cambria Math" w:hAnsi="Cambria Math"/>
                          </w:rPr>
                          <m:t>ETj,k,l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j,k,l</m:t>
                            </m:r>
                          </m:sub>
                        </m:sSub>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SLj,k,l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k,j,l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k,j,l</m:t>
                            </m:r>
                          </m:sub>
                        </m:sSub>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mr>
              </m:m>
            </m:e>
          </m:d>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EIM</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68DC6EB7" w14:textId="77777777" w:rsidR="00641A10" w:rsidRDefault="00641A10" w:rsidP="00641A10">
      <w:pPr>
        <w:pStyle w:val="Paragraph"/>
      </w:pPr>
      <w:r>
        <w:t>Each of these contributions can be distributed to BAAs in the EIM Area using configurable distribution factors as follows:</w:t>
      </w:r>
    </w:p>
    <w:p w14:paraId="6B905B6A" w14:textId="77777777" w:rsidR="00641A10" w:rsidRDefault="007818F5" w:rsidP="00641A10">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CTj,k,l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CTj,k,l,r</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j,k,l</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mr>
                <m:mr>
                  <m:e>
                    <m:sSub>
                      <m:sSubPr>
                        <m:ctrlPr>
                          <w:rPr>
                            <w:rFonts w:ascii="Cambria Math" w:hAnsi="Cambria Math"/>
                            <w:i/>
                          </w:rPr>
                        </m:ctrlPr>
                      </m:sSubPr>
                      <m:e>
                        <m:r>
                          <w:rPr>
                            <w:rFonts w:ascii="Cambria Math" w:hAnsi="Cambria Math"/>
                          </w:rPr>
                          <m:t>R</m:t>
                        </m:r>
                      </m:e>
                      <m:sub>
                        <m:r>
                          <w:rPr>
                            <w:rFonts w:ascii="Cambria Math" w:hAnsi="Cambria Math"/>
                          </w:rPr>
                          <m:t>ETj,k,l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ETj,k,l,r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j,k,l</m:t>
                                </m:r>
                              </m:sub>
                            </m:sSub>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mr>
                <m:mr>
                  <m:e>
                    <m:sSub>
                      <m:sSubPr>
                        <m:ctrlPr>
                          <w:rPr>
                            <w:rFonts w:ascii="Cambria Math" w:hAnsi="Cambria Math"/>
                            <w:i/>
                          </w:rPr>
                        </m:ctrlPr>
                      </m:sSubPr>
                      <m:e>
                        <m:r>
                          <w:rPr>
                            <w:rFonts w:ascii="Cambria Math" w:hAnsi="Cambria Math"/>
                          </w:rPr>
                          <m:t>R</m:t>
                        </m:r>
                      </m:e>
                      <m:sub>
                        <m:r>
                          <w:rPr>
                            <w:rFonts w:ascii="Cambria Math" w:hAnsi="Cambria Math"/>
                          </w:rPr>
                          <m:t>SLj,k,l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SLj,k,l,r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SLk,j,l,r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k,j,l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k,j,l</m:t>
                                </m:r>
                              </m:sub>
                            </m:sSub>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mr>
              </m:m>
            </m:e>
          </m:d>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EIM</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1C0FD1CB" w14:textId="77777777" w:rsidR="00641A10" w:rsidRDefault="00641A10" w:rsidP="00641A10">
      <w:pPr>
        <w:pStyle w:val="Paragraph"/>
      </w:pPr>
      <w:r>
        <w:t>Where:</w:t>
      </w:r>
    </w:p>
    <w:p w14:paraId="25F01BF5" w14:textId="77777777" w:rsidR="00641A10" w:rsidRDefault="007818F5" w:rsidP="00641A10">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CTj,k,l,r</m:t>
                            </m:r>
                          </m:sub>
                        </m:sSub>
                      </m:e>
                    </m:nary>
                    <m:r>
                      <w:rPr>
                        <w:rFonts w:ascii="Cambria Math" w:hAnsi="Cambria Math"/>
                      </w:rPr>
                      <m:t>=1</m:t>
                    </m:r>
                  </m:e>
                </m:mr>
                <m:mr>
                  <m:e>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ETj,k,l,r</m:t>
                            </m:r>
                          </m:sub>
                        </m:sSub>
                      </m:e>
                    </m:nary>
                    <m:r>
                      <w:rPr>
                        <w:rFonts w:ascii="Cambria Math" w:hAnsi="Cambria Math"/>
                      </w:rPr>
                      <m:t>=1</m:t>
                    </m:r>
                  </m:e>
                </m:mr>
                <m:mr>
                  <m:e>
                    <m:nary>
                      <m:naryPr>
                        <m:chr m:val="∑"/>
                        <m:limLoc m:val="undOvr"/>
                        <m:supHide m:val="1"/>
                        <m:ctrlPr>
                          <w:rPr>
                            <w:rFonts w:ascii="Cambria Math" w:hAnsi="Cambria Math"/>
                            <w:i/>
                          </w:rPr>
                        </m:ctrlPr>
                      </m:naryPr>
                      <m:sub>
                        <m:r>
                          <w:rPr>
                            <w:rFonts w:ascii="Cambria Math" w:hAnsi="Cambria Math"/>
                          </w:rPr>
                          <m:t>r∈EIM</m:t>
                        </m:r>
                      </m:sub>
                      <m:sup/>
                      <m:e>
                        <m:sSub>
                          <m:sSubPr>
                            <m:ctrlPr>
                              <w:rPr>
                                <w:rFonts w:ascii="Cambria Math" w:hAnsi="Cambria Math"/>
                                <w:i/>
                              </w:rPr>
                            </m:ctrlPr>
                          </m:sSubPr>
                          <m:e>
                            <m:r>
                              <w:rPr>
                                <w:rFonts w:ascii="Cambria Math" w:hAnsi="Cambria Math"/>
                              </w:rPr>
                              <m:t>f</m:t>
                            </m:r>
                          </m:e>
                          <m:sub>
                            <m:r>
                              <w:rPr>
                                <w:rFonts w:ascii="Cambria Math" w:hAnsi="Cambria Math"/>
                              </w:rPr>
                              <m:t>SLj,k,l,r</m:t>
                            </m:r>
                          </m:sub>
                        </m:sSub>
                      </m:e>
                    </m:nary>
                    <m:r>
                      <w:rPr>
                        <w:rFonts w:ascii="Cambria Math" w:hAnsi="Cambria Math"/>
                      </w:rPr>
                      <m:t>=1</m:t>
                    </m:r>
                  </m:e>
                </m:mr>
              </m:m>
            </m:e>
          </m:d>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EIM</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33BDE27E" w14:textId="1CEB6F34" w:rsidR="002A168E" w:rsidRDefault="004E4871" w:rsidP="00912DDD">
      <w:pPr>
        <w:pStyle w:val="Paragraph"/>
      </w:pPr>
      <w:r>
        <w:t>The congestion distribution factors for the ETSR transmission cost (</w:t>
      </w:r>
      <m:oMath>
        <m:sSub>
          <m:sSubPr>
            <m:ctrlPr>
              <w:rPr>
                <w:rFonts w:ascii="Cambria Math" w:hAnsi="Cambria Math"/>
                <w:i/>
              </w:rPr>
            </m:ctrlPr>
          </m:sSubPr>
          <m:e>
            <m:r>
              <w:rPr>
                <w:rFonts w:ascii="Cambria Math" w:hAnsi="Cambria Math"/>
              </w:rPr>
              <m:t>f</m:t>
            </m:r>
          </m:e>
          <m:sub>
            <m:r>
              <w:rPr>
                <w:rFonts w:ascii="Cambria Math" w:hAnsi="Cambria Math"/>
              </w:rPr>
              <m:t>CTj,k,l,r</m:t>
            </m:r>
          </m:sub>
        </m:sSub>
      </m:oMath>
      <w:r>
        <w:t xml:space="preserve">) are </w:t>
      </w:r>
      <w:r w:rsidR="00450CA3">
        <w:t xml:space="preserve">set to 50% for each of the two BAAs </w:t>
      </w:r>
      <w:r w:rsidR="002A3D5D">
        <w:t>of the</w:t>
      </w:r>
      <w:r w:rsidR="00450CA3">
        <w:t xml:space="preserve"> associated </w:t>
      </w:r>
      <w:r w:rsidR="002A3D5D">
        <w:t xml:space="preserve">ETSR. The congestion distribution factors for the ETSR </w:t>
      </w:r>
      <w:r w:rsidR="001B2A2C">
        <w:t>scheduling limits</w:t>
      </w:r>
      <w:r w:rsidR="002A3D5D">
        <w:t xml:space="preserve"> (</w:t>
      </w:r>
      <m:oMath>
        <m:sSub>
          <m:sSubPr>
            <m:ctrlPr>
              <w:rPr>
                <w:rFonts w:ascii="Cambria Math" w:hAnsi="Cambria Math"/>
                <w:i/>
              </w:rPr>
            </m:ctrlPr>
          </m:sSubPr>
          <m:e>
            <m:r>
              <w:rPr>
                <w:rFonts w:ascii="Cambria Math" w:hAnsi="Cambria Math"/>
              </w:rPr>
              <m:t>f</m:t>
            </m:r>
          </m:e>
          <m:sub>
            <m:r>
              <w:rPr>
                <w:rFonts w:ascii="Cambria Math" w:hAnsi="Cambria Math"/>
              </w:rPr>
              <m:t>ETj,k,l,r</m:t>
            </m:r>
          </m:sub>
        </m:sSub>
      </m:oMath>
      <w:r w:rsidR="002A3D5D">
        <w:t>) are set to</w:t>
      </w:r>
      <w:r w:rsidR="008508DA">
        <w:t xml:space="preserve"> 50%</w:t>
      </w:r>
      <w:r w:rsidR="008508DA" w:rsidRPr="008508DA">
        <w:t xml:space="preserve"> </w:t>
      </w:r>
      <w:r w:rsidR="008508DA">
        <w:t xml:space="preserve">for each of the two BAAs of the associated ETSR if they have transmission rights through </w:t>
      </w:r>
      <w:r w:rsidR="000E563F">
        <w:t>the intertie (typical case for ETSRs between EIM BAAs)</w:t>
      </w:r>
      <w:r w:rsidR="00CB6ECE">
        <w:t xml:space="preserve">, or 100% to the BAA that has transmission rights to, but not through, the intertie (typical case for ETSRs between </w:t>
      </w:r>
      <w:r w:rsidR="00A16D58">
        <w:t>an EIM BAA and the CISO).</w:t>
      </w:r>
      <w:r w:rsidR="00A16D58" w:rsidRPr="00A16D58">
        <w:t xml:space="preserve"> </w:t>
      </w:r>
      <w:r w:rsidR="00A16D58">
        <w:t>The congestion distribution factors for the intertie scheduling limit (ISL or ITC) (</w:t>
      </w:r>
      <m:oMath>
        <m:sSub>
          <m:sSubPr>
            <m:ctrlPr>
              <w:rPr>
                <w:rFonts w:ascii="Cambria Math" w:hAnsi="Cambria Math"/>
                <w:i/>
              </w:rPr>
            </m:ctrlPr>
          </m:sSubPr>
          <m:e>
            <m:r>
              <w:rPr>
                <w:rFonts w:ascii="Cambria Math" w:hAnsi="Cambria Math"/>
              </w:rPr>
              <m:t>f</m:t>
            </m:r>
          </m:e>
          <m:sub>
            <m:r>
              <w:rPr>
                <w:rFonts w:ascii="Cambria Math" w:hAnsi="Cambria Math"/>
              </w:rPr>
              <m:t>SLj,k,l,r</m:t>
            </m:r>
          </m:sub>
        </m:sSub>
      </m:oMath>
      <w:r w:rsidR="00A16D58">
        <w:t>) are set to</w:t>
      </w:r>
      <w:r w:rsidR="00CD09B0">
        <w:t xml:space="preserve"> 100% for the BAA that manages the limit.</w:t>
      </w:r>
    </w:p>
    <w:p w14:paraId="7384FE15" w14:textId="66BE2049" w:rsidR="00912DDD" w:rsidRDefault="00CD09B0" w:rsidP="00912DDD">
      <w:pPr>
        <w:pStyle w:val="Paragraph"/>
      </w:pPr>
      <w:r>
        <w:t>T</w:t>
      </w:r>
      <w:r w:rsidR="00912DDD">
        <w:t>he total congestion revenue from all interties can be distributed to the BAAs in the EIM Area as follows:</w:t>
      </w:r>
    </w:p>
    <w:p w14:paraId="50146011" w14:textId="77777777" w:rsidR="00912DDD" w:rsidRDefault="007818F5" w:rsidP="00912DDD">
      <w:pPr>
        <w:pStyle w:val="Equation"/>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r>
                <m:rPr>
                  <m:sty m:val="p"/>
                </m:rPr>
                <w:rPr>
                  <w:rFonts w:ascii="Cambria Math" w:hAnsi="Cambria Math"/>
                </w:rPr>
                <m:t>∈</m:t>
              </m:r>
              <m:r>
                <w:rPr>
                  <w:rFonts w:ascii="Cambria Math" w:hAnsi="Cambria Math"/>
                </w:rPr>
                <m:t>EIM</m:t>
              </m:r>
            </m:sub>
            <m:sup/>
            <m:e>
              <m:sSub>
                <m:sSubPr>
                  <m:ctrlPr>
                    <w:rPr>
                      <w:rFonts w:ascii="Cambria Math" w:hAnsi="Cambria Math"/>
                      <w:i/>
                    </w:rPr>
                  </m:ctrlPr>
                </m:sSubPr>
                <m:e>
                  <m:r>
                    <w:rPr>
                      <w:rFonts w:ascii="Cambria Math" w:hAnsi="Cambria Math"/>
                    </w:rPr>
                    <m:t>R</m:t>
                  </m:r>
                </m:e>
                <m:sub>
                  <m:r>
                    <w:rPr>
                      <w:rFonts w:ascii="Cambria Math" w:hAnsi="Cambria Math"/>
                    </w:rPr>
                    <m:t>Dr</m:t>
                  </m:r>
                </m:sub>
              </m:sSub>
            </m:e>
          </m:nary>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sSub>
                    <m:sSubPr>
                      <m:ctrlPr>
                        <w:rPr>
                          <w:rFonts w:ascii="Cambria Math" w:hAnsi="Cambria Math"/>
                          <w:i/>
                        </w:rPr>
                      </m:ctrlPr>
                    </m:sSubPr>
                    <m:e>
                      <m:r>
                        <w:rPr>
                          <w:rFonts w:ascii="Cambria Math" w:hAnsi="Cambria Math"/>
                        </w:rPr>
                        <m:t>R</m:t>
                      </m:r>
                    </m:e>
                    <m:sub>
                      <m:r>
                        <w:rPr>
                          <w:rFonts w:ascii="Cambria Math" w:hAnsi="Cambria Math"/>
                        </w:rPr>
                        <m:t>j,k,l</m:t>
                      </m:r>
                    </m:sub>
                  </m:sSub>
                </m:e>
              </m:nary>
            </m:e>
          </m:nary>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CTj,k,l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ETj,k,l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SLj,k,l</m:t>
                          </m:r>
                        </m:sub>
                      </m:sSub>
                    </m:e>
                  </m:d>
                </m:e>
              </m:nary>
            </m:e>
          </m:nary>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nary>
                    <m:naryPr>
                      <m:chr m:val="∑"/>
                      <m:limLoc m:val="undOvr"/>
                      <m:supHide m:val="1"/>
                      <m:ctrlPr>
                        <w:rPr>
                          <w:rFonts w:ascii="Cambria Math" w:hAnsi="Cambria Math"/>
                          <w:i/>
                        </w:rPr>
                      </m:ctrlPr>
                    </m:naryPr>
                    <m:sub>
                      <m:r>
                        <w:rPr>
                          <w:rFonts w:ascii="Cambria Math" w:hAnsi="Cambria Math"/>
                        </w:rPr>
                        <m:t>r∈EIM</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CTj,k,l,r</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ETj,k,l,r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SLk,j,l,r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k,j,l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k,j,l</m:t>
                                  </m:r>
                                </m:sub>
                              </m:sSub>
                            </m:e>
                          </m:d>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r∈EIM</m:t>
              </m:r>
            </m:sub>
            <m:sup/>
            <m:e>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CTj,k,l,r</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ETj,k,l,r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SLk,j,l,r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k,j,l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k,j,l</m:t>
                                  </m:r>
                                </m:sub>
                              </m:sSub>
                            </m:e>
                          </m:d>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nary>
            </m:e>
          </m:nary>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m:t>
                    </m:r>
                    <m:r>
                      <m:rPr>
                        <m:sty m:val="p"/>
                      </m:rPr>
                      <w:rPr>
                        <w:rFonts w:ascii="Cambria Math" w:hAnsi="Cambria Math"/>
                      </w:rPr>
                      <m:t>∈</m:t>
                    </m:r>
                    <m:r>
                      <w:rPr>
                        <w:rFonts w:ascii="Cambria Math" w:hAnsi="Cambria Math"/>
                      </w:rPr>
                      <m:t>EIM</m:t>
                    </m:r>
                  </m:e>
                </m:mr>
                <m:mr>
                  <m:e>
                    <m:r>
                      <w:rPr>
                        <w:rFonts w:ascii="Cambria Math" w:hAnsi="Cambria Math"/>
                      </w:rPr>
                      <m:t>j≠k</m:t>
                    </m:r>
                  </m:e>
                </m:mr>
              </m:m>
            </m:sub>
            <m:sup/>
            <m:e>
              <m:nary>
                <m:naryPr>
                  <m:chr m:val="∑"/>
                  <m:limLoc m:val="undOvr"/>
                  <m:supHide m:val="1"/>
                  <m:ctrlPr>
                    <w:rPr>
                      <w:rFonts w:ascii="Cambria Math" w:hAnsi="Cambria Math"/>
                    </w:rPr>
                  </m:ctrlPr>
                </m:naryPr>
                <m:sub>
                  <m:r>
                    <w:rPr>
                      <w:rFonts w:ascii="Cambria Math" w:hAnsi="Cambria Math"/>
                    </w:rPr>
                    <m:t>lϵ</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CTj,k,l,r</m:t>
                          </m:r>
                        </m:sub>
                      </m:sSub>
                      <m:r>
                        <w:rPr>
                          <w:rFonts w:ascii="Cambria Math" w:hAnsi="Cambria Math"/>
                        </w:rPr>
                        <m:t xml:space="preserve"> </m:t>
                      </m:r>
                      <m:sSub>
                        <m:sSubPr>
                          <m:ctrlPr>
                            <w:rPr>
                              <w:rFonts w:ascii="Cambria Math" w:hAnsi="Cambria Math"/>
                              <w:i/>
                            </w:rPr>
                          </m:ctrlPr>
                        </m:sSubPr>
                        <m:e>
                          <m:r>
                            <w:rPr>
                              <w:rFonts w:ascii="Cambria Math" w:hAnsi="Cambria Math"/>
                            </w:rPr>
                            <m:t>CT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ETj,k,l,r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SLk,j,l,r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k,j,l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k,j,l</m:t>
                              </m:r>
                            </m:sub>
                          </m:sSub>
                        </m:e>
                      </m:d>
                    </m:e>
                  </m:d>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j,k,l</m:t>
                      </m:r>
                    </m:sub>
                  </m:sSub>
                </m:e>
              </m:nary>
            </m:e>
          </m:nary>
          <m:r>
            <w:rPr>
              <w:rFonts w:ascii="Cambria Math" w:hAnsi="Cambria Math"/>
            </w:rPr>
            <m:t xml:space="preserve">,  </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EIM</m:t>
          </m:r>
        </m:oMath>
      </m:oMathPara>
    </w:p>
    <w:p w14:paraId="38B65081" w14:textId="77777777" w:rsidR="00912DDD" w:rsidRDefault="00912DDD" w:rsidP="00912DDD">
      <w:pPr>
        <w:pStyle w:val="Paragraph"/>
      </w:pPr>
      <w:r>
        <w:t>Therefore, all shadow prices of the EIM Transfer distribution constraints can be decomposed to BAA contributions using a global distribution vector as follows:</w:t>
      </w:r>
    </w:p>
    <w:p w14:paraId="453B4705" w14:textId="77777777" w:rsidR="00912DDD" w:rsidRDefault="007818F5" w:rsidP="00912DDD">
      <w:pPr>
        <w:pStyle w:val="Equation"/>
      </w:pPr>
      <m:oMathPara>
        <m:oMath>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r>
                <m:rPr>
                  <m:sty m:val="p"/>
                </m:rPr>
                <w:rPr>
                  <w:rFonts w:ascii="Cambria Math" w:hAnsi="Cambria Math"/>
                </w:rPr>
                <m:t>∈</m:t>
              </m:r>
              <m:r>
                <w:rPr>
                  <w:rFonts w:ascii="Cambria Math" w:hAnsi="Cambria Math"/>
                </w:rPr>
                <m:t>EIM</m:t>
              </m:r>
            </m:sub>
            <m:sup/>
            <m:e>
              <m:sSub>
                <m:sSubPr>
                  <m:ctrlPr>
                    <w:rPr>
                      <w:rFonts w:ascii="Cambria Math" w:hAnsi="Cambria Math"/>
                      <w:i/>
                    </w:rPr>
                  </m:ctrlPr>
                </m:sSubPr>
                <m:e>
                  <m:r>
                    <w:rPr>
                      <w:rFonts w:ascii="Cambria Math" w:hAnsi="Cambria Math"/>
                    </w:rPr>
                    <m:t>f</m:t>
                  </m:r>
                </m:e>
                <m:sub>
                  <m:r>
                    <w:rPr>
                      <w:rFonts w:ascii="Cambria Math" w:hAnsi="Cambria Math"/>
                    </w:rPr>
                    <m:t>Dr</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e>
          </m:nary>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m:t>
          </m:r>
        </m:oMath>
      </m:oMathPara>
    </w:p>
    <w:p w14:paraId="0E2062B6" w14:textId="77777777" w:rsidR="00912DDD" w:rsidRDefault="00912DDD" w:rsidP="00912DDD">
      <w:pPr>
        <w:pStyle w:val="Paragraph"/>
      </w:pPr>
      <w:r>
        <w:t>Where:</w:t>
      </w:r>
    </w:p>
    <w:p w14:paraId="0B779612" w14:textId="77777777" w:rsidR="00912DDD" w:rsidRDefault="007818F5" w:rsidP="00912DDD">
      <w:pPr>
        <w:pStyle w:val="Equation"/>
      </w:pPr>
      <m:oMathPara>
        <m:oMath>
          <m:sSub>
            <m:sSubPr>
              <m:ctrlPr>
                <w:rPr>
                  <w:rFonts w:ascii="Cambria Math" w:hAnsi="Cambria Math"/>
                  <w:i/>
                </w:rPr>
              </m:ctrlPr>
            </m:sSubPr>
            <m:e>
              <m:r>
                <w:rPr>
                  <w:rFonts w:ascii="Cambria Math" w:hAnsi="Cambria Math"/>
                </w:rPr>
                <m:t>f</m:t>
              </m:r>
            </m:e>
            <m:sub>
              <m:r>
                <w:rPr>
                  <w:rFonts w:ascii="Cambria Math" w:hAnsi="Cambria Math"/>
                </w:rPr>
                <m:t>Dr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Dr</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 xml:space="preserve">,  </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EIM</m:t>
          </m:r>
        </m:oMath>
      </m:oMathPara>
    </w:p>
    <w:p w14:paraId="05C4DBA0" w14:textId="77777777" w:rsidR="00912DDD" w:rsidRDefault="00912DDD" w:rsidP="00912DDD">
      <w:pPr>
        <w:pStyle w:val="Paragraph"/>
      </w:pPr>
      <w:r>
        <w:t>And:</w:t>
      </w:r>
    </w:p>
    <w:p w14:paraId="6C2A4D9B" w14:textId="77777777" w:rsidR="00912DDD" w:rsidRDefault="007818F5" w:rsidP="00912DDD">
      <w:pPr>
        <w:pStyle w:val="Equation"/>
      </w:pPr>
      <m:oMathPara>
        <m:oMath>
          <m:nary>
            <m:naryPr>
              <m:chr m:val="∑"/>
              <m:limLoc m:val="undOvr"/>
              <m:supHide m:val="1"/>
              <m:ctrlPr>
                <w:rPr>
                  <w:rFonts w:ascii="Cambria Math" w:hAnsi="Cambria Math"/>
                  <w:i/>
                </w:rPr>
              </m:ctrlPr>
            </m:naryPr>
            <m:sub>
              <m:r>
                <w:rPr>
                  <w:rFonts w:ascii="Cambria Math" w:hAnsi="Cambria Math"/>
                </w:rPr>
                <m:t>r</m:t>
              </m:r>
              <m:r>
                <m:rPr>
                  <m:sty m:val="p"/>
                </m:rPr>
                <w:rPr>
                  <w:rFonts w:ascii="Cambria Math" w:hAnsi="Cambria Math"/>
                </w:rPr>
                <m:t>∈</m:t>
              </m:r>
              <m:r>
                <w:rPr>
                  <w:rFonts w:ascii="Cambria Math" w:hAnsi="Cambria Math"/>
                </w:rPr>
                <m:t>EIM</m:t>
              </m:r>
            </m:sub>
            <m:sup/>
            <m:e>
              <m:sSub>
                <m:sSubPr>
                  <m:ctrlPr>
                    <w:rPr>
                      <w:rFonts w:ascii="Cambria Math" w:hAnsi="Cambria Math"/>
                      <w:i/>
                    </w:rPr>
                  </m:ctrlPr>
                </m:sSubPr>
                <m:e>
                  <m:r>
                    <w:rPr>
                      <w:rFonts w:ascii="Cambria Math" w:hAnsi="Cambria Math"/>
                    </w:rPr>
                    <m:t>f</m:t>
                  </m:r>
                </m:e>
                <m:sub>
                  <m:r>
                    <w:rPr>
                      <w:rFonts w:ascii="Cambria Math" w:hAnsi="Cambria Math"/>
                    </w:rPr>
                    <m:t>Dr</m:t>
                  </m:r>
                </m:sub>
              </m:sSub>
            </m:e>
          </m:nary>
          <m:r>
            <w:rPr>
              <w:rFonts w:ascii="Cambria Math" w:hAnsi="Cambria Math"/>
            </w:rPr>
            <m:t>=1</m:t>
          </m:r>
        </m:oMath>
      </m:oMathPara>
    </w:p>
    <w:p w14:paraId="6029974A" w14:textId="77777777" w:rsidR="00F7494A" w:rsidRDefault="00F7494A" w:rsidP="00F7494A">
      <w:pPr>
        <w:pStyle w:val="Paragraph"/>
      </w:pPr>
      <w:r>
        <w:t>Finally, all BAA MCC contributions can be summed up to yield the MCC decomposition to BAA components:</w:t>
      </w:r>
    </w:p>
    <w:p w14:paraId="369DDB3C" w14:textId="7E0939B5" w:rsidR="00F7494A" w:rsidRPr="00B762F6" w:rsidRDefault="007818F5" w:rsidP="00F7494A">
      <w:pPr>
        <w:pStyle w:val="Equation"/>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MCC</m:t>
              </m:r>
            </m:e>
            <m:sub>
              <m:r>
                <w:rPr>
                  <w:rFonts w:ascii="Cambria Math" w:hAnsi="Cambria Math"/>
                </w:rPr>
                <m:t>i,r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0</m:t>
              </m:r>
            </m:sub>
          </m:sSub>
          <m:r>
            <m:rPr>
              <m:sty m:val="p"/>
            </m:rPr>
            <w:br/>
          </m:r>
        </m:oMath>
        <m:oMath>
          <m:sSub>
            <m:sSubPr>
              <m:ctrlPr>
                <w:rPr>
                  <w:rFonts w:ascii="Cambria Math" w:hAnsi="Cambria Math"/>
                  <w:i/>
                </w:rPr>
              </m:ctrlPr>
            </m:sSubPr>
            <m:e>
              <m:r>
                <w:rPr>
                  <w:rFonts w:ascii="Cambria Math" w:hAnsi="Cambria Math"/>
                </w:rPr>
                <m:t>MCC</m:t>
              </m:r>
            </m:e>
            <m:sub>
              <m:r>
                <w:rPr>
                  <w:rFonts w:ascii="Cambria Math" w:hAnsi="Cambria Math"/>
                </w:rPr>
                <m:t>i,r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∧j∈EIM∧j&gt;0</m:t>
          </m:r>
          <m:r>
            <m:rPr>
              <m:sty m:val="p"/>
            </m:rPr>
            <w:br/>
          </m:r>
        </m:oMath>
        <m:oMath>
          <m:sSub>
            <m:sSubPr>
              <m:ctrlPr>
                <w:rPr>
                  <w:rFonts w:ascii="Cambria Math" w:hAnsi="Cambria Math"/>
                  <w:i/>
                </w:rPr>
              </m:ctrlPr>
            </m:sSubPr>
            <m:e>
              <m:r>
                <w:rPr>
                  <w:rFonts w:ascii="Cambria Math" w:hAnsi="Cambria Math"/>
                </w:rPr>
                <m:t>MCC</m:t>
              </m:r>
            </m:e>
            <m:sub>
              <m:r>
                <w:rPr>
                  <w:rFonts w:ascii="Cambria Math" w:hAnsi="Cambria Math"/>
                </w:rPr>
                <m:t>0,k,l,r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m,n,0,k,l</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m</m:t>
                      </m:r>
                    </m:sub>
                  </m:sSub>
                </m:e>
              </m:nary>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SL0,k,l,r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0,k,l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0,k,l</m:t>
                  </m:r>
                </m:sub>
              </m:sSub>
            </m:e>
          </m:d>
          <m:r>
            <w:rPr>
              <w:rFonts w:ascii="Cambria Math" w:hAnsi="Cambria Math"/>
            </w:rPr>
            <m:t xml:space="preserve">,  </m:t>
          </m:r>
          <m:r>
            <m:rPr>
              <m:sty m:val="p"/>
            </m:rPr>
            <w:rPr>
              <w:rFonts w:ascii="Cambria Math" w:hAnsi="Cambria Math"/>
            </w:rPr>
            <m:t>∀</m:t>
          </m:r>
          <m:r>
            <w:rPr>
              <w:rFonts w:ascii="Cambria Math" w:hAnsi="Cambria Math"/>
            </w:rPr>
            <m:t>k</m:t>
          </m:r>
          <m:r>
            <m:rPr>
              <m:sty m:val="p"/>
            </m:rPr>
            <w:rPr>
              <w:rFonts w:ascii="Cambria Math" w:hAnsi="Cambria Math"/>
            </w:rPr>
            <m:t>&gt;0</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r>
            <m:rPr>
              <m:sty m:val="p"/>
            </m:rPr>
            <w:br/>
          </m:r>
        </m:oMath>
        <m:oMath>
          <m:sSub>
            <m:sSubPr>
              <m:ctrlPr>
                <w:rPr>
                  <w:rFonts w:ascii="Cambria Math" w:hAnsi="Cambria Math"/>
                  <w:i/>
                </w:rPr>
              </m:ctrlPr>
            </m:sSubPr>
            <m:e>
              <m:r>
                <w:rPr>
                  <w:rFonts w:ascii="Cambria Math" w:hAnsi="Cambria Math"/>
                </w:rPr>
                <m:t>MCC</m:t>
              </m:r>
            </m:e>
            <m:sub>
              <m:r>
                <w:rPr>
                  <w:rFonts w:ascii="Cambria Math" w:hAnsi="Cambria Math"/>
                </w:rPr>
                <m:t>j,k,l,r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nϵ</m:t>
                  </m:r>
                  <m:sSub>
                    <m:sSubPr>
                      <m:ctrlPr>
                        <w:rPr>
                          <w:rFonts w:ascii="Cambria Math" w:hAnsi="Cambria Math"/>
                          <w:i/>
                        </w:rPr>
                      </m:ctrlPr>
                    </m:sSubPr>
                    <m:e>
                      <m:r>
                        <w:rPr>
                          <w:rFonts w:ascii="Cambria Math" w:hAnsi="Cambria Math"/>
                        </w:rPr>
                        <m:t>N</m:t>
                      </m:r>
                    </m:e>
                    <m:sub>
                      <m:r>
                        <w:rPr>
                          <w:rFonts w:ascii="Cambria Math" w:hAnsi="Cambria Math"/>
                        </w:rPr>
                        <m:t>m</m:t>
                      </m:r>
                    </m:sub>
                  </m:sSub>
                </m:sub>
                <m:sup/>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SF</m:t>
                      </m:r>
                    </m:e>
                    <m:sub>
                      <m:r>
                        <w:rPr>
                          <w:rFonts w:ascii="Cambria Math" w:hAnsi="Cambria Math"/>
                        </w:rPr>
                        <m:t>m,n,j,k,l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m,r</m:t>
                          </m:r>
                        </m:sub>
                      </m:sSub>
                      <m:r>
                        <w:rPr>
                          <w:rFonts w:ascii="Cambria Math" w:hAnsi="Cambria Math"/>
                        </w:rPr>
                        <m:t xml:space="preserve"> μ</m:t>
                      </m:r>
                    </m:e>
                    <m:sub>
                      <m:r>
                        <w:rPr>
                          <w:rFonts w:ascii="Cambria Math" w:hAnsi="Cambria Math"/>
                        </w:rPr>
                        <m:t>m</m:t>
                      </m:r>
                    </m:sub>
                  </m:sSub>
                </m:e>
              </m:nary>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SLj,k,l,r</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j,k,l</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Tj,r</m:t>
              </m:r>
            </m:sub>
          </m:sSub>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Dr</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EIM∧j&gt;0∧k∉EIM∧l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30AA50D4" w14:textId="456D9F3A" w:rsidR="00B47D9D" w:rsidRDefault="002C3088" w:rsidP="00B47D9D">
      <w:pPr>
        <w:pStyle w:val="ListParagraph"/>
        <w:ind w:left="1440"/>
      </w:pPr>
      <w:r>
        <w:t>Where the contributions from FRP requirement constraints are not shown for simplicity.</w:t>
      </w:r>
    </w:p>
    <w:p w14:paraId="10EB95FB" w14:textId="39BE0524" w:rsidR="00B47D9D" w:rsidRDefault="00B47D9D" w:rsidP="00B47D9D">
      <w:pPr>
        <w:pStyle w:val="BPM3"/>
      </w:pPr>
      <w:r w:rsidRPr="00C71D25">
        <w:t xml:space="preserve">Marginal </w:t>
      </w:r>
      <w:r w:rsidR="000D3882">
        <w:t>Cost of Losses</w:t>
      </w:r>
      <w:r w:rsidRPr="00C71D25">
        <w:t xml:space="preserve"> (</w:t>
      </w:r>
      <w:r w:rsidR="00854973">
        <w:t>MCL</w:t>
      </w:r>
      <w:r w:rsidRPr="00684F4A">
        <w:t xml:space="preserve"> </w:t>
      </w:r>
      <w:r>
        <w:t>)</w:t>
      </w:r>
    </w:p>
    <w:p w14:paraId="38E5842B" w14:textId="77777777" w:rsidR="00B47D9D" w:rsidRPr="005C423C" w:rsidRDefault="00B47D9D" w:rsidP="00B47D9D">
      <w:pPr>
        <w:rPr>
          <w:b/>
        </w:rPr>
      </w:pPr>
    </w:p>
    <w:p w14:paraId="580C321F" w14:textId="18299004" w:rsidR="00B47D9D" w:rsidRDefault="00B47D9D" w:rsidP="00B47D9D">
      <w:pPr>
        <w:pStyle w:val="ListParagraph"/>
        <w:ind w:left="1440"/>
      </w:pPr>
      <w:r>
        <w:t xml:space="preserve">Marginal </w:t>
      </w:r>
      <w:r w:rsidR="000D3882">
        <w:t>Cost of Losses</w:t>
      </w:r>
      <w:r>
        <w:t xml:space="preserve"> is a component of the Locational Marginal price that considers the System Marginal Energy Cost (SMEC), and the Loss Penalty Factor (LPF) at the PNode (Physical Node). The </w:t>
      </w:r>
      <w:r w:rsidR="00854973">
        <w:t>MCL</w:t>
      </w:r>
      <w:r>
        <w:t xml:space="preserve"> at a particular PNode may be positive or negative, depending on the submitted bids.  At a Particular PNode, the </w:t>
      </w:r>
      <w:r w:rsidR="00854973">
        <w:t>MCL</w:t>
      </w:r>
      <w:r>
        <w:t xml:space="preserve"> accounts for the real power marginal losses as measured between a CNode (Connection Node) and the distributed load reference. The LPF is derived by the market optimization software (IFM/RTM).</w:t>
      </w:r>
    </w:p>
    <w:p w14:paraId="66EBBA8F" w14:textId="77777777" w:rsidR="00B47D9D" w:rsidRDefault="00B47D9D" w:rsidP="00B47D9D">
      <w:pPr>
        <w:pStyle w:val="ListParagraph"/>
        <w:ind w:left="1440"/>
      </w:pPr>
    </w:p>
    <w:p w14:paraId="7C60DDFB" w14:textId="0D86B849" w:rsidR="00B47D9D" w:rsidRDefault="00B47D9D" w:rsidP="00B47D9D">
      <w:pPr>
        <w:pStyle w:val="Heading5"/>
      </w:pPr>
      <w:r w:rsidRPr="00C71D25">
        <w:t xml:space="preserve">Marginal </w:t>
      </w:r>
      <w:r w:rsidR="000D3882">
        <w:t>Cost of Losses</w:t>
      </w:r>
      <w:r w:rsidRPr="00C71D25">
        <w:t xml:space="preserve"> Decomposition as LMP Componen</w:t>
      </w:r>
      <w:r>
        <w:t>t</w:t>
      </w:r>
    </w:p>
    <w:p w14:paraId="2B30E4D0" w14:textId="77777777" w:rsidR="00B47D9D" w:rsidRDefault="00B47D9D" w:rsidP="00B47D9D">
      <w:pPr>
        <w:pStyle w:val="ListParagraph"/>
        <w:ind w:left="0"/>
      </w:pPr>
    </w:p>
    <w:p w14:paraId="0DC6D881" w14:textId="04586FF0" w:rsidR="00B47D9D" w:rsidRDefault="00B47D9D" w:rsidP="00B47D9D">
      <w:pPr>
        <w:pStyle w:val="ListParagraph"/>
        <w:ind w:left="1440"/>
      </w:pPr>
      <w:r>
        <w:t xml:space="preserve">The </w:t>
      </w:r>
      <w:r w:rsidR="00854973">
        <w:t>MCL</w:t>
      </w:r>
      <w:r>
        <w:t xml:space="preserve"> as a component of the LMP is calculated on the Node price and the SP-Tie Price. Mathematically expressed as below:</w:t>
      </w:r>
    </w:p>
    <w:p w14:paraId="206C97A5" w14:textId="77777777" w:rsidR="00B47D9D" w:rsidRDefault="00B47D9D" w:rsidP="00B47D9D">
      <w:pPr>
        <w:pStyle w:val="ListParagraph"/>
        <w:ind w:left="1440"/>
      </w:pPr>
      <w:r>
        <w:t>Node Price:</w:t>
      </w:r>
    </w:p>
    <w:p w14:paraId="01025310" w14:textId="4FCAEC21" w:rsidR="00B47D9D" w:rsidRPr="0063510A" w:rsidRDefault="007818F5" w:rsidP="00B47D9D">
      <w:pPr>
        <w:pStyle w:val="ListParagraph"/>
        <w:ind w:left="1440"/>
      </w:pPr>
      <m:oMathPara>
        <m:oMath>
          <m:sSub>
            <m:sSubPr>
              <m:ctrlPr>
                <w:rPr>
                  <w:rFonts w:ascii="Cambria Math" w:hAnsi="Cambria Math"/>
                  <w:i/>
                </w:rPr>
              </m:ctrlPr>
            </m:sSubPr>
            <m:e>
              <m:r>
                <w:rPr>
                  <w:rFonts w:ascii="Cambria Math" w:hAnsi="Cambria Math"/>
                </w:rPr>
                <m:t>LMP</m:t>
              </m:r>
            </m:e>
            <m:sub>
              <m:r>
                <w:rPr>
                  <w:rFonts w:ascii="Cambria Math" w:hAnsi="Cambria Math"/>
                </w:rPr>
                <m:t>i</m:t>
              </m:r>
            </m:sub>
          </m:sSub>
          <m:r>
            <w:rPr>
              <w:rFonts w:ascii="Cambria Math" w:hAnsi="Cambria Math"/>
            </w:rPr>
            <m:t>=SMEC+</m:t>
          </m:r>
          <m:sSub>
            <m:sSubPr>
              <m:ctrlPr>
                <w:rPr>
                  <w:rFonts w:ascii="Cambria Math" w:hAnsi="Cambria Math"/>
                  <w:i/>
                </w:rPr>
              </m:ctrlPr>
            </m:sSubPr>
            <m:e>
              <m:r>
                <w:rPr>
                  <w:rFonts w:ascii="Cambria Math" w:hAnsi="Cambria Math"/>
                </w:rPr>
                <m:t>MCL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MCC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MGC</m:t>
              </m:r>
            </m:e>
            <m:sub>
              <m:r>
                <w:rPr>
                  <w:rFonts w:ascii="Cambria Math" w:hAnsi="Cambria Math"/>
                </w:rPr>
                <m:t>i</m:t>
              </m:r>
            </m:sub>
          </m:sSub>
          <m:r>
            <w:rPr>
              <w:rFonts w:ascii="Cambria Math" w:hAnsi="Cambria Math"/>
            </w:rPr>
            <m:t>,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m:t>
          </m:r>
        </m:oMath>
      </m:oMathPara>
    </w:p>
    <w:p w14:paraId="5139302E" w14:textId="77777777" w:rsidR="00B47D9D" w:rsidRDefault="00B47D9D" w:rsidP="00B47D9D">
      <w:pPr>
        <w:pStyle w:val="ListParagraph"/>
        <w:ind w:left="1440"/>
      </w:pPr>
    </w:p>
    <w:p w14:paraId="19FA245D" w14:textId="77777777" w:rsidR="00B47D9D" w:rsidRDefault="00B47D9D" w:rsidP="00B47D9D">
      <w:pPr>
        <w:pStyle w:val="ListParagraph"/>
        <w:ind w:left="1440"/>
      </w:pPr>
      <w:r>
        <w:t>SP-Tie Price:</w:t>
      </w:r>
    </w:p>
    <w:p w14:paraId="2C51C5F3" w14:textId="20F56EF0" w:rsidR="00B47D9D" w:rsidRDefault="007818F5" w:rsidP="00B47D9D">
      <w:pPr>
        <w:pStyle w:val="ListParagraph"/>
        <w:ind w:left="1440"/>
      </w:pPr>
      <m:oMathPara>
        <m:oMathParaPr>
          <m:jc m:val="center"/>
        </m:oMathParaPr>
        <m:oMath>
          <m:sSub>
            <m:sSubPr>
              <m:ctrlPr>
                <w:rPr>
                  <w:rFonts w:ascii="Cambria Math" w:hAnsi="Cambria Math"/>
                  <w:i/>
                </w:rPr>
              </m:ctrlPr>
            </m:sSubPr>
            <m:e>
              <m:r>
                <w:rPr>
                  <w:rFonts w:ascii="Cambria Math" w:hAnsi="Cambria Math"/>
                </w:rPr>
                <m:t>LMP</m:t>
              </m:r>
            </m:e>
            <m:sub>
              <m:r>
                <w:rPr>
                  <w:rFonts w:ascii="Cambria Math" w:hAnsi="Cambria Math"/>
                </w:rPr>
                <m:t>j,k,l</m:t>
              </m:r>
            </m:sub>
          </m:sSub>
          <m:r>
            <w:rPr>
              <w:rFonts w:ascii="Cambria Math" w:hAnsi="Cambria Math"/>
            </w:rPr>
            <m:t>=SMEC+</m:t>
          </m:r>
          <m:sSub>
            <m:sSubPr>
              <m:ctrlPr>
                <w:rPr>
                  <w:rFonts w:ascii="Cambria Math" w:hAnsi="Cambria Math"/>
                  <w:i/>
                </w:rPr>
              </m:ctrlPr>
            </m:sSubPr>
            <m:e>
              <m:r>
                <w:rPr>
                  <w:rFonts w:ascii="Cambria Math" w:hAnsi="Cambria Math"/>
                </w:rPr>
                <m:t>MCL</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MCC</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MGC</m:t>
              </m:r>
            </m:e>
            <m:sub>
              <m:r>
                <w:rPr>
                  <w:rFonts w:ascii="Cambria Math" w:hAnsi="Cambria Math"/>
                </w:rPr>
                <m:t>j,k,l</m:t>
              </m:r>
            </m:sub>
          </m:sSub>
          <m:r>
            <w:rPr>
              <w:rFonts w:ascii="Cambria Math" w:hAnsi="Cambria Math"/>
            </w:rPr>
            <m:t xml:space="preserve">,  </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EIM∧k≠j∧l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r>
            <m:rPr>
              <m:sty m:val="p"/>
            </m:rPr>
            <w:br/>
          </m:r>
        </m:oMath>
        <m:oMath>
          <m:r>
            <w:rPr>
              <w:rFonts w:ascii="Cambria Math" w:hAnsi="Cambria Math"/>
            </w:rPr>
            <m:t>SMEC=λ</m:t>
          </m:r>
          <m:r>
            <m:rPr>
              <m:sty m:val="p"/>
            </m:rPr>
            <w:rPr>
              <w:rFonts w:ascii="Cambria Math" w:hAnsi="Cambria Math"/>
            </w:rPr>
            <w:br/>
          </m:r>
        </m:oMath>
      </m:oMathPara>
    </w:p>
    <w:p w14:paraId="5823BDAA" w14:textId="02ADB07A" w:rsidR="00B47D9D" w:rsidRDefault="0026238F" w:rsidP="000F0531">
      <w:pPr>
        <w:pStyle w:val="ListParagraph"/>
        <w:numPr>
          <w:ilvl w:val="0"/>
          <w:numId w:val="73"/>
        </w:numPr>
        <w:contextualSpacing/>
      </w:pPr>
      <w:r>
        <w:t>CA</w:t>
      </w:r>
      <w:r w:rsidR="00B47D9D">
        <w:t xml:space="preserve">ISO Nodal </w:t>
      </w:r>
      <w:r w:rsidR="00854973">
        <w:t>MCL</w:t>
      </w:r>
      <w:r w:rsidR="00B47D9D">
        <w:t xml:space="preserve"> Component</w:t>
      </w:r>
    </w:p>
    <w:p w14:paraId="6E2FFA0C" w14:textId="77777777" w:rsidR="00B47D9D" w:rsidRDefault="00B47D9D" w:rsidP="00B47D9D">
      <w:pPr>
        <w:pStyle w:val="ListParagraph"/>
        <w:ind w:left="1800"/>
      </w:pPr>
    </w:p>
    <w:p w14:paraId="41988FA7" w14:textId="5C57F024" w:rsidR="00B47D9D" w:rsidRDefault="00B47D9D" w:rsidP="00B47D9D">
      <w:pPr>
        <w:pStyle w:val="ListParagraph"/>
        <w:ind w:left="1800"/>
      </w:pPr>
      <w:r>
        <w:t xml:space="preserve">The </w:t>
      </w:r>
      <w:r w:rsidR="00854973">
        <w:t>MCL</w:t>
      </w:r>
      <w:r>
        <w:t xml:space="preserve"> component of the LMP at any bus </w:t>
      </w:r>
      <w:r>
        <w:rPr>
          <w:i/>
        </w:rPr>
        <w:t xml:space="preserve">i </w:t>
      </w:r>
      <w:r>
        <w:t>within the ISO BAA is calculated in the Real-Time Market (RTM) and represented mathematically as below:</w:t>
      </w:r>
    </w:p>
    <w:p w14:paraId="14CBC5B9" w14:textId="77777777" w:rsidR="00B47D9D" w:rsidRDefault="00B47D9D" w:rsidP="00B47D9D">
      <w:pPr>
        <w:pStyle w:val="ListParagraph"/>
        <w:ind w:left="1800"/>
      </w:pPr>
    </w:p>
    <w:p w14:paraId="686D0BB1" w14:textId="77777777" w:rsidR="00B47D9D" w:rsidRDefault="00B47D9D" w:rsidP="00B47D9D">
      <w:pPr>
        <w:pStyle w:val="Paragraph"/>
      </w:pPr>
      <m:oMathPara>
        <m:oMath>
          <m:r>
            <w:rPr>
              <w:rFonts w:ascii="Cambria Math" w:hAnsi="Cambria Math"/>
            </w:rPr>
            <m:t>SMEC=λ</m:t>
          </m:r>
        </m:oMath>
      </m:oMathPara>
    </w:p>
    <w:p w14:paraId="3A667C10" w14:textId="34A47B49" w:rsidR="00B47D9D" w:rsidRPr="006B52EC" w:rsidRDefault="007818F5" w:rsidP="00B47D9D">
      <w:pPr>
        <w:pStyle w:val="ListParagraph"/>
        <w:ind w:left="1800"/>
      </w:pPr>
      <m:oMathPara>
        <m:oMath>
          <m:sSub>
            <m:sSubPr>
              <m:ctrlPr>
                <w:rPr>
                  <w:rFonts w:ascii="Cambria Math" w:hAnsi="Cambria Math"/>
                  <w:i/>
                </w:rPr>
              </m:ctrlPr>
            </m:sSubPr>
            <m:e>
              <m:r>
                <w:rPr>
                  <w:rFonts w:ascii="Cambria Math" w:hAnsi="Cambria Math"/>
                </w:rPr>
                <m:t>MCL</m:t>
              </m:r>
            </m:e>
            <m:sub>
              <m:r>
                <w:rPr>
                  <w:rFonts w:ascii="Cambria Math" w:hAnsi="Cambria Math"/>
                </w:rPr>
                <m:t>i</m:t>
              </m:r>
            </m:sub>
          </m:sSub>
          <m:r>
            <w:rPr>
              <w:rFonts w:ascii="Cambria Math" w:hAnsi="Cambria Math"/>
            </w:rPr>
            <m:t>=λ</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i</m:t>
                      </m:r>
                    </m:sub>
                  </m:sSub>
                </m:den>
              </m:f>
              <m:r>
                <w:rPr>
                  <w:rFonts w:ascii="Cambria Math" w:hAnsi="Cambria Math"/>
                </w:rPr>
                <m:t>-1</m:t>
              </m:r>
            </m:e>
          </m:d>
          <m:r>
            <w:rPr>
              <w:rFonts w:ascii="Cambria Math" w:hAnsi="Cambria Math"/>
            </w:rPr>
            <m:t xml:space="preserve">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0</m:t>
              </m:r>
            </m:sub>
          </m:sSub>
        </m:oMath>
      </m:oMathPara>
    </w:p>
    <w:p w14:paraId="08B247D5" w14:textId="77777777" w:rsidR="00B47D9D" w:rsidRPr="00EA7032" w:rsidRDefault="00B47D9D" w:rsidP="00B47D9D">
      <w:pPr>
        <w:pStyle w:val="ListParagraph"/>
        <w:ind w:left="1800"/>
      </w:pPr>
    </w:p>
    <w:p w14:paraId="3A7A7DF0" w14:textId="251A60B6" w:rsidR="00B47D9D" w:rsidRDefault="00B47D9D" w:rsidP="000F0531">
      <w:pPr>
        <w:pStyle w:val="ListParagraph"/>
        <w:numPr>
          <w:ilvl w:val="0"/>
          <w:numId w:val="73"/>
        </w:numPr>
        <w:contextualSpacing/>
      </w:pPr>
      <w:r>
        <w:t xml:space="preserve">EIM Nodal </w:t>
      </w:r>
      <w:r w:rsidR="00854973">
        <w:t>MCL</w:t>
      </w:r>
      <w:r>
        <w:t xml:space="preserve"> Component</w:t>
      </w:r>
    </w:p>
    <w:p w14:paraId="083E2593" w14:textId="77777777" w:rsidR="00B47D9D" w:rsidRDefault="00B47D9D" w:rsidP="00B47D9D">
      <w:pPr>
        <w:pStyle w:val="ListParagraph"/>
        <w:ind w:left="1800"/>
      </w:pPr>
    </w:p>
    <w:p w14:paraId="53343385" w14:textId="7FFCDAA3" w:rsidR="00B47D9D" w:rsidRDefault="00B47D9D" w:rsidP="00B47D9D">
      <w:pPr>
        <w:pStyle w:val="ListParagraph"/>
        <w:ind w:left="1800"/>
      </w:pPr>
      <w:r>
        <w:t xml:space="preserve">The Nodal </w:t>
      </w:r>
      <w:r w:rsidR="00854973">
        <w:t>MCL</w:t>
      </w:r>
      <w:r>
        <w:t xml:space="preserve"> component of the LMP at any bus </w:t>
      </w:r>
      <w:r w:rsidRPr="006B52EC">
        <w:rPr>
          <w:i/>
        </w:rPr>
        <w:t>i</w:t>
      </w:r>
      <w:r>
        <w:rPr>
          <w:i/>
        </w:rPr>
        <w:t xml:space="preserve"> </w:t>
      </w:r>
      <w:r w:rsidRPr="000D0751">
        <w:t>within</w:t>
      </w:r>
      <w:r>
        <w:t xml:space="preserve"> an EIM BAA is calculated in the RTM. This component takes the BAA j power balance shadow price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oMath>
      <w:r>
        <w:t xml:space="preserve">  and GHG shadow price  . It is mathematically represented as below:</w:t>
      </w:r>
    </w:p>
    <w:p w14:paraId="14A95B39" w14:textId="77777777" w:rsidR="00B47D9D" w:rsidRDefault="00B47D9D" w:rsidP="00B47D9D">
      <w:pPr>
        <w:pStyle w:val="ListParagraph"/>
        <w:ind w:left="1800"/>
      </w:pPr>
    </w:p>
    <w:p w14:paraId="401D4E62" w14:textId="77777777" w:rsidR="00B47D9D" w:rsidRDefault="00B47D9D" w:rsidP="00B47D9D">
      <w:pPr>
        <w:pStyle w:val="Paragraph"/>
      </w:pPr>
      <m:oMathPara>
        <m:oMath>
          <m:r>
            <w:rPr>
              <w:rFonts w:ascii="Cambria Math" w:hAnsi="Cambria Math"/>
            </w:rPr>
            <m:t>SMEC=λ</m:t>
          </m:r>
        </m:oMath>
      </m:oMathPara>
    </w:p>
    <w:p w14:paraId="3F54D3AD" w14:textId="225CAC15" w:rsidR="00B47D9D" w:rsidRPr="000D0751" w:rsidRDefault="007818F5" w:rsidP="00B47D9D">
      <w:pPr>
        <w:pStyle w:val="ListParagraph"/>
        <w:ind w:left="1800"/>
      </w:pPr>
      <m:oMathPara>
        <m:oMath>
          <m:sSub>
            <m:sSubPr>
              <m:ctrlPr>
                <w:rPr>
                  <w:rFonts w:ascii="Cambria Math" w:hAnsi="Cambria Math"/>
                  <w:i/>
                </w:rPr>
              </m:ctrlPr>
            </m:sSubPr>
            <m:e>
              <m:r>
                <w:rPr>
                  <w:rFonts w:ascii="Cambria Math" w:hAnsi="Cambria Math"/>
                </w:rPr>
                <m:t>MCL</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-ψ</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i</m:t>
                      </m:r>
                    </m:sub>
                  </m:sSub>
                </m:den>
              </m:f>
              <m:r>
                <w:rPr>
                  <w:rFonts w:ascii="Cambria Math" w:hAnsi="Cambria Math"/>
                </w:rPr>
                <m:t>-1</m:t>
              </m:r>
            </m:e>
          </m:d>
          <m:r>
            <w:rPr>
              <w:rFonts w:ascii="Cambria Math" w:hAnsi="Cambria Math"/>
            </w:rPr>
            <m:t xml:space="preserve"> ∀i</m:t>
          </m:r>
          <m:r>
            <m:rPr>
              <m:sty m:val="p"/>
            </m:rPr>
            <w:rPr>
              <w:rFonts w:ascii="Cambria Math" w:hAnsi="Cambria Math"/>
            </w:rPr>
            <m:t>∈</m:t>
          </m:r>
          <m:sSub>
            <m:sSubPr>
              <m:ctrlPr>
                <w:rPr>
                  <w:rFonts w:ascii="Cambria Math" w:hAnsi="Cambria Math"/>
                </w:rPr>
              </m:ctrlPr>
            </m:sSubPr>
            <m:e>
              <m:r>
                <w:rPr>
                  <w:rFonts w:ascii="Cambria Math" w:hAnsi="Cambria Math"/>
                </w:rPr>
                <m:t>BAA</m:t>
              </m:r>
            </m:e>
            <m:sub>
              <m:r>
                <w:rPr>
                  <w:rFonts w:ascii="Cambria Math" w:hAnsi="Cambria Math"/>
                </w:rPr>
                <m:t>j</m:t>
              </m:r>
            </m:sub>
          </m:sSub>
          <m:r>
            <w:rPr>
              <w:rFonts w:ascii="Cambria Math" w:hAnsi="Cambria Math"/>
            </w:rPr>
            <m:t>∧j∈EIM∧j&gt;0</m:t>
          </m:r>
          <m:r>
            <m:rPr>
              <m:sty m:val="p"/>
            </m:rPr>
            <w:rPr>
              <w:rFonts w:ascii="Cambria Math" w:hAnsi="Cambria Math"/>
            </w:rPr>
            <w:br/>
          </m:r>
        </m:oMath>
      </m:oMathPara>
    </w:p>
    <w:p w14:paraId="34497807" w14:textId="77777777" w:rsidR="00B47D9D" w:rsidRDefault="00B47D9D" w:rsidP="00B47D9D">
      <w:pPr>
        <w:pStyle w:val="ListParagraph"/>
        <w:ind w:left="1800"/>
      </w:pPr>
    </w:p>
    <w:p w14:paraId="018E78C4" w14:textId="584267B0" w:rsidR="00B47D9D" w:rsidRDefault="00B47D9D" w:rsidP="000F0531">
      <w:pPr>
        <w:pStyle w:val="ListParagraph"/>
        <w:numPr>
          <w:ilvl w:val="0"/>
          <w:numId w:val="73"/>
        </w:numPr>
        <w:contextualSpacing/>
      </w:pPr>
      <w:r>
        <w:t xml:space="preserve">ISO SP-Tie </w:t>
      </w:r>
      <w:r w:rsidR="00854973">
        <w:t>MCL</w:t>
      </w:r>
      <w:r>
        <w:t xml:space="preserve"> Component</w:t>
      </w:r>
    </w:p>
    <w:p w14:paraId="51BBB0F9" w14:textId="77777777" w:rsidR="00B47D9D" w:rsidRDefault="00B47D9D" w:rsidP="00B47D9D">
      <w:pPr>
        <w:pStyle w:val="ListParagraph"/>
        <w:ind w:left="1800"/>
      </w:pPr>
    </w:p>
    <w:p w14:paraId="28811C06" w14:textId="77777777" w:rsidR="00B47D9D" w:rsidRDefault="00B47D9D" w:rsidP="00B47D9D">
      <w:pPr>
        <w:pStyle w:val="ListParagraph"/>
        <w:ind w:left="1800"/>
      </w:pPr>
      <w:r>
        <w:t xml:space="preserve">This is the MCL component of the LMP at a scheduling point (SP) within the ISO BAA for import/export </w:t>
      </w:r>
      <w:r w:rsidRPr="00215D33">
        <w:rPr>
          <w:i/>
        </w:rPr>
        <w:t>l</w:t>
      </w:r>
      <w:r>
        <w:t xml:space="preserve"> to/from ISO BAA from/to BAA </w:t>
      </w:r>
      <w:r w:rsidRPr="00215D33">
        <w:rPr>
          <w:i/>
        </w:rPr>
        <w:t>k</w:t>
      </w:r>
      <w:r>
        <w:rPr>
          <w:i/>
        </w:rPr>
        <w:t xml:space="preserve">. </w:t>
      </w:r>
      <w:r>
        <w:t>It is mathematically represented as below:</w:t>
      </w:r>
    </w:p>
    <w:p w14:paraId="7C1CCFC4" w14:textId="77777777" w:rsidR="00B47D9D" w:rsidRPr="0019548D" w:rsidRDefault="00B47D9D" w:rsidP="00B47D9D">
      <w:pPr>
        <w:pStyle w:val="Paragraph"/>
      </w:pPr>
      <m:oMathPara>
        <m:oMath>
          <m:r>
            <w:rPr>
              <w:rFonts w:ascii="Cambria Math" w:hAnsi="Cambria Math"/>
            </w:rPr>
            <m:t>SMEC=λ</m:t>
          </m:r>
        </m:oMath>
      </m:oMathPara>
    </w:p>
    <w:p w14:paraId="785B9E3E" w14:textId="06909E69" w:rsidR="00B47D9D" w:rsidRPr="00215D33" w:rsidRDefault="007818F5" w:rsidP="00B47D9D">
      <w:pPr>
        <w:pStyle w:val="ListParagraph"/>
        <w:ind w:left="1800"/>
      </w:pPr>
      <m:oMathPara>
        <m:oMath>
          <m:sSub>
            <m:sSubPr>
              <m:ctrlPr>
                <w:rPr>
                  <w:rFonts w:ascii="Cambria Math" w:hAnsi="Cambria Math"/>
                  <w:i/>
                </w:rPr>
              </m:ctrlPr>
            </m:sSubPr>
            <m:e>
              <m:r>
                <w:rPr>
                  <w:rFonts w:ascii="Cambria Math" w:hAnsi="Cambria Math"/>
                </w:rPr>
                <m:t>MCL</m:t>
              </m:r>
            </m:e>
            <m:sub>
              <m:r>
                <w:rPr>
                  <w:rFonts w:ascii="Cambria Math" w:hAnsi="Cambria Math"/>
                </w:rPr>
                <m:t>0,k,l</m:t>
              </m:r>
            </m:sub>
          </m:sSub>
          <m:r>
            <w:rPr>
              <w:rFonts w:ascii="Cambria Math" w:hAnsi="Cambria Math"/>
            </w:rPr>
            <m:t>=λ</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0,k,l</m:t>
                      </m:r>
                    </m:sub>
                  </m:sSub>
                </m:den>
              </m:f>
              <m:r>
                <w:rPr>
                  <w:rFonts w:ascii="Cambria Math" w:hAnsi="Cambria Math"/>
                </w:rPr>
                <m:t>-1</m:t>
              </m:r>
            </m:e>
          </m:d>
          <m:r>
            <m:rPr>
              <m:sty m:val="p"/>
            </m:rPr>
            <w:rPr>
              <w:rFonts w:ascii="Cambria Math" w:hAnsi="Cambria Math"/>
            </w:rPr>
            <m:t>∀</m:t>
          </m:r>
          <m:r>
            <w:rPr>
              <w:rFonts w:ascii="Cambria Math" w:hAnsi="Cambria Math"/>
            </w:rPr>
            <m:t>k</m:t>
          </m:r>
          <m:r>
            <m:rPr>
              <m:sty m:val="p"/>
            </m:rPr>
            <w:rPr>
              <w:rFonts w:ascii="Cambria Math" w:hAnsi="Cambria Math"/>
            </w:rPr>
            <m:t>&gt;0</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6DD29D18" w14:textId="77777777" w:rsidR="00B47D9D" w:rsidRDefault="00B47D9D" w:rsidP="00B47D9D">
      <w:pPr>
        <w:pStyle w:val="ListParagraph"/>
        <w:ind w:left="1800"/>
      </w:pPr>
    </w:p>
    <w:p w14:paraId="43E18333" w14:textId="7519E2F4" w:rsidR="00B47D9D" w:rsidRDefault="00B47D9D" w:rsidP="000F0531">
      <w:pPr>
        <w:pStyle w:val="ListParagraph"/>
        <w:numPr>
          <w:ilvl w:val="0"/>
          <w:numId w:val="73"/>
        </w:numPr>
        <w:contextualSpacing/>
      </w:pPr>
      <w:r>
        <w:t xml:space="preserve">EIM SP-Tie </w:t>
      </w:r>
      <w:r w:rsidR="00854973">
        <w:t>MCL</w:t>
      </w:r>
      <w:r>
        <w:t xml:space="preserve"> Component</w:t>
      </w:r>
    </w:p>
    <w:p w14:paraId="3D732181" w14:textId="77777777" w:rsidR="00B47D9D" w:rsidRDefault="00B47D9D" w:rsidP="00B47D9D">
      <w:pPr>
        <w:pStyle w:val="ListParagraph"/>
        <w:ind w:left="1440"/>
      </w:pPr>
    </w:p>
    <w:p w14:paraId="04D933E0" w14:textId="77777777" w:rsidR="00B47D9D" w:rsidRDefault="00B47D9D" w:rsidP="00B47D9D">
      <w:pPr>
        <w:pStyle w:val="ListParagraph"/>
        <w:ind w:left="1800"/>
      </w:pPr>
      <w:r>
        <w:t xml:space="preserve">This is the MCL component of the LMP at a scheduling point within the EIM BAA </w:t>
      </w:r>
      <w:r w:rsidRPr="00840DFB">
        <w:rPr>
          <w:i/>
        </w:rPr>
        <w:t xml:space="preserve">j </w:t>
      </w:r>
      <w:r>
        <w:t>for import/export</w:t>
      </w:r>
      <w:r w:rsidRPr="00840DFB">
        <w:rPr>
          <w:i/>
        </w:rPr>
        <w:t xml:space="preserve"> l</w:t>
      </w:r>
      <w:r>
        <w:t xml:space="preserve"> to/from EIM BAA </w:t>
      </w:r>
      <w:r w:rsidRPr="00840DFB">
        <w:rPr>
          <w:i/>
        </w:rPr>
        <w:t xml:space="preserve">j </w:t>
      </w:r>
      <w:r>
        <w:t xml:space="preserve">from/to BAA </w:t>
      </w:r>
      <w:r w:rsidRPr="00215D33">
        <w:rPr>
          <w:i/>
        </w:rPr>
        <w:t>k</w:t>
      </w:r>
      <w:r>
        <w:rPr>
          <w:i/>
        </w:rPr>
        <w:t>.</w:t>
      </w:r>
      <w:r>
        <w:t xml:space="preserve"> this is calculated with BAA</w:t>
      </w:r>
      <w:r w:rsidRPr="00840DFB">
        <w:rPr>
          <w:i/>
        </w:rPr>
        <w:t xml:space="preserve"> j</w:t>
      </w:r>
      <w:r>
        <w:rPr>
          <w:i/>
        </w:rPr>
        <w:t xml:space="preserve"> </w:t>
      </w:r>
      <w:r>
        <w:t xml:space="preserve">power balance shadow price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oMath>
      <w:r>
        <w:t xml:space="preserve">and GHG shadow price </w:t>
      </w:r>
      <m:oMath>
        <m:r>
          <w:rPr>
            <w:rFonts w:ascii="Cambria Math" w:hAnsi="Cambria Math"/>
          </w:rPr>
          <m:t>ψ</m:t>
        </m:r>
      </m:oMath>
      <w:r>
        <w:rPr>
          <w:i/>
        </w:rPr>
        <w:t xml:space="preserve"> </w:t>
      </w:r>
      <w:r>
        <w:t>. It is mathematically represented as below:</w:t>
      </w:r>
    </w:p>
    <w:p w14:paraId="1BA7BBF8" w14:textId="77777777" w:rsidR="00B47D9D" w:rsidRPr="002B2A7E" w:rsidRDefault="00B47D9D" w:rsidP="00B47D9D">
      <w:pPr>
        <w:pStyle w:val="Paragraph"/>
      </w:pPr>
      <m:oMathPara>
        <m:oMath>
          <m:r>
            <w:rPr>
              <w:rFonts w:ascii="Cambria Math" w:hAnsi="Cambria Math"/>
            </w:rPr>
            <m:t>SMEC=λ</m:t>
          </m:r>
        </m:oMath>
      </m:oMathPara>
    </w:p>
    <w:p w14:paraId="0CE2D74A" w14:textId="77777777" w:rsidR="00B47D9D" w:rsidRDefault="00B47D9D" w:rsidP="00B47D9D">
      <w:pPr>
        <w:pStyle w:val="ListParagraph"/>
        <w:ind w:left="1800"/>
      </w:pPr>
    </w:p>
    <w:p w14:paraId="7569DC37" w14:textId="7D24AF69" w:rsidR="00B47D9D" w:rsidRPr="00840DFB" w:rsidRDefault="007818F5" w:rsidP="00B47D9D">
      <w:pPr>
        <w:pStyle w:val="Paragraph"/>
        <w:ind w:left="2160"/>
      </w:pPr>
      <m:oMathPara>
        <m:oMath>
          <m:sSub>
            <m:sSubPr>
              <m:ctrlPr>
                <w:rPr>
                  <w:rFonts w:ascii="Cambria Math" w:hAnsi="Cambria Math"/>
                  <w:i/>
                </w:rPr>
              </m:ctrlPr>
            </m:sSubPr>
            <m:e>
              <m:r>
                <w:rPr>
                  <w:rFonts w:ascii="Cambria Math" w:hAnsi="Cambria Math"/>
                </w:rPr>
                <m:t>MCL</m:t>
              </m:r>
            </m:e>
            <m:sub>
              <m:r>
                <w:rPr>
                  <w:rFonts w:ascii="Cambria Math" w:hAnsi="Cambria Math"/>
                </w:rPr>
                <m:t>j,k,l</m:t>
              </m:r>
            </m:sub>
          </m:sSub>
          <m:r>
            <w:rPr>
              <w:rFonts w:ascii="Cambria Math" w:hAnsi="Cambria Math"/>
            </w:rPr>
            <m:t>=</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-ψ</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LPF</m:t>
                      </m:r>
                    </m:e>
                    <m:sub>
                      <m:r>
                        <w:rPr>
                          <w:rFonts w:ascii="Cambria Math" w:hAnsi="Cambria Math"/>
                        </w:rPr>
                        <m:t>j,k,l</m:t>
                      </m:r>
                    </m:sub>
                  </m:sSub>
                </m:den>
              </m:f>
              <m:r>
                <w:rPr>
                  <w:rFonts w:ascii="Cambria Math" w:hAnsi="Cambria Math"/>
                </w:rPr>
                <m:t>-1</m:t>
              </m:r>
            </m:e>
          </m:d>
        </m:oMath>
      </m:oMathPara>
    </w:p>
    <w:p w14:paraId="79321BDE" w14:textId="77777777" w:rsidR="00B47D9D" w:rsidRPr="002B2A7E" w:rsidRDefault="00B47D9D" w:rsidP="00B47D9D">
      <w:pPr>
        <w:pStyle w:val="Paragraph"/>
        <w:ind w:left="3600"/>
      </w:pPr>
      <m:oMathPara>
        <m:oMath>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EIM∧j&gt;0∧k∉EIM∧l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12641773" w14:textId="77777777" w:rsidR="00B47D9D" w:rsidRDefault="00B47D9D" w:rsidP="00B47D9D">
      <w:pPr>
        <w:pStyle w:val="ListParagraph"/>
        <w:ind w:left="1800"/>
      </w:pPr>
    </w:p>
    <w:p w14:paraId="00DD71A1" w14:textId="77777777" w:rsidR="00B47D9D" w:rsidRDefault="00B47D9D" w:rsidP="00877DDB">
      <w:pPr>
        <w:pStyle w:val="BPM"/>
      </w:pPr>
    </w:p>
    <w:p w14:paraId="46507722" w14:textId="313DD047" w:rsidR="00571BB2" w:rsidRDefault="00571BB2" w:rsidP="00571BB2">
      <w:pPr>
        <w:pStyle w:val="Heading3"/>
      </w:pPr>
      <w:bookmarkStart w:id="1975" w:name="_Ref439164002"/>
      <w:bookmarkStart w:id="1976" w:name="_Toc20384123"/>
      <w:bookmarkStart w:id="1977" w:name="_Toc390946295"/>
      <w:bookmarkStart w:id="1978" w:name="_Toc391969856"/>
      <w:r>
        <w:t xml:space="preserve">Using </w:t>
      </w:r>
      <w:r w:rsidR="006A5B19">
        <w:t>EIM Available Balancing C</w:t>
      </w:r>
      <w:r w:rsidR="00701AB3">
        <w:t>apacity</w:t>
      </w:r>
      <w:r w:rsidR="008D621F">
        <w:t xml:space="preserve"> </w:t>
      </w:r>
      <w:r>
        <w:t xml:space="preserve">to </w:t>
      </w:r>
      <w:r w:rsidRPr="002F6982">
        <w:t xml:space="preserve">Resolve Infeasible Power </w:t>
      </w:r>
      <w:r>
        <w:t>B</w:t>
      </w:r>
      <w:r w:rsidRPr="002F6982">
        <w:t>alance Conditions in EIM BAAs</w:t>
      </w:r>
      <w:bookmarkEnd w:id="1975"/>
      <w:bookmarkEnd w:id="1976"/>
    </w:p>
    <w:p w14:paraId="17F7361C" w14:textId="77777777" w:rsidR="00E02FC4" w:rsidRDefault="00816472" w:rsidP="00877DDB">
      <w:pPr>
        <w:pStyle w:val="BPM"/>
      </w:pPr>
      <w:r>
        <w:t xml:space="preserve">The EIM entity scheduling coordinator </w:t>
      </w:r>
      <w:r w:rsidR="00F64C98">
        <w:t>may</w:t>
      </w:r>
      <w:r>
        <w:t xml:space="preserve"> identify any available balancing capacity that it wishes the Energy Imbalance Market to utilize to address any infeasibility in its balancing authority area in the fields labelled as “regulation up” and “regulation down” of its resource plans</w:t>
      </w:r>
      <w:r w:rsidR="002852BA">
        <w:t>.</w:t>
      </w:r>
    </w:p>
    <w:p w14:paraId="128E6E57" w14:textId="77777777" w:rsidR="00701AB3" w:rsidRDefault="00701AB3" w:rsidP="00571BB2">
      <w:pPr>
        <w:pStyle w:val="ParaText"/>
      </w:pPr>
    </w:p>
    <w:p w14:paraId="7D2BADAF" w14:textId="77777777" w:rsidR="00701AB3" w:rsidRDefault="00701AB3" w:rsidP="001431EC">
      <w:pPr>
        <w:pStyle w:val="Heading4"/>
      </w:pPr>
      <w:r>
        <w:t>Available Capacity Bid Curve</w:t>
      </w:r>
    </w:p>
    <w:p w14:paraId="0FB31E9E" w14:textId="77777777" w:rsidR="00D62321" w:rsidRDefault="00D62321" w:rsidP="00877DDB">
      <w:pPr>
        <w:pStyle w:val="BPM"/>
      </w:pPr>
      <w:r>
        <w:t xml:space="preserve">EIM participating resources and non-participating resources </w:t>
      </w:r>
      <w:r w:rsidR="00F64C98">
        <w:t xml:space="preserve">for which the EIM Entity Scheduling Coordinator has identified </w:t>
      </w:r>
      <w:r>
        <w:t xml:space="preserve">EIM Upward Available Balancing Capacity and/or EIM Downward Available Capacity in the EIM resource plan submission can provide available </w:t>
      </w:r>
      <w:r w:rsidR="00F64C98">
        <w:t xml:space="preserve">balancing </w:t>
      </w:r>
      <w:r>
        <w:t>capacity</w:t>
      </w:r>
      <w:r w:rsidR="00F64C98" w:rsidRPr="00F64C98">
        <w:t xml:space="preserve"> </w:t>
      </w:r>
      <w:r w:rsidR="00F64C98">
        <w:t xml:space="preserve">to designated EIM. </w:t>
      </w:r>
      <w:r>
        <w:t xml:space="preserve"> </w:t>
      </w:r>
    </w:p>
    <w:p w14:paraId="65AA599B" w14:textId="6BE66AED" w:rsidR="00701AB3" w:rsidRPr="0053405B" w:rsidRDefault="00701AB3" w:rsidP="00877DDB">
      <w:pPr>
        <w:pStyle w:val="BPM"/>
        <w:rPr>
          <w:rFonts w:cs="Arial"/>
          <w:kern w:val="16"/>
          <w:sz w:val="20"/>
        </w:rPr>
      </w:pPr>
      <w:r>
        <w:t xml:space="preserve">To be able to dispatch any </w:t>
      </w:r>
      <w:r w:rsidR="00816472">
        <w:rPr>
          <w:rFonts w:cs="Arial"/>
        </w:rPr>
        <w:t>available balancing capacity,</w:t>
      </w:r>
      <w:r w:rsidR="00816472">
        <w:t xml:space="preserve"> </w:t>
      </w:r>
      <w:r>
        <w:t xml:space="preserve">in </w:t>
      </w:r>
      <w:r w:rsidR="00F64C98">
        <w:t xml:space="preserve">applicable </w:t>
      </w:r>
      <w:r>
        <w:t>EIM, the market optimization requires the EIM Base schedule,</w:t>
      </w:r>
      <w:r w:rsidR="00AA468F">
        <w:t xml:space="preserve"> and </w:t>
      </w:r>
      <w:r>
        <w:t xml:space="preserve">an Energy Bid Curve from </w:t>
      </w:r>
      <w:r w:rsidR="00F64C98">
        <w:t xml:space="preserve">the resource identified as available balancing capacity by the EIM Scheduling Coordinator.  In order to make the designated available balancing capacity participate in the applicable EIM area, the </w:t>
      </w:r>
      <w:r>
        <w:t xml:space="preserve">EIM </w:t>
      </w:r>
      <w:r w:rsidR="00F64C98">
        <w:t>p</w:t>
      </w:r>
      <w:r>
        <w:t xml:space="preserve">articipating resources </w:t>
      </w:r>
      <w:r w:rsidR="00F64C98">
        <w:t xml:space="preserve">scheduling coordinator must also submit an economic bid for that resource for the relevant trading hour.  For non-participating resources, the EIM entity scheduling coordinator established Default Energy Bids with the CAISO consistent with the rules in Section 39.7.1 of the CAISO tariff.  The </w:t>
      </w:r>
      <w:r w:rsidR="00503FED">
        <w:t xml:space="preserve">CAISO </w:t>
      </w:r>
      <w:r>
        <w:t xml:space="preserve">creates Energy Bid Curves </w:t>
      </w:r>
      <w:r w:rsidR="00503FED">
        <w:t>based on the</w:t>
      </w:r>
      <w:r>
        <w:t xml:space="preserve"> Default Energy Bids </w:t>
      </w:r>
      <w:r w:rsidR="00F64C98">
        <w:t xml:space="preserve">created </w:t>
      </w:r>
      <w:r>
        <w:t>for non-participating resources</w:t>
      </w:r>
      <w:r w:rsidR="00F64C98">
        <w:t xml:space="preserve">. </w:t>
      </w:r>
      <w:r w:rsidR="00816472">
        <w:rPr>
          <w:rFonts w:cs="Arial"/>
        </w:rPr>
        <w:t xml:space="preserve"> </w:t>
      </w:r>
      <w:r>
        <w:t>T</w:t>
      </w:r>
      <w:r w:rsidRPr="00CC457E">
        <w:t xml:space="preserve">he allocation of the energy bid portions to ancillary services </w:t>
      </w:r>
      <w:r w:rsidR="00F64C98">
        <w:t>and available balancing capacity is described below, and is done differently than</w:t>
      </w:r>
      <w:r w:rsidR="000D17F1">
        <w:t xml:space="preserve"> for CAISO’s resources</w:t>
      </w:r>
      <w:r w:rsidRPr="00CC457E">
        <w:t xml:space="preserve"> (see 4.2.5 in BPM for Market Operations). </w:t>
      </w:r>
    </w:p>
    <w:p w14:paraId="533C70B7" w14:textId="77777777" w:rsidR="00816472" w:rsidRPr="003E31BD" w:rsidRDefault="00816472" w:rsidP="00701AB3">
      <w:pPr>
        <w:pStyle w:val="ParaText"/>
        <w:rPr>
          <w:rFonts w:ascii="Arial,Bold" w:hAnsi="Arial,Bold" w:cs="Arial,Bold"/>
          <w:b/>
          <w:bCs/>
          <w:sz w:val="20"/>
        </w:rPr>
      </w:pPr>
      <w:r w:rsidRPr="003E31BD">
        <w:rPr>
          <w:rFonts w:ascii="Arial,Bold" w:hAnsi="Arial,Bold" w:cs="Arial,Bold"/>
          <w:b/>
          <w:bCs/>
          <w:sz w:val="20"/>
        </w:rPr>
        <w:t>Energy Bid Curves for EIM Available Balancing Capacity</w:t>
      </w:r>
    </w:p>
    <w:p w14:paraId="50BCFB6A" w14:textId="77777777" w:rsidR="00701AB3" w:rsidRDefault="00701AB3" w:rsidP="003E31BD">
      <w:pPr>
        <w:pStyle w:val="BPM"/>
      </w:pPr>
      <w:r>
        <w:t>For each trading hour, CAISO determines the resource’s overall available capacity based on any updated outage information. Then CAISO determines if the submitted Energy Bid Curve for participating resources or the D</w:t>
      </w:r>
      <w:r w:rsidR="00816472">
        <w:t>efault Energy Bid Curve for non-</w:t>
      </w:r>
      <w:r>
        <w:t>participating resources is sufficient to cover all the services identified in the Resource Plan in the following priority:</w:t>
      </w:r>
    </w:p>
    <w:p w14:paraId="7D05F0AA" w14:textId="185A3AF5" w:rsidR="00701AB3" w:rsidRPr="00E65471" w:rsidRDefault="00701AB3" w:rsidP="000F0531">
      <w:pPr>
        <w:pStyle w:val="ListParagraph"/>
        <w:numPr>
          <w:ilvl w:val="0"/>
          <w:numId w:val="62"/>
        </w:numPr>
      </w:pPr>
      <w:r w:rsidRPr="00E65471">
        <w:t xml:space="preserve">If the EIM Resource Plan includes </w:t>
      </w:r>
      <w:r w:rsidR="004E6476">
        <w:t>EIM Reserves to Meet NERC/WECC Contingency Reserves Requirements</w:t>
      </w:r>
      <w:r w:rsidRPr="00E65471">
        <w:t xml:space="preserve">, the Energy Bid portion equal to the base </w:t>
      </w:r>
      <w:r w:rsidR="004E6476">
        <w:t>EIM Reserves to Meet NERC/WECC Contingency Reserves Requirements</w:t>
      </w:r>
      <w:r w:rsidRPr="00E65471">
        <w:t xml:space="preserve"> schedule (MW) just below the URL (if base </w:t>
      </w:r>
      <w:r w:rsidR="004E6476">
        <w:rPr>
          <w:rFonts w:eastAsia="Calibri"/>
        </w:rPr>
        <w:t>EIM Upward or Downward Available Balancing Capacity</w:t>
      </w:r>
      <w:r w:rsidR="004E6476" w:rsidRPr="00E65471">
        <w:t xml:space="preserve"> </w:t>
      </w:r>
      <w:r w:rsidRPr="00E65471">
        <w:t xml:space="preserve">schedules are specified) or the Upper Operating Limit (UOL), whichever lower, and above the base EIM Energy Base Schedule is reserved for </w:t>
      </w:r>
      <w:r w:rsidR="004E6476" w:rsidRPr="004E6476">
        <w:t>EIM Reserves to Meet NERC/WECC Contingency Reserves Requirements</w:t>
      </w:r>
      <w:r w:rsidRPr="00E65471">
        <w:t xml:space="preserve">. </w:t>
      </w:r>
      <w:r>
        <w:t>I</w:t>
      </w:r>
      <w:r w:rsidRPr="00E65471">
        <w:t xml:space="preserve">f there is insufficient capacity to allocate all of the base </w:t>
      </w:r>
      <w:r w:rsidR="004E6476">
        <w:t xml:space="preserve">EIM Reserves to Meet NERC/WECC Contingency Reserves Requirements </w:t>
      </w:r>
      <w:r w:rsidRPr="00E65471">
        <w:t xml:space="preserve">schedule, </w:t>
      </w:r>
      <w:r w:rsidRPr="005C63F6">
        <w:t>the latter</w:t>
      </w:r>
      <w:r w:rsidRPr="00E65471">
        <w:t xml:space="preserve"> shall be reduced accordingly.</w:t>
      </w:r>
    </w:p>
    <w:p w14:paraId="67EE9DD2" w14:textId="77777777" w:rsidR="00701AB3" w:rsidRPr="005C63F6" w:rsidRDefault="00701AB3" w:rsidP="000F0531">
      <w:pPr>
        <w:pStyle w:val="ListParagraph"/>
        <w:numPr>
          <w:ilvl w:val="0"/>
          <w:numId w:val="62"/>
        </w:numPr>
      </w:pPr>
      <w:r w:rsidRPr="005C63F6">
        <w:t>If the EIM Resource Plan includes Non-Spinning Reserve, the Energy Bid portion equal to the base Non-Spinning Reserve schedule (MW) just below the allocated portion for Spinning Reserve, if any, otherwise below the URL (if base Regulation schedules are specified) or the Upper Operating Limit (UOL), whichever lower, and above the base EIM Energy Base Schedule is reserved for Non-Spinning Reserve. if there is insufficient capacity to allocate all of the base Non-Spinning Reserve schedule, the latter shall be reduced accordingly.</w:t>
      </w:r>
    </w:p>
    <w:p w14:paraId="48296911" w14:textId="5AAA70F8" w:rsidR="00701AB3" w:rsidRPr="005C63F6" w:rsidRDefault="00701AB3" w:rsidP="000F0531">
      <w:pPr>
        <w:pStyle w:val="ListParagraph"/>
        <w:numPr>
          <w:ilvl w:val="0"/>
          <w:numId w:val="62"/>
        </w:numPr>
      </w:pPr>
      <w:r w:rsidRPr="005C63F6">
        <w:t xml:space="preserve">If the EIM Resource Plan includes </w:t>
      </w:r>
      <w:r w:rsidR="004E6476">
        <w:t>EIM Upward Available Balancing Capacity</w:t>
      </w:r>
      <w:r w:rsidRPr="005C63F6">
        <w:t xml:space="preserve">, the Energy Bid portion equal to the Regulation Up (MW) just below the allocated portion for </w:t>
      </w:r>
      <w:r w:rsidR="004E6476">
        <w:t>EIM Reserves to Meet NERC/WECC Contingency Reserves Requirements</w:t>
      </w:r>
      <w:r w:rsidRPr="005C63F6">
        <w:t xml:space="preserve">, if any, otherwise below the URL (if base </w:t>
      </w:r>
      <w:r w:rsidR="004E6476">
        <w:t xml:space="preserve">EIM Upward or Downward Available Balancing Capacity </w:t>
      </w:r>
      <w:r w:rsidRPr="005C63F6">
        <w:t xml:space="preserve">schedules are specified) or the Upper Operating Limit (UOL), whichever lower, and above the base EIM Energy Base Schedule is reserved for Regulation Up. </w:t>
      </w:r>
      <w:r>
        <w:t>I</w:t>
      </w:r>
      <w:r w:rsidRPr="005C63F6">
        <w:t xml:space="preserve">f there is insufficient energy bid range to allocate all of the base </w:t>
      </w:r>
      <w:r w:rsidR="004E6476">
        <w:t xml:space="preserve">EIM Upward Available Balancing Capacity </w:t>
      </w:r>
      <w:r w:rsidRPr="005C63F6">
        <w:t>schedule, the latter shall be reduced accordingly.</w:t>
      </w:r>
    </w:p>
    <w:p w14:paraId="77B07A9A" w14:textId="19BF4EA3" w:rsidR="004E327C" w:rsidRDefault="00701AB3" w:rsidP="000F0531">
      <w:pPr>
        <w:pStyle w:val="ListParagraph"/>
        <w:numPr>
          <w:ilvl w:val="0"/>
          <w:numId w:val="62"/>
        </w:numPr>
      </w:pPr>
      <w:r w:rsidRPr="005C63F6">
        <w:t>If the EIM Resource Plan includes</w:t>
      </w:r>
      <w:r w:rsidR="004E6476">
        <w:t xml:space="preserve"> EIM Downward Available Balancing Capacity,</w:t>
      </w:r>
      <w:r w:rsidRPr="005C63F6">
        <w:t xml:space="preserve"> the Energy Bid portion equal to the </w:t>
      </w:r>
      <w:r w:rsidR="004E6476">
        <w:t xml:space="preserve">EIM Downward Available Balancing Capacity </w:t>
      </w:r>
      <w:r w:rsidRPr="005C63F6">
        <w:t xml:space="preserve">(MW) just above the Lower Operating Limit (LOL), or the Lower Economic Limit (LEL), whichever higher, and below the base EIM Energy Base Schedule is reserved for Regulation Down. </w:t>
      </w:r>
      <w:r w:rsidR="002852BA">
        <w:t>I</w:t>
      </w:r>
      <w:r w:rsidRPr="005C63F6">
        <w:t>f there is insufficient energy bid range to allocate all of the base</w:t>
      </w:r>
      <w:r w:rsidR="004E6476">
        <w:t xml:space="preserve"> EIM Downward Available Balancing Capacity </w:t>
      </w:r>
      <w:r w:rsidRPr="005C63F6">
        <w:t>schedule, the latter shall be reduced accordingly.</w:t>
      </w:r>
    </w:p>
    <w:p w14:paraId="485C6672" w14:textId="77777777" w:rsidR="004E327C" w:rsidRDefault="00701AB3" w:rsidP="000F0531">
      <w:pPr>
        <w:pStyle w:val="ListParagraph"/>
        <w:numPr>
          <w:ilvl w:val="0"/>
          <w:numId w:val="62"/>
        </w:numPr>
      </w:pPr>
      <w:r w:rsidRPr="004E327C">
        <w:rPr>
          <w:rFonts w:cs="Arial"/>
        </w:rPr>
        <w:t xml:space="preserve">The remaining portion of the Energy Bid, if any, is used for </w:t>
      </w:r>
      <w:r w:rsidRPr="004E327C">
        <w:t xml:space="preserve">Dispatch. </w:t>
      </w:r>
    </w:p>
    <w:p w14:paraId="1BD31109" w14:textId="6519D2DE" w:rsidR="00701AB3" w:rsidRDefault="00701AB3" w:rsidP="000F0531">
      <w:pPr>
        <w:pStyle w:val="ListParagraph"/>
        <w:numPr>
          <w:ilvl w:val="0"/>
          <w:numId w:val="62"/>
        </w:numPr>
      </w:pPr>
      <w:r w:rsidRPr="004E327C">
        <w:t xml:space="preserve">For EIM Non-Participating Resources, the Default Energy Bid (DEB) is used for EIM Resource Plan’s </w:t>
      </w:r>
      <w:r w:rsidR="004E6476">
        <w:t>capacity</w:t>
      </w:r>
      <w:r w:rsidRPr="004E327C">
        <w:t xml:space="preserve"> allocation. The allocation is similar to that for EIM Participating Resources, except that after the allocation, </w:t>
      </w:r>
      <w:r w:rsidR="004E6476">
        <w:t xml:space="preserve">EIM Upward Available Balancing Capacity </w:t>
      </w:r>
      <w:r w:rsidRPr="004E327C">
        <w:t xml:space="preserve">and </w:t>
      </w:r>
      <w:r w:rsidR="004E6476">
        <w:t>EIM Reserves to Meet NERC/WECC Contingency Reserves Requirements</w:t>
      </w:r>
      <w:r w:rsidRPr="003F05BB">
        <w:t xml:space="preserve"> slides down and </w:t>
      </w:r>
      <w:r w:rsidR="004E6476">
        <w:t xml:space="preserve">EIM Downward Available Balancing Capacity </w:t>
      </w:r>
      <w:r w:rsidRPr="003F05BB">
        <w:t>slides up to the base Energy schedule so that there is no remaining energy bid range available for Dispatch.</w:t>
      </w:r>
    </w:p>
    <w:p w14:paraId="0B415626" w14:textId="73B288EC" w:rsidR="004E327C" w:rsidRPr="00287E25" w:rsidRDefault="004E327C" w:rsidP="000F0531">
      <w:pPr>
        <w:pStyle w:val="ListParagraph"/>
        <w:numPr>
          <w:ilvl w:val="0"/>
          <w:numId w:val="62"/>
        </w:numPr>
      </w:pPr>
      <w:r>
        <w:t xml:space="preserve">The energy bid ranges reserved for base </w:t>
      </w:r>
      <w:r w:rsidR="0031695C">
        <w:t xml:space="preserve">EIM Reserves to Meet NERC/WECC Contingency Reserves Requirements </w:t>
      </w:r>
      <w:r>
        <w:t xml:space="preserve">and base </w:t>
      </w:r>
      <w:r w:rsidR="0031695C">
        <w:t>EIM Upward and Downward Available Balancing Capacity</w:t>
      </w:r>
      <w:r>
        <w:t xml:space="preserve"> shall not be considered available in the capacity and flexible ramp sufficiency tests for EIM BAAs.</w:t>
      </w:r>
    </w:p>
    <w:p w14:paraId="6492950B" w14:textId="77777777" w:rsidR="00287E25" w:rsidRPr="004E327C" w:rsidRDefault="00287E25" w:rsidP="001431EC">
      <w:pPr>
        <w:pStyle w:val="ListParagraph"/>
      </w:pPr>
    </w:p>
    <w:p w14:paraId="666CAB66" w14:textId="4684612D" w:rsidR="00571BB2" w:rsidRPr="00D46438" w:rsidRDefault="0040431D" w:rsidP="00571BB2">
      <w:pPr>
        <w:pStyle w:val="Heading4"/>
      </w:pPr>
      <w:r>
        <w:t>Use of</w:t>
      </w:r>
      <w:r w:rsidR="00F87074">
        <w:t xml:space="preserve"> EIM Available Balancing C</w:t>
      </w:r>
      <w:r>
        <w:t>apacity</w:t>
      </w:r>
    </w:p>
    <w:p w14:paraId="71F8512D" w14:textId="77777777" w:rsidR="00571BB2" w:rsidRDefault="00571BB2" w:rsidP="00571BB2">
      <w:pPr>
        <w:pStyle w:val="ParaText"/>
      </w:pPr>
      <w:r w:rsidRPr="00F90F86">
        <w:t>The CAISO’s market clearing software calculates the optimal solution in two passes, referred to as the scheduling and pricing run. The scheduling run is a full optimization run where constraints may be relaxed at a penalty price to avoid infeasibility. The pricing run is a simple economic dispatch, initialized from the scheduling run solution, where penalty prices are replaced by administrative prices and the problem is constrained so that the primal solution does not drift far away from the primal solution of the scheduling run. Both binding schedules and prices are obtained from the pricing run.</w:t>
      </w:r>
    </w:p>
    <w:p w14:paraId="5E4F257B" w14:textId="77777777" w:rsidR="00571BB2" w:rsidRPr="00D64081" w:rsidRDefault="00571BB2" w:rsidP="00877DDB">
      <w:pPr>
        <w:pStyle w:val="ParaText"/>
        <w:keepNext/>
        <w:keepLines/>
        <w:rPr>
          <w:b/>
        </w:rPr>
      </w:pPr>
      <w:r w:rsidRPr="00D64081">
        <w:rPr>
          <w:b/>
        </w:rPr>
        <w:t>Scheduling Run</w:t>
      </w:r>
    </w:p>
    <w:p w14:paraId="1D5DBC86" w14:textId="50C11C37" w:rsidR="00571BB2" w:rsidRPr="005551A2" w:rsidRDefault="00571BB2" w:rsidP="00877DDB">
      <w:pPr>
        <w:pStyle w:val="ParaText"/>
        <w:keepNext/>
        <w:keepLines/>
      </w:pPr>
      <w:r w:rsidRPr="00D64081">
        <w:t xml:space="preserve">To effectively reserve </w:t>
      </w:r>
      <w:r w:rsidR="0031695C">
        <w:t>EIM Reserves to Meet NERC/WECC Contingency Reserves Requirements</w:t>
      </w:r>
      <w:r w:rsidRPr="00D64081">
        <w:t xml:space="preserve"> from Dispatch and dispatch </w:t>
      </w:r>
      <w:r w:rsidR="0031695C">
        <w:t xml:space="preserve">EIM Upward and Downward Available Balancing Capacity </w:t>
      </w:r>
      <w:r>
        <w:t>after the dispatch of all available economic bids and before violating power balance or transmission constraints, the EIM</w:t>
      </w:r>
      <w:r w:rsidRPr="00D64081">
        <w:t xml:space="preserve"> applications make </w:t>
      </w:r>
      <w:r w:rsidR="0031695C">
        <w:t>EIM Upward and Downward Available Balancing Capacity</w:t>
      </w:r>
      <w:r w:rsidRPr="00F2404E">
        <w:t xml:space="preserve"> for dispatch at </w:t>
      </w:r>
      <w:r>
        <w:t>penalty</w:t>
      </w:r>
      <w:r w:rsidRPr="00F2404E">
        <w:t xml:space="preserve"> prices</w:t>
      </w:r>
      <w:r>
        <w:t>. Those penalty prices are economically differentiated for t</w:t>
      </w:r>
      <w:r w:rsidRPr="00F2404E">
        <w:t xml:space="preserve">he energy bid portions </w:t>
      </w:r>
      <w:r>
        <w:t xml:space="preserve">allocated </w:t>
      </w:r>
      <w:r w:rsidRPr="00F2404E">
        <w:t xml:space="preserve">to </w:t>
      </w:r>
      <w:r>
        <w:t xml:space="preserve">base </w:t>
      </w:r>
      <w:r w:rsidR="0031695C">
        <w:t xml:space="preserve">EIM Upward and Downward Available Balancing Capacity </w:t>
      </w:r>
      <w:r>
        <w:t xml:space="preserve">schedules </w:t>
      </w:r>
      <w:r w:rsidRPr="00F2404E">
        <w:t>prices</w:t>
      </w:r>
      <w:r>
        <w:t xml:space="preserve"> to maintain the economic merit order reflected in the energy bid prices of the allocated energy bid portions.</w:t>
      </w:r>
      <w:r w:rsidRPr="00B52BA3">
        <w:t xml:space="preserve"> </w:t>
      </w:r>
      <w:r>
        <w:t>The penalty prices are contained within a configurable penalty price range</w:t>
      </w:r>
      <w:r w:rsidRPr="00F2404E">
        <w:t xml:space="preserve">. </w:t>
      </w:r>
      <w:r>
        <w:t xml:space="preserve">The penalty price range for </w:t>
      </w:r>
      <w:r w:rsidR="0031695C">
        <w:t>EIM Upward and Downward Available Balancing Capacity</w:t>
      </w:r>
      <w:r>
        <w:t xml:space="preserve"> is sufficiently above the bid ceiling and below the self-schedule penalty, the power balance and transmission constraint violation penalties.</w:t>
      </w:r>
    </w:p>
    <w:p w14:paraId="3016162E" w14:textId="1B644A44" w:rsidR="00571BB2" w:rsidRPr="00D64081" w:rsidRDefault="00571BB2" w:rsidP="00571BB2">
      <w:pPr>
        <w:pStyle w:val="ParaText"/>
      </w:pPr>
      <w:r w:rsidRPr="00D64081">
        <w:t xml:space="preserve">The economically differentiated penalty prices for </w:t>
      </w:r>
      <w:r w:rsidR="0031695C">
        <w:t xml:space="preserve">EIM Upward and Downward Available Balancing Capacity </w:t>
      </w:r>
      <w:r w:rsidRPr="00D64081">
        <w:t>are determined by a linear transformation into the relevant configurable penalty price ranges as follows:</w:t>
      </w:r>
    </w:p>
    <w:p w14:paraId="5A5DB0B6" w14:textId="1CF5695B" w:rsidR="00571BB2" w:rsidRPr="00CC457E" w:rsidRDefault="00571BB2" w:rsidP="000F0531">
      <w:pPr>
        <w:pStyle w:val="ParaText"/>
        <w:numPr>
          <w:ilvl w:val="0"/>
          <w:numId w:val="69"/>
        </w:numPr>
      </w:pPr>
      <w:r w:rsidRPr="00D64081">
        <w:t xml:space="preserve">If the configurable penalty price range for </w:t>
      </w:r>
      <w:r w:rsidR="0031695C">
        <w:t xml:space="preserve">EIM Upward Available Balancing Capacity </w:t>
      </w:r>
      <w:r w:rsidRPr="00D64081">
        <w:t>is sufficiently wide to accommodate the range of economic prices of the energy bid segments allocated to</w:t>
      </w:r>
      <w:r w:rsidRPr="00CC457E">
        <w:t xml:space="preserve"> base </w:t>
      </w:r>
      <w:r w:rsidR="00703DFF">
        <w:t xml:space="preserve">EIM Upward Available Balancing Capacity </w:t>
      </w:r>
      <w:r w:rsidRPr="00CC457E">
        <w:t>schedules among all EIM Resources, these segments are elevated by a positive penalty offset so that the lowest economic price among these segments will be equal to the bottom of the configurable penalty price range.</w:t>
      </w:r>
    </w:p>
    <w:p w14:paraId="57511354" w14:textId="0DD79038" w:rsidR="00571BB2" w:rsidRPr="00551C07" w:rsidRDefault="00571BB2" w:rsidP="000F0531">
      <w:pPr>
        <w:pStyle w:val="ParaText"/>
        <w:numPr>
          <w:ilvl w:val="0"/>
          <w:numId w:val="69"/>
        </w:numPr>
      </w:pPr>
      <w:r w:rsidRPr="0077590F">
        <w:t xml:space="preserve">Otherwise, each energy bid segment allocated to a base </w:t>
      </w:r>
      <w:r w:rsidR="00703DFF">
        <w:t>EIM Upward Available Balancing Capacity</w:t>
      </w:r>
      <w:r w:rsidRPr="0077590F">
        <w:t xml:space="preserve"> schedule is scaled by an upward scaling factor and then elevated by a positive penalty offset so that the lowest economic price among these segments will be equal to the bottom of the configurable p</w:t>
      </w:r>
      <w:r w:rsidRPr="007E65DD">
        <w:t>enalty price range, while the highest economic price among these segments will be equal to the top of the configurable penalty price range.</w:t>
      </w:r>
    </w:p>
    <w:p w14:paraId="5C5F55DB" w14:textId="0659DA44" w:rsidR="00571BB2" w:rsidRPr="00BD15CD" w:rsidRDefault="00571BB2" w:rsidP="000F0531">
      <w:pPr>
        <w:pStyle w:val="ParaText"/>
        <w:numPr>
          <w:ilvl w:val="0"/>
          <w:numId w:val="69"/>
        </w:numPr>
      </w:pPr>
      <w:r w:rsidRPr="00551C07">
        <w:t xml:space="preserve">If the configurable penalty price range for </w:t>
      </w:r>
      <w:r w:rsidR="00703DFF">
        <w:t>EIM Downward Available Balancing Capacity</w:t>
      </w:r>
      <w:r w:rsidRPr="00551C07">
        <w:t xml:space="preserve"> is sufficiently wide to accommodate the range of economi</w:t>
      </w:r>
      <w:r w:rsidRPr="00EF242D">
        <w:t xml:space="preserve">c prices </w:t>
      </w:r>
      <w:r w:rsidRPr="00885310">
        <w:t xml:space="preserve">of the energy bid segments allocated to base </w:t>
      </w:r>
      <w:r w:rsidR="00703DFF">
        <w:t xml:space="preserve">EIM Downward Available Balancing Capacity </w:t>
      </w:r>
      <w:r w:rsidRPr="00885310">
        <w:t>schedules among all EIM Resources, these segments are lowered by a negative penalty offset so that the highest economic price among these segments will be equal to the top of the configurable penalty price range.</w:t>
      </w:r>
    </w:p>
    <w:p w14:paraId="506D9251" w14:textId="4017253D" w:rsidR="00571BB2" w:rsidRDefault="00571BB2" w:rsidP="000F0531">
      <w:pPr>
        <w:pStyle w:val="ParaText"/>
        <w:numPr>
          <w:ilvl w:val="0"/>
          <w:numId w:val="69"/>
        </w:numPr>
      </w:pPr>
      <w:r w:rsidRPr="00BD15CD">
        <w:t xml:space="preserve">Otherwise, each energy bid segment allocated to a base </w:t>
      </w:r>
      <w:r w:rsidR="00703DFF">
        <w:t xml:space="preserve">EIM Downward Available Balancing Capacity </w:t>
      </w:r>
      <w:r w:rsidRPr="00BD15CD">
        <w:t>schedule is scaled by a downward scaling factor and then lowered by a negative penalty offset so that the highest economic price among these segments will</w:t>
      </w:r>
      <w:r w:rsidR="00713C13">
        <w:t xml:space="preserve"> </w:t>
      </w:r>
      <w:r w:rsidRPr="00BD15CD">
        <w:t>be equal to t</w:t>
      </w:r>
      <w:r w:rsidRPr="00711B49">
        <w:t>he top of the configurable penalty price range, while the lowest economic price among these segments will be equal to the bottom of the configurable penalty price range.</w:t>
      </w:r>
    </w:p>
    <w:p w14:paraId="16930C83" w14:textId="26C99342" w:rsidR="009B43A2" w:rsidRPr="00F40388" w:rsidRDefault="009B43A2" w:rsidP="000F0531">
      <w:pPr>
        <w:pStyle w:val="ParaText"/>
        <w:numPr>
          <w:ilvl w:val="0"/>
          <w:numId w:val="69"/>
        </w:numPr>
      </w:pPr>
      <w:r>
        <w:t>For multi-stage generation units (MSG) if the penalty prices are left in</w:t>
      </w:r>
      <w:r w:rsidR="00AA468F">
        <w:t xml:space="preserve"> place</w:t>
      </w:r>
      <w:r>
        <w:t xml:space="preserve">, it will prevent economical transitions. In order to avoid this problem, the </w:t>
      </w:r>
      <w:r w:rsidR="009C4FC1">
        <w:t>economic</w:t>
      </w:r>
      <w:r>
        <w:t xml:space="preserve"> cost</w:t>
      </w:r>
      <w:r w:rsidR="002C63E7">
        <w:t xml:space="preserve"> instead of the penalty cost</w:t>
      </w:r>
      <w:r>
        <w:t xml:space="preserve"> of regulation</w:t>
      </w:r>
      <w:r w:rsidR="002C63E7">
        <w:t xml:space="preserve"> will be associated </w:t>
      </w:r>
      <w:r>
        <w:t xml:space="preserve"> with the decision variables for transitions such that the optimization can determine optimally economical transitions.</w:t>
      </w:r>
    </w:p>
    <w:p w14:paraId="2253C453" w14:textId="47E08674" w:rsidR="00571BB2" w:rsidRDefault="00571BB2" w:rsidP="00571BB2">
      <w:pPr>
        <w:pStyle w:val="ParaText"/>
      </w:pPr>
      <w:r>
        <w:t xml:space="preserve">To limit </w:t>
      </w:r>
      <w:r w:rsidR="00CF5C33">
        <w:t xml:space="preserve">EIM Upward and Downward Available Balancing Capacity </w:t>
      </w:r>
      <w:r>
        <w:t xml:space="preserve">dispatch only to the amount required to resolve power balance infeasibility in the native EIM BAA, two constraints are included in the problem formulation for each EIM BAA, one for limiting </w:t>
      </w:r>
      <w:r w:rsidR="00CF5C33">
        <w:t>EIM Upward Available Balancing Capacity</w:t>
      </w:r>
      <w:r>
        <w:t xml:space="preserve"> dispatch and the other for limiting </w:t>
      </w:r>
      <w:r w:rsidR="00CF5C33">
        <w:t>EIM Downward Available Balancing Capacity</w:t>
      </w:r>
      <w:r>
        <w:t xml:space="preserve">. </w:t>
      </w:r>
      <w:r w:rsidR="009C4FC1">
        <w:t xml:space="preserve">The first constraint prevents </w:t>
      </w:r>
      <w:r w:rsidR="00CF5C33">
        <w:t xml:space="preserve">EIM Upward Available Balancing Capacity </w:t>
      </w:r>
      <w:r w:rsidR="009C4FC1">
        <w:t>dispatch when the net optimal transfer is higher than the base net transfer for the EIM BAA (exporting above base). The second constraint prevent</w:t>
      </w:r>
      <w:r w:rsidR="00C62B32">
        <w:t>s</w:t>
      </w:r>
      <w:r w:rsidR="009C4FC1">
        <w:t xml:space="preserve"> </w:t>
      </w:r>
      <w:r w:rsidR="00CF5C33">
        <w:t>EIM Downward</w:t>
      </w:r>
      <w:r w:rsidR="00BA7532">
        <w:t xml:space="preserve"> Available Balancing Capacity </w:t>
      </w:r>
      <w:r w:rsidR="009C4FC1">
        <w:t>dispatch when the net optimal transfer is lower than the base net transfer for the EIM BAA (importing below base).</w:t>
      </w:r>
    </w:p>
    <w:p w14:paraId="029F699D" w14:textId="0B92E87C" w:rsidR="00571BB2" w:rsidRDefault="00571BB2" w:rsidP="00571BB2">
      <w:pPr>
        <w:pStyle w:val="ParaText"/>
      </w:pPr>
      <w:r>
        <w:t xml:space="preserve">These constraints, in conjunction with the economically differentiated penalty prices for Regulation Up and Down, result in an optimal solution where </w:t>
      </w:r>
      <w:r w:rsidR="00BE30C5">
        <w:t xml:space="preserve">EIM Upward or Downward Available Balancing Capacity </w:t>
      </w:r>
      <w:r>
        <w:t xml:space="preserve">in an EIM BAA are dispatched only if that is necessary to remove power balance infeasibility in that BAA, while not violating transmission constraints when doing so. </w:t>
      </w:r>
    </w:p>
    <w:p w14:paraId="38A36E1F" w14:textId="1DED9672" w:rsidR="00571BB2" w:rsidRPr="005551A2" w:rsidRDefault="00571BB2" w:rsidP="00571BB2">
      <w:pPr>
        <w:pStyle w:val="ParaText"/>
      </w:pPr>
      <w:r w:rsidRPr="005551A2">
        <w:t xml:space="preserve">If the available </w:t>
      </w:r>
      <w:r w:rsidR="00BE30C5">
        <w:t xml:space="preserve">EIM Upward or Downward Available Balancing Capacity </w:t>
      </w:r>
      <w:r w:rsidRPr="005551A2">
        <w:t>is fully dispatched in an EIM BAA and infeasibility conditions persist, the relevant surplus variable in that BAA’s power balance constraint will normally take value at the applicable power balance relaxation penalty</w:t>
      </w:r>
      <w:r w:rsidR="00C51D2D">
        <w:t xml:space="preserve"> price.</w:t>
      </w:r>
      <w:r w:rsidRPr="005551A2">
        <w:t xml:space="preserve"> </w:t>
      </w:r>
    </w:p>
    <w:p w14:paraId="70C47D0B" w14:textId="77777777" w:rsidR="00571BB2" w:rsidRPr="00D64081" w:rsidRDefault="00571BB2" w:rsidP="00571BB2">
      <w:pPr>
        <w:pStyle w:val="ParaText"/>
        <w:rPr>
          <w:b/>
        </w:rPr>
      </w:pPr>
      <w:r w:rsidRPr="00D64081">
        <w:rPr>
          <w:b/>
        </w:rPr>
        <w:t>Pricing Run</w:t>
      </w:r>
    </w:p>
    <w:p w14:paraId="3CFE016A" w14:textId="6FB87E3C" w:rsidR="00571BB2" w:rsidRPr="00CC457E" w:rsidRDefault="00571BB2" w:rsidP="00571BB2">
      <w:pPr>
        <w:pStyle w:val="ParaText"/>
      </w:pPr>
      <w:r w:rsidRPr="00D64081">
        <w:t xml:space="preserve">Only energy bid portions allocated to base </w:t>
      </w:r>
      <w:r w:rsidR="00BE30C5">
        <w:t xml:space="preserve">EIM Upward and Downward Available Balancing Capacity </w:t>
      </w:r>
      <w:r w:rsidRPr="00D64081">
        <w:t>schedules that were dispatched in the scheduling run are available</w:t>
      </w:r>
      <w:r>
        <w:t xml:space="preserve"> for dispatch</w:t>
      </w:r>
      <w:r w:rsidRPr="00D64081">
        <w:t xml:space="preserve"> at the corresponding economic energy bid prices at the pricing run. </w:t>
      </w:r>
      <w:r w:rsidR="00BE30C5">
        <w:t>EIM Upward and Downward Available Balancing Capacity</w:t>
      </w:r>
      <w:r w:rsidRPr="00D64081">
        <w:t xml:space="preserve"> schedules that were not dispatched in the Scheduling Run </w:t>
      </w:r>
      <w:r w:rsidRPr="00CC457E">
        <w:t xml:space="preserve">and energy bid portions allocated to base </w:t>
      </w:r>
      <w:r w:rsidR="00BE30C5">
        <w:t xml:space="preserve">EIM Reserves to Meet NERC/WECC Contingency Reserves Requirements </w:t>
      </w:r>
      <w:r w:rsidRPr="00CC457E">
        <w:t>are not available for dispatch in the pricing run.</w:t>
      </w:r>
    </w:p>
    <w:p w14:paraId="77890111" w14:textId="77777777" w:rsidR="00571BB2" w:rsidRPr="0077590F" w:rsidRDefault="00571BB2" w:rsidP="00571BB2">
      <w:pPr>
        <w:pStyle w:val="ParaText"/>
        <w:rPr>
          <w:b/>
        </w:rPr>
      </w:pPr>
      <w:r w:rsidRPr="0077590F">
        <w:rPr>
          <w:b/>
        </w:rPr>
        <w:t xml:space="preserve">LMP </w:t>
      </w:r>
    </w:p>
    <w:p w14:paraId="6B3EAD64" w14:textId="7D3D8FAE" w:rsidR="00BE30C5" w:rsidRPr="005551A2" w:rsidRDefault="00571BB2" w:rsidP="00571BB2">
      <w:pPr>
        <w:pStyle w:val="ParaText"/>
      </w:pPr>
      <w:r w:rsidRPr="005551A2">
        <w:t xml:space="preserve">To calculate an economic optimal solution in an EIM BAA where </w:t>
      </w:r>
      <w:r w:rsidR="00BE30C5">
        <w:t xml:space="preserve">EIM Upward and Downward Available Balancing </w:t>
      </w:r>
      <w:r w:rsidR="000D3882">
        <w:t>Capaciti</w:t>
      </w:r>
      <w:r w:rsidR="000D3882" w:rsidRPr="005551A2">
        <w:t>es</w:t>
      </w:r>
      <w:r w:rsidRPr="005551A2">
        <w:t xml:space="preserve"> dispatched to resolve power balance infeasibility, the demand forecast shall be reduced or increased in the Pricing Run by a small tolerance, respectively, so that the marginal economic bid would set the price.</w:t>
      </w:r>
      <w:r w:rsidRPr="00E13A20">
        <w:t xml:space="preserve"> The marginal</w:t>
      </w:r>
      <w:r>
        <w:t xml:space="preserve"> bid at the pricing run may be from an energy bid allocated to </w:t>
      </w:r>
      <w:r w:rsidR="00BE30C5">
        <w:t>EIM Upward and Downward Available Balancing Capacity</w:t>
      </w:r>
      <w:r>
        <w:t xml:space="preserve"> or to capacity that is normally available for dispatch in EIM, or even an energy bid outside the EIM BAA, in which case the EIM Transfer would move off its limit. If the dispatched </w:t>
      </w:r>
      <w:r w:rsidR="00BE30C5">
        <w:t>EIM Upward and Downward Available Balancing Capacity</w:t>
      </w:r>
      <w:r>
        <w:t xml:space="preserve"> was insufficient to resolve the power balance infeasibility in an EIM BAA in the Scheduling Run, the relevant surplus variable in that BAA’s power balance constraint will be normally priced at the applicable bid ceiling or floor, respectively, thus setting the administrative price.</w:t>
      </w:r>
    </w:p>
    <w:p w14:paraId="7D792453" w14:textId="77777777" w:rsidR="00571BB2" w:rsidRPr="005551A2" w:rsidRDefault="00571BB2" w:rsidP="00571BB2">
      <w:pPr>
        <w:pStyle w:val="ParaText"/>
        <w:rPr>
          <w:b/>
        </w:rPr>
      </w:pPr>
      <w:r w:rsidRPr="00D64081">
        <w:rPr>
          <w:b/>
        </w:rPr>
        <w:t>Expected Energy Calculation</w:t>
      </w:r>
    </w:p>
    <w:p w14:paraId="2B738063" w14:textId="5D69931A" w:rsidR="00571BB2" w:rsidRDefault="00571BB2" w:rsidP="00571BB2">
      <w:pPr>
        <w:pStyle w:val="Paragraph"/>
      </w:pPr>
      <w:r>
        <w:t xml:space="preserve">RTD passes to MQS the energy bid used for Imbalance Energy and </w:t>
      </w:r>
      <w:r w:rsidR="000A0E68">
        <w:t xml:space="preserve">EIM Upward and Downward Available Balancing Capacity </w:t>
      </w:r>
      <w:r>
        <w:t>dispatch in the Pricing Run for the 5min</w:t>
      </w:r>
      <w:r w:rsidR="000A0E68">
        <w:t xml:space="preserve"> RTD</w:t>
      </w:r>
      <w:r>
        <w:t xml:space="preserve"> binding interval. The applicable DEB shall be passed for EIM Non-Participating Resources.</w:t>
      </w:r>
    </w:p>
    <w:p w14:paraId="09110FBD" w14:textId="1E83F14C" w:rsidR="00571BB2" w:rsidRPr="005551A2" w:rsidRDefault="00571BB2" w:rsidP="00571BB2">
      <w:pPr>
        <w:pStyle w:val="ParaText"/>
        <w:rPr>
          <w:rFonts w:cs="Arial"/>
        </w:rPr>
      </w:pPr>
      <w:r>
        <w:t xml:space="preserve">MQS calculates and allocates Expected Energy using the DOPs and the applicable energy bid. Expected Energy from </w:t>
      </w:r>
      <w:r w:rsidR="00FD5B28">
        <w:t>EIM Upward and Downward Available Balancing Capacity</w:t>
      </w:r>
      <w:r>
        <w:t xml:space="preserve"> dispatch from EIM Participating Resources is accounted as Optimal Energy. EIM Non-Participating Resources are treated similarly to any resource </w:t>
      </w:r>
      <w:r w:rsidR="00FD5B28">
        <w:t xml:space="preserve">and </w:t>
      </w:r>
      <w:r>
        <w:t xml:space="preserve">therefore, Expected Energy from </w:t>
      </w:r>
      <w:r w:rsidR="00FD5B28">
        <w:t>EIM Upward and Downward Available Balancing Capacity</w:t>
      </w:r>
      <w:r>
        <w:t xml:space="preserve"> dispatch from EIM Non-Participating Resources is also accounted as Optimal Energy. </w:t>
      </w:r>
    </w:p>
    <w:p w14:paraId="6E957ADB" w14:textId="46CCABBA" w:rsidR="00571BB2" w:rsidRDefault="00571BB2" w:rsidP="00877DDB">
      <w:pPr>
        <w:pStyle w:val="BPM"/>
      </w:pPr>
      <w:r w:rsidRPr="005551A2">
        <w:t xml:space="preserve">Appendix B presents Mathematical Formulation for using regulation </w:t>
      </w:r>
      <w:r w:rsidR="000D17F1">
        <w:t xml:space="preserve">to </w:t>
      </w:r>
      <w:r w:rsidRPr="005551A2">
        <w:t>resolv</w:t>
      </w:r>
      <w:r w:rsidR="000D17F1">
        <w:t>e</w:t>
      </w:r>
      <w:r w:rsidRPr="005551A2">
        <w:t xml:space="preserve"> infeasible power balance conditions in EIM BAAs.</w:t>
      </w:r>
    </w:p>
    <w:p w14:paraId="77972269" w14:textId="77777777" w:rsidR="00713C13" w:rsidRPr="005551A2" w:rsidRDefault="00713C13" w:rsidP="00571BB2">
      <w:pPr>
        <w:pStyle w:val="Paragraph"/>
        <w:rPr>
          <w:rFonts w:ascii="Arial" w:hAnsi="Arial" w:cs="Arial"/>
        </w:rPr>
      </w:pPr>
    </w:p>
    <w:p w14:paraId="7C1003E9" w14:textId="77777777" w:rsidR="008817D0" w:rsidRDefault="008817D0" w:rsidP="00C33762">
      <w:pPr>
        <w:pStyle w:val="Heading3"/>
        <w:rPr>
          <w:rFonts w:eastAsia="Calibri"/>
        </w:rPr>
      </w:pPr>
      <w:bookmarkStart w:id="1979" w:name="_Toc20384124"/>
      <w:r w:rsidRPr="008817D0">
        <w:rPr>
          <w:rFonts w:eastAsia="Calibri"/>
        </w:rPr>
        <w:t>EIM Market Power Mitigation</w:t>
      </w:r>
      <w:bookmarkEnd w:id="1977"/>
      <w:bookmarkEnd w:id="1978"/>
      <w:bookmarkEnd w:id="1979"/>
      <w:r w:rsidRPr="008817D0">
        <w:rPr>
          <w:rFonts w:eastAsia="Calibri"/>
        </w:rPr>
        <w:t xml:space="preserve"> </w:t>
      </w:r>
    </w:p>
    <w:p w14:paraId="0D7305E5" w14:textId="77777777" w:rsidR="004C48E8" w:rsidRPr="00AD0DB1" w:rsidRDefault="004C48E8" w:rsidP="004C48E8">
      <w:pPr>
        <w:spacing w:after="240" w:line="300" w:lineRule="auto"/>
        <w:rPr>
          <w:rFonts w:eastAsia="Calibri"/>
        </w:rPr>
      </w:pPr>
      <w:r>
        <w:rPr>
          <w:rFonts w:eastAsia="Calibri"/>
        </w:rPr>
        <w:t xml:space="preserve">CAISO is authorized to adjust a resource’s submitted energy bid downward to the level of the resource’s cost based bid, or Default Energy Bid, when the resource has been determined to wield Local Market Power.  The Local Market Power Mitigation procedure is administrated by an automated process integrated into the Day-Ahead and Real-Time Market systems.  This section describes the Local Market Power Mitigation procedure as it is applied to the EIM market.  Applicable portions of Sections 6 and 7 of the </w:t>
      </w:r>
      <w:hyperlink r:id="rId181" w:history="1">
        <w:r w:rsidRPr="00B406F1">
          <w:rPr>
            <w:rStyle w:val="Hyperlink"/>
            <w:rFonts w:eastAsia="Calibri"/>
            <w:b/>
          </w:rPr>
          <w:t>BPM for Market Operations</w:t>
        </w:r>
      </w:hyperlink>
      <w:r>
        <w:rPr>
          <w:rFonts w:eastAsia="Calibri"/>
        </w:rPr>
        <w:t xml:space="preserve"> describe the general operation and timeline of the Local Market Power Mitigation process for the Day-Ahead and Real-Time Markets, respectively.</w:t>
      </w:r>
    </w:p>
    <w:p w14:paraId="10B5EC99" w14:textId="77777777" w:rsidR="004C48E8" w:rsidRDefault="004C48E8" w:rsidP="004C48E8">
      <w:pPr>
        <w:spacing w:after="240" w:line="300" w:lineRule="auto"/>
        <w:rPr>
          <w:rFonts w:eastAsia="Calibri"/>
        </w:rPr>
      </w:pPr>
      <w:r>
        <w:rPr>
          <w:rFonts w:eastAsia="Calibri"/>
        </w:rPr>
        <w:t>As mentioned in the previous section, the Default Energy Bid is a resource’s cost-based bid that may be used in the event that the CAISO markets determine that the resource wields Local Market Power.  See also the</w:t>
      </w:r>
      <w:r w:rsidRPr="00A746D3">
        <w:rPr>
          <w:rFonts w:eastAsia="Calibri"/>
          <w:b/>
        </w:rPr>
        <w:t xml:space="preserve"> </w:t>
      </w:r>
      <w:hyperlink r:id="rId182" w:history="1">
        <w:r w:rsidRPr="00A746D3">
          <w:rPr>
            <w:rStyle w:val="Hyperlink"/>
            <w:rFonts w:eastAsia="Calibri"/>
            <w:b/>
          </w:rPr>
          <w:t>BPM for Market Instruments</w:t>
        </w:r>
      </w:hyperlink>
      <w:r>
        <w:rPr>
          <w:rFonts w:eastAsia="Calibri"/>
        </w:rPr>
        <w:t xml:space="preserve"> Appendix Attachment D for additional details.  </w:t>
      </w:r>
    </w:p>
    <w:p w14:paraId="2E426B38" w14:textId="77777777" w:rsidR="004C48E8" w:rsidRPr="004C48E8" w:rsidRDefault="004C48E8" w:rsidP="00831D03">
      <w:pPr>
        <w:pStyle w:val="ParaText"/>
        <w:rPr>
          <w:rFonts w:eastAsia="Calibri"/>
        </w:rPr>
      </w:pPr>
    </w:p>
    <w:p w14:paraId="451821AE" w14:textId="77777777" w:rsidR="008817D0" w:rsidRPr="008817D0" w:rsidRDefault="008817D0" w:rsidP="00C33762">
      <w:pPr>
        <w:pStyle w:val="Heading4"/>
        <w:spacing w:after="120" w:line="300" w:lineRule="auto"/>
        <w:rPr>
          <w:rFonts w:eastAsia="Calibri"/>
        </w:rPr>
      </w:pPr>
      <w:r w:rsidRPr="008817D0">
        <w:rPr>
          <w:rFonts w:eastAsia="Calibri"/>
        </w:rPr>
        <w:t xml:space="preserve">EIM Market Power Mitigation Procedure </w:t>
      </w:r>
    </w:p>
    <w:p w14:paraId="49D0DDFC" w14:textId="0B805316" w:rsidR="008817D0" w:rsidRPr="00FC6F91" w:rsidRDefault="00E4613C" w:rsidP="000E31C9">
      <w:pPr>
        <w:spacing w:line="300" w:lineRule="auto"/>
        <w:rPr>
          <w:rFonts w:eastAsia="Calibri"/>
        </w:rPr>
      </w:pPr>
      <w:r>
        <w:rPr>
          <w:rFonts w:eastAsia="Calibri"/>
        </w:rPr>
        <w:t>CA</w:t>
      </w:r>
      <w:r w:rsidR="008817D0" w:rsidRPr="008817D0">
        <w:rPr>
          <w:rFonts w:eastAsia="Calibri"/>
        </w:rPr>
        <w:t xml:space="preserve">ISO will use the same </w:t>
      </w:r>
      <w:r w:rsidR="002B55FD">
        <w:rPr>
          <w:rFonts w:eastAsia="Calibri"/>
        </w:rPr>
        <w:t>dynamic competitive path assessment (</w:t>
      </w:r>
      <w:r w:rsidR="008817D0" w:rsidRPr="008817D0">
        <w:rPr>
          <w:rFonts w:eastAsia="Calibri"/>
        </w:rPr>
        <w:t>DCPA</w:t>
      </w:r>
      <w:r w:rsidR="002B55FD">
        <w:rPr>
          <w:rFonts w:eastAsia="Calibri"/>
        </w:rPr>
        <w:t>)</w:t>
      </w:r>
      <w:r w:rsidR="008817D0" w:rsidRPr="008817D0">
        <w:rPr>
          <w:rFonts w:eastAsia="Calibri"/>
        </w:rPr>
        <w:t xml:space="preserve"> and LMPM methodology to mitigate energy bids from EIM Participating Resources in the RTM. DCPA will be conducted for each transmission constraint separately in each EIM Entity BAA, and LMPM may mitigate EIM Participating Resource bids for binding congestion separately in each EIM Entity BAA. Interties between BAAs are </w:t>
      </w:r>
      <w:r w:rsidR="005116F7">
        <w:rPr>
          <w:rFonts w:eastAsia="Calibri"/>
        </w:rPr>
        <w:t xml:space="preserve">not </w:t>
      </w:r>
      <w:r w:rsidR="00ED42BC">
        <w:rPr>
          <w:rFonts w:eastAsia="Calibri"/>
        </w:rPr>
        <w:t>subject to market power mitigation</w:t>
      </w:r>
      <w:r w:rsidR="005116F7">
        <w:rPr>
          <w:rFonts w:eastAsia="Calibri"/>
        </w:rPr>
        <w:t>, except for groups of interties which make up an EIM Transfer constraint</w:t>
      </w:r>
      <w:r w:rsidR="000E31C9">
        <w:rPr>
          <w:rFonts w:eastAsia="Calibri"/>
        </w:rPr>
        <w:t>.</w:t>
      </w:r>
    </w:p>
    <w:p w14:paraId="6CE0FB37" w14:textId="77777777" w:rsidR="008817D0" w:rsidRPr="008817D0" w:rsidRDefault="008817D0" w:rsidP="00C33762">
      <w:pPr>
        <w:pStyle w:val="Heading4"/>
        <w:rPr>
          <w:rFonts w:eastAsia="Calibri"/>
        </w:rPr>
      </w:pPr>
      <w:r w:rsidRPr="008817D0">
        <w:rPr>
          <w:rFonts w:eastAsia="Calibri"/>
        </w:rPr>
        <w:t>Dynamic Competitive Path Assessment</w:t>
      </w:r>
    </w:p>
    <w:p w14:paraId="0E1251B0" w14:textId="77777777" w:rsidR="008817D0" w:rsidRPr="008817D0" w:rsidRDefault="008817D0" w:rsidP="008817D0">
      <w:pPr>
        <w:spacing w:after="240" w:line="300" w:lineRule="auto"/>
        <w:rPr>
          <w:rFonts w:eastAsia="Calibri"/>
        </w:rPr>
      </w:pPr>
      <w:r w:rsidRPr="008817D0">
        <w:rPr>
          <w:rFonts w:eastAsia="Calibri"/>
        </w:rPr>
        <w:t xml:space="preserve">CAISO shall conduct the dynamic competitive path assessment to determine for each EIM Entity Balancing Authority Area whether a path is competitive or non-competitive, consistent with </w:t>
      </w:r>
      <w:r w:rsidR="000D44E7">
        <w:rPr>
          <w:rFonts w:eastAsia="Calibri"/>
        </w:rPr>
        <w:t xml:space="preserve">Tariff </w:t>
      </w:r>
      <w:r w:rsidRPr="008817D0">
        <w:rPr>
          <w:rFonts w:eastAsia="Calibri"/>
        </w:rPr>
        <w:t>Section 39.7.2, except that:</w:t>
      </w:r>
    </w:p>
    <w:p w14:paraId="6FD48535" w14:textId="77777777" w:rsidR="008817D0" w:rsidRPr="008817D0" w:rsidRDefault="008817D0" w:rsidP="000F0531">
      <w:pPr>
        <w:numPr>
          <w:ilvl w:val="0"/>
          <w:numId w:val="33"/>
        </w:numPr>
        <w:spacing w:after="240" w:line="300" w:lineRule="auto"/>
        <w:rPr>
          <w:rFonts w:eastAsia="Calibri"/>
        </w:rPr>
      </w:pPr>
      <w:r w:rsidRPr="008817D0">
        <w:rPr>
          <w:rFonts w:eastAsia="Calibri"/>
        </w:rPr>
        <w:t>EIM Participating Resource Scheduling Coordinators shall sub</w:t>
      </w:r>
      <w:r w:rsidR="009D507A">
        <w:rPr>
          <w:rFonts w:eastAsia="Calibri"/>
        </w:rPr>
        <w:t xml:space="preserve">mit information required by </w:t>
      </w:r>
      <w:r w:rsidRPr="008817D0">
        <w:rPr>
          <w:rFonts w:eastAsia="Calibri"/>
        </w:rPr>
        <w:t>CAISO to perform dynamic competitive path assessment.</w:t>
      </w:r>
    </w:p>
    <w:p w14:paraId="47072BE7" w14:textId="77777777" w:rsidR="008817D0" w:rsidRPr="008817D0" w:rsidRDefault="008817D0" w:rsidP="000F0531">
      <w:pPr>
        <w:numPr>
          <w:ilvl w:val="0"/>
          <w:numId w:val="33"/>
        </w:numPr>
        <w:spacing w:after="240" w:line="300" w:lineRule="auto"/>
        <w:rPr>
          <w:rFonts w:eastAsia="Calibri"/>
        </w:rPr>
      </w:pPr>
      <w:r w:rsidRPr="008817D0">
        <w:rPr>
          <w:rFonts w:eastAsia="Calibri"/>
        </w:rPr>
        <w:t xml:space="preserve">The dynamic competitive path assessment shall not exclude EIM Participating Resources from the test used to determine the competitiveness of Transmission Constraints on the basis that they may be net buyers of energy in the </w:t>
      </w:r>
      <w:r w:rsidR="00FC30E3">
        <w:rPr>
          <w:rFonts w:eastAsia="Calibri"/>
        </w:rPr>
        <w:t>Real-Time</w:t>
      </w:r>
      <w:r w:rsidRPr="008817D0">
        <w:rPr>
          <w:rFonts w:eastAsia="Calibri"/>
        </w:rPr>
        <w:t xml:space="preserve"> Market. </w:t>
      </w:r>
    </w:p>
    <w:p w14:paraId="792C1B40" w14:textId="77777777" w:rsidR="008817D0" w:rsidRDefault="008817D0" w:rsidP="000F0531">
      <w:pPr>
        <w:numPr>
          <w:ilvl w:val="0"/>
          <w:numId w:val="33"/>
        </w:numPr>
        <w:spacing w:after="240" w:line="300" w:lineRule="auto"/>
        <w:rPr>
          <w:rFonts w:eastAsia="Calibri"/>
        </w:rPr>
      </w:pPr>
      <w:r w:rsidRPr="008817D0">
        <w:rPr>
          <w:rFonts w:eastAsia="Calibri"/>
        </w:rPr>
        <w:t>CAISO may establish different Reference Buses for each Balancing Authority Area, which need not be within the Balancing Authority Area, for calculating the LMP Decomposition which is used to trigger Bid mitigation, based on the topology of each Balancing Authority Area and consideration of the bus at which the Marginal Cost of Congestion component of Locational Marginal Prices is least influenced by market power.</w:t>
      </w:r>
      <w:r w:rsidR="005116F7">
        <w:rPr>
          <w:rFonts w:eastAsia="Calibri"/>
        </w:rPr>
        <w:t xml:space="preserve">  With that said, CAISO will use a common Reference Bus for both the EIM and CAISO areas upon commencement of EIM operations.  See the </w:t>
      </w:r>
      <w:hyperlink r:id="rId183" w:history="1">
        <w:r w:rsidR="001E40B2" w:rsidRPr="00B406F1">
          <w:rPr>
            <w:rStyle w:val="Hyperlink"/>
            <w:rFonts w:eastAsia="Calibri"/>
            <w:b/>
          </w:rPr>
          <w:t>BPM for Market Operations</w:t>
        </w:r>
      </w:hyperlink>
      <w:r w:rsidR="005116F7">
        <w:rPr>
          <w:rFonts w:eastAsia="Calibri"/>
        </w:rPr>
        <w:t>, Section 6.5.1, for more information</w:t>
      </w:r>
      <w:r w:rsidR="007668BC">
        <w:rPr>
          <w:rFonts w:eastAsia="Calibri"/>
        </w:rPr>
        <w:t xml:space="preserve"> on Reference Bus selection</w:t>
      </w:r>
      <w:r w:rsidR="005116F7">
        <w:rPr>
          <w:rFonts w:eastAsia="Calibri"/>
        </w:rPr>
        <w:t>.</w:t>
      </w:r>
    </w:p>
    <w:p w14:paraId="237E76C9" w14:textId="489B535E" w:rsidR="00211D91" w:rsidRPr="006951C4" w:rsidRDefault="00F42CAB" w:rsidP="000F0531">
      <w:pPr>
        <w:numPr>
          <w:ilvl w:val="0"/>
          <w:numId w:val="33"/>
        </w:numPr>
        <w:spacing w:after="240" w:line="300" w:lineRule="auto"/>
        <w:rPr>
          <w:rFonts w:eastAsia="Calibri"/>
        </w:rPr>
      </w:pPr>
      <w:r>
        <w:rPr>
          <w:rFonts w:eastAsia="Calibri"/>
        </w:rPr>
        <w:t>I</w:t>
      </w:r>
      <w:r w:rsidR="00D323B6" w:rsidRPr="00211D91">
        <w:rPr>
          <w:rFonts w:eastAsia="Calibri"/>
        </w:rPr>
        <w:t>n case</w:t>
      </w:r>
      <w:r w:rsidR="00D323B6" w:rsidRPr="0053405B">
        <w:rPr>
          <w:rFonts w:eastAsia="Calibri"/>
        </w:rPr>
        <w:t xml:space="preserve"> </w:t>
      </w:r>
      <w:r>
        <w:t xml:space="preserve">EIM Upward and Downward Available Balancing Capacity </w:t>
      </w:r>
      <w:r w:rsidR="00D323B6" w:rsidRPr="0053405B">
        <w:rPr>
          <w:rFonts w:eastAsia="Calibri"/>
        </w:rPr>
        <w:t>is dispatched in an EIM BAA to resolve power balance infeasibility in that BAA, the EIM Transfer for that EIM BAA will be constrained in the import direction. If this constraint is assessed to be non-competitive, the energy bids of all EIM Participating Resources in that EIM BAA would be subject to Market Power Mitigation (MPM)</w:t>
      </w:r>
      <w:r>
        <w:rPr>
          <w:rFonts w:eastAsia="Calibri"/>
        </w:rPr>
        <w:t>.  Therefore</w:t>
      </w:r>
      <w:r w:rsidR="00D323B6" w:rsidRPr="0053405B">
        <w:rPr>
          <w:rFonts w:eastAsia="Calibri"/>
        </w:rPr>
        <w:t xml:space="preserve"> the energy bids used for </w:t>
      </w:r>
      <w:r>
        <w:t>EIM Upward Available Balancing Capacity</w:t>
      </w:r>
      <w:r w:rsidR="00D323B6" w:rsidRPr="0053405B">
        <w:rPr>
          <w:rFonts w:eastAsia="Calibri"/>
        </w:rPr>
        <w:t xml:space="preserve"> dispatch would be mitigated. Note that according to existing MPM rules, the entire energy bid would be mitigated for the entire Trading Hour irrespective of the amount of </w:t>
      </w:r>
      <w:r>
        <w:t>EIM Available Balancing Capacity</w:t>
      </w:r>
      <w:r w:rsidR="00D323B6" w:rsidRPr="0053405B">
        <w:rPr>
          <w:rFonts w:eastAsia="Calibri"/>
        </w:rPr>
        <w:t xml:space="preserve"> dispatch. </w:t>
      </w:r>
    </w:p>
    <w:p w14:paraId="459FC94C" w14:textId="77777777" w:rsidR="008817D0" w:rsidRPr="008817D0" w:rsidRDefault="008817D0" w:rsidP="00C33762">
      <w:pPr>
        <w:pStyle w:val="Heading4"/>
        <w:rPr>
          <w:rFonts w:eastAsia="Calibri"/>
        </w:rPr>
      </w:pPr>
      <w:bookmarkStart w:id="1980" w:name="_Locational_Marginal_Price"/>
      <w:bookmarkEnd w:id="1980"/>
      <w:r w:rsidRPr="008817D0">
        <w:rPr>
          <w:rFonts w:eastAsia="Calibri"/>
        </w:rPr>
        <w:t xml:space="preserve">Locational Marginal Price Decomposition  </w:t>
      </w:r>
    </w:p>
    <w:p w14:paraId="1DFA3F01" w14:textId="77777777" w:rsidR="008817D0" w:rsidRPr="008817D0" w:rsidRDefault="008817D0" w:rsidP="008817D0">
      <w:pPr>
        <w:spacing w:after="240" w:line="300" w:lineRule="auto"/>
        <w:rPr>
          <w:rFonts w:eastAsia="Calibri"/>
        </w:rPr>
      </w:pPr>
      <w:r w:rsidRPr="008817D0">
        <w:rPr>
          <w:rFonts w:eastAsia="Calibri"/>
        </w:rPr>
        <w:t xml:space="preserve">CAISO shall perform the Locational Marginal Price decomposition for each EIM Entity Balancing Authority Area using the results of the dynamic competitive path assessment and the Congestion pricing results of the pre-market run to determine which resources may have local market power due to Congestion on a non-competitive Transmission Constraint, consistent with </w:t>
      </w:r>
      <w:r w:rsidR="00BD6784">
        <w:rPr>
          <w:rFonts w:eastAsia="Calibri"/>
        </w:rPr>
        <w:t xml:space="preserve">CAISO Tariff </w:t>
      </w:r>
      <w:r w:rsidRPr="008817D0">
        <w:rPr>
          <w:rFonts w:eastAsia="Calibri"/>
        </w:rPr>
        <w:t>Sections 34.2.3 and 39.7, except that:</w:t>
      </w:r>
    </w:p>
    <w:p w14:paraId="244FCD66" w14:textId="77777777" w:rsidR="008817D0" w:rsidRPr="008817D0" w:rsidRDefault="008817D0" w:rsidP="000F0531">
      <w:pPr>
        <w:numPr>
          <w:ilvl w:val="0"/>
          <w:numId w:val="12"/>
        </w:numPr>
        <w:spacing w:after="240" w:line="300" w:lineRule="auto"/>
        <w:rPr>
          <w:rFonts w:eastAsia="Calibri"/>
        </w:rPr>
      </w:pPr>
      <w:r w:rsidRPr="008817D0">
        <w:rPr>
          <w:rFonts w:eastAsia="Calibri"/>
        </w:rPr>
        <w:t xml:space="preserve">CAISO will not mitigate resource bids for scheduling limit constraints with Balancing Authority Areas that do not participate in the EIM;  </w:t>
      </w:r>
    </w:p>
    <w:p w14:paraId="24879933" w14:textId="77777777" w:rsidR="008817D0" w:rsidRPr="008817D0" w:rsidRDefault="008817D0" w:rsidP="000F0531">
      <w:pPr>
        <w:numPr>
          <w:ilvl w:val="0"/>
          <w:numId w:val="12"/>
        </w:numPr>
        <w:spacing w:after="240" w:line="300" w:lineRule="auto"/>
        <w:rPr>
          <w:rFonts w:eastAsia="Calibri"/>
        </w:rPr>
      </w:pPr>
      <w:r w:rsidRPr="008817D0">
        <w:rPr>
          <w:rFonts w:eastAsia="Calibri"/>
        </w:rPr>
        <w:t>The Locational Marginal Price decomposition shall only be triggered if the resource is effective at relieving an uncompetitive constraint within the same Balancing Authority Area in which the resource is l</w:t>
      </w:r>
      <w:r w:rsidR="007970DF">
        <w:rPr>
          <w:rFonts w:eastAsia="Calibri"/>
        </w:rPr>
        <w:t xml:space="preserve">ocated, except as described in </w:t>
      </w:r>
      <w:r w:rsidR="000D44E7">
        <w:rPr>
          <w:rFonts w:eastAsia="Calibri"/>
        </w:rPr>
        <w:t xml:space="preserve">Tariff </w:t>
      </w:r>
      <w:r w:rsidR="007970DF">
        <w:rPr>
          <w:rFonts w:eastAsia="Calibri"/>
        </w:rPr>
        <w:t>S</w:t>
      </w:r>
      <w:r w:rsidRPr="008817D0">
        <w:rPr>
          <w:rFonts w:eastAsia="Calibri"/>
        </w:rPr>
        <w:t xml:space="preserve">ection 29.39(c)(4); </w:t>
      </w:r>
    </w:p>
    <w:p w14:paraId="010CF686" w14:textId="77777777" w:rsidR="008817D0" w:rsidRPr="008817D0" w:rsidRDefault="008817D0" w:rsidP="000F0531">
      <w:pPr>
        <w:numPr>
          <w:ilvl w:val="0"/>
          <w:numId w:val="12"/>
        </w:numPr>
        <w:spacing w:after="240" w:line="300" w:lineRule="auto"/>
        <w:rPr>
          <w:rFonts w:eastAsia="Calibri"/>
        </w:rPr>
      </w:pPr>
      <w:r w:rsidRPr="008817D0">
        <w:rPr>
          <w:rFonts w:eastAsia="Calibri"/>
        </w:rPr>
        <w:t xml:space="preserve">EIM Resources shall be mitigated to relieve congestion on uncompetitive constraints within the same Balancing Authority Area in which the EIM Resources are located except as described in </w:t>
      </w:r>
      <w:r w:rsidR="000D44E7">
        <w:rPr>
          <w:rFonts w:eastAsia="Calibri"/>
        </w:rPr>
        <w:t xml:space="preserve">Tariff </w:t>
      </w:r>
      <w:r w:rsidRPr="008817D0">
        <w:rPr>
          <w:rFonts w:eastAsia="Calibri"/>
        </w:rPr>
        <w:t>Section 29.39(c)(4); and</w:t>
      </w:r>
    </w:p>
    <w:p w14:paraId="695A209C" w14:textId="77777777" w:rsidR="008817D0" w:rsidRPr="008817D0" w:rsidRDefault="008817D0" w:rsidP="000F0531">
      <w:pPr>
        <w:numPr>
          <w:ilvl w:val="0"/>
          <w:numId w:val="12"/>
        </w:numPr>
        <w:spacing w:after="240" w:line="300" w:lineRule="auto"/>
        <w:rPr>
          <w:rFonts w:eastAsia="Calibri"/>
        </w:rPr>
      </w:pPr>
      <w:r w:rsidRPr="008817D0">
        <w:rPr>
          <w:rFonts w:eastAsia="Calibri"/>
        </w:rPr>
        <w:t>EIM Transfer constraints into an EIM Entity Balancing Authority Area on an EIM Internal Intertie shall be included in the Market Pow</w:t>
      </w:r>
      <w:r w:rsidR="000C19F0">
        <w:rPr>
          <w:rFonts w:eastAsia="Calibri"/>
        </w:rPr>
        <w:t xml:space="preserve">er Mitigation procedures if </w:t>
      </w:r>
      <w:r w:rsidRPr="008817D0">
        <w:rPr>
          <w:rFonts w:eastAsia="Calibri"/>
        </w:rPr>
        <w:t>CAISO determines that EIM Entity Balancing Authority Area market power exists based on a structural competitiveness assessment of an individual or group of EIM Balancing Authority Areas in the EIM Area, provided such authority has been granted by the CAISO Governing Board based on the assessment of structural competiveness.</w:t>
      </w:r>
    </w:p>
    <w:p w14:paraId="41A1E7C6" w14:textId="77777777" w:rsidR="001555AC" w:rsidRPr="004B5C2B" w:rsidRDefault="001555AC" w:rsidP="000F0531">
      <w:pPr>
        <w:numPr>
          <w:ilvl w:val="0"/>
          <w:numId w:val="12"/>
        </w:numPr>
        <w:spacing w:after="240" w:line="300" w:lineRule="auto"/>
        <w:rPr>
          <w:rFonts w:eastAsia="Calibri"/>
          <w:color w:val="000000" w:themeColor="text1"/>
        </w:rPr>
      </w:pPr>
      <w:bookmarkStart w:id="1981" w:name="_Toc390946296"/>
      <w:bookmarkStart w:id="1982" w:name="_Toc391969857"/>
      <w:r w:rsidRPr="004B5C2B">
        <w:rPr>
          <w:color w:val="000000" w:themeColor="text1"/>
        </w:rPr>
        <w:t>EIM Transfer constraints that are included in the market power mitigation procedures are represented in the LMP decomposition by the EIM BAA specific power balance constraints. The shadow price of the BAA specific power balance constraint is equal to the sum of the shadow prices of the relevant set of EIM transfer constraints.  The shadow price on the EIM BAA specific power balance constraint will be included in the LMP decomposition as either competitive congestion costs or non-competitive congestion costs depending on whether the constraint is deemed competitive or non-competitive.</w:t>
      </w:r>
    </w:p>
    <w:p w14:paraId="7B4579D5" w14:textId="77777777" w:rsidR="008817D0" w:rsidRPr="008817D0" w:rsidRDefault="008817D0" w:rsidP="00C33762">
      <w:pPr>
        <w:pStyle w:val="Heading3"/>
        <w:rPr>
          <w:rFonts w:eastAsia="Calibri"/>
        </w:rPr>
      </w:pPr>
      <w:bookmarkStart w:id="1983" w:name="_Toc20384125"/>
      <w:r w:rsidRPr="008817D0">
        <w:rPr>
          <w:rFonts w:eastAsia="Calibri"/>
        </w:rPr>
        <w:t>Default Energy Bids</w:t>
      </w:r>
      <w:bookmarkEnd w:id="1981"/>
      <w:bookmarkEnd w:id="1982"/>
      <w:bookmarkEnd w:id="1983"/>
    </w:p>
    <w:p w14:paraId="335FD797" w14:textId="09DA15A4" w:rsidR="00EB114F" w:rsidRDefault="008817D0" w:rsidP="005C74BF">
      <w:pPr>
        <w:spacing w:after="240" w:line="300" w:lineRule="auto"/>
        <w:rPr>
          <w:rFonts w:eastAsia="Calibri"/>
        </w:rPr>
      </w:pPr>
      <w:r w:rsidRPr="008817D0">
        <w:rPr>
          <w:rFonts w:eastAsia="Calibri"/>
        </w:rPr>
        <w:t xml:space="preserve">CAISO shall use the methods and standards set forth in Section 39.7 of the </w:t>
      </w:r>
      <w:r w:rsidR="00D41801">
        <w:rPr>
          <w:rFonts w:eastAsia="Calibri"/>
        </w:rPr>
        <w:t>CA</w:t>
      </w:r>
      <w:r w:rsidRPr="008817D0">
        <w:rPr>
          <w:rFonts w:eastAsia="Calibri"/>
        </w:rPr>
        <w:t>ISO Tariff to determine Default Energy Bids for EIM Participating Resources.</w:t>
      </w:r>
      <w:r w:rsidR="00211D91" w:rsidRPr="00211D91">
        <w:rPr>
          <w:rFonts w:eastAsia="Calibri"/>
        </w:rPr>
        <w:t xml:space="preserve"> </w:t>
      </w:r>
      <w:r w:rsidR="00211D91">
        <w:rPr>
          <w:rFonts w:eastAsia="Calibri"/>
        </w:rPr>
        <w:t xml:space="preserve">Please note that default energy bids are also used for EIM Non Participating Resources </w:t>
      </w:r>
      <w:r w:rsidR="004B5C2B">
        <w:rPr>
          <w:rFonts w:eastAsia="Calibri"/>
        </w:rPr>
        <w:t>that the EIM Entity Scheduling Coordinator has identified as</w:t>
      </w:r>
      <w:r w:rsidR="004B5C2B" w:rsidDel="004B5C2B">
        <w:rPr>
          <w:rFonts w:eastAsia="Calibri"/>
        </w:rPr>
        <w:t xml:space="preserve"> </w:t>
      </w:r>
      <w:r w:rsidR="005A0611">
        <w:rPr>
          <w:rFonts w:eastAsia="Calibri"/>
        </w:rPr>
        <w:t>available balancing</w:t>
      </w:r>
      <w:r w:rsidR="00211D91">
        <w:rPr>
          <w:rFonts w:eastAsia="Calibri"/>
        </w:rPr>
        <w:t>.</w:t>
      </w:r>
    </w:p>
    <w:p w14:paraId="7EDE9564" w14:textId="77777777" w:rsidR="008817D0" w:rsidRPr="008817D0" w:rsidRDefault="008817D0" w:rsidP="00C33762">
      <w:pPr>
        <w:pStyle w:val="Heading3"/>
        <w:rPr>
          <w:rFonts w:eastAsia="Calibri"/>
        </w:rPr>
      </w:pPr>
      <w:bookmarkStart w:id="1984" w:name="_Toc390946297"/>
      <w:bookmarkStart w:id="1985" w:name="_Toc391969858"/>
      <w:bookmarkStart w:id="1986" w:name="_Toc20384126"/>
      <w:r w:rsidRPr="008817D0">
        <w:rPr>
          <w:rFonts w:eastAsia="Calibri"/>
        </w:rPr>
        <w:t>Compensating Injections in the RTM</w:t>
      </w:r>
      <w:bookmarkEnd w:id="1984"/>
      <w:bookmarkEnd w:id="1985"/>
      <w:bookmarkEnd w:id="1986"/>
    </w:p>
    <w:p w14:paraId="3C161FDB" w14:textId="776861A4" w:rsidR="008817D0" w:rsidRDefault="008817D0" w:rsidP="008817D0">
      <w:pPr>
        <w:spacing w:after="240" w:line="300" w:lineRule="auto"/>
        <w:rPr>
          <w:rFonts w:eastAsia="Calibri"/>
        </w:rPr>
      </w:pPr>
      <w:r w:rsidRPr="008817D0">
        <w:rPr>
          <w:rFonts w:eastAsia="Calibri"/>
        </w:rPr>
        <w:t xml:space="preserve">Compensating Injections will be modeled at applicable points defined at the Full Network Model (FNM) boundary in the </w:t>
      </w:r>
      <w:r w:rsidR="00FC30E3">
        <w:rPr>
          <w:rFonts w:eastAsia="Calibri"/>
        </w:rPr>
        <w:t>Real-Time</w:t>
      </w:r>
      <w:r w:rsidRPr="008817D0">
        <w:rPr>
          <w:rFonts w:eastAsia="Calibri"/>
        </w:rPr>
        <w:t xml:space="preserve"> Market (RTM). These Compensating Injections would be calculated by a methodology that would adjust </w:t>
      </w:r>
      <w:r w:rsidR="00FC30E3">
        <w:rPr>
          <w:rFonts w:eastAsia="Calibri"/>
        </w:rPr>
        <w:t>the Compensating Injections in Real-Time</w:t>
      </w:r>
      <w:r w:rsidRPr="008817D0">
        <w:rPr>
          <w:rFonts w:eastAsia="Calibri"/>
        </w:rPr>
        <w:t xml:space="preserve"> so that the net schedule contributions on interties match the corresponding intertie measurements.</w:t>
      </w:r>
      <w:r w:rsidR="008F1740">
        <w:rPr>
          <w:rFonts w:eastAsia="Calibri"/>
        </w:rPr>
        <w:t xml:space="preserve">  See the </w:t>
      </w:r>
      <w:hyperlink r:id="rId184" w:history="1">
        <w:r w:rsidR="001E40B2" w:rsidRPr="00877DDB">
          <w:rPr>
            <w:rStyle w:val="Hyperlink"/>
            <w:rFonts w:eastAsia="Calibri"/>
            <w:color w:val="000000" w:themeColor="text1"/>
          </w:rPr>
          <w:t>BPM for Market Operations</w:t>
        </w:r>
      </w:hyperlink>
      <w:r w:rsidR="008F1740" w:rsidRPr="00877DDB">
        <w:rPr>
          <w:rFonts w:eastAsia="Calibri"/>
          <w:color w:val="000000" w:themeColor="text1"/>
        </w:rPr>
        <w:t xml:space="preserve">, </w:t>
      </w:r>
      <w:r w:rsidR="000D44E7">
        <w:rPr>
          <w:rFonts w:eastAsia="Calibri"/>
        </w:rPr>
        <w:t>S</w:t>
      </w:r>
      <w:r w:rsidR="008F1740">
        <w:rPr>
          <w:rFonts w:eastAsia="Calibri"/>
        </w:rPr>
        <w:t>ection 7.5.1.1 for a description of how compensating injections are used in the market.</w:t>
      </w:r>
    </w:p>
    <w:p w14:paraId="66A7236A" w14:textId="170CEDFC" w:rsidR="008E6DC4" w:rsidRDefault="008E6DC4" w:rsidP="00E37D66">
      <w:pPr>
        <w:pStyle w:val="Heading3"/>
      </w:pPr>
      <w:bookmarkStart w:id="1987" w:name="_Toc501614283"/>
      <w:bookmarkStart w:id="1988" w:name="_Toc20384127"/>
      <w:r>
        <w:t>Auto-Match of Import/Export Schedule Changes</w:t>
      </w:r>
      <w:bookmarkEnd w:id="1987"/>
      <w:bookmarkEnd w:id="1988"/>
    </w:p>
    <w:p w14:paraId="35067B24" w14:textId="598CB705" w:rsidR="008E6DC4" w:rsidRDefault="008E6DC4" w:rsidP="008817D0">
      <w:pPr>
        <w:spacing w:after="240" w:line="300" w:lineRule="auto"/>
        <w:rPr>
          <w:rFonts w:eastAsia="Calibri"/>
        </w:rPr>
      </w:pPr>
      <w:r>
        <w:rPr>
          <w:rFonts w:eastAsia="Calibri"/>
        </w:rPr>
        <w:t>The auto-match feature facilitates the management of base intertie schedulechanges after T–40'. It is limited to EIM Non-Participating Resources (EIMNPR), namely System Resources (SRs), including Energy Transfer System Resources (Base ETSRs) and Mirror System Resources (MSRs).</w:t>
      </w:r>
    </w:p>
    <w:p w14:paraId="54AEE18E" w14:textId="5F3EBE05" w:rsidR="008E6DC4" w:rsidRDefault="008E6DC4" w:rsidP="00E37D66">
      <w:pPr>
        <w:spacing w:after="240" w:line="300" w:lineRule="auto"/>
        <w:jc w:val="both"/>
        <w:rPr>
          <w:rFonts w:eastAsia="Calibri"/>
        </w:rPr>
      </w:pPr>
      <w:r>
        <w:rPr>
          <w:rFonts w:eastAsia="Calibri"/>
        </w:rPr>
        <w:t>If the schedule of an EIM System Resource changes from its base schedule after –40' for an EIM BAA, the CAISO will automatically match that schedule change from a pre-selected available EIMNPR in the same EIM BAA. The net of multiple System Resource schedule deviations at the interties of an EIM BAA can be matched by the same pre-selected EIMNPR in the same BAA, and different pre-selected EIMNPRs can be used to match different System Resource schedule changes. The pre-selected EIMNPRs and their associated System Resources must be registered in the Master File for the auto-match feature by the relevant EIM Entity Scheduling Coordinator.</w:t>
      </w:r>
    </w:p>
    <w:p w14:paraId="540FD761" w14:textId="4920ADC4" w:rsidR="008E6DC4" w:rsidRDefault="008E6DC4" w:rsidP="008817D0">
      <w:pPr>
        <w:spacing w:after="240" w:line="300" w:lineRule="auto"/>
        <w:rPr>
          <w:rFonts w:eastAsia="Calibri"/>
        </w:rPr>
      </w:pPr>
      <w:r>
        <w:rPr>
          <w:rFonts w:eastAsia="Calibri"/>
        </w:rPr>
        <w:t xml:space="preserve">Schedule deviations from System Resources registered for auto-match will be ignored from the historical data used in compiling the intertie over/under-scheduling histogram. Additionally, the corresponding schedules will be excluded from the gross import or export base schedule for the purpose of calculating additional capacity test requirements associated with intertie over/under-scheduling for the corresponding EIM BAA. </w:t>
      </w:r>
    </w:p>
    <w:p w14:paraId="7EC6996C" w14:textId="3A239B37" w:rsidR="008E6DC4" w:rsidRDefault="008E6DC4" w:rsidP="00E37D66">
      <w:pPr>
        <w:rPr>
          <w:rFonts w:eastAsia="Calibri"/>
        </w:rPr>
      </w:pPr>
      <w:r>
        <w:rPr>
          <w:rFonts w:eastAsia="Calibri"/>
        </w:rPr>
        <w:t>No Manual Dispatch Instructions or ABC are allowed for EIMNPRs that are registered for the auto-match feature since their schedules are determined by the market.</w:t>
      </w:r>
    </w:p>
    <w:p w14:paraId="23F8C7BC" w14:textId="297DA2A0" w:rsidR="008E6DC4" w:rsidRDefault="008E6DC4" w:rsidP="00E37D66">
      <w:pPr>
        <w:pStyle w:val="Heading3"/>
        <w:keepLines/>
        <w:spacing w:before="240" w:after="60"/>
      </w:pPr>
      <w:bookmarkStart w:id="1989" w:name="_Toc501614284"/>
      <w:bookmarkStart w:id="1990" w:name="_Toc20384128"/>
      <w:r w:rsidRPr="00231AB1">
        <w:t xml:space="preserve">Auto Mirror </w:t>
      </w:r>
      <w:bookmarkEnd w:id="1989"/>
      <w:r>
        <w:t>of CAISO Import/Export Schedule Changes</w:t>
      </w:r>
      <w:bookmarkEnd w:id="1990"/>
    </w:p>
    <w:p w14:paraId="1A1348BF" w14:textId="3CDF6D06" w:rsidR="008E6DC4" w:rsidRDefault="008E6DC4" w:rsidP="008817D0">
      <w:pPr>
        <w:spacing w:after="240" w:line="300" w:lineRule="auto"/>
        <w:rPr>
          <w:rFonts w:eastAsia="Calibri"/>
        </w:rPr>
      </w:pPr>
      <w:r>
        <w:rPr>
          <w:rFonts w:eastAsia="Calibri"/>
        </w:rPr>
        <w:t>The auto-mirror feature facilitates the mirroring of intertie schedules with CISO (CAISO BAA) at CAISO intertie Scheduling Points from System Resources (SRs) and Tie-Generators (TGs) when the associated energy is generated, consumed, or wheeled through an EIM BAA. The CAISO will automatically mirror the gross import/export schedule changes after T-40' from specified SRs and TGs at a CAISO intertie Scheduling Point by adjusting the schedule of an associated Mirror System Resource (MSR) at the same Scheduling Point. An import MSR may only be associated with export SRs, and an export MSR may only be associated with import SRs and TGs at the same CAISO Scheduling Point. The MSRs and their associated SRs and TGs must be registered in the Master File for the auto-mirror feature by the relevant EIM Entity Scheduling Coordinator.</w:t>
      </w:r>
    </w:p>
    <w:p w14:paraId="70DA8BDE" w14:textId="6C24D787" w:rsidR="008E6DC4" w:rsidRDefault="008E6DC4" w:rsidP="008817D0">
      <w:pPr>
        <w:spacing w:after="240" w:line="300" w:lineRule="auto"/>
        <w:rPr>
          <w:rFonts w:eastAsia="Calibri"/>
        </w:rPr>
      </w:pPr>
      <w:r>
        <w:rPr>
          <w:rFonts w:eastAsia="Calibri"/>
        </w:rPr>
        <w:t xml:space="preserve">MSRs may also be registered to participate in the auto-match feature, but only when the mirrored CISO intertie schedules are submitted as Self-Schedules without bids.  </w:t>
      </w:r>
    </w:p>
    <w:p w14:paraId="0B34C49B" w14:textId="77777777" w:rsidR="008E6DC4" w:rsidRDefault="008E6DC4">
      <w:r>
        <w:rPr>
          <w:rFonts w:eastAsia="Calibri"/>
        </w:rPr>
        <w:t xml:space="preserve">No real-time schedule change submission is allowed for MSRs registered for the auto-mirror feature since their schedules are determined by the market. </w:t>
      </w:r>
    </w:p>
    <w:p w14:paraId="7A76C071" w14:textId="77777777" w:rsidR="008E6DC4" w:rsidRDefault="008E6DC4" w:rsidP="008817D0">
      <w:pPr>
        <w:spacing w:after="240" w:line="300" w:lineRule="auto"/>
        <w:rPr>
          <w:rFonts w:eastAsia="Calibri"/>
        </w:rPr>
      </w:pPr>
    </w:p>
    <w:p w14:paraId="37D0D838" w14:textId="77777777" w:rsidR="008817D0" w:rsidRPr="008817D0" w:rsidRDefault="008817D0" w:rsidP="00C33762">
      <w:pPr>
        <w:pStyle w:val="Heading3"/>
        <w:rPr>
          <w:rFonts w:eastAsia="Calibri"/>
        </w:rPr>
      </w:pPr>
      <w:bookmarkStart w:id="1991" w:name="_Toc390946298"/>
      <w:bookmarkStart w:id="1992" w:name="_Toc391969859"/>
      <w:bookmarkStart w:id="1993" w:name="_Toc20384129"/>
      <w:r w:rsidRPr="008817D0">
        <w:rPr>
          <w:rFonts w:eastAsia="Calibri"/>
        </w:rPr>
        <w:t>Manual Dispatch</w:t>
      </w:r>
      <w:bookmarkEnd w:id="1940"/>
      <w:bookmarkEnd w:id="1991"/>
      <w:bookmarkEnd w:id="1992"/>
      <w:bookmarkEnd w:id="1993"/>
      <w:r w:rsidRPr="008817D0">
        <w:rPr>
          <w:rFonts w:eastAsia="Calibri"/>
        </w:rPr>
        <w:tab/>
      </w:r>
    </w:p>
    <w:p w14:paraId="6203B701" w14:textId="400F5DCC" w:rsidR="002C20D4" w:rsidRDefault="008E6DC4" w:rsidP="008E6DC4">
      <w:pPr>
        <w:rPr>
          <w:rFonts w:eastAsia="Calibri"/>
        </w:rPr>
      </w:pPr>
      <w:r>
        <w:rPr>
          <w:rFonts w:eastAsia="Calibri"/>
        </w:rPr>
        <w:t xml:space="preserve">Manual dispatches refer to a manual override of an EIM market dispatch in cases where the EIM Entity BAA recognizes a need to adjust the dispatch.  Reasons for a manual dispatch include, but are not limited to: congestion management not otherwise handled by the EIM market systems, response to contingency events, implementation of unscheduled loop flow procedures, or to comply with orders from a reliability coordinator, </w:t>
      </w:r>
      <w:r w:rsidRPr="003763FC">
        <w:rPr>
          <w:rFonts w:eastAsia="Calibri"/>
        </w:rPr>
        <w:t xml:space="preserve">or to address operational issues in the EIM BAA that the CAISO Market is not able to address through </w:t>
      </w:r>
      <w:r>
        <w:rPr>
          <w:rFonts w:eastAsia="Calibri"/>
        </w:rPr>
        <w:t>the</w:t>
      </w:r>
      <w:r w:rsidRPr="003763FC">
        <w:rPr>
          <w:rFonts w:eastAsia="Calibri"/>
        </w:rPr>
        <w:t xml:space="preserve"> EIM </w:t>
      </w:r>
      <w:r>
        <w:rPr>
          <w:rFonts w:eastAsia="Calibri"/>
        </w:rPr>
        <w:t>a</w:t>
      </w:r>
      <w:r w:rsidRPr="003763FC">
        <w:rPr>
          <w:rFonts w:eastAsia="Calibri"/>
        </w:rPr>
        <w:t>uto-</w:t>
      </w:r>
      <w:r>
        <w:rPr>
          <w:rFonts w:eastAsia="Calibri"/>
        </w:rPr>
        <w:t>m</w:t>
      </w:r>
      <w:r w:rsidRPr="003763FC">
        <w:rPr>
          <w:rFonts w:eastAsia="Calibri"/>
        </w:rPr>
        <w:t xml:space="preserve">atch </w:t>
      </w:r>
      <w:r>
        <w:rPr>
          <w:rFonts w:eastAsia="Calibri"/>
        </w:rPr>
        <w:t>feature</w:t>
      </w:r>
      <w:r w:rsidRPr="003763FC">
        <w:rPr>
          <w:rFonts w:eastAsia="Calibri"/>
        </w:rPr>
        <w:t>.</w:t>
      </w:r>
      <w:r w:rsidR="00673349">
        <w:rPr>
          <w:rFonts w:eastAsia="Calibri"/>
        </w:rPr>
        <w:t xml:space="preserve">  </w:t>
      </w:r>
    </w:p>
    <w:p w14:paraId="43909953" w14:textId="77777777" w:rsidR="008817D0" w:rsidRPr="008817D0" w:rsidRDefault="008817D0" w:rsidP="008817D0">
      <w:pPr>
        <w:spacing w:after="240" w:line="300" w:lineRule="auto"/>
        <w:rPr>
          <w:rFonts w:eastAsia="Calibri"/>
        </w:rPr>
      </w:pPr>
      <w:r w:rsidRPr="008817D0">
        <w:rPr>
          <w:rFonts w:eastAsia="Calibri"/>
        </w:rPr>
        <w:t>EIM Entity BAA must inform CAISO RTM of any manual dispatch within its area</w:t>
      </w:r>
      <w:r w:rsidR="00F22DBD">
        <w:rPr>
          <w:rFonts w:eastAsia="Calibri"/>
        </w:rPr>
        <w:t xml:space="preserve"> which includes both participating and non-participating resources in the EIM BAA</w:t>
      </w:r>
      <w:r w:rsidRPr="008817D0">
        <w:rPr>
          <w:rFonts w:eastAsia="Calibri"/>
        </w:rPr>
        <w:t>. The market will reflect the dispatch in the next RTD run whenever possible.  CAISO will provide a software tool that will</w:t>
      </w:r>
      <w:r w:rsidR="004F6C0A">
        <w:rPr>
          <w:rFonts w:eastAsia="Calibri"/>
        </w:rPr>
        <w:t xml:space="preserve"> allow the EIM Entity operator</w:t>
      </w:r>
      <w:r w:rsidRPr="008817D0">
        <w:rPr>
          <w:rFonts w:eastAsia="Calibri"/>
        </w:rPr>
        <w:t xml:space="preserve"> to enter a Manual Dispatch.  The manual dispatch will include information such as resource name, start and end time, and megawatt constraint values.  </w:t>
      </w:r>
      <w:r w:rsidR="009D4FFA" w:rsidRPr="008817D0">
        <w:rPr>
          <w:rFonts w:eastAsia="Calibri"/>
        </w:rPr>
        <w:t xml:space="preserve">The EIM Entity </w:t>
      </w:r>
      <w:r w:rsidR="009D4FFA">
        <w:rPr>
          <w:rFonts w:eastAsia="Calibri"/>
        </w:rPr>
        <w:t>operator</w:t>
      </w:r>
      <w:r w:rsidR="009D4FFA" w:rsidRPr="008817D0">
        <w:rPr>
          <w:rFonts w:eastAsia="Calibri"/>
        </w:rPr>
        <w:t xml:space="preserve"> shall enter this information as soon as possible.</w:t>
      </w:r>
      <w:r w:rsidR="009D4FFA">
        <w:rPr>
          <w:rFonts w:eastAsia="Calibri"/>
        </w:rPr>
        <w:t xml:space="preserve">  Once entered, t</w:t>
      </w:r>
      <w:r w:rsidRPr="008817D0">
        <w:rPr>
          <w:rFonts w:eastAsia="Calibri"/>
        </w:rPr>
        <w:t>he EIM Entity operator has the ability to modify the instruction while it is still active</w:t>
      </w:r>
      <w:r w:rsidR="004F6C0A">
        <w:rPr>
          <w:rFonts w:eastAsia="Calibri"/>
        </w:rPr>
        <w:t>;</w:t>
      </w:r>
      <w:r w:rsidR="009D4FFA">
        <w:rPr>
          <w:rFonts w:eastAsia="Calibri"/>
        </w:rPr>
        <w:t xml:space="preserve"> for example</w:t>
      </w:r>
      <w:r w:rsidR="004F6C0A">
        <w:rPr>
          <w:rFonts w:eastAsia="Calibri"/>
        </w:rPr>
        <w:t>,</w:t>
      </w:r>
      <w:r w:rsidR="009D4FFA">
        <w:rPr>
          <w:rFonts w:eastAsia="Calibri"/>
        </w:rPr>
        <w:t xml:space="preserve"> extending the time of the dispatch</w:t>
      </w:r>
      <w:r w:rsidRPr="008817D0">
        <w:rPr>
          <w:rFonts w:eastAsia="Calibri"/>
        </w:rPr>
        <w:t xml:space="preserve">.  </w:t>
      </w:r>
    </w:p>
    <w:p w14:paraId="1D56D793" w14:textId="77777777" w:rsidR="008817D0" w:rsidRPr="008817D0" w:rsidRDefault="001B06BF" w:rsidP="008817D0">
      <w:pPr>
        <w:spacing w:after="240" w:line="300" w:lineRule="auto"/>
        <w:rPr>
          <w:rFonts w:eastAsia="Calibri"/>
        </w:rPr>
      </w:pPr>
      <w:r>
        <w:rPr>
          <w:rFonts w:eastAsia="Calibri"/>
        </w:rPr>
        <w:t xml:space="preserve">Once received by CAISO, </w:t>
      </w:r>
      <w:r w:rsidR="008817D0" w:rsidRPr="008817D0">
        <w:rPr>
          <w:rFonts w:eastAsia="Calibri"/>
        </w:rPr>
        <w:t>CAISO will dispatch the resource in the next applicable market interval in accordance with the manual dispatch</w:t>
      </w:r>
      <w:r w:rsidR="00673349">
        <w:rPr>
          <w:rFonts w:eastAsia="Calibri"/>
        </w:rPr>
        <w:t>.  Note that the market systems</w:t>
      </w:r>
      <w:r w:rsidR="008817D0" w:rsidRPr="008817D0">
        <w:rPr>
          <w:rFonts w:eastAsia="Calibri"/>
        </w:rPr>
        <w:t xml:space="preserve"> </w:t>
      </w:r>
      <w:r w:rsidR="00673349">
        <w:rPr>
          <w:rFonts w:eastAsia="Calibri"/>
        </w:rPr>
        <w:t>will</w:t>
      </w:r>
      <w:r w:rsidR="00673349" w:rsidRPr="008817D0">
        <w:rPr>
          <w:rFonts w:eastAsia="Calibri"/>
        </w:rPr>
        <w:t xml:space="preserve"> </w:t>
      </w:r>
      <w:r w:rsidR="008817D0" w:rsidRPr="008817D0">
        <w:rPr>
          <w:rFonts w:eastAsia="Calibri"/>
        </w:rPr>
        <w:t>still honor resource constraints.</w:t>
      </w:r>
      <w:r w:rsidR="00673349">
        <w:rPr>
          <w:rFonts w:eastAsia="Calibri"/>
        </w:rPr>
        <w:t xml:space="preserve">  For example, the market systems may take several intervals to dispatch a resource to </w:t>
      </w:r>
      <w:r w:rsidR="007668BC">
        <w:rPr>
          <w:rFonts w:eastAsia="Calibri"/>
        </w:rPr>
        <w:t xml:space="preserve">be within </w:t>
      </w:r>
      <w:r w:rsidR="00673349">
        <w:rPr>
          <w:rFonts w:eastAsia="Calibri"/>
        </w:rPr>
        <w:t xml:space="preserve">the manual dispatch </w:t>
      </w:r>
      <w:r w:rsidR="007668BC">
        <w:rPr>
          <w:rFonts w:eastAsia="Calibri"/>
        </w:rPr>
        <w:t>constraint range if</w:t>
      </w:r>
      <w:r w:rsidR="00673349">
        <w:rPr>
          <w:rFonts w:eastAsia="Calibri"/>
        </w:rPr>
        <w:t xml:space="preserve"> the resource is limited by ramp rate capability.  </w:t>
      </w:r>
    </w:p>
    <w:p w14:paraId="2798F4C0" w14:textId="6FAD011D" w:rsidR="006F6776" w:rsidRDefault="00F42CAB" w:rsidP="006F6776">
      <w:pPr>
        <w:pStyle w:val="Heading3"/>
        <w:rPr>
          <w:rFonts w:eastAsia="Calibri"/>
        </w:rPr>
      </w:pPr>
      <w:bookmarkStart w:id="1994" w:name="_Toc20384130"/>
      <w:bookmarkStart w:id="1995" w:name="_Toc390869270"/>
      <w:bookmarkStart w:id="1996" w:name="_Toc390946299"/>
      <w:bookmarkStart w:id="1997" w:name="_Toc391969860"/>
      <w:r>
        <w:rPr>
          <w:rFonts w:eastAsia="Calibri"/>
        </w:rPr>
        <w:t>Load Forecast Operator Adjustments</w:t>
      </w:r>
      <w:bookmarkEnd w:id="1994"/>
    </w:p>
    <w:p w14:paraId="33ED027D" w14:textId="6AE02E2B" w:rsidR="006F6776" w:rsidRDefault="00F42CAB" w:rsidP="00877DDB">
      <w:pPr>
        <w:autoSpaceDE w:val="0"/>
        <w:autoSpaceDN w:val="0"/>
        <w:adjustRightInd w:val="0"/>
        <w:spacing w:after="240" w:line="300" w:lineRule="auto"/>
        <w:rPr>
          <w:rFonts w:eastAsia="Calibri"/>
        </w:rPr>
      </w:pPr>
      <w:r>
        <w:rPr>
          <w:rFonts w:eastAsia="Calibri"/>
        </w:rPr>
        <w:t>The EIM BAA operators, like the CAISO operators may</w:t>
      </w:r>
      <w:r w:rsidR="006F6776">
        <w:rPr>
          <w:rFonts w:eastAsia="Calibri"/>
        </w:rPr>
        <w:t xml:space="preserve"> adjust –upwards or downwards- the load forecast of either the fifteen- and five-minute market used in the market clearing process to reflect the system needs and conditions.  </w:t>
      </w:r>
      <w:r w:rsidR="006F6776" w:rsidRPr="006F6776">
        <w:rPr>
          <w:rFonts w:eastAsia="Calibri"/>
        </w:rPr>
        <w:t>However, the operator adjustments to load forecasts tend to be coarse adjustments</w:t>
      </w:r>
      <w:r>
        <w:rPr>
          <w:rFonts w:eastAsia="Calibri"/>
        </w:rPr>
        <w:t xml:space="preserve"> and the </w:t>
      </w:r>
      <w:r w:rsidR="006F6776" w:rsidRPr="006F6776">
        <w:rPr>
          <w:rFonts w:eastAsia="Calibri"/>
        </w:rPr>
        <w:t xml:space="preserve">the operator cannot know at </w:t>
      </w:r>
      <w:r>
        <w:rPr>
          <w:rFonts w:eastAsia="Calibri"/>
        </w:rPr>
        <w:t xml:space="preserve">the time the adjustment is made </w:t>
      </w:r>
      <w:r w:rsidR="006F6776" w:rsidRPr="006F6776">
        <w:rPr>
          <w:rFonts w:eastAsia="Calibri"/>
        </w:rPr>
        <w:t xml:space="preserve"> exactly what </w:t>
      </w:r>
      <w:r>
        <w:rPr>
          <w:rFonts w:eastAsia="Calibri"/>
        </w:rPr>
        <w:t xml:space="preserve">will be </w:t>
      </w:r>
      <w:r w:rsidR="006F6776" w:rsidRPr="006F6776">
        <w:rPr>
          <w:rFonts w:eastAsia="Calibri"/>
        </w:rPr>
        <w:t>the system ramp</w:t>
      </w:r>
      <w:r>
        <w:rPr>
          <w:rFonts w:eastAsia="Calibri"/>
        </w:rPr>
        <w:t xml:space="preserve">.  Therefore, </w:t>
      </w:r>
      <w:r w:rsidR="006F6776" w:rsidRPr="006F6776">
        <w:rPr>
          <w:rFonts w:eastAsia="Calibri"/>
        </w:rPr>
        <w:t xml:space="preserve">in making the adjustment, </w:t>
      </w:r>
      <w:r>
        <w:rPr>
          <w:rFonts w:eastAsia="Calibri"/>
        </w:rPr>
        <w:t xml:space="preserve">the operator could cause the load forecast to </w:t>
      </w:r>
      <w:r w:rsidR="006F6776" w:rsidRPr="006F6776">
        <w:rPr>
          <w:rFonts w:eastAsia="Calibri"/>
        </w:rPr>
        <w:t xml:space="preserve">exceed the system’s ability to respond. Such coarse adjustments, if more than necessary, can produce </w:t>
      </w:r>
      <w:r>
        <w:rPr>
          <w:rFonts w:eastAsia="Calibri"/>
        </w:rPr>
        <w:t>unnecessary</w:t>
      </w:r>
      <w:r w:rsidR="006F6776" w:rsidRPr="006F6776">
        <w:rPr>
          <w:rFonts w:eastAsia="Calibri"/>
        </w:rPr>
        <w:t xml:space="preserve"> infeasible market solutions. To prevent such over-adjustment</w:t>
      </w:r>
      <w:r>
        <w:rPr>
          <w:rFonts w:eastAsia="Calibri"/>
        </w:rPr>
        <w:t>s</w:t>
      </w:r>
      <w:r w:rsidR="006F6776" w:rsidRPr="006F6776">
        <w:rPr>
          <w:rFonts w:eastAsia="Calibri"/>
        </w:rPr>
        <w:t xml:space="preserve">, the CAISO employs a </w:t>
      </w:r>
      <w:r>
        <w:rPr>
          <w:rFonts w:eastAsia="Calibri"/>
        </w:rPr>
        <w:t xml:space="preserve">feature that limits the load forecast adjustment </w:t>
      </w:r>
      <w:r w:rsidR="006F6776" w:rsidRPr="006F6776">
        <w:rPr>
          <w:rFonts w:eastAsia="Calibri"/>
        </w:rPr>
        <w:t>in the CAISO</w:t>
      </w:r>
      <w:r>
        <w:rPr>
          <w:rFonts w:eastAsia="Calibri"/>
        </w:rPr>
        <w:t xml:space="preserve"> and EIM</w:t>
      </w:r>
      <w:r w:rsidR="006F6776" w:rsidRPr="006F6776">
        <w:rPr>
          <w:rFonts w:eastAsia="Calibri"/>
        </w:rPr>
        <w:t xml:space="preserve"> balancing authority area</w:t>
      </w:r>
      <w:r>
        <w:rPr>
          <w:rFonts w:eastAsia="Calibri"/>
        </w:rPr>
        <w:t>s</w:t>
      </w:r>
      <w:r w:rsidR="006F6776" w:rsidRPr="006F6776">
        <w:rPr>
          <w:rFonts w:eastAsia="Calibri"/>
        </w:rPr>
        <w:t>, which automatically limits the course operator adjustment to what is feasible as long as the quanti</w:t>
      </w:r>
      <w:r>
        <w:rPr>
          <w:rFonts w:eastAsia="Calibri"/>
        </w:rPr>
        <w:t>t</w:t>
      </w:r>
      <w:r w:rsidR="006F6776" w:rsidRPr="006F6776">
        <w:rPr>
          <w:rFonts w:eastAsia="Calibri"/>
        </w:rPr>
        <w:t>y of the infeasibility is less than the operator adjustment and is in the same direction as the operator adjustment</w:t>
      </w:r>
      <w:r w:rsidR="006F6776">
        <w:rPr>
          <w:rFonts w:eastAsia="Calibri"/>
        </w:rPr>
        <w:t>.</w:t>
      </w:r>
    </w:p>
    <w:p w14:paraId="26854489" w14:textId="7B7923A4" w:rsidR="006F6776" w:rsidRDefault="00FB14F1" w:rsidP="00877DDB">
      <w:pPr>
        <w:autoSpaceDE w:val="0"/>
        <w:autoSpaceDN w:val="0"/>
        <w:adjustRightInd w:val="0"/>
        <w:spacing w:after="240" w:line="300" w:lineRule="auto"/>
        <w:rPr>
          <w:rFonts w:eastAsia="Calibri"/>
        </w:rPr>
      </w:pPr>
      <w:r>
        <w:rPr>
          <w:rFonts w:eastAsia="Calibri"/>
        </w:rPr>
        <w:t>The collect</w:t>
      </w:r>
      <w:r w:rsidR="00F42CAB">
        <w:rPr>
          <w:rFonts w:eastAsia="Calibri"/>
        </w:rPr>
        <w:t>s</w:t>
      </w:r>
      <w:r>
        <w:rPr>
          <w:rFonts w:eastAsia="Calibri"/>
        </w:rPr>
        <w:t xml:space="preserve">  </w:t>
      </w:r>
      <w:r w:rsidR="00DD0CB4">
        <w:rPr>
          <w:rFonts w:eastAsia="Calibri"/>
        </w:rPr>
        <w:t xml:space="preserve">from each EIM BAA entity </w:t>
      </w:r>
      <w:r>
        <w:rPr>
          <w:rFonts w:eastAsia="Calibri"/>
        </w:rPr>
        <w:t xml:space="preserve">relevant data about load bias, including the frequency, volume and reasons for load bias in the fifteen- and five-minute markets, </w:t>
      </w:r>
      <w:r w:rsidRPr="00DD0CB4">
        <w:rPr>
          <w:rFonts w:eastAsia="Calibri"/>
        </w:rPr>
        <w:t>as well as any alternatives considered (e.g., use of manual dispatch</w:t>
      </w:r>
      <w:r w:rsidR="00F42CAB">
        <w:rPr>
          <w:rFonts w:eastAsia="Calibri"/>
        </w:rPr>
        <w:t>)</w:t>
      </w:r>
      <w:r w:rsidRPr="00DD0CB4">
        <w:rPr>
          <w:rFonts w:eastAsia="Calibri"/>
        </w:rPr>
        <w:t>.</w:t>
      </w:r>
    </w:p>
    <w:p w14:paraId="715946F5" w14:textId="30141F19" w:rsidR="000914B7" w:rsidRPr="006F6776" w:rsidRDefault="000914B7" w:rsidP="00877DDB">
      <w:pPr>
        <w:autoSpaceDE w:val="0"/>
        <w:autoSpaceDN w:val="0"/>
        <w:adjustRightInd w:val="0"/>
        <w:spacing w:after="240" w:line="300" w:lineRule="auto"/>
        <w:rPr>
          <w:rFonts w:eastAsia="Calibri"/>
        </w:rPr>
      </w:pPr>
      <w:r>
        <w:rPr>
          <w:rFonts w:eastAsia="Calibri"/>
        </w:rPr>
        <w:t xml:space="preserve">Note: Please refer to Market Operations Appendices BPM Attachment M for details on </w:t>
      </w:r>
      <w:r w:rsidR="00D707EB">
        <w:rPr>
          <w:rFonts w:eastAsia="Calibri"/>
        </w:rPr>
        <w:t>load forecast</w:t>
      </w:r>
      <w:r>
        <w:rPr>
          <w:rFonts w:eastAsia="Calibri"/>
        </w:rPr>
        <w:t xml:space="preserve"> conformances.</w:t>
      </w:r>
    </w:p>
    <w:p w14:paraId="61A30E6A" w14:textId="77777777" w:rsidR="006F6776" w:rsidRPr="006F6776" w:rsidRDefault="006F6776" w:rsidP="006F6776">
      <w:pPr>
        <w:autoSpaceDE w:val="0"/>
        <w:autoSpaceDN w:val="0"/>
        <w:adjustRightInd w:val="0"/>
        <w:rPr>
          <w:rFonts w:eastAsia="Calibri"/>
        </w:rPr>
      </w:pPr>
    </w:p>
    <w:p w14:paraId="476CDFC2" w14:textId="77777777" w:rsidR="008817D0" w:rsidRPr="008817D0" w:rsidRDefault="008817D0" w:rsidP="00C33762">
      <w:pPr>
        <w:pStyle w:val="Heading3"/>
        <w:rPr>
          <w:rFonts w:eastAsia="Calibri"/>
        </w:rPr>
      </w:pPr>
      <w:bookmarkStart w:id="1998" w:name="_Toc20384131"/>
      <w:r w:rsidRPr="008817D0">
        <w:rPr>
          <w:rFonts w:eastAsia="Calibri"/>
        </w:rPr>
        <w:t>Contingency Dispatch</w:t>
      </w:r>
      <w:bookmarkEnd w:id="1995"/>
      <w:bookmarkEnd w:id="1996"/>
      <w:bookmarkEnd w:id="1997"/>
      <w:bookmarkEnd w:id="1998"/>
    </w:p>
    <w:p w14:paraId="36D0FADB" w14:textId="77777777" w:rsidR="008817D0" w:rsidRPr="00C81814" w:rsidRDefault="008817D0">
      <w:pPr>
        <w:spacing w:after="240" w:line="300" w:lineRule="auto"/>
        <w:rPr>
          <w:rFonts w:eastAsia="Calibri"/>
          <w:b/>
        </w:rPr>
      </w:pPr>
      <w:r w:rsidRPr="008817D0">
        <w:rPr>
          <w:rFonts w:eastAsia="Calibri"/>
        </w:rPr>
        <w:t xml:space="preserve">The </w:t>
      </w:r>
      <w:r w:rsidR="00FC30E3">
        <w:rPr>
          <w:rFonts w:eastAsia="Calibri"/>
        </w:rPr>
        <w:t>Real-Time</w:t>
      </w:r>
      <w:r w:rsidRPr="008817D0">
        <w:rPr>
          <w:rFonts w:eastAsia="Calibri"/>
        </w:rPr>
        <w:t xml:space="preserve"> Contingency Dispatch (RTCD) mode of operation is run in response to a significant Contingency event, such that waiting until the next normal </w:t>
      </w:r>
      <w:r w:rsidR="00FC30E3">
        <w:rPr>
          <w:rFonts w:eastAsia="Calibri"/>
        </w:rPr>
        <w:t>Real-Time</w:t>
      </w:r>
      <w:r w:rsidR="00047681">
        <w:rPr>
          <w:rFonts w:eastAsia="Calibri"/>
        </w:rPr>
        <w:t xml:space="preserve"> Economic Dispatch (</w:t>
      </w:r>
      <w:r w:rsidRPr="008817D0">
        <w:rPr>
          <w:rFonts w:eastAsia="Calibri"/>
        </w:rPr>
        <w:t>RTED</w:t>
      </w:r>
      <w:r w:rsidR="00047681">
        <w:rPr>
          <w:rFonts w:eastAsia="Calibri"/>
        </w:rPr>
        <w:t>)</w:t>
      </w:r>
      <w:r w:rsidRPr="008817D0">
        <w:rPr>
          <w:rFonts w:eastAsia="Calibri"/>
        </w:rPr>
        <w:t xml:space="preserve"> run is not adequate.</w:t>
      </w:r>
    </w:p>
    <w:p w14:paraId="0A34742F" w14:textId="77777777" w:rsidR="008817D0" w:rsidRPr="008817D0" w:rsidRDefault="008817D0">
      <w:pPr>
        <w:spacing w:after="240" w:line="300" w:lineRule="auto"/>
        <w:rPr>
          <w:rFonts w:eastAsia="Calibri"/>
        </w:rPr>
      </w:pPr>
      <w:r w:rsidRPr="008817D0">
        <w:rPr>
          <w:rFonts w:eastAsia="Calibri"/>
        </w:rPr>
        <w:t>RTCD produces an optimized set of Disp</w:t>
      </w:r>
      <w:r w:rsidR="00C81814">
        <w:rPr>
          <w:rFonts w:eastAsia="Calibri"/>
        </w:rPr>
        <w:t>atch Instructions for a single five</w:t>
      </w:r>
      <w:r w:rsidRPr="008817D0">
        <w:rPr>
          <w:rFonts w:eastAsia="Calibri"/>
        </w:rPr>
        <w:t>-minute Dispatch Interval for EIM Entity BAA. It is possible that Dispatch Instructions are iss</w:t>
      </w:r>
      <w:r w:rsidR="00C81814">
        <w:rPr>
          <w:rFonts w:eastAsia="Calibri"/>
        </w:rPr>
        <w:t>ued more than once in the same five</w:t>
      </w:r>
      <w:r w:rsidRPr="008817D0">
        <w:rPr>
          <w:rFonts w:eastAsia="Calibri"/>
        </w:rPr>
        <w:t>-minute I</w:t>
      </w:r>
      <w:r w:rsidR="004F6C0A">
        <w:rPr>
          <w:rFonts w:eastAsia="Calibri"/>
        </w:rPr>
        <w:t>nterval, once from RTED and</w:t>
      </w:r>
      <w:r w:rsidRPr="008817D0">
        <w:rPr>
          <w:rFonts w:eastAsia="Calibri"/>
        </w:rPr>
        <w:t xml:space="preserve"> later from RTCD. Resources must respond to RTCD Dispatch Instructions as soon as possible.  The Dispatch Instructions from RTCD override any previously issued Dispatch Instructions from RTED.</w:t>
      </w:r>
    </w:p>
    <w:p w14:paraId="1959F3A3" w14:textId="77777777" w:rsidR="008817D0" w:rsidRPr="008817D0" w:rsidRDefault="008817D0" w:rsidP="00C33762">
      <w:pPr>
        <w:pStyle w:val="Heading4"/>
        <w:rPr>
          <w:rFonts w:eastAsia="Calibri"/>
        </w:rPr>
      </w:pPr>
      <w:r w:rsidRPr="008817D0">
        <w:rPr>
          <w:rFonts w:eastAsia="Calibri"/>
        </w:rPr>
        <w:t>In the Event of a Contingency in CAISO</w:t>
      </w:r>
    </w:p>
    <w:p w14:paraId="2AE46F69" w14:textId="77777777" w:rsidR="008817D0" w:rsidRPr="008817D0" w:rsidRDefault="008817D0" w:rsidP="000F0531">
      <w:pPr>
        <w:numPr>
          <w:ilvl w:val="0"/>
          <w:numId w:val="28"/>
        </w:numPr>
        <w:rPr>
          <w:rFonts w:eastAsia="Calibri"/>
        </w:rPr>
      </w:pPr>
      <w:r w:rsidRPr="008817D0">
        <w:rPr>
          <w:rFonts w:eastAsia="Calibri"/>
        </w:rPr>
        <w:t>RTUC shall isolate the CAISO BAA from the rest of the EIM Area by</w:t>
      </w:r>
      <w:r w:rsidR="00C81814">
        <w:rPr>
          <w:rFonts w:eastAsia="Calibri"/>
        </w:rPr>
        <w:t xml:space="preserve"> </w:t>
      </w:r>
      <w:r w:rsidR="0028240E">
        <w:rPr>
          <w:rFonts w:eastAsia="Calibri"/>
        </w:rPr>
        <w:t xml:space="preserve">fixing </w:t>
      </w:r>
      <w:r w:rsidRPr="008817D0">
        <w:rPr>
          <w:rFonts w:eastAsia="Calibri"/>
        </w:rPr>
        <w:t>the EIM Transfer between the CAISO BAA and the EIM Entity BAAs at</w:t>
      </w:r>
      <w:r w:rsidR="00C81814">
        <w:rPr>
          <w:rFonts w:eastAsia="Calibri"/>
        </w:rPr>
        <w:t xml:space="preserve"> the</w:t>
      </w:r>
      <w:r w:rsidRPr="008817D0">
        <w:rPr>
          <w:rFonts w:eastAsia="Calibri"/>
        </w:rPr>
        <w:t xml:space="preserve"> last</w:t>
      </w:r>
      <w:r w:rsidR="00345FC4">
        <w:rPr>
          <w:rFonts w:eastAsia="Calibri"/>
        </w:rPr>
        <w:t xml:space="preserve"> non-contingency market solution for</w:t>
      </w:r>
      <w:r w:rsidRPr="008817D0">
        <w:rPr>
          <w:rFonts w:eastAsia="Calibri"/>
        </w:rPr>
        <w:t xml:space="preserve"> binding</w:t>
      </w:r>
      <w:r w:rsidR="00345FC4">
        <w:rPr>
          <w:rFonts w:eastAsia="Calibri"/>
        </w:rPr>
        <w:t xml:space="preserve"> and advisory intervals. </w:t>
      </w:r>
    </w:p>
    <w:p w14:paraId="1892D5A8" w14:textId="77777777" w:rsidR="008817D0" w:rsidRPr="00B94F9D" w:rsidRDefault="008817D0" w:rsidP="000F0531">
      <w:pPr>
        <w:numPr>
          <w:ilvl w:val="0"/>
          <w:numId w:val="28"/>
        </w:numPr>
        <w:rPr>
          <w:rFonts w:eastAsia="Calibri"/>
        </w:rPr>
      </w:pPr>
      <w:r w:rsidRPr="008817D0">
        <w:rPr>
          <w:rFonts w:eastAsia="Calibri"/>
        </w:rPr>
        <w:t>RTD shall use prior advisory interval results for EIM Participating Resources while RTCD or RTDD is invoked for CAISO</w:t>
      </w:r>
      <w:r w:rsidR="00B81BC1" w:rsidRPr="00FA595A">
        <w:rPr>
          <w:rFonts w:cs="Arial"/>
        </w:rPr>
        <w:t>, unless curtailments of the EIM Transfer have occurred. In this case, the EIM Transfer will be capped at the minimum of the curtailed limit or the advisory dispatch from the last non-contingency market solution for the duration of the contingency status</w:t>
      </w:r>
      <w:r w:rsidRPr="00B94F9D">
        <w:rPr>
          <w:rFonts w:eastAsia="Calibri"/>
        </w:rPr>
        <w:t xml:space="preserve">. </w:t>
      </w:r>
      <w:r w:rsidR="00B81BC1" w:rsidRPr="00B94F9D">
        <w:rPr>
          <w:rFonts w:eastAsia="Calibri"/>
        </w:rPr>
        <w:t xml:space="preserve">The </w:t>
      </w:r>
      <w:r w:rsidRPr="00B94F9D">
        <w:rPr>
          <w:rFonts w:eastAsia="Calibri"/>
        </w:rPr>
        <w:t>advisory results come from the last R</w:t>
      </w:r>
      <w:r w:rsidR="00C81814" w:rsidRPr="00B94F9D">
        <w:rPr>
          <w:rFonts w:eastAsia="Calibri"/>
        </w:rPr>
        <w:t xml:space="preserve">TD before the contingency event, </w:t>
      </w:r>
      <w:r w:rsidRPr="00B94F9D">
        <w:rPr>
          <w:rFonts w:eastAsia="Calibri"/>
        </w:rPr>
        <w:t xml:space="preserve">and shall be sent through </w:t>
      </w:r>
      <w:r w:rsidR="00545056" w:rsidRPr="00B94F9D">
        <w:rPr>
          <w:rFonts w:eastAsia="Calibri"/>
        </w:rPr>
        <w:t>the Automatic Dispatching System (</w:t>
      </w:r>
      <w:r w:rsidRPr="00B94F9D">
        <w:rPr>
          <w:rFonts w:eastAsia="Calibri"/>
        </w:rPr>
        <w:t>ADS</w:t>
      </w:r>
      <w:r w:rsidR="00545056" w:rsidRPr="00B94F9D">
        <w:rPr>
          <w:rFonts w:eastAsia="Calibri"/>
        </w:rPr>
        <w:t>)</w:t>
      </w:r>
      <w:r w:rsidRPr="00B94F9D">
        <w:rPr>
          <w:rFonts w:eastAsia="Calibri"/>
        </w:rPr>
        <w:t>.</w:t>
      </w:r>
    </w:p>
    <w:p w14:paraId="541B3E95" w14:textId="77777777" w:rsidR="008817D0" w:rsidRPr="008817D0" w:rsidRDefault="008817D0" w:rsidP="000F0531">
      <w:pPr>
        <w:numPr>
          <w:ilvl w:val="0"/>
          <w:numId w:val="28"/>
        </w:numPr>
        <w:rPr>
          <w:rFonts w:eastAsia="Calibri"/>
        </w:rPr>
      </w:pPr>
      <w:r w:rsidRPr="008817D0">
        <w:rPr>
          <w:rFonts w:eastAsia="Calibri"/>
        </w:rPr>
        <w:t>This process will persist for the duration of the contingency status until RTD runs are reinstated.</w:t>
      </w:r>
    </w:p>
    <w:p w14:paraId="343CCEF1" w14:textId="77777777" w:rsidR="008817D0" w:rsidRPr="008817D0" w:rsidRDefault="00C81814" w:rsidP="000F0531">
      <w:pPr>
        <w:numPr>
          <w:ilvl w:val="0"/>
          <w:numId w:val="28"/>
        </w:numPr>
        <w:rPr>
          <w:rFonts w:eastAsia="Calibri"/>
        </w:rPr>
      </w:pPr>
      <w:r>
        <w:rPr>
          <w:rFonts w:eastAsia="Calibri"/>
        </w:rPr>
        <w:t xml:space="preserve">The contingency </w:t>
      </w:r>
      <w:r w:rsidR="008817D0" w:rsidRPr="008817D0">
        <w:rPr>
          <w:rFonts w:eastAsia="Calibri"/>
        </w:rPr>
        <w:t>dispatch instructions for CAISO internal or CAISO dynamic resources shall be sent through ADS normally.</w:t>
      </w:r>
    </w:p>
    <w:p w14:paraId="1BDBD436" w14:textId="77777777" w:rsidR="008817D0" w:rsidRPr="005860DE" w:rsidRDefault="008817D0" w:rsidP="000F0531">
      <w:pPr>
        <w:numPr>
          <w:ilvl w:val="0"/>
          <w:numId w:val="28"/>
        </w:numPr>
        <w:rPr>
          <w:rFonts w:eastAsia="Calibri"/>
        </w:rPr>
      </w:pPr>
      <w:r w:rsidRPr="008817D0">
        <w:rPr>
          <w:rFonts w:eastAsia="Calibri"/>
        </w:rPr>
        <w:t>Any contingency reserves dispatched in RTCD/RTDD from Intertie Resources shall be included in the CAISO BAA N</w:t>
      </w:r>
      <w:r w:rsidR="00C51A2E">
        <w:rPr>
          <w:rFonts w:eastAsia="Calibri"/>
        </w:rPr>
        <w:t>et Scheduled Interchange</w:t>
      </w:r>
      <w:r w:rsidRPr="008817D0">
        <w:rPr>
          <w:rFonts w:eastAsia="Calibri"/>
        </w:rPr>
        <w:t>.</w:t>
      </w:r>
    </w:p>
    <w:p w14:paraId="5B68DB3B" w14:textId="77777777" w:rsidR="008817D0" w:rsidRPr="008817D0" w:rsidRDefault="008817D0" w:rsidP="00C33762">
      <w:pPr>
        <w:pStyle w:val="Heading4"/>
        <w:rPr>
          <w:rFonts w:eastAsia="Calibri"/>
        </w:rPr>
      </w:pPr>
      <w:r w:rsidRPr="008817D0">
        <w:rPr>
          <w:rFonts w:eastAsia="Calibri"/>
        </w:rPr>
        <w:t xml:space="preserve">In the Event of a Contingency in an EIM Entity Area </w:t>
      </w:r>
    </w:p>
    <w:p w14:paraId="60AF4870" w14:textId="77777777" w:rsidR="008817D0" w:rsidRPr="008817D0" w:rsidRDefault="008817D0" w:rsidP="008817D0">
      <w:pPr>
        <w:spacing w:after="240" w:line="300" w:lineRule="auto"/>
        <w:rPr>
          <w:rFonts w:eastAsia="Calibri"/>
        </w:rPr>
      </w:pPr>
      <w:r w:rsidRPr="008817D0">
        <w:rPr>
          <w:rFonts w:eastAsia="Calibri"/>
        </w:rPr>
        <w:t xml:space="preserve">Contingencies in an EIM </w:t>
      </w:r>
      <w:r w:rsidR="004A54C4">
        <w:rPr>
          <w:rFonts w:eastAsia="Calibri"/>
        </w:rPr>
        <w:t>E</w:t>
      </w:r>
      <w:r w:rsidR="00AB2354" w:rsidRPr="008817D0">
        <w:rPr>
          <w:rFonts w:eastAsia="Calibri"/>
        </w:rPr>
        <w:t>ntity</w:t>
      </w:r>
      <w:r w:rsidRPr="008817D0">
        <w:rPr>
          <w:rFonts w:eastAsia="Calibri"/>
        </w:rPr>
        <w:t xml:space="preserve"> area are gene</w:t>
      </w:r>
      <w:r w:rsidR="004A54C4">
        <w:rPr>
          <w:rFonts w:eastAsia="Calibri"/>
        </w:rPr>
        <w:t>rally handled by that EIM E</w:t>
      </w:r>
      <w:r w:rsidR="00C81814">
        <w:rPr>
          <w:rFonts w:eastAsia="Calibri"/>
        </w:rPr>
        <w:t>ntit</w:t>
      </w:r>
      <w:r w:rsidRPr="008817D0">
        <w:rPr>
          <w:rFonts w:eastAsia="Calibri"/>
        </w:rPr>
        <w:t>y</w:t>
      </w:r>
      <w:r w:rsidR="004A54C4">
        <w:rPr>
          <w:rFonts w:eastAsia="Calibri"/>
        </w:rPr>
        <w:t>, since the EIM E</w:t>
      </w:r>
      <w:r w:rsidRPr="008817D0">
        <w:rPr>
          <w:rFonts w:eastAsia="Calibri"/>
        </w:rPr>
        <w:t>ntity manages their own operating reserves.  Thus RTCD will not be used in this case.  However</w:t>
      </w:r>
      <w:r w:rsidR="00F06452">
        <w:rPr>
          <w:rFonts w:eastAsia="Calibri"/>
        </w:rPr>
        <w:t>, the regular market systems, RTUC and RTD,</w:t>
      </w:r>
      <w:r w:rsidRPr="008817D0">
        <w:rPr>
          <w:rFonts w:eastAsia="Calibri"/>
        </w:rPr>
        <w:t xml:space="preserve"> will adjust available resources within the affected area to help manage the contingency situation.</w:t>
      </w:r>
    </w:p>
    <w:p w14:paraId="6816C7EA" w14:textId="32FEA325" w:rsidR="00A57C6B" w:rsidRPr="008817D0" w:rsidRDefault="008817D0" w:rsidP="000F0531">
      <w:pPr>
        <w:numPr>
          <w:ilvl w:val="0"/>
          <w:numId w:val="29"/>
        </w:numPr>
        <w:spacing w:after="240" w:line="300" w:lineRule="auto"/>
        <w:rPr>
          <w:rFonts w:eastAsia="Calibri"/>
        </w:rPr>
      </w:pPr>
      <w:r w:rsidRPr="008817D0">
        <w:rPr>
          <w:rFonts w:eastAsia="Calibri"/>
        </w:rPr>
        <w:t xml:space="preserve">In the event of a contingency, the EIM Entity Operator will electronically communicate the </w:t>
      </w:r>
      <w:r w:rsidR="00AB2354" w:rsidRPr="008817D0">
        <w:rPr>
          <w:rFonts w:eastAsia="Calibri"/>
        </w:rPr>
        <w:t>contingency</w:t>
      </w:r>
      <w:r w:rsidR="00B539B0">
        <w:rPr>
          <w:rFonts w:eastAsia="Calibri"/>
        </w:rPr>
        <w:t xml:space="preserve"> status to RTM.</w:t>
      </w:r>
    </w:p>
    <w:p w14:paraId="4D005312" w14:textId="51C27A67" w:rsidR="008817D0" w:rsidRPr="006951C4" w:rsidRDefault="008817D0" w:rsidP="000F0531">
      <w:pPr>
        <w:numPr>
          <w:ilvl w:val="0"/>
          <w:numId w:val="29"/>
        </w:numPr>
        <w:spacing w:after="240" w:line="300" w:lineRule="auto"/>
        <w:rPr>
          <w:rFonts w:eastAsia="Calibri"/>
        </w:rPr>
      </w:pPr>
      <w:r w:rsidRPr="006951C4">
        <w:rPr>
          <w:rFonts w:eastAsia="Calibri"/>
        </w:rPr>
        <w:t xml:space="preserve">RTD shall isolate that EIM Entity Area from the rest of the EIM Area </w:t>
      </w:r>
      <w:r w:rsidR="00345FC4" w:rsidRPr="006951C4">
        <w:rPr>
          <w:rFonts w:eastAsia="Calibri"/>
        </w:rPr>
        <w:t xml:space="preserve">by fixing the EIM Transfer between the CAISO BAA and the EIM Entity BAAs at the last non-contingency market solution for binding and advisory intervals. </w:t>
      </w:r>
    </w:p>
    <w:p w14:paraId="207FA512" w14:textId="77777777" w:rsidR="008817D0" w:rsidRPr="008817D0" w:rsidRDefault="008817D0" w:rsidP="000F0531">
      <w:pPr>
        <w:numPr>
          <w:ilvl w:val="0"/>
          <w:numId w:val="29"/>
        </w:numPr>
        <w:spacing w:after="240" w:line="300" w:lineRule="auto"/>
        <w:rPr>
          <w:rFonts w:eastAsia="Calibri"/>
        </w:rPr>
      </w:pPr>
      <w:r w:rsidRPr="008817D0">
        <w:rPr>
          <w:rFonts w:eastAsia="Calibri"/>
        </w:rPr>
        <w:t>The contingency flag of the EIM Entity BAA shall be published through ADS.</w:t>
      </w:r>
    </w:p>
    <w:p w14:paraId="5BEC5A9C" w14:textId="77777777" w:rsidR="008817D0" w:rsidRPr="008817D0" w:rsidRDefault="008817D0" w:rsidP="000F0531">
      <w:pPr>
        <w:numPr>
          <w:ilvl w:val="0"/>
          <w:numId w:val="29"/>
        </w:numPr>
        <w:spacing w:after="240" w:line="300" w:lineRule="auto"/>
        <w:rPr>
          <w:rFonts w:eastAsia="Calibri"/>
        </w:rPr>
      </w:pPr>
      <w:r w:rsidRPr="008817D0">
        <w:rPr>
          <w:rFonts w:eastAsia="Calibri"/>
        </w:rPr>
        <w:t>The EIM Entity Operator for the EIM Entity BAA that is under contingency may dispatch manually contingency reserves from resources (participating or not) in the BAA or Interchanges through interties with other BAAs outside the EIM Area; these manual dispatch in</w:t>
      </w:r>
      <w:r w:rsidR="00B406F1">
        <w:rPr>
          <w:rFonts w:eastAsia="Calibri"/>
        </w:rPr>
        <w:t xml:space="preserve">structions must be sent to RTM.  </w:t>
      </w:r>
      <w:r w:rsidRPr="008817D0">
        <w:rPr>
          <w:rFonts w:eastAsia="Calibri"/>
        </w:rPr>
        <w:t>Any interchange schedules changes shall be included in the EIM Entity BAA NSI.</w:t>
      </w:r>
    </w:p>
    <w:p w14:paraId="155CFFEC" w14:textId="567AE659" w:rsidR="008817D0" w:rsidRDefault="008817D0" w:rsidP="000F0531">
      <w:pPr>
        <w:numPr>
          <w:ilvl w:val="0"/>
          <w:numId w:val="29"/>
        </w:numPr>
        <w:spacing w:after="240" w:line="300" w:lineRule="auto"/>
        <w:rPr>
          <w:rFonts w:eastAsia="Calibri"/>
        </w:rPr>
      </w:pPr>
      <w:r w:rsidRPr="008817D0">
        <w:rPr>
          <w:rFonts w:eastAsia="Calibri"/>
        </w:rPr>
        <w:t>RTD shall be run with the latest operating conditions and any manual dispatch instruct</w:t>
      </w:r>
      <w:r w:rsidR="004A54C4">
        <w:rPr>
          <w:rFonts w:eastAsia="Calibri"/>
        </w:rPr>
        <w:t>ions.  Within the affected EIM E</w:t>
      </w:r>
      <w:r w:rsidRPr="008817D0">
        <w:rPr>
          <w:rFonts w:eastAsia="Calibri"/>
        </w:rPr>
        <w:t xml:space="preserve">ntity area, RTD will adjust available resources and manually dispatched resources in order to help manage the contingency event. </w:t>
      </w:r>
    </w:p>
    <w:p w14:paraId="55A103F2" w14:textId="77777777" w:rsidR="000F0531" w:rsidRPr="00CC346B" w:rsidRDefault="000F0531" w:rsidP="000F0531">
      <w:pPr>
        <w:numPr>
          <w:ilvl w:val="0"/>
          <w:numId w:val="29"/>
        </w:numPr>
        <w:spacing w:after="240" w:line="300" w:lineRule="auto"/>
      </w:pPr>
      <w:r w:rsidRPr="00CC346B">
        <w:t>RTD/RTPD will set and broadcast Flex Ramp UP and Flex Ramp Down requirements to zero in the EIM BAA(s) undergoing contingency.</w:t>
      </w:r>
    </w:p>
    <w:p w14:paraId="1D213D86" w14:textId="77777777" w:rsidR="000F0531" w:rsidRPr="00CC346B" w:rsidRDefault="000F0531" w:rsidP="000F0531">
      <w:pPr>
        <w:numPr>
          <w:ilvl w:val="0"/>
          <w:numId w:val="29"/>
        </w:numPr>
        <w:spacing w:after="240" w:line="300" w:lineRule="auto"/>
      </w:pPr>
      <w:r w:rsidRPr="00CC346B">
        <w:t xml:space="preserve">RTD/RTPD will not use any existing Flex Ramp UP and Flex Ramp Down awards from the EIM BAA(s) undergoing contingency. </w:t>
      </w:r>
    </w:p>
    <w:p w14:paraId="1F41F2A8" w14:textId="77777777" w:rsidR="000F0531" w:rsidRPr="00CC346B" w:rsidRDefault="000F0531" w:rsidP="000F0531">
      <w:pPr>
        <w:numPr>
          <w:ilvl w:val="0"/>
          <w:numId w:val="29"/>
        </w:numPr>
        <w:spacing w:after="240" w:line="300" w:lineRule="auto"/>
      </w:pPr>
      <w:r w:rsidRPr="00CC346B">
        <w:t>RTD/RTPD will subtract the Flex Ramp Up requirements from the EIM BAA(s) undergoing contingency with pro rata diversity factor from the overall EIM area requirement, such that the adjusted EIM area’s Flex Ramp UP and Flex Ramp Down requirement with one or more EIM BAA undergoing contingency is:</w:t>
      </w:r>
    </w:p>
    <w:p w14:paraId="4006DA9E" w14:textId="77777777" w:rsidR="000F0531" w:rsidRPr="00CC346B" w:rsidRDefault="000F0531" w:rsidP="005F7ABA">
      <w:pPr>
        <w:spacing w:after="240" w:line="300" w:lineRule="auto"/>
        <w:ind w:left="360" w:firstLine="720"/>
      </w:pPr>
      <w:r w:rsidRPr="00CC346B">
        <w:t>Adjusted EIM Area Requirement = max{M, [(Original EIM Area Requirement) – (Diversity Factor) * Σ(Original Requirement of BAAs under contingency)]}</w:t>
      </w:r>
    </w:p>
    <w:p w14:paraId="61FDB317" w14:textId="77777777" w:rsidR="000F0531" w:rsidRPr="00CC346B" w:rsidRDefault="000F0531" w:rsidP="005F7ABA">
      <w:pPr>
        <w:spacing w:after="240" w:line="300" w:lineRule="auto"/>
      </w:pPr>
      <w:r w:rsidRPr="00CC346B">
        <w:t>Where:</w:t>
      </w:r>
    </w:p>
    <w:p w14:paraId="5CCC756F" w14:textId="77777777" w:rsidR="000F0531" w:rsidRPr="00CC346B" w:rsidRDefault="000F0531" w:rsidP="005F7ABA">
      <w:pPr>
        <w:spacing w:after="240" w:line="300" w:lineRule="auto"/>
      </w:pPr>
      <w:r w:rsidRPr="00CC346B">
        <w:t>M = max(Original Requirement of BAAs without contingency)</w:t>
      </w:r>
    </w:p>
    <w:p w14:paraId="2AC21BBC" w14:textId="77777777" w:rsidR="000F0531" w:rsidRPr="00CC346B" w:rsidRDefault="000F0531" w:rsidP="005F7ABA">
      <w:pPr>
        <w:spacing w:after="240" w:line="300" w:lineRule="auto"/>
      </w:pPr>
      <w:r w:rsidRPr="00CC346B">
        <w:t>Diversity Factor = (Original EIM Area Requirement) / Σ(Original BAA Requirement of all BAAs in the EIM Area)</w:t>
      </w:r>
    </w:p>
    <w:p w14:paraId="43E3C3A4" w14:textId="6A5E5437" w:rsidR="000F0531" w:rsidRPr="000F0531" w:rsidRDefault="000F0531" w:rsidP="000F0531">
      <w:pPr>
        <w:pStyle w:val="ListParagraph"/>
        <w:numPr>
          <w:ilvl w:val="0"/>
          <w:numId w:val="29"/>
        </w:numPr>
        <w:spacing w:after="240" w:line="300" w:lineRule="auto"/>
        <w:contextualSpacing/>
        <w:rPr>
          <w:rFonts w:eastAsia="Calibri"/>
        </w:rPr>
      </w:pPr>
      <w:r w:rsidRPr="000F0531">
        <w:rPr>
          <w:rFonts w:eastAsia="Calibri"/>
        </w:rPr>
        <w:t>Designated interval(s) in which an EIM BAA(s) experienced a contingency event will be published on OASIS.</w:t>
      </w:r>
    </w:p>
    <w:p w14:paraId="2BD2ADC5" w14:textId="142BFFBF" w:rsidR="008817D0" w:rsidRDefault="008817D0">
      <w:pPr>
        <w:spacing w:after="240" w:line="300" w:lineRule="auto"/>
        <w:rPr>
          <w:rFonts w:eastAsia="Calibri"/>
        </w:rPr>
      </w:pPr>
      <w:r w:rsidRPr="008817D0">
        <w:rPr>
          <w:rFonts w:eastAsia="Calibri"/>
        </w:rPr>
        <w:t xml:space="preserve">For EIM Entities that represent multiple EIM Entity BAAs, the functionality described above </w:t>
      </w:r>
      <w:r w:rsidR="00AB2354">
        <w:rPr>
          <w:rFonts w:eastAsia="Calibri"/>
        </w:rPr>
        <w:t>is</w:t>
      </w:r>
      <w:r w:rsidRPr="008817D0">
        <w:rPr>
          <w:rFonts w:eastAsia="Calibri"/>
        </w:rPr>
        <w:t xml:space="preserve"> also supported at the </w:t>
      </w:r>
      <w:r w:rsidR="00C57135">
        <w:rPr>
          <w:rFonts w:eastAsia="Calibri"/>
        </w:rPr>
        <w:t xml:space="preserve">each </w:t>
      </w:r>
      <w:r w:rsidRPr="008817D0">
        <w:rPr>
          <w:rFonts w:eastAsia="Calibri"/>
        </w:rPr>
        <w:t xml:space="preserve">BAA; therefore, the contingency signal </w:t>
      </w:r>
      <w:r w:rsidR="00AB2354">
        <w:rPr>
          <w:rFonts w:eastAsia="Calibri"/>
        </w:rPr>
        <w:t>will</w:t>
      </w:r>
      <w:r w:rsidRPr="008817D0">
        <w:rPr>
          <w:rFonts w:eastAsia="Calibri"/>
        </w:rPr>
        <w:t xml:space="preserve"> specify either the EIM Entity BAA or the EIM Entity BAA group.</w:t>
      </w:r>
    </w:p>
    <w:p w14:paraId="13D662ED" w14:textId="6F596B97" w:rsidR="00EE2BF7" w:rsidRPr="00EE2BF7" w:rsidRDefault="00EE2BF7" w:rsidP="00EE2BF7">
      <w:pPr>
        <w:pStyle w:val="Heading3"/>
      </w:pPr>
      <w:bookmarkStart w:id="1999" w:name="_Toc20384132"/>
      <w:r>
        <w:t>FMM Interchange Schedules based on RTSI</w:t>
      </w:r>
      <w:bookmarkEnd w:id="1999"/>
    </w:p>
    <w:p w14:paraId="358B5F67" w14:textId="77777777" w:rsidR="00EE2BF7" w:rsidRPr="0017711D" w:rsidRDefault="00EE2BF7" w:rsidP="005F7ABA">
      <w:pPr>
        <w:autoSpaceDE w:val="0"/>
        <w:autoSpaceDN w:val="0"/>
        <w:spacing w:after="0" w:line="240" w:lineRule="auto"/>
        <w:rPr>
          <w:rFonts w:ascii="Arial" w:hAnsi="Arial" w:cs="Arial"/>
          <w:color w:val="000000"/>
        </w:rPr>
      </w:pPr>
      <w:r w:rsidRPr="0017711D">
        <w:rPr>
          <w:rFonts w:ascii="Arial" w:hAnsi="Arial" w:cs="Arial"/>
          <w:color w:val="000000"/>
        </w:rPr>
        <w:t xml:space="preserve">Markets translate pre-hour interchange schedules into 15-minute schedules.  The FMM </w:t>
      </w:r>
      <w:r>
        <w:rPr>
          <w:rFonts w:ascii="Arial" w:hAnsi="Arial" w:cs="Arial"/>
          <w:color w:val="000000"/>
        </w:rPr>
        <w:t>c</w:t>
      </w:r>
      <w:r w:rsidRPr="0017711D">
        <w:rPr>
          <w:rFonts w:ascii="Arial" w:hAnsi="Arial" w:cs="Arial"/>
          <w:color w:val="000000"/>
        </w:rPr>
        <w:t>alculate</w:t>
      </w:r>
      <w:r>
        <w:rPr>
          <w:rFonts w:ascii="Arial" w:hAnsi="Arial" w:cs="Arial"/>
          <w:color w:val="000000"/>
        </w:rPr>
        <w:t>s</w:t>
      </w:r>
      <w:r w:rsidRPr="0017711D">
        <w:rPr>
          <w:rFonts w:ascii="Arial" w:hAnsi="Arial" w:cs="Arial"/>
          <w:color w:val="000000"/>
        </w:rPr>
        <w:t xml:space="preserve"> schedules reflective of the expected outcomes and align with the 5-minute real-time market using the following logic: </w:t>
      </w:r>
    </w:p>
    <w:tbl>
      <w:tblPr>
        <w:tblpPr w:leftFromText="180" w:rightFromText="180" w:vertAnchor="text" w:horzAnchor="margin" w:tblpY="117"/>
        <w:tblW w:w="0" w:type="auto"/>
        <w:tblCellMar>
          <w:left w:w="0" w:type="dxa"/>
          <w:right w:w="0" w:type="dxa"/>
        </w:tblCellMar>
        <w:tblLook w:val="04A0" w:firstRow="1" w:lastRow="0" w:firstColumn="1" w:lastColumn="0" w:noHBand="0" w:noVBand="1"/>
      </w:tblPr>
      <w:tblGrid>
        <w:gridCol w:w="1099"/>
        <w:gridCol w:w="8161"/>
      </w:tblGrid>
      <w:tr w:rsidR="00EE2BF7" w:rsidRPr="0017711D" w14:paraId="488A2BCD" w14:textId="77777777" w:rsidTr="005F7ABA">
        <w:tc>
          <w:tcPr>
            <w:tcW w:w="109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ED7CD4E" w14:textId="77777777" w:rsidR="00EE2BF7" w:rsidRPr="00CC346B" w:rsidRDefault="00EE2BF7" w:rsidP="005F7ABA">
            <w:pPr>
              <w:spacing w:after="0" w:line="240" w:lineRule="exact"/>
              <w:jc w:val="center"/>
              <w:rPr>
                <w:rFonts w:ascii="Arial" w:hAnsi="Arial" w:cs="Arial"/>
                <w:sz w:val="20"/>
                <w:szCs w:val="20"/>
              </w:rPr>
            </w:pPr>
            <w:r w:rsidRPr="00CC346B">
              <w:rPr>
                <w:rFonts w:ascii="Arial" w:hAnsi="Arial" w:cs="Arial"/>
                <w:i/>
                <w:iCs/>
                <w:sz w:val="20"/>
                <w:szCs w:val="20"/>
              </w:rPr>
              <w:t>FMM Market</w:t>
            </w:r>
          </w:p>
          <w:p w14:paraId="77EC0FD6" w14:textId="77777777" w:rsidR="00EE2BF7" w:rsidRPr="00CC346B" w:rsidRDefault="00EE2BF7" w:rsidP="005F7ABA">
            <w:pPr>
              <w:spacing w:after="0" w:line="240" w:lineRule="exact"/>
              <w:jc w:val="center"/>
              <w:rPr>
                <w:rFonts w:ascii="Arial" w:hAnsi="Arial" w:cs="Arial"/>
                <w:sz w:val="20"/>
                <w:szCs w:val="20"/>
              </w:rPr>
            </w:pPr>
            <w:r w:rsidRPr="00CC346B">
              <w:rPr>
                <w:rFonts w:ascii="Arial" w:hAnsi="Arial" w:cs="Arial"/>
                <w:i/>
                <w:iCs/>
                <w:sz w:val="20"/>
                <w:szCs w:val="20"/>
              </w:rPr>
              <w:t>Interval</w:t>
            </w:r>
          </w:p>
        </w:tc>
        <w:tc>
          <w:tcPr>
            <w:tcW w:w="816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628712A" w14:textId="77777777" w:rsidR="00EE2BF7" w:rsidRPr="00CC346B" w:rsidRDefault="00EE2BF7" w:rsidP="005F7ABA">
            <w:pPr>
              <w:spacing w:after="0" w:line="240" w:lineRule="exact"/>
              <w:rPr>
                <w:rFonts w:ascii="Arial" w:hAnsi="Arial" w:cs="Arial"/>
                <w:sz w:val="20"/>
                <w:szCs w:val="20"/>
              </w:rPr>
            </w:pPr>
            <w:r w:rsidRPr="00CC346B">
              <w:rPr>
                <w:rFonts w:ascii="Arial" w:hAnsi="Arial" w:cs="Arial"/>
                <w:i/>
                <w:iCs/>
                <w:sz w:val="20"/>
                <w:szCs w:val="20"/>
              </w:rPr>
              <w:t>Calculated Fifteen-Minute Schedule (based on RTSI Schedule Submissions)</w:t>
            </w:r>
          </w:p>
        </w:tc>
      </w:tr>
      <w:tr w:rsidR="00EE2BF7" w:rsidRPr="0017711D" w14:paraId="6E2B790E" w14:textId="77777777" w:rsidTr="005F7ABA">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BF459D" w14:textId="77777777" w:rsidR="00EE2BF7" w:rsidRPr="00CC346B" w:rsidRDefault="00EE2BF7" w:rsidP="005F7ABA">
            <w:pPr>
              <w:spacing w:after="0" w:line="240" w:lineRule="exact"/>
              <w:rPr>
                <w:rFonts w:ascii="Arial" w:hAnsi="Arial" w:cs="Arial"/>
                <w:sz w:val="20"/>
                <w:szCs w:val="20"/>
              </w:rPr>
            </w:pPr>
            <w:r w:rsidRPr="00CC346B">
              <w:rPr>
                <w:rFonts w:ascii="Arial" w:hAnsi="Arial" w:cs="Arial"/>
                <w:i/>
                <w:iCs/>
                <w:sz w:val="20"/>
                <w:szCs w:val="20"/>
              </w:rPr>
              <w:t>:00 to :15</w:t>
            </w:r>
          </w:p>
        </w:tc>
        <w:tc>
          <w:tcPr>
            <w:tcW w:w="8161" w:type="dxa"/>
            <w:tcBorders>
              <w:top w:val="nil"/>
              <w:left w:val="nil"/>
              <w:bottom w:val="single" w:sz="8" w:space="0" w:color="auto"/>
              <w:right w:val="single" w:sz="8" w:space="0" w:color="auto"/>
            </w:tcBorders>
            <w:tcMar>
              <w:top w:w="0" w:type="dxa"/>
              <w:left w:w="108" w:type="dxa"/>
              <w:bottom w:w="0" w:type="dxa"/>
              <w:right w:w="108" w:type="dxa"/>
            </w:tcMar>
          </w:tcPr>
          <w:p w14:paraId="7FDE98AF" w14:textId="77777777" w:rsidR="00EE2BF7" w:rsidRPr="00CC346B" w:rsidRDefault="00EE2BF7" w:rsidP="005F7ABA">
            <w:pPr>
              <w:spacing w:after="0" w:line="240" w:lineRule="exact"/>
              <w:rPr>
                <w:rFonts w:ascii="Arial" w:hAnsi="Arial" w:cs="Arial"/>
                <w:i/>
                <w:iCs/>
                <w:sz w:val="20"/>
                <w:szCs w:val="20"/>
              </w:rPr>
            </w:pPr>
            <w:r w:rsidRPr="00CC346B">
              <w:rPr>
                <w:rFonts w:ascii="Arial" w:hAnsi="Arial" w:cs="Arial"/>
                <w:i/>
                <w:iCs/>
                <w:sz w:val="20"/>
                <w:szCs w:val="20"/>
              </w:rPr>
              <w:t>The schedule submission for 5-minute interval value at end time :15</w:t>
            </w:r>
          </w:p>
          <w:p w14:paraId="19946D22" w14:textId="77777777" w:rsidR="00EE2BF7" w:rsidRPr="00CC346B" w:rsidRDefault="00EE2BF7" w:rsidP="005F7ABA">
            <w:pPr>
              <w:spacing w:after="0" w:line="240" w:lineRule="exact"/>
              <w:rPr>
                <w:rFonts w:ascii="Arial" w:hAnsi="Arial" w:cs="Arial"/>
                <w:sz w:val="20"/>
                <w:szCs w:val="20"/>
              </w:rPr>
            </w:pPr>
          </w:p>
        </w:tc>
      </w:tr>
      <w:tr w:rsidR="00EE2BF7" w:rsidRPr="0017711D" w14:paraId="69761167" w14:textId="77777777" w:rsidTr="005F7ABA">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007C6" w14:textId="77777777" w:rsidR="00EE2BF7" w:rsidRPr="00CC346B" w:rsidRDefault="00EE2BF7" w:rsidP="005F7ABA">
            <w:pPr>
              <w:spacing w:after="0" w:line="240" w:lineRule="exact"/>
              <w:rPr>
                <w:rFonts w:ascii="Arial" w:hAnsi="Arial" w:cs="Arial"/>
                <w:sz w:val="20"/>
                <w:szCs w:val="20"/>
              </w:rPr>
            </w:pPr>
            <w:r w:rsidRPr="00CC346B">
              <w:rPr>
                <w:rFonts w:ascii="Arial" w:hAnsi="Arial" w:cs="Arial"/>
                <w:i/>
                <w:iCs/>
                <w:sz w:val="20"/>
                <w:szCs w:val="20"/>
              </w:rPr>
              <w:t>:15 to :30</w:t>
            </w:r>
          </w:p>
        </w:tc>
        <w:tc>
          <w:tcPr>
            <w:tcW w:w="8161" w:type="dxa"/>
            <w:tcBorders>
              <w:top w:val="nil"/>
              <w:left w:val="nil"/>
              <w:bottom w:val="single" w:sz="8" w:space="0" w:color="auto"/>
              <w:right w:val="single" w:sz="8" w:space="0" w:color="auto"/>
            </w:tcBorders>
            <w:tcMar>
              <w:top w:w="0" w:type="dxa"/>
              <w:left w:w="108" w:type="dxa"/>
              <w:bottom w:w="0" w:type="dxa"/>
              <w:right w:w="108" w:type="dxa"/>
            </w:tcMar>
          </w:tcPr>
          <w:p w14:paraId="0BC6E9CF" w14:textId="77777777" w:rsidR="00EE2BF7" w:rsidRPr="00CC346B" w:rsidRDefault="00EE2BF7" w:rsidP="005F7ABA">
            <w:pPr>
              <w:spacing w:after="0" w:line="240" w:lineRule="exact"/>
              <w:rPr>
                <w:rFonts w:ascii="Arial" w:hAnsi="Arial" w:cs="Arial"/>
                <w:i/>
                <w:iCs/>
                <w:sz w:val="20"/>
                <w:szCs w:val="20"/>
              </w:rPr>
            </w:pPr>
            <w:r w:rsidRPr="00CC346B">
              <w:rPr>
                <w:rFonts w:ascii="Arial" w:hAnsi="Arial" w:cs="Arial"/>
                <w:i/>
                <w:iCs/>
                <w:sz w:val="20"/>
                <w:szCs w:val="20"/>
              </w:rPr>
              <w:t>Average of the schedule submissions for 5-minute intervals beginning at minutes :15, :20, and :25 of trade hour (i.e. each 5-minute interval spanning from :15 to :30)</w:t>
            </w:r>
          </w:p>
          <w:p w14:paraId="69046A7C" w14:textId="77777777" w:rsidR="00EE2BF7" w:rsidRPr="00CC346B" w:rsidRDefault="00EE2BF7" w:rsidP="005F7ABA">
            <w:pPr>
              <w:spacing w:after="0" w:line="240" w:lineRule="exact"/>
              <w:rPr>
                <w:rFonts w:ascii="Arial" w:hAnsi="Arial" w:cs="Arial"/>
                <w:sz w:val="20"/>
                <w:szCs w:val="20"/>
              </w:rPr>
            </w:pPr>
          </w:p>
        </w:tc>
      </w:tr>
      <w:tr w:rsidR="00EE2BF7" w:rsidRPr="0017711D" w14:paraId="40194B0A" w14:textId="77777777" w:rsidTr="005F7ABA">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868E02" w14:textId="77777777" w:rsidR="00EE2BF7" w:rsidRPr="00CC346B" w:rsidRDefault="00EE2BF7" w:rsidP="005F7ABA">
            <w:pPr>
              <w:spacing w:after="0" w:line="240" w:lineRule="exact"/>
              <w:rPr>
                <w:rFonts w:ascii="Arial" w:hAnsi="Arial" w:cs="Arial"/>
                <w:sz w:val="20"/>
                <w:szCs w:val="20"/>
              </w:rPr>
            </w:pPr>
            <w:r w:rsidRPr="00CC346B">
              <w:rPr>
                <w:rFonts w:ascii="Arial" w:hAnsi="Arial" w:cs="Arial"/>
                <w:i/>
                <w:iCs/>
                <w:sz w:val="20"/>
                <w:szCs w:val="20"/>
              </w:rPr>
              <w:t>:30 to :45</w:t>
            </w:r>
          </w:p>
        </w:tc>
        <w:tc>
          <w:tcPr>
            <w:tcW w:w="8161" w:type="dxa"/>
            <w:tcBorders>
              <w:top w:val="nil"/>
              <w:left w:val="nil"/>
              <w:bottom w:val="single" w:sz="8" w:space="0" w:color="auto"/>
              <w:right w:val="single" w:sz="8" w:space="0" w:color="auto"/>
            </w:tcBorders>
            <w:tcMar>
              <w:top w:w="0" w:type="dxa"/>
              <w:left w:w="108" w:type="dxa"/>
              <w:bottom w:w="0" w:type="dxa"/>
              <w:right w:w="108" w:type="dxa"/>
            </w:tcMar>
          </w:tcPr>
          <w:p w14:paraId="5202CAA7" w14:textId="77777777" w:rsidR="00EE2BF7" w:rsidRPr="00CC346B" w:rsidRDefault="00EE2BF7" w:rsidP="005F7ABA">
            <w:pPr>
              <w:spacing w:after="0" w:line="240" w:lineRule="exact"/>
              <w:rPr>
                <w:rFonts w:ascii="Arial" w:hAnsi="Arial" w:cs="Arial"/>
                <w:i/>
                <w:iCs/>
                <w:sz w:val="20"/>
                <w:szCs w:val="20"/>
              </w:rPr>
            </w:pPr>
            <w:r w:rsidRPr="00CC346B">
              <w:rPr>
                <w:rFonts w:ascii="Arial" w:hAnsi="Arial" w:cs="Arial"/>
                <w:i/>
                <w:iCs/>
                <w:sz w:val="20"/>
                <w:szCs w:val="20"/>
              </w:rPr>
              <w:t>Average of the schedule submission for 5-minute intervals beginning :30, :35, and :40 (i.e. each 5-minute interval spanning from :30 to :45)</w:t>
            </w:r>
          </w:p>
          <w:p w14:paraId="5025401C" w14:textId="77777777" w:rsidR="00EE2BF7" w:rsidRPr="00CC346B" w:rsidRDefault="00EE2BF7" w:rsidP="005F7ABA">
            <w:pPr>
              <w:spacing w:after="0" w:line="240" w:lineRule="exact"/>
              <w:rPr>
                <w:rFonts w:ascii="Arial" w:hAnsi="Arial" w:cs="Arial"/>
                <w:sz w:val="20"/>
                <w:szCs w:val="20"/>
              </w:rPr>
            </w:pPr>
          </w:p>
        </w:tc>
      </w:tr>
      <w:tr w:rsidR="00EE2BF7" w:rsidRPr="0017711D" w14:paraId="1645A25B" w14:textId="77777777" w:rsidTr="005F7ABA">
        <w:tc>
          <w:tcPr>
            <w:tcW w:w="10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608272" w14:textId="77777777" w:rsidR="00EE2BF7" w:rsidRPr="00CC346B" w:rsidRDefault="00EE2BF7" w:rsidP="005F7ABA">
            <w:pPr>
              <w:spacing w:after="0" w:line="240" w:lineRule="exact"/>
              <w:rPr>
                <w:rFonts w:ascii="Arial" w:hAnsi="Arial" w:cs="Arial"/>
                <w:sz w:val="20"/>
                <w:szCs w:val="20"/>
              </w:rPr>
            </w:pPr>
            <w:r w:rsidRPr="00CC346B">
              <w:rPr>
                <w:rFonts w:ascii="Arial" w:hAnsi="Arial" w:cs="Arial"/>
                <w:i/>
                <w:iCs/>
                <w:sz w:val="20"/>
                <w:szCs w:val="20"/>
              </w:rPr>
              <w:t>:45 to :00</w:t>
            </w:r>
          </w:p>
        </w:tc>
        <w:tc>
          <w:tcPr>
            <w:tcW w:w="8161" w:type="dxa"/>
            <w:tcBorders>
              <w:top w:val="nil"/>
              <w:left w:val="nil"/>
              <w:bottom w:val="single" w:sz="8" w:space="0" w:color="auto"/>
              <w:right w:val="single" w:sz="8" w:space="0" w:color="auto"/>
            </w:tcBorders>
            <w:tcMar>
              <w:top w:w="0" w:type="dxa"/>
              <w:left w:w="108" w:type="dxa"/>
              <w:bottom w:w="0" w:type="dxa"/>
              <w:right w:w="108" w:type="dxa"/>
            </w:tcMar>
          </w:tcPr>
          <w:p w14:paraId="027911A8" w14:textId="77777777" w:rsidR="00EE2BF7" w:rsidRPr="00CC346B" w:rsidRDefault="00EE2BF7" w:rsidP="005F7ABA">
            <w:pPr>
              <w:spacing w:after="0" w:line="240" w:lineRule="exact"/>
              <w:rPr>
                <w:rFonts w:ascii="Arial" w:hAnsi="Arial" w:cs="Arial"/>
                <w:i/>
                <w:iCs/>
                <w:sz w:val="20"/>
                <w:szCs w:val="20"/>
              </w:rPr>
            </w:pPr>
            <w:r w:rsidRPr="00CC346B">
              <w:rPr>
                <w:rFonts w:ascii="Arial" w:hAnsi="Arial" w:cs="Arial"/>
                <w:i/>
                <w:iCs/>
                <w:sz w:val="20"/>
                <w:szCs w:val="20"/>
              </w:rPr>
              <w:t>The schedule submission for 5-minute interval value at start time :45</w:t>
            </w:r>
          </w:p>
          <w:p w14:paraId="79A6FD05" w14:textId="77777777" w:rsidR="00EE2BF7" w:rsidRPr="00CC346B" w:rsidRDefault="00EE2BF7" w:rsidP="005F7ABA">
            <w:pPr>
              <w:spacing w:after="0" w:line="240" w:lineRule="exact"/>
              <w:rPr>
                <w:rFonts w:ascii="Arial" w:hAnsi="Arial" w:cs="Arial"/>
                <w:sz w:val="20"/>
                <w:szCs w:val="20"/>
              </w:rPr>
            </w:pPr>
          </w:p>
        </w:tc>
      </w:tr>
    </w:tbl>
    <w:p w14:paraId="08723914" w14:textId="329F5C23" w:rsidR="00EE2BF7" w:rsidRDefault="00EE2BF7"/>
    <w:p w14:paraId="23BCCCE6" w14:textId="4D5AC6BF" w:rsidR="00440572" w:rsidRPr="00440572" w:rsidRDefault="00440572" w:rsidP="00440572">
      <w:pPr>
        <w:pStyle w:val="Heading3"/>
      </w:pPr>
      <w:bookmarkStart w:id="2000" w:name="_Toc20384133"/>
      <w:r w:rsidRPr="00440572">
        <w:t>EIM Thresholds</w:t>
      </w:r>
      <w:bookmarkEnd w:id="2000"/>
    </w:p>
    <w:p w14:paraId="1D0D641B" w14:textId="77777777" w:rsidR="00440572" w:rsidRPr="00440572" w:rsidRDefault="00440572" w:rsidP="00440572">
      <w:pPr>
        <w:rPr>
          <w:rFonts w:ascii="Arial" w:eastAsia="Times New Roman" w:hAnsi="Arial" w:cs="Arial"/>
          <w:color w:val="2E74B5"/>
          <w:sz w:val="32"/>
          <w:szCs w:val="32"/>
        </w:rPr>
      </w:pPr>
      <w:r w:rsidRPr="00440572">
        <w:rPr>
          <w:rFonts w:ascii="Arial" w:hAnsi="Arial" w:cs="Arial"/>
        </w:rPr>
        <w:t>EIM Thresholds serve as a comprehensive safeguard to check the market solution before it is finalized for implementation. The EIM thresholds will mitigate unreasonable excursions in EIM energy transfers among the different EIM BAAs due to unjustified large changes in market solution because of software defect or inconsistency in any of the market input data.  Preventing this extreme solution from being further processes helps BAAs avoid, or at least mitigate, unnecessary reliability issues caused by the market solution excursions.  A threshold set too low may trip too often including times when the solution is actually valid, whereas a threshold set too high will not be of value.  See the section titled “Guidelines for Determination of RTD EIM Thresholds” below for guidance on how an EIM Entity should set EIM thresholds for its BAA.</w:t>
      </w:r>
    </w:p>
    <w:p w14:paraId="269E86F4" w14:textId="77777777" w:rsidR="00440572" w:rsidRDefault="00440572"/>
    <w:p w14:paraId="556E9A81" w14:textId="553C4A4F" w:rsidR="00440572" w:rsidRPr="00440572" w:rsidRDefault="00440572" w:rsidP="00440572">
      <w:pPr>
        <w:pStyle w:val="Heading4"/>
      </w:pPr>
      <w:r w:rsidRPr="00440572">
        <w:t>EIM Thresholds for RTD/RTPD</w:t>
      </w:r>
    </w:p>
    <w:p w14:paraId="0F2A2C78" w14:textId="77777777" w:rsidR="00440572" w:rsidRPr="00500AFD" w:rsidRDefault="00440572" w:rsidP="00440572">
      <w:pPr>
        <w:rPr>
          <w:rFonts w:ascii="Arial" w:hAnsi="Arial" w:cs="Arial"/>
        </w:rPr>
      </w:pPr>
    </w:p>
    <w:p w14:paraId="5FF8B6C2" w14:textId="77777777" w:rsidR="00440572" w:rsidRPr="00500AFD" w:rsidRDefault="00440572" w:rsidP="00440572">
      <w:pPr>
        <w:pStyle w:val="ListParagraph"/>
        <w:numPr>
          <w:ilvl w:val="0"/>
          <w:numId w:val="84"/>
        </w:numPr>
        <w:spacing w:after="0" w:line="240" w:lineRule="auto"/>
        <w:textAlignment w:val="center"/>
        <w:rPr>
          <w:rFonts w:ascii="Arial" w:hAnsi="Arial" w:cs="Arial"/>
        </w:rPr>
      </w:pPr>
      <w:r w:rsidRPr="00500AFD">
        <w:rPr>
          <w:rFonts w:ascii="Arial" w:hAnsi="Arial" w:cs="Arial"/>
        </w:rPr>
        <w:t>Total Generation INC/DEC MWs per BAA</w:t>
      </w:r>
    </w:p>
    <w:p w14:paraId="63880F09" w14:textId="77777777" w:rsidR="00440572" w:rsidRPr="00500AFD" w:rsidRDefault="00440572" w:rsidP="00440572">
      <w:pPr>
        <w:pStyle w:val="ListParagraph"/>
        <w:numPr>
          <w:ilvl w:val="1"/>
          <w:numId w:val="84"/>
        </w:numPr>
        <w:spacing w:after="0" w:line="240" w:lineRule="auto"/>
        <w:textAlignment w:val="center"/>
        <w:rPr>
          <w:rFonts w:ascii="Arial" w:hAnsi="Arial" w:cs="Arial"/>
        </w:rPr>
      </w:pPr>
      <w:r w:rsidRPr="00500AFD">
        <w:rPr>
          <w:rFonts w:ascii="Arial" w:hAnsi="Arial" w:cs="Arial"/>
        </w:rPr>
        <w:t>Actual total INC, Actual total DEC</w:t>
      </w:r>
    </w:p>
    <w:p w14:paraId="75B5AEF2" w14:textId="77777777" w:rsidR="00440572" w:rsidRPr="00500AFD" w:rsidRDefault="00440572" w:rsidP="00440572">
      <w:pPr>
        <w:pStyle w:val="ListParagraph"/>
        <w:numPr>
          <w:ilvl w:val="1"/>
          <w:numId w:val="84"/>
        </w:numPr>
        <w:spacing w:after="0" w:line="240" w:lineRule="auto"/>
        <w:textAlignment w:val="center"/>
        <w:rPr>
          <w:rFonts w:ascii="Arial" w:hAnsi="Arial" w:cs="Arial"/>
        </w:rPr>
      </w:pPr>
      <w:r w:rsidRPr="00500AFD">
        <w:rPr>
          <w:rFonts w:ascii="Arial" w:hAnsi="Arial" w:cs="Arial"/>
        </w:rPr>
        <w:t>Net algebraic sum of total INC and total DEC MWs</w:t>
      </w:r>
    </w:p>
    <w:p w14:paraId="56058295" w14:textId="77777777" w:rsidR="00440572" w:rsidRPr="00500AFD" w:rsidRDefault="00440572" w:rsidP="00440572">
      <w:pPr>
        <w:pStyle w:val="ListParagraph"/>
        <w:numPr>
          <w:ilvl w:val="0"/>
          <w:numId w:val="84"/>
        </w:numPr>
        <w:spacing w:after="0" w:line="240" w:lineRule="auto"/>
        <w:textAlignment w:val="center"/>
        <w:rPr>
          <w:rFonts w:ascii="Arial" w:hAnsi="Arial" w:cs="Arial"/>
        </w:rPr>
      </w:pPr>
      <w:r w:rsidRPr="00500AFD">
        <w:rPr>
          <w:rFonts w:ascii="Arial" w:hAnsi="Arial" w:cs="Arial"/>
        </w:rPr>
        <w:t>Total ETSRs INC and DEC MWs per BAA</w:t>
      </w:r>
    </w:p>
    <w:p w14:paraId="2C6F73F5" w14:textId="77777777" w:rsidR="00440572" w:rsidRPr="00500AFD" w:rsidRDefault="00440572" w:rsidP="00440572">
      <w:pPr>
        <w:pStyle w:val="ListParagraph"/>
        <w:numPr>
          <w:ilvl w:val="1"/>
          <w:numId w:val="84"/>
        </w:numPr>
        <w:spacing w:after="0" w:line="240" w:lineRule="auto"/>
        <w:textAlignment w:val="center"/>
        <w:rPr>
          <w:rFonts w:ascii="Arial" w:hAnsi="Arial" w:cs="Arial"/>
        </w:rPr>
      </w:pPr>
      <w:r w:rsidRPr="00500AFD">
        <w:rPr>
          <w:rFonts w:ascii="Arial" w:hAnsi="Arial" w:cs="Arial"/>
        </w:rPr>
        <w:t>Separate Actual total INC, and Actual total DEC MWs</w:t>
      </w:r>
    </w:p>
    <w:p w14:paraId="4AC05213" w14:textId="77777777" w:rsidR="00440572" w:rsidRPr="00500AFD" w:rsidRDefault="00440572" w:rsidP="00440572">
      <w:pPr>
        <w:pStyle w:val="ListParagraph"/>
        <w:numPr>
          <w:ilvl w:val="1"/>
          <w:numId w:val="84"/>
        </w:numPr>
        <w:spacing w:after="0" w:line="240" w:lineRule="auto"/>
        <w:textAlignment w:val="center"/>
        <w:rPr>
          <w:rFonts w:ascii="Arial" w:hAnsi="Arial" w:cs="Arial"/>
        </w:rPr>
      </w:pPr>
      <w:r w:rsidRPr="00500AFD">
        <w:rPr>
          <w:rFonts w:ascii="Arial" w:hAnsi="Arial" w:cs="Arial"/>
        </w:rPr>
        <w:t>Net algebraic sum of INC and DEC MWs</w:t>
      </w:r>
    </w:p>
    <w:p w14:paraId="4F197519" w14:textId="77777777" w:rsidR="00440572" w:rsidRPr="00500AFD" w:rsidRDefault="00440572" w:rsidP="00440572">
      <w:pPr>
        <w:numPr>
          <w:ilvl w:val="0"/>
          <w:numId w:val="84"/>
        </w:numPr>
        <w:spacing w:after="0" w:line="240" w:lineRule="auto"/>
        <w:textAlignment w:val="center"/>
        <w:rPr>
          <w:rFonts w:ascii="Arial" w:hAnsi="Arial" w:cs="Arial"/>
        </w:rPr>
      </w:pPr>
      <w:r w:rsidRPr="00500AFD">
        <w:rPr>
          <w:rFonts w:ascii="Arial" w:hAnsi="Arial" w:cs="Arial"/>
        </w:rPr>
        <w:t>Total Intertie INC/DEC MWs per BAA</w:t>
      </w:r>
    </w:p>
    <w:p w14:paraId="1EAE23E4" w14:textId="77777777" w:rsidR="00440572" w:rsidRPr="00500AFD" w:rsidRDefault="00440572" w:rsidP="00440572">
      <w:pPr>
        <w:spacing w:after="0" w:line="240" w:lineRule="auto"/>
        <w:ind w:left="1080"/>
        <w:textAlignment w:val="center"/>
        <w:rPr>
          <w:rFonts w:ascii="Arial" w:hAnsi="Arial" w:cs="Arial"/>
        </w:rPr>
      </w:pPr>
      <w:r w:rsidRPr="00500AFD">
        <w:rPr>
          <w:rFonts w:ascii="Arial" w:hAnsi="Arial" w:cs="Arial"/>
        </w:rPr>
        <w:t>o</w:t>
      </w:r>
      <w:r w:rsidRPr="00500AFD">
        <w:rPr>
          <w:rFonts w:ascii="Arial" w:hAnsi="Arial" w:cs="Arial"/>
        </w:rPr>
        <w:tab/>
        <w:t>Actual total INC, Actual total DEC</w:t>
      </w:r>
    </w:p>
    <w:p w14:paraId="19A39335" w14:textId="77777777" w:rsidR="00440572" w:rsidRPr="00500AFD" w:rsidRDefault="00440572" w:rsidP="00440572">
      <w:pPr>
        <w:spacing w:after="0" w:line="240" w:lineRule="auto"/>
        <w:ind w:left="1080"/>
        <w:textAlignment w:val="center"/>
        <w:rPr>
          <w:rFonts w:ascii="Arial" w:hAnsi="Arial" w:cs="Arial"/>
        </w:rPr>
      </w:pPr>
      <w:r w:rsidRPr="00500AFD">
        <w:rPr>
          <w:rFonts w:ascii="Arial" w:hAnsi="Arial" w:cs="Arial"/>
        </w:rPr>
        <w:t>o</w:t>
      </w:r>
      <w:r w:rsidRPr="00500AFD">
        <w:rPr>
          <w:rFonts w:ascii="Arial" w:hAnsi="Arial" w:cs="Arial"/>
        </w:rPr>
        <w:tab/>
        <w:t>Net algebraic sum of total INC and total DEC MWs</w:t>
      </w:r>
    </w:p>
    <w:p w14:paraId="335326A1"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u w:val="single"/>
        </w:rPr>
        <w:t>Actual Generation</w:t>
      </w:r>
      <w:r w:rsidRPr="00500AFD">
        <w:rPr>
          <w:rFonts w:ascii="Arial" w:hAnsi="Arial" w:cs="Arial"/>
        </w:rPr>
        <w:t xml:space="preserve"> </w:t>
      </w:r>
    </w:p>
    <w:p w14:paraId="17FDC82E"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INC: Sums up the RTD/RTPD External DOT INC, VER DOT INC, and DR DOT INC numbers shown on the Dispatch Control Screen and compares that to the Actual Generation INC Threshold.</w:t>
      </w:r>
    </w:p>
    <w:p w14:paraId="7DF55071"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noProof/>
        </w:rPr>
        <w:drawing>
          <wp:inline distT="0" distB="0" distL="0" distR="0" wp14:anchorId="1893D3F7" wp14:editId="7A377C2D">
            <wp:extent cx="1578634" cy="2008443"/>
            <wp:effectExtent l="0" t="0" r="2540" b="0"/>
            <wp:docPr id="88" name="Picture 88" descr="D:\Users\nmessner\AppData\Local\Temp\SNAGHTML1333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messner\AppData\Local\Temp\SNAGHTML1333d13.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87742" cy="2020030"/>
                    </a:xfrm>
                    <a:prstGeom prst="rect">
                      <a:avLst/>
                    </a:prstGeom>
                    <a:noFill/>
                    <a:ln>
                      <a:noFill/>
                    </a:ln>
                  </pic:spPr>
                </pic:pic>
              </a:graphicData>
            </a:graphic>
          </wp:inline>
        </w:drawing>
      </w:r>
    </w:p>
    <w:p w14:paraId="471C070C" w14:textId="77777777" w:rsidR="00440572" w:rsidRPr="00500AFD" w:rsidRDefault="00440572" w:rsidP="00440572">
      <w:pPr>
        <w:spacing w:after="0" w:line="240" w:lineRule="auto"/>
        <w:textAlignment w:val="center"/>
        <w:rPr>
          <w:rFonts w:ascii="Arial" w:hAnsi="Arial" w:cs="Arial"/>
        </w:rPr>
      </w:pPr>
    </w:p>
    <w:p w14:paraId="194724EA" w14:textId="77777777" w:rsidR="00440572" w:rsidRPr="00500AFD" w:rsidRDefault="00440572" w:rsidP="00440572">
      <w:pPr>
        <w:spacing w:after="0" w:line="240" w:lineRule="auto"/>
        <w:textAlignment w:val="center"/>
        <w:rPr>
          <w:rFonts w:ascii="Arial" w:hAnsi="Arial" w:cs="Arial"/>
        </w:rPr>
      </w:pPr>
    </w:p>
    <w:p w14:paraId="595FD868"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DEC: Sums up the RTD/RTPD External DOT DEC, VER DOT DEC, and DR DOT DEC numbers shown on the Dispatch Control Screen and compares that to the Actual Generation DEC Threshold.</w:t>
      </w:r>
    </w:p>
    <w:p w14:paraId="4CFDFED9"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noProof/>
        </w:rPr>
        <w:drawing>
          <wp:inline distT="0" distB="0" distL="0" distR="0" wp14:anchorId="3DA3B532" wp14:editId="4C6B19E7">
            <wp:extent cx="1613140" cy="2052344"/>
            <wp:effectExtent l="0" t="0" r="6350" b="5080"/>
            <wp:docPr id="89" name="Picture 89" descr="D:\Users\nmessner\AppData\Local\Temp\SNAGHTML1341c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nmessner\AppData\Local\Temp\SNAGHTML1341c38.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23661" cy="2065729"/>
                    </a:xfrm>
                    <a:prstGeom prst="rect">
                      <a:avLst/>
                    </a:prstGeom>
                    <a:noFill/>
                    <a:ln>
                      <a:noFill/>
                    </a:ln>
                  </pic:spPr>
                </pic:pic>
              </a:graphicData>
            </a:graphic>
          </wp:inline>
        </w:drawing>
      </w:r>
    </w:p>
    <w:p w14:paraId="4726A858" w14:textId="77777777" w:rsidR="00440572" w:rsidRPr="00500AFD" w:rsidRDefault="00440572" w:rsidP="00440572">
      <w:pPr>
        <w:spacing w:after="0" w:line="240" w:lineRule="auto"/>
        <w:textAlignment w:val="center"/>
        <w:rPr>
          <w:rFonts w:ascii="Arial" w:hAnsi="Arial" w:cs="Arial"/>
        </w:rPr>
      </w:pPr>
    </w:p>
    <w:p w14:paraId="311505D2" w14:textId="77777777" w:rsidR="00440572" w:rsidRPr="00500AFD" w:rsidRDefault="00440572" w:rsidP="00440572">
      <w:pPr>
        <w:spacing w:after="0" w:line="240" w:lineRule="auto"/>
        <w:textAlignment w:val="center"/>
        <w:rPr>
          <w:rFonts w:ascii="Arial" w:hAnsi="Arial" w:cs="Arial"/>
          <w:u w:val="single"/>
        </w:rPr>
      </w:pPr>
      <w:r w:rsidRPr="00500AFD">
        <w:rPr>
          <w:rFonts w:ascii="Arial" w:hAnsi="Arial" w:cs="Arial"/>
          <w:u w:val="single"/>
        </w:rPr>
        <w:t>Net Generation</w:t>
      </w:r>
    </w:p>
    <w:p w14:paraId="0E8D1891"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INC: Sums up the RTD/RTPD External DOT SUM, VER DOT SUM, and DR DOT SUM numbers shown on the Dispatch Control Screen and compares that to the Net Generation INC Threshold.</w:t>
      </w:r>
    </w:p>
    <w:p w14:paraId="55F42CE5"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DEC: Sums up the RTD/RTPD External DOT SUM, VER DOT SUM, and DR DOT SUM numbers shown on the Dispatch Control Screen and compares that to the Net Generation DEC Threshold.</w:t>
      </w:r>
    </w:p>
    <w:p w14:paraId="136B2C34"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noProof/>
        </w:rPr>
        <w:drawing>
          <wp:inline distT="0" distB="0" distL="0" distR="0" wp14:anchorId="43CD8B7C" wp14:editId="3F6CE259">
            <wp:extent cx="1685925" cy="2144056"/>
            <wp:effectExtent l="0" t="0" r="0" b="8890"/>
            <wp:docPr id="90" name="Picture 90" descr="D:\Users\nmessner\AppData\Local\Temp\SNAGHTML25ea92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messner\AppData\Local\Temp\SNAGHTML25ea92df.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705106" cy="2168449"/>
                    </a:xfrm>
                    <a:prstGeom prst="rect">
                      <a:avLst/>
                    </a:prstGeom>
                    <a:noFill/>
                    <a:ln>
                      <a:noFill/>
                    </a:ln>
                  </pic:spPr>
                </pic:pic>
              </a:graphicData>
            </a:graphic>
          </wp:inline>
        </w:drawing>
      </w:r>
    </w:p>
    <w:p w14:paraId="118B86A8" w14:textId="77777777" w:rsidR="00440572" w:rsidRPr="00500AFD" w:rsidRDefault="00440572" w:rsidP="00440572">
      <w:pPr>
        <w:spacing w:after="0" w:line="240" w:lineRule="auto"/>
        <w:textAlignment w:val="center"/>
        <w:rPr>
          <w:rFonts w:ascii="Arial" w:hAnsi="Arial" w:cs="Arial"/>
        </w:rPr>
      </w:pPr>
    </w:p>
    <w:p w14:paraId="30B9A49D"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u w:val="single"/>
        </w:rPr>
        <w:t>Actual ETSR</w:t>
      </w:r>
      <w:r w:rsidRPr="00500AFD">
        <w:rPr>
          <w:rFonts w:ascii="Arial" w:hAnsi="Arial" w:cs="Arial"/>
        </w:rPr>
        <w:t xml:space="preserve">  </w:t>
      </w:r>
    </w:p>
    <w:p w14:paraId="5CECDCBF"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INC: Compares the total RTD/RTPD ETSR DOT INC number shown on the Dispatch Control Screen to the Actual ETSR INC Threshold.</w:t>
      </w:r>
    </w:p>
    <w:p w14:paraId="05DD70B2"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DEC: Compares the total 5-minute ETSR DOT DEC number shown on the RTD Dispatch Control Screen to the Actual ETSR DEC Threshold.</w:t>
      </w:r>
    </w:p>
    <w:p w14:paraId="1B38FFF5" w14:textId="77777777" w:rsidR="00440572" w:rsidRPr="00500AFD" w:rsidRDefault="00440572" w:rsidP="00440572">
      <w:pPr>
        <w:spacing w:after="0" w:line="240" w:lineRule="auto"/>
        <w:textAlignment w:val="center"/>
        <w:rPr>
          <w:rFonts w:ascii="Arial" w:hAnsi="Arial" w:cs="Arial"/>
          <w:u w:val="single"/>
        </w:rPr>
      </w:pPr>
    </w:p>
    <w:p w14:paraId="74C022AE" w14:textId="77777777" w:rsidR="00440572" w:rsidRPr="00500AFD" w:rsidRDefault="00440572" w:rsidP="00440572">
      <w:pPr>
        <w:spacing w:after="0" w:line="240" w:lineRule="auto"/>
        <w:textAlignment w:val="center"/>
        <w:rPr>
          <w:rFonts w:ascii="Arial" w:hAnsi="Arial" w:cs="Arial"/>
          <w:u w:val="single"/>
        </w:rPr>
      </w:pPr>
      <w:r w:rsidRPr="00500AFD">
        <w:rPr>
          <w:rFonts w:ascii="Arial" w:hAnsi="Arial" w:cs="Arial"/>
          <w:u w:val="single"/>
        </w:rPr>
        <w:t>Net ETSR</w:t>
      </w:r>
    </w:p>
    <w:p w14:paraId="09FF74C3"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INC: Compares the total RTD/RTPD Total EIM Transfer number shown on the Dispatch Control Screen to the Actual ETSR INC Threshold.</w:t>
      </w:r>
    </w:p>
    <w:p w14:paraId="282F0095" w14:textId="77777777" w:rsidR="00440572" w:rsidRPr="00500AFD" w:rsidRDefault="00440572" w:rsidP="00440572">
      <w:pPr>
        <w:numPr>
          <w:ilvl w:val="0"/>
          <w:numId w:val="85"/>
        </w:numPr>
        <w:spacing w:after="0" w:line="240" w:lineRule="auto"/>
        <w:textAlignment w:val="center"/>
        <w:rPr>
          <w:rFonts w:ascii="Arial" w:hAnsi="Arial" w:cs="Arial"/>
        </w:rPr>
      </w:pPr>
      <w:r w:rsidRPr="00500AFD">
        <w:rPr>
          <w:rFonts w:ascii="Arial" w:hAnsi="Arial" w:cs="Arial"/>
        </w:rPr>
        <w:t>DEC: Compares the total RTD/RTPD Total EIM Transfer number shown on the Dispatch Control Screen to the Actual ETSR DEC Threshold.</w:t>
      </w:r>
    </w:p>
    <w:p w14:paraId="2E362042"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noProof/>
        </w:rPr>
        <w:drawing>
          <wp:inline distT="0" distB="0" distL="0" distR="0" wp14:anchorId="4F34430D" wp14:editId="22FD37F2">
            <wp:extent cx="1669492" cy="2130724"/>
            <wp:effectExtent l="0" t="0" r="6985" b="3175"/>
            <wp:docPr id="91" name="Picture 91" descr="D:\Users\nmessner\AppData\Local\Temp\SNAGHTML19e5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nmessner\AppData\Local\Temp\SNAGHTML19e5a38.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679707" cy="2143761"/>
                    </a:xfrm>
                    <a:prstGeom prst="rect">
                      <a:avLst/>
                    </a:prstGeom>
                    <a:noFill/>
                    <a:ln>
                      <a:noFill/>
                    </a:ln>
                  </pic:spPr>
                </pic:pic>
              </a:graphicData>
            </a:graphic>
          </wp:inline>
        </w:drawing>
      </w:r>
    </w:p>
    <w:p w14:paraId="6D804C6E" w14:textId="77777777" w:rsidR="00440572" w:rsidRPr="00500AFD" w:rsidRDefault="00440572" w:rsidP="00440572">
      <w:pPr>
        <w:spacing w:after="0" w:line="240" w:lineRule="auto"/>
        <w:textAlignment w:val="center"/>
        <w:rPr>
          <w:rFonts w:ascii="Arial" w:hAnsi="Arial" w:cs="Arial"/>
        </w:rPr>
      </w:pPr>
    </w:p>
    <w:p w14:paraId="6E010A99" w14:textId="77777777" w:rsidR="00440572" w:rsidRPr="00500AFD" w:rsidRDefault="00440572" w:rsidP="00440572">
      <w:pPr>
        <w:spacing w:after="0" w:line="240" w:lineRule="auto"/>
        <w:ind w:left="1080"/>
        <w:textAlignment w:val="center"/>
        <w:rPr>
          <w:rFonts w:ascii="Arial" w:hAnsi="Arial" w:cs="Arial"/>
        </w:rPr>
      </w:pPr>
    </w:p>
    <w:p w14:paraId="39008C7D" w14:textId="50E34772" w:rsidR="00440572" w:rsidRPr="00440572" w:rsidRDefault="00440572" w:rsidP="00440572">
      <w:pPr>
        <w:pStyle w:val="Heading4"/>
      </w:pPr>
      <w:r w:rsidRPr="00440572">
        <w:t>Guidelines for Determination of EIM Thresholds for RTD/RTPD</w:t>
      </w:r>
    </w:p>
    <w:p w14:paraId="651A6974" w14:textId="77777777" w:rsidR="00440572" w:rsidRPr="00500AFD" w:rsidRDefault="00440572" w:rsidP="00440572">
      <w:pPr>
        <w:rPr>
          <w:rFonts w:ascii="Arial" w:hAnsi="Arial" w:cs="Arial"/>
        </w:rPr>
      </w:pPr>
    </w:p>
    <w:p w14:paraId="414C835F" w14:textId="77777777" w:rsidR="00440572" w:rsidRPr="00500AFD" w:rsidRDefault="00440572" w:rsidP="00440572">
      <w:pPr>
        <w:pStyle w:val="ListParagraph"/>
        <w:numPr>
          <w:ilvl w:val="0"/>
          <w:numId w:val="84"/>
        </w:numPr>
        <w:spacing w:after="0" w:line="240" w:lineRule="auto"/>
        <w:textAlignment w:val="center"/>
        <w:rPr>
          <w:rFonts w:ascii="Arial" w:hAnsi="Arial" w:cs="Arial"/>
        </w:rPr>
      </w:pPr>
      <w:r w:rsidRPr="00500AFD">
        <w:rPr>
          <w:rFonts w:ascii="Arial" w:hAnsi="Arial" w:cs="Arial"/>
        </w:rPr>
        <w:t>Generation Thresholds: should be greater than the EIM Entity BAA total generation 5-minute max ramping capability of participating resources with economic bids, plus the Historical base schedule generation movement to meet the BAA demand obligation changes in 5-minutes, plus any other 5-min uncertainty related to supply or load movements. The final generation threshold number should be the maximum of the above calculation, the contingency reserve obligation, or the Most Severe Single Contingency (MSSC).</w:t>
      </w:r>
    </w:p>
    <w:p w14:paraId="2F58B37F" w14:textId="77777777" w:rsidR="00440572" w:rsidRPr="00500AFD" w:rsidRDefault="00440572" w:rsidP="00440572">
      <w:pPr>
        <w:pStyle w:val="ListParagraph"/>
        <w:numPr>
          <w:ilvl w:val="0"/>
          <w:numId w:val="84"/>
        </w:numPr>
        <w:spacing w:after="0" w:line="240" w:lineRule="auto"/>
        <w:textAlignment w:val="center"/>
        <w:rPr>
          <w:rFonts w:ascii="Arial" w:hAnsi="Arial" w:cs="Arial"/>
        </w:rPr>
      </w:pPr>
      <w:r w:rsidRPr="00500AFD">
        <w:rPr>
          <w:rFonts w:ascii="Arial" w:hAnsi="Arial" w:cs="Arial"/>
        </w:rPr>
        <w:t>ETSR Thresholds: should be at least the maximum of the 5-min ramping capability of the EIM BAA’s participating generators with economic bids supporting the ETSR movements.</w:t>
      </w:r>
    </w:p>
    <w:p w14:paraId="78EADCC2" w14:textId="77777777" w:rsidR="00440572" w:rsidRPr="00500AFD" w:rsidRDefault="00440572" w:rsidP="00440572">
      <w:pPr>
        <w:pStyle w:val="ListParagraph"/>
        <w:numPr>
          <w:ilvl w:val="0"/>
          <w:numId w:val="84"/>
        </w:numPr>
        <w:spacing w:after="0" w:line="240" w:lineRule="auto"/>
        <w:textAlignment w:val="center"/>
        <w:rPr>
          <w:rFonts w:ascii="Arial" w:hAnsi="Arial" w:cs="Arial"/>
        </w:rPr>
      </w:pPr>
      <w:r w:rsidRPr="00500AFD">
        <w:rPr>
          <w:rFonts w:ascii="Arial" w:hAnsi="Arial" w:cs="Arial"/>
        </w:rPr>
        <w:t>Intertie Threshold: Currently set to high value (not active) since the interties are hourly scheduled by the EIM entities.</w:t>
      </w:r>
    </w:p>
    <w:p w14:paraId="65240592" w14:textId="77777777" w:rsidR="00440572" w:rsidRPr="00500AFD" w:rsidRDefault="00440572" w:rsidP="00440572">
      <w:pPr>
        <w:spacing w:after="0" w:line="240" w:lineRule="auto"/>
        <w:textAlignment w:val="center"/>
        <w:rPr>
          <w:rFonts w:ascii="Arial" w:hAnsi="Arial" w:cs="Arial"/>
        </w:rPr>
      </w:pPr>
    </w:p>
    <w:p w14:paraId="31F69F10" w14:textId="77777777" w:rsidR="00440572" w:rsidRPr="00500AFD" w:rsidRDefault="00440572" w:rsidP="00440572">
      <w:pPr>
        <w:spacing w:after="0" w:line="240" w:lineRule="auto"/>
        <w:textAlignment w:val="center"/>
        <w:rPr>
          <w:rFonts w:ascii="Arial" w:hAnsi="Arial" w:cs="Arial"/>
        </w:rPr>
      </w:pPr>
      <w:r w:rsidRPr="00500AFD">
        <w:rPr>
          <w:rFonts w:ascii="Arial" w:hAnsi="Arial" w:cs="Arial"/>
        </w:rPr>
        <w:t>It should be noted that the above guidelines should be tuned for each EIM Entity BAA depending on the amount of realistic movements and response capability of each BAA. Another important point to note is that the above thresholds are active all the time for all EIM BAAs including when an EIM BAA is flagged as being in a contingency. Since CAISO BAA has a contingency dispatch mode with 10-min recovery timeline, the 5-min thresholds are not enforced for CAISO BAA during CAISO’s contingency dispatch mode.</w:t>
      </w:r>
    </w:p>
    <w:p w14:paraId="5D40E74D" w14:textId="77777777" w:rsidR="00440572" w:rsidRPr="00500AFD" w:rsidRDefault="00440572" w:rsidP="00440572">
      <w:pPr>
        <w:rPr>
          <w:rFonts w:ascii="Arial" w:hAnsi="Arial" w:cs="Arial"/>
        </w:rPr>
      </w:pPr>
    </w:p>
    <w:p w14:paraId="1DF6618C" w14:textId="308CBA6E" w:rsidR="00440572" w:rsidRPr="00440572" w:rsidRDefault="00440572" w:rsidP="00440572">
      <w:pPr>
        <w:pStyle w:val="Heading4"/>
      </w:pPr>
      <w:r w:rsidRPr="00440572">
        <w:t>Process to Implement EIM Thresholds</w:t>
      </w:r>
    </w:p>
    <w:p w14:paraId="1008F2E8" w14:textId="77777777" w:rsidR="00440572" w:rsidRPr="00500AFD" w:rsidRDefault="00440572" w:rsidP="00440572">
      <w:pPr>
        <w:rPr>
          <w:rFonts w:ascii="Arial" w:hAnsi="Arial" w:cs="Arial"/>
        </w:rPr>
      </w:pPr>
    </w:p>
    <w:p w14:paraId="425B66DA" w14:textId="77777777" w:rsidR="00440572" w:rsidRPr="00500AFD" w:rsidRDefault="00440572" w:rsidP="00440572">
      <w:pPr>
        <w:textAlignment w:val="center"/>
        <w:rPr>
          <w:rFonts w:ascii="Arial" w:hAnsi="Arial" w:cs="Arial"/>
        </w:rPr>
      </w:pPr>
      <w:r w:rsidRPr="00500AFD">
        <w:rPr>
          <w:rFonts w:ascii="Arial" w:hAnsi="Arial" w:cs="Arial"/>
        </w:rPr>
        <w:t xml:space="preserve">Once an EIM entity has determined their EIM Threshold values, then they need to submit the values to the CAISO via a CIDI ticket.  Once the CAISO receives this request, the threshold values will be analyzed to ensure its reasonableness. Since these threshold values affect the entire EIM market solution for all BAAs, CAISO validation of the numbers is necessary before implementing these thresholds.  If the value submitted does not pass the validation, then the EIM Entity will be informed of why and a new number needs to be submitted if warranted.  If the value submitted passes the validation, then the associated threshold value will be implemented into the production environment and will be available to the EIM Entity BAA operators to see on the BAAOP display.  </w:t>
      </w:r>
    </w:p>
    <w:p w14:paraId="4785985B" w14:textId="77777777" w:rsidR="00440572" w:rsidRPr="00500AFD" w:rsidRDefault="00440572" w:rsidP="00440572">
      <w:pPr>
        <w:rPr>
          <w:rFonts w:ascii="Arial" w:hAnsi="Arial" w:cs="Arial"/>
          <w:b/>
        </w:rPr>
      </w:pPr>
      <w:r w:rsidRPr="00500AFD">
        <w:rPr>
          <w:rFonts w:ascii="Arial" w:hAnsi="Arial" w:cs="Arial"/>
        </w:rPr>
        <w:t>Once the EIM thresholds are implemented, it may be raised at times to allow a valid solution to be sent.  Once the solution is sent, the threshold value will be returned to its original value.  The threshold values will not be lowered below the submitted and CAISO approved value without going through the submittal process above.</w:t>
      </w:r>
    </w:p>
    <w:p w14:paraId="6B32A8C2" w14:textId="77777777" w:rsidR="00440572" w:rsidRPr="00500AFD" w:rsidRDefault="00440572" w:rsidP="00440572">
      <w:pPr>
        <w:rPr>
          <w:rFonts w:ascii="Arial" w:hAnsi="Arial" w:cs="Arial"/>
          <w:b/>
        </w:rPr>
      </w:pPr>
    </w:p>
    <w:p w14:paraId="1181022E" w14:textId="0CB60FB0" w:rsidR="00440572" w:rsidRPr="00440572" w:rsidRDefault="00440572" w:rsidP="00440572">
      <w:pPr>
        <w:pStyle w:val="Heading4"/>
      </w:pPr>
      <w:r w:rsidRPr="00440572">
        <w:t>EIM Thresholds in RTD/RTPD Dispatch Control Display</w:t>
      </w:r>
    </w:p>
    <w:p w14:paraId="1D3D612D" w14:textId="77777777" w:rsidR="00440572" w:rsidRPr="00500AFD" w:rsidRDefault="00440572" w:rsidP="00440572">
      <w:pPr>
        <w:rPr>
          <w:rFonts w:ascii="Arial" w:hAnsi="Arial" w:cs="Arial"/>
        </w:rPr>
      </w:pPr>
    </w:p>
    <w:p w14:paraId="56C5B33E" w14:textId="77777777" w:rsidR="00440572" w:rsidRPr="00500AFD" w:rsidRDefault="00440572" w:rsidP="00440572">
      <w:pPr>
        <w:textAlignment w:val="center"/>
        <w:rPr>
          <w:rFonts w:ascii="Arial" w:hAnsi="Arial" w:cs="Arial"/>
          <w:noProof/>
          <w:u w:val="single"/>
        </w:rPr>
      </w:pPr>
      <w:r w:rsidRPr="00500AFD">
        <w:rPr>
          <w:rFonts w:ascii="Arial" w:hAnsi="Arial" w:cs="Arial"/>
        </w:rPr>
        <w:t>Individual EIM Entity Thresholds exist in RTD/RTPD and can be viewed on the Dispatch Control screen.</w:t>
      </w:r>
      <w:r w:rsidRPr="00500AFD">
        <w:rPr>
          <w:rFonts w:ascii="Arial" w:hAnsi="Arial" w:cs="Arial"/>
          <w:color w:val="000000"/>
        </w:rPr>
        <w:t xml:space="preserve">  Once set, if a given EIM Entity Threshold is exceeded, the RTD/RTPD market will automatically come up in a block all mode and revert to the “Use Previous” solution for all EIM participants.  </w:t>
      </w:r>
    </w:p>
    <w:p w14:paraId="797A3EB1" w14:textId="52B03391" w:rsidR="00440572" w:rsidRPr="00440572" w:rsidRDefault="00440572" w:rsidP="00440572">
      <w:pPr>
        <w:pStyle w:val="Heading5"/>
        <w:rPr>
          <w:noProof/>
        </w:rPr>
      </w:pPr>
      <w:r w:rsidRPr="00440572">
        <w:rPr>
          <w:noProof/>
        </w:rPr>
        <w:t>Alarms/Notifications</w:t>
      </w:r>
    </w:p>
    <w:p w14:paraId="61C3FF17" w14:textId="77777777" w:rsidR="00440572" w:rsidRPr="00500AFD" w:rsidRDefault="00440572" w:rsidP="00440572">
      <w:pPr>
        <w:rPr>
          <w:rFonts w:ascii="Arial" w:hAnsi="Arial" w:cs="Arial"/>
          <w:noProof/>
          <w:color w:val="FF0000"/>
        </w:rPr>
      </w:pPr>
      <w:r w:rsidRPr="00500AFD">
        <w:rPr>
          <w:rFonts w:ascii="Arial" w:hAnsi="Arial" w:cs="Arial"/>
          <w:noProof/>
        </w:rPr>
        <w:t>When any of the RTD/RTPD EIM Thresholds decribed above are exceeded, the cell in the EIM Thresholds table will highlight red and a message will appear above the blue box on the Dispatch Control indicating which EIM Threshold was exceeded, by which EIM Entity, and by how many MW the threshold was exceeded by.  If there is more than one threshold exceedence, then multiple cells will be highlighted red and multiple messages will appear.</w:t>
      </w:r>
      <w:r w:rsidRPr="00500AFD">
        <w:rPr>
          <w:rFonts w:ascii="Arial" w:hAnsi="Arial" w:cs="Arial"/>
          <w:noProof/>
          <w:color w:val="FF0000"/>
        </w:rPr>
        <w:t xml:space="preserve">   </w:t>
      </w:r>
    </w:p>
    <w:p w14:paraId="371DF9AF" w14:textId="1D4CCE07" w:rsidR="00440572" w:rsidRPr="00440572" w:rsidRDefault="00440572" w:rsidP="00440572">
      <w:pPr>
        <w:pStyle w:val="Heading5"/>
      </w:pPr>
      <w:r w:rsidRPr="00440572">
        <w:t>Safety Net</w:t>
      </w:r>
    </w:p>
    <w:p w14:paraId="140090BC" w14:textId="77777777" w:rsidR="00440572" w:rsidRPr="00500AFD" w:rsidRDefault="00440572" w:rsidP="00440572">
      <w:pPr>
        <w:rPr>
          <w:rFonts w:ascii="Arial" w:hAnsi="Arial" w:cs="Arial"/>
        </w:rPr>
      </w:pPr>
      <w:r w:rsidRPr="00500AFD">
        <w:rPr>
          <w:rFonts w:ascii="Arial" w:hAnsi="Arial" w:cs="Arial"/>
        </w:rPr>
        <w:t>To avoid entry of incorrect numbers, the following safety net has been added:</w:t>
      </w:r>
    </w:p>
    <w:p w14:paraId="74BD2DD2" w14:textId="77777777" w:rsidR="00440572" w:rsidRPr="00500AFD" w:rsidRDefault="00440572" w:rsidP="00440572">
      <w:pPr>
        <w:pStyle w:val="ListParagraph"/>
        <w:numPr>
          <w:ilvl w:val="0"/>
          <w:numId w:val="86"/>
        </w:numPr>
        <w:contextualSpacing/>
        <w:rPr>
          <w:rFonts w:ascii="Arial" w:hAnsi="Arial" w:cs="Arial"/>
          <w:u w:val="single"/>
        </w:rPr>
      </w:pPr>
      <w:r w:rsidRPr="00500AFD">
        <w:rPr>
          <w:rFonts w:ascii="Arial" w:hAnsi="Arial" w:cs="Arial"/>
        </w:rPr>
        <w:t xml:space="preserve">The market UI will not accept any threshold values lower than 100. </w:t>
      </w:r>
    </w:p>
    <w:p w14:paraId="76FEF88F" w14:textId="77777777" w:rsidR="00EE2BF7" w:rsidRPr="008817D0" w:rsidRDefault="00EE2BF7">
      <w:pPr>
        <w:spacing w:after="240" w:line="300" w:lineRule="auto"/>
        <w:rPr>
          <w:rFonts w:eastAsia="Calibri"/>
        </w:rPr>
      </w:pPr>
    </w:p>
    <w:p w14:paraId="4C611869" w14:textId="77777777" w:rsidR="008817D0" w:rsidRPr="008817D0" w:rsidRDefault="008817D0" w:rsidP="00C33762">
      <w:pPr>
        <w:pStyle w:val="Heading2"/>
        <w:rPr>
          <w:rFonts w:eastAsia="Calibri"/>
        </w:rPr>
      </w:pPr>
      <w:bookmarkStart w:id="2001" w:name="_Toc390869287"/>
      <w:bookmarkStart w:id="2002" w:name="_Toc390946300"/>
      <w:bookmarkStart w:id="2003" w:name="_Toc391969861"/>
      <w:bookmarkStart w:id="2004" w:name="_Toc20384134"/>
      <w:r w:rsidRPr="008817D0">
        <w:rPr>
          <w:rFonts w:eastAsia="Calibri"/>
        </w:rPr>
        <w:t>Contingencies and Corrective Actions</w:t>
      </w:r>
      <w:bookmarkEnd w:id="2001"/>
      <w:bookmarkEnd w:id="2002"/>
      <w:bookmarkEnd w:id="2003"/>
      <w:bookmarkEnd w:id="2004"/>
    </w:p>
    <w:p w14:paraId="43F256AD" w14:textId="515CA414" w:rsidR="008817D0" w:rsidRPr="00B94F9D" w:rsidRDefault="008817D0">
      <w:pPr>
        <w:spacing w:after="240" w:line="300" w:lineRule="auto"/>
        <w:rPr>
          <w:rFonts w:eastAsia="Calibri"/>
          <w:iCs/>
        </w:rPr>
      </w:pPr>
      <w:r w:rsidRPr="00B94F9D">
        <w:rPr>
          <w:rFonts w:eastAsia="Calibri"/>
          <w:iCs/>
        </w:rPr>
        <w:t xml:space="preserve">With the implementation of the EIM, measures must be in place to ensure a smooth transition from the current CAISO markets to include the co-optimization with EIM </w:t>
      </w:r>
      <w:r w:rsidR="00AB2354" w:rsidRPr="00B94F9D">
        <w:rPr>
          <w:rFonts w:eastAsia="Calibri"/>
          <w:iCs/>
        </w:rPr>
        <w:t>Entities</w:t>
      </w:r>
      <w:r w:rsidRPr="00B94F9D">
        <w:rPr>
          <w:rFonts w:eastAsia="Calibri"/>
          <w:iCs/>
        </w:rPr>
        <w:t>.  These measures must consider grid reliability, market stability, and other system conditions for all mar</w:t>
      </w:r>
      <w:r w:rsidR="001B06BF" w:rsidRPr="00B94F9D">
        <w:rPr>
          <w:rFonts w:eastAsia="Calibri"/>
          <w:iCs/>
        </w:rPr>
        <w:t xml:space="preserve">ket participants.  Although </w:t>
      </w:r>
      <w:r w:rsidR="006276DD" w:rsidRPr="00B94F9D">
        <w:rPr>
          <w:rFonts w:eastAsia="Calibri"/>
          <w:iCs/>
        </w:rPr>
        <w:t>CA</w:t>
      </w:r>
      <w:r w:rsidRPr="00B94F9D">
        <w:rPr>
          <w:rFonts w:eastAsia="Calibri"/>
          <w:iCs/>
        </w:rPr>
        <w:t>ISO will do everything possible to assure a successful transition and operation of the EIM, problems may arise which would require the EIM Entity to be suspended and potentially revert back to a previous state.</w:t>
      </w:r>
    </w:p>
    <w:p w14:paraId="42F3FF38" w14:textId="77777777" w:rsidR="008817D0" w:rsidRPr="00B94F9D" w:rsidRDefault="008817D0">
      <w:pPr>
        <w:spacing w:after="240" w:line="300" w:lineRule="auto"/>
        <w:rPr>
          <w:rFonts w:eastAsia="Calibri"/>
          <w:iCs/>
        </w:rPr>
      </w:pPr>
      <w:r w:rsidRPr="00B94F9D">
        <w:rPr>
          <w:rFonts w:eastAsia="Calibri"/>
          <w:iCs/>
        </w:rPr>
        <w:t>A monitoring strategy is necessary to evaluate whether or not the EIM is performing according to market design and system requirements.  In the event that either the market design or the software systems are not performing as expected, a series of pre-defined steps will need to be followed to address the situation and all resulting impacts.</w:t>
      </w:r>
    </w:p>
    <w:p w14:paraId="2592CF0D" w14:textId="77777777" w:rsidR="008817D0" w:rsidRPr="00B94F9D" w:rsidRDefault="008817D0">
      <w:pPr>
        <w:spacing w:after="240" w:line="300" w:lineRule="auto"/>
        <w:rPr>
          <w:rFonts w:eastAsia="Calibri"/>
        </w:rPr>
      </w:pPr>
      <w:r w:rsidRPr="00B94F9D">
        <w:rPr>
          <w:rFonts w:eastAsia="Calibri"/>
          <w:iCs/>
        </w:rPr>
        <w:t xml:space="preserve">This </w:t>
      </w:r>
      <w:r w:rsidR="00AB2354" w:rsidRPr="00B94F9D">
        <w:rPr>
          <w:rFonts w:eastAsia="Calibri"/>
          <w:iCs/>
        </w:rPr>
        <w:t>section of the EIM BPM</w:t>
      </w:r>
      <w:r w:rsidRPr="00B94F9D">
        <w:rPr>
          <w:rFonts w:eastAsia="Calibri"/>
          <w:iCs/>
        </w:rPr>
        <w:t xml:space="preserve"> covers the overview of the criteria used to arrive at the decision to revert back and to provide a high level plan to ensure a reliable and orderly termination.  </w:t>
      </w:r>
    </w:p>
    <w:p w14:paraId="0C1DF90C" w14:textId="77777777" w:rsidR="008817D0" w:rsidRPr="008817D0" w:rsidRDefault="008817D0" w:rsidP="00C33762">
      <w:pPr>
        <w:pStyle w:val="Heading3"/>
        <w:rPr>
          <w:rFonts w:eastAsia="Calibri"/>
        </w:rPr>
      </w:pPr>
      <w:bookmarkStart w:id="2005" w:name="_Toc390869288"/>
      <w:bookmarkStart w:id="2006" w:name="_Toc390946301"/>
      <w:bookmarkStart w:id="2007" w:name="_Toc391969862"/>
      <w:bookmarkStart w:id="2008" w:name="_Toc20384135"/>
      <w:r w:rsidRPr="008817D0">
        <w:rPr>
          <w:rFonts w:eastAsia="Calibri"/>
        </w:rPr>
        <w:t>Recovery Approach</w:t>
      </w:r>
      <w:bookmarkEnd w:id="2005"/>
      <w:bookmarkEnd w:id="2006"/>
      <w:bookmarkEnd w:id="2007"/>
      <w:bookmarkEnd w:id="2008"/>
    </w:p>
    <w:p w14:paraId="74E7F43C" w14:textId="77777777" w:rsidR="008817D0" w:rsidRPr="008817D0" w:rsidRDefault="008817D0" w:rsidP="008817D0">
      <w:pPr>
        <w:spacing w:after="240" w:line="300" w:lineRule="auto"/>
        <w:rPr>
          <w:rFonts w:eastAsia="Calibri"/>
        </w:rPr>
      </w:pPr>
      <w:r w:rsidRPr="008817D0">
        <w:rPr>
          <w:rFonts w:eastAsia="Calibri"/>
        </w:rPr>
        <w:t>In the event that data exchange a</w:t>
      </w:r>
      <w:r w:rsidR="001B06BF">
        <w:rPr>
          <w:rFonts w:eastAsia="Calibri"/>
        </w:rPr>
        <w:t xml:space="preserve">nd/or communication between </w:t>
      </w:r>
      <w:r w:rsidR="006276DD">
        <w:rPr>
          <w:rFonts w:eastAsia="Calibri"/>
        </w:rPr>
        <w:t>CA</w:t>
      </w:r>
      <w:r w:rsidRPr="008817D0">
        <w:rPr>
          <w:rFonts w:eastAsia="Calibri"/>
        </w:rPr>
        <w:t>ISO and the EIM Entity BAA are disrupted, the following steps may be implemented to handle such disruptions:</w:t>
      </w:r>
    </w:p>
    <w:p w14:paraId="01918874" w14:textId="77777777" w:rsidR="008817D0" w:rsidRPr="008817D0" w:rsidRDefault="008817D0" w:rsidP="000F0531">
      <w:pPr>
        <w:numPr>
          <w:ilvl w:val="0"/>
          <w:numId w:val="35"/>
        </w:numPr>
        <w:rPr>
          <w:rFonts w:eastAsia="Calibri"/>
        </w:rPr>
      </w:pPr>
      <w:r w:rsidRPr="008817D0">
        <w:rPr>
          <w:rFonts w:eastAsia="Calibri"/>
        </w:rPr>
        <w:t xml:space="preserve">When certain input data becomes unavailable and there is a recent history that can be used by the market applications, the latter can continue to function producing approximate, acceptable market results. For example, if demand forecast becomes unavailable, the last available demand forecast for that period could be used for the market horizon and for several market runs. Similarly, if telemetry becomes unavailable, the last SE solution can be used in the next market run. This recovery approach can be used until the data is considered too old to produce reasonable market results. The time cutoff depends on the nature and importance of the data and </w:t>
      </w:r>
      <w:r w:rsidR="00BF3D50">
        <w:rPr>
          <w:rFonts w:eastAsia="Calibri"/>
        </w:rPr>
        <w:t>will</w:t>
      </w:r>
      <w:r w:rsidRPr="008817D0">
        <w:rPr>
          <w:rFonts w:eastAsia="Calibri"/>
        </w:rPr>
        <w:t xml:space="preserve"> be determined separately for each data stream.</w:t>
      </w:r>
    </w:p>
    <w:p w14:paraId="472C77EC" w14:textId="77777777" w:rsidR="008817D0" w:rsidRPr="008817D0" w:rsidRDefault="008817D0" w:rsidP="000F0531">
      <w:pPr>
        <w:numPr>
          <w:ilvl w:val="0"/>
          <w:numId w:val="35"/>
        </w:numPr>
        <w:rPr>
          <w:rFonts w:eastAsia="Calibri"/>
        </w:rPr>
      </w:pPr>
      <w:r w:rsidRPr="008817D0">
        <w:rPr>
          <w:rFonts w:eastAsia="Calibri"/>
        </w:rPr>
        <w:t xml:space="preserve">When a market run fails, advisory market results from the last successful market run can be used. This recovery approach can be used until all advisory intervals run out. </w:t>
      </w:r>
    </w:p>
    <w:p w14:paraId="100171E7" w14:textId="77777777" w:rsidR="008817D0" w:rsidRPr="008817D0" w:rsidRDefault="008817D0" w:rsidP="000F0531">
      <w:pPr>
        <w:numPr>
          <w:ilvl w:val="0"/>
          <w:numId w:val="35"/>
        </w:numPr>
        <w:rPr>
          <w:rFonts w:eastAsia="Calibri"/>
        </w:rPr>
      </w:pPr>
      <w:r w:rsidRPr="008817D0">
        <w:rPr>
          <w:rFonts w:eastAsia="Calibri"/>
        </w:rPr>
        <w:t>When certain input data becomes unavailable, the affected BAA can be isolated from the EIM by freezing the N</w:t>
      </w:r>
      <w:r w:rsidR="00BF3D50">
        <w:rPr>
          <w:rFonts w:eastAsia="Calibri"/>
        </w:rPr>
        <w:t>et Scheduled Interchange</w:t>
      </w:r>
      <w:r w:rsidRPr="008817D0">
        <w:rPr>
          <w:rFonts w:eastAsia="Calibri"/>
        </w:rPr>
        <w:t xml:space="preserve">, the demand, and the dispatch at the last market solution within the hour, and at the base for future hours, and also by ignoring bids in that BAA. The market applications </w:t>
      </w:r>
      <w:r w:rsidR="00BF3D50">
        <w:rPr>
          <w:rFonts w:eastAsia="Calibri"/>
        </w:rPr>
        <w:t>will</w:t>
      </w:r>
      <w:r w:rsidRPr="008817D0">
        <w:rPr>
          <w:rFonts w:eastAsia="Calibri"/>
        </w:rPr>
        <w:t xml:space="preserve"> still produce market results for the remaining BAAs in EIM. The affected BAA operator must balance the BAA outside EIM through regulation and dispatch instructions issued directly to resources, following pre-EIM protocols. LMPs will be calculated for that BAA and will be used to settle Uninstructed Imbalance Energy. This disruption </w:t>
      </w:r>
      <w:r w:rsidR="00201C6B">
        <w:rPr>
          <w:rFonts w:eastAsia="Calibri"/>
        </w:rPr>
        <w:t>is not expected to last more than one trading day.</w:t>
      </w:r>
    </w:p>
    <w:p w14:paraId="227B6FB4" w14:textId="77777777" w:rsidR="008817D0" w:rsidRPr="008817D0" w:rsidRDefault="008817D0" w:rsidP="000F0531">
      <w:pPr>
        <w:numPr>
          <w:ilvl w:val="0"/>
          <w:numId w:val="35"/>
        </w:numPr>
        <w:rPr>
          <w:rFonts w:eastAsia="Calibri"/>
        </w:rPr>
      </w:pPr>
      <w:r w:rsidRPr="008817D0">
        <w:rPr>
          <w:rFonts w:eastAsia="Calibri"/>
        </w:rPr>
        <w:t>If disruption is prolonged, an additional option can be enabled to suppress settlement statements for the affected BAA.</w:t>
      </w:r>
    </w:p>
    <w:p w14:paraId="74791C7C" w14:textId="77777777" w:rsidR="008817D0" w:rsidRPr="008817D0" w:rsidRDefault="008817D0" w:rsidP="000F0531">
      <w:pPr>
        <w:numPr>
          <w:ilvl w:val="0"/>
          <w:numId w:val="35"/>
        </w:numPr>
        <w:rPr>
          <w:rFonts w:eastAsia="Calibri"/>
        </w:rPr>
      </w:pPr>
      <w:r w:rsidRPr="008817D0">
        <w:rPr>
          <w:rFonts w:eastAsia="Calibri"/>
        </w:rPr>
        <w:t>When market runs continuously fail and the above disruptions are no longer applicable because the advisory dispatches are exhausted and the market application c</w:t>
      </w:r>
      <w:r w:rsidR="00303EEF">
        <w:rPr>
          <w:rFonts w:eastAsia="Calibri"/>
        </w:rPr>
        <w:t>annot run, the fallback is the Day-A</w:t>
      </w:r>
      <w:r w:rsidRPr="008817D0">
        <w:rPr>
          <w:rFonts w:eastAsia="Calibri"/>
        </w:rPr>
        <w:t>head sched</w:t>
      </w:r>
      <w:r w:rsidR="000B6D3C">
        <w:rPr>
          <w:rFonts w:eastAsia="Calibri"/>
        </w:rPr>
        <w:t>ules for the CAISO BAA and the Base S</w:t>
      </w:r>
      <w:r w:rsidRPr="008817D0">
        <w:rPr>
          <w:rFonts w:eastAsia="Calibri"/>
        </w:rPr>
        <w:t>chedules for the EIM Entity BAAs; each BAA operator will balance the BAA through regulation and dispatch instructions issued directly to resources. Administrative prices will be used to settle imbalance energy.</w:t>
      </w:r>
      <w:r w:rsidR="007D256F">
        <w:rPr>
          <w:rFonts w:eastAsia="Calibri"/>
        </w:rPr>
        <w:t xml:space="preserve"> </w:t>
      </w:r>
      <w:r w:rsidR="007D256F">
        <w:t xml:space="preserve">The </w:t>
      </w:r>
      <w:r w:rsidR="0058562B">
        <w:t>CA</w:t>
      </w:r>
      <w:r w:rsidR="007D256F">
        <w:t xml:space="preserve">ISO will use the </w:t>
      </w:r>
      <w:r w:rsidR="008F4700">
        <w:t>Open Access Transmission Tariff (</w:t>
      </w:r>
      <w:r w:rsidR="007D256F">
        <w:t>OATT</w:t>
      </w:r>
      <w:r w:rsidR="008F4700">
        <w:t>)</w:t>
      </w:r>
      <w:r w:rsidR="007D256F">
        <w:t xml:space="preserve"> approved price used by the EIM Entity during a market suspension to settle imbalance within the EIM Entity BAA</w:t>
      </w:r>
      <w:r w:rsidR="00A57C6B">
        <w:t>.</w:t>
      </w:r>
    </w:p>
    <w:p w14:paraId="6546C7EA" w14:textId="77777777" w:rsidR="008817D0" w:rsidRPr="00F446C9" w:rsidRDefault="008817D0" w:rsidP="00F446C9">
      <w:pPr>
        <w:rPr>
          <w:rFonts w:eastAsia="Calibri"/>
          <w:b/>
        </w:rPr>
      </w:pPr>
      <w:bookmarkStart w:id="2009" w:name="_Toc390869289"/>
      <w:r w:rsidRPr="00F446C9">
        <w:rPr>
          <w:rFonts w:eastAsia="Calibri"/>
          <w:b/>
        </w:rPr>
        <w:t>Corrective Actions</w:t>
      </w:r>
      <w:bookmarkEnd w:id="2009"/>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6937"/>
      </w:tblGrid>
      <w:tr w:rsidR="00F446C9" w:rsidRPr="008817D0" w14:paraId="5C495864" w14:textId="77777777" w:rsidTr="00F041A9">
        <w:trPr>
          <w:trHeight w:val="20"/>
          <w:tblHeader/>
        </w:trPr>
        <w:tc>
          <w:tcPr>
            <w:tcW w:w="8658" w:type="dxa"/>
            <w:gridSpan w:val="2"/>
            <w:tcBorders>
              <w:top w:val="single" w:sz="4" w:space="0" w:color="auto"/>
              <w:left w:val="single" w:sz="4" w:space="0" w:color="auto"/>
              <w:bottom w:val="single" w:sz="4" w:space="0" w:color="auto"/>
              <w:right w:val="single" w:sz="4" w:space="0" w:color="auto"/>
            </w:tcBorders>
            <w:shd w:val="clear" w:color="auto" w:fill="D9D9D9"/>
          </w:tcPr>
          <w:p w14:paraId="67705A69" w14:textId="77777777" w:rsidR="00F446C9" w:rsidRPr="008817D0" w:rsidRDefault="00F446C9" w:rsidP="00F446C9">
            <w:pPr>
              <w:spacing w:after="240" w:line="300" w:lineRule="auto"/>
              <w:jc w:val="center"/>
              <w:rPr>
                <w:rFonts w:eastAsia="Calibri"/>
              </w:rPr>
            </w:pPr>
            <w:r>
              <w:rPr>
                <w:rFonts w:eastAsia="Calibri"/>
              </w:rPr>
              <w:t>Summary of Authority to Address Contingencies</w:t>
            </w:r>
          </w:p>
        </w:tc>
      </w:tr>
      <w:tr w:rsidR="008817D0" w:rsidRPr="008817D0" w14:paraId="5AD51FED" w14:textId="77777777" w:rsidTr="00F041A9">
        <w:trPr>
          <w:trHeight w:val="20"/>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04D0E3E6" w14:textId="77777777" w:rsidR="008817D0" w:rsidRPr="008817D0" w:rsidRDefault="008817D0" w:rsidP="008817D0">
            <w:pPr>
              <w:spacing w:after="240" w:line="300" w:lineRule="auto"/>
              <w:rPr>
                <w:rFonts w:eastAsia="Calibri"/>
              </w:rPr>
            </w:pPr>
            <w:r w:rsidRPr="008817D0">
              <w:rPr>
                <w:rFonts w:eastAsia="Calibri"/>
              </w:rPr>
              <w:t>Period</w:t>
            </w:r>
          </w:p>
        </w:tc>
        <w:tc>
          <w:tcPr>
            <w:tcW w:w="6937" w:type="dxa"/>
            <w:tcBorders>
              <w:top w:val="single" w:sz="4" w:space="0" w:color="auto"/>
              <w:left w:val="single" w:sz="4" w:space="0" w:color="auto"/>
              <w:bottom w:val="single" w:sz="4" w:space="0" w:color="auto"/>
              <w:right w:val="single" w:sz="4" w:space="0" w:color="auto"/>
            </w:tcBorders>
            <w:shd w:val="clear" w:color="auto" w:fill="auto"/>
            <w:hideMark/>
          </w:tcPr>
          <w:p w14:paraId="5CC3B3C9" w14:textId="77777777" w:rsidR="008817D0" w:rsidRPr="008817D0" w:rsidRDefault="008817D0" w:rsidP="008817D0">
            <w:pPr>
              <w:spacing w:after="240" w:line="300" w:lineRule="auto"/>
              <w:rPr>
                <w:rFonts w:eastAsia="Calibri"/>
              </w:rPr>
            </w:pPr>
            <w:r w:rsidRPr="008817D0">
              <w:rPr>
                <w:rFonts w:eastAsia="Calibri"/>
              </w:rPr>
              <w:t>CAISO Corrective Action(s)</w:t>
            </w:r>
          </w:p>
        </w:tc>
      </w:tr>
      <w:tr w:rsidR="008817D0" w:rsidRPr="008817D0" w14:paraId="1E8006D7" w14:textId="77777777" w:rsidTr="00F041A9">
        <w:trPr>
          <w:trHeight w:val="585"/>
        </w:trPr>
        <w:tc>
          <w:tcPr>
            <w:tcW w:w="17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D36B53E" w14:textId="77777777" w:rsidR="008817D0" w:rsidRPr="008817D0" w:rsidRDefault="008817D0" w:rsidP="008817D0">
            <w:pPr>
              <w:spacing w:after="240" w:line="300" w:lineRule="auto"/>
              <w:rPr>
                <w:rFonts w:eastAsia="Calibri"/>
              </w:rPr>
            </w:pPr>
            <w:r w:rsidRPr="008817D0">
              <w:rPr>
                <w:rFonts w:eastAsia="Calibri"/>
              </w:rPr>
              <w:t>Initial 60 days from Implementation Date</w:t>
            </w:r>
          </w:p>
        </w:tc>
        <w:tc>
          <w:tcPr>
            <w:tcW w:w="693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D3E5CF" w14:textId="77777777" w:rsidR="008817D0" w:rsidRPr="008817D0" w:rsidRDefault="008817D0" w:rsidP="008817D0">
            <w:pPr>
              <w:spacing w:after="240" w:line="300" w:lineRule="auto"/>
              <w:rPr>
                <w:rFonts w:eastAsia="Calibri"/>
              </w:rPr>
            </w:pPr>
            <w:r w:rsidRPr="008817D0">
              <w:rPr>
                <w:rFonts w:eastAsia="Calibri"/>
              </w:rPr>
              <w:t>Discontinuation: pe</w:t>
            </w:r>
            <w:r w:rsidR="00A40D5F">
              <w:rPr>
                <w:rFonts w:eastAsia="Calibri"/>
              </w:rPr>
              <w:t>r Tariff S</w:t>
            </w:r>
            <w:r w:rsidRPr="008817D0">
              <w:rPr>
                <w:rFonts w:eastAsia="Calibri"/>
              </w:rPr>
              <w:t>ection 29.1(d)(1):</w:t>
            </w:r>
          </w:p>
          <w:p w14:paraId="3A2431AF" w14:textId="77777777" w:rsidR="008817D0" w:rsidRPr="008817D0" w:rsidRDefault="008817D0" w:rsidP="000F0531">
            <w:pPr>
              <w:numPr>
                <w:ilvl w:val="0"/>
                <w:numId w:val="30"/>
              </w:numPr>
              <w:spacing w:after="240" w:line="300" w:lineRule="auto"/>
              <w:rPr>
                <w:rFonts w:eastAsia="Calibri"/>
              </w:rPr>
            </w:pPr>
            <w:r w:rsidRPr="008817D0">
              <w:rPr>
                <w:rFonts w:eastAsia="Calibri"/>
              </w:rPr>
              <w:t xml:space="preserve">Prevent EIM Transfers </w:t>
            </w:r>
          </w:p>
          <w:p w14:paraId="1992C73D" w14:textId="77777777" w:rsidR="008817D0" w:rsidRPr="008817D0" w:rsidRDefault="008817D0" w:rsidP="000F0531">
            <w:pPr>
              <w:numPr>
                <w:ilvl w:val="0"/>
                <w:numId w:val="30"/>
              </w:numPr>
              <w:spacing w:after="240" w:line="300" w:lineRule="auto"/>
              <w:rPr>
                <w:rFonts w:eastAsia="Calibri"/>
              </w:rPr>
            </w:pPr>
            <w:r w:rsidRPr="008817D0">
              <w:rPr>
                <w:rFonts w:eastAsia="Calibri"/>
              </w:rPr>
              <w:t>Suspend EIM settlements</w:t>
            </w:r>
          </w:p>
          <w:p w14:paraId="2EF23FA2" w14:textId="77777777" w:rsidR="008817D0" w:rsidRPr="008817D0" w:rsidRDefault="008817D0" w:rsidP="000F0531">
            <w:pPr>
              <w:numPr>
                <w:ilvl w:val="0"/>
                <w:numId w:val="30"/>
              </w:numPr>
              <w:spacing w:after="240" w:line="300" w:lineRule="auto"/>
              <w:rPr>
                <w:rFonts w:eastAsia="Calibri"/>
              </w:rPr>
            </w:pPr>
            <w:r w:rsidRPr="008817D0">
              <w:rPr>
                <w:rFonts w:eastAsia="Calibri"/>
              </w:rPr>
              <w:t>Terminate participation of EIM Entity (if res</w:t>
            </w:r>
            <w:r w:rsidR="00A40D5F">
              <w:rPr>
                <w:rFonts w:eastAsia="Calibri"/>
              </w:rPr>
              <w:t>olution is not achieved within T</w:t>
            </w:r>
            <w:r w:rsidRPr="008817D0">
              <w:rPr>
                <w:rFonts w:eastAsia="Calibri"/>
              </w:rPr>
              <w:t>ariff timeframes)</w:t>
            </w:r>
          </w:p>
        </w:tc>
      </w:tr>
      <w:tr w:rsidR="008817D0" w:rsidRPr="008817D0" w14:paraId="52F7BE93" w14:textId="77777777" w:rsidTr="00F041A9">
        <w:trPr>
          <w:trHeight w:val="58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093298B" w14:textId="77777777" w:rsidR="008817D0" w:rsidRPr="008817D0" w:rsidRDefault="008817D0" w:rsidP="008817D0">
            <w:pPr>
              <w:spacing w:after="240" w:line="300" w:lineRule="auto"/>
              <w:rPr>
                <w:rFonts w:eastAsia="Calibri"/>
              </w:rPr>
            </w:pPr>
          </w:p>
        </w:tc>
        <w:tc>
          <w:tcPr>
            <w:tcW w:w="69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AD7F42" w14:textId="77777777" w:rsidR="008817D0" w:rsidRPr="008817D0" w:rsidRDefault="008817D0" w:rsidP="008817D0">
            <w:pPr>
              <w:spacing w:after="240" w:line="300" w:lineRule="auto"/>
              <w:rPr>
                <w:rFonts w:eastAsia="Calibri"/>
              </w:rPr>
            </w:pPr>
          </w:p>
        </w:tc>
      </w:tr>
      <w:tr w:rsidR="008817D0" w:rsidRPr="008817D0" w14:paraId="42131DA1" w14:textId="77777777" w:rsidTr="00F041A9">
        <w:trPr>
          <w:trHeight w:val="20"/>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0556DEB4" w14:textId="77777777" w:rsidR="008817D0" w:rsidRPr="008817D0" w:rsidRDefault="008817D0" w:rsidP="008817D0">
            <w:pPr>
              <w:spacing w:after="240" w:line="300" w:lineRule="auto"/>
              <w:rPr>
                <w:rFonts w:eastAsia="Calibri"/>
              </w:rPr>
            </w:pPr>
            <w:r w:rsidRPr="008817D0">
              <w:rPr>
                <w:rFonts w:eastAsia="Calibri"/>
              </w:rPr>
              <w:t>After 60 days from Implementation Date (ongoing operations)</w:t>
            </w:r>
          </w:p>
        </w:tc>
        <w:tc>
          <w:tcPr>
            <w:tcW w:w="6937" w:type="dxa"/>
            <w:tcBorders>
              <w:top w:val="single" w:sz="4" w:space="0" w:color="auto"/>
              <w:left w:val="single" w:sz="4" w:space="0" w:color="auto"/>
              <w:bottom w:val="single" w:sz="4" w:space="0" w:color="auto"/>
              <w:right w:val="single" w:sz="4" w:space="0" w:color="auto"/>
            </w:tcBorders>
            <w:shd w:val="clear" w:color="auto" w:fill="auto"/>
            <w:hideMark/>
          </w:tcPr>
          <w:p w14:paraId="70AA55F0" w14:textId="77777777" w:rsidR="008817D0" w:rsidRPr="008817D0" w:rsidRDefault="00A40D5F" w:rsidP="008817D0">
            <w:pPr>
              <w:spacing w:after="240" w:line="300" w:lineRule="auto"/>
              <w:rPr>
                <w:rFonts w:eastAsia="Calibri"/>
              </w:rPr>
            </w:pPr>
            <w:r>
              <w:rPr>
                <w:rFonts w:eastAsia="Calibri"/>
              </w:rPr>
              <w:t>EIM Disruption: per Tariff S</w:t>
            </w:r>
            <w:r w:rsidR="008817D0" w:rsidRPr="008817D0">
              <w:rPr>
                <w:rFonts w:eastAsia="Calibri"/>
              </w:rPr>
              <w:t>ection 29.7(j)</w:t>
            </w:r>
          </w:p>
          <w:p w14:paraId="51AFBB04" w14:textId="77777777" w:rsidR="008817D0" w:rsidRPr="008817D0" w:rsidRDefault="008817D0" w:rsidP="000F0531">
            <w:pPr>
              <w:numPr>
                <w:ilvl w:val="0"/>
                <w:numId w:val="31"/>
              </w:numPr>
              <w:spacing w:after="240" w:line="300" w:lineRule="auto"/>
              <w:rPr>
                <w:rFonts w:eastAsia="Calibri"/>
              </w:rPr>
            </w:pPr>
            <w:r w:rsidRPr="008817D0">
              <w:rPr>
                <w:rFonts w:eastAsia="Calibri"/>
              </w:rPr>
              <w:t xml:space="preserve">Prevent EIM Transfers </w:t>
            </w:r>
          </w:p>
          <w:p w14:paraId="5DA678C5" w14:textId="77777777" w:rsidR="008817D0" w:rsidRPr="008817D0" w:rsidRDefault="008817D0" w:rsidP="000F0531">
            <w:pPr>
              <w:numPr>
                <w:ilvl w:val="0"/>
                <w:numId w:val="31"/>
              </w:numPr>
              <w:spacing w:after="240" w:line="300" w:lineRule="auto"/>
              <w:rPr>
                <w:rFonts w:eastAsia="Calibri"/>
              </w:rPr>
            </w:pPr>
            <w:r w:rsidRPr="008817D0">
              <w:rPr>
                <w:rFonts w:eastAsia="Calibri"/>
              </w:rPr>
              <w:t>Communications failure measure</w:t>
            </w:r>
          </w:p>
          <w:p w14:paraId="5674021E" w14:textId="77777777" w:rsidR="008817D0" w:rsidRPr="008817D0" w:rsidRDefault="008817D0" w:rsidP="000F0531">
            <w:pPr>
              <w:numPr>
                <w:ilvl w:val="0"/>
                <w:numId w:val="31"/>
              </w:numPr>
              <w:spacing w:after="240" w:line="300" w:lineRule="auto"/>
              <w:rPr>
                <w:rFonts w:eastAsia="Calibri"/>
              </w:rPr>
            </w:pPr>
            <w:r w:rsidRPr="008817D0">
              <w:rPr>
                <w:rFonts w:eastAsia="Calibri"/>
              </w:rPr>
              <w:t xml:space="preserve">Market run failure measure </w:t>
            </w:r>
          </w:p>
          <w:p w14:paraId="3B822FF6" w14:textId="77777777" w:rsidR="008817D0" w:rsidRPr="008817D0" w:rsidRDefault="008817D0" w:rsidP="000F0531">
            <w:pPr>
              <w:numPr>
                <w:ilvl w:val="0"/>
                <w:numId w:val="31"/>
              </w:numPr>
              <w:spacing w:after="240" w:line="300" w:lineRule="auto"/>
              <w:rPr>
                <w:rFonts w:eastAsia="Calibri"/>
              </w:rPr>
            </w:pPr>
            <w:r w:rsidRPr="008817D0">
              <w:rPr>
                <w:rFonts w:eastAsia="Calibri"/>
              </w:rPr>
              <w:t xml:space="preserve">Establish administrative prices </w:t>
            </w:r>
          </w:p>
          <w:p w14:paraId="0C76BBE6" w14:textId="77777777" w:rsidR="008817D0" w:rsidRPr="008817D0" w:rsidRDefault="008817D0" w:rsidP="000F0531">
            <w:pPr>
              <w:numPr>
                <w:ilvl w:val="0"/>
                <w:numId w:val="31"/>
              </w:numPr>
              <w:spacing w:after="240" w:line="300" w:lineRule="auto"/>
              <w:rPr>
                <w:rFonts w:eastAsia="Calibri"/>
              </w:rPr>
            </w:pPr>
            <w:r w:rsidRPr="008817D0">
              <w:rPr>
                <w:rFonts w:eastAsia="Calibri"/>
              </w:rPr>
              <w:t>Suspend</w:t>
            </w:r>
            <w:r w:rsidR="00E04726">
              <w:rPr>
                <w:rFonts w:eastAsia="Calibri"/>
              </w:rPr>
              <w:t>ing</w:t>
            </w:r>
            <w:r w:rsidRPr="008817D0">
              <w:rPr>
                <w:rFonts w:eastAsia="Calibri"/>
              </w:rPr>
              <w:t xml:space="preserve"> EIM settlements </w:t>
            </w:r>
            <w:r w:rsidR="00E04726">
              <w:rPr>
                <w:rFonts w:eastAsia="Calibri"/>
              </w:rPr>
              <w:t xml:space="preserve">is </w:t>
            </w:r>
            <w:r w:rsidRPr="008817D0">
              <w:rPr>
                <w:rFonts w:eastAsia="Calibri"/>
              </w:rPr>
              <w:t>not available CAISO</w:t>
            </w:r>
            <w:r w:rsidR="00E04726">
              <w:rPr>
                <w:rFonts w:eastAsia="Calibri"/>
              </w:rPr>
              <w:t xml:space="preserve"> option</w:t>
            </w:r>
            <w:r w:rsidRPr="008817D0">
              <w:rPr>
                <w:rFonts w:eastAsia="Calibri"/>
              </w:rPr>
              <w:t>, but CAISO will respond to request from EIM Entity</w:t>
            </w:r>
            <w:r w:rsidR="00E04726">
              <w:rPr>
                <w:rFonts w:eastAsia="Calibri"/>
              </w:rPr>
              <w:t xml:space="preserve"> for termination of EIM participation</w:t>
            </w:r>
          </w:p>
        </w:tc>
      </w:tr>
      <w:tr w:rsidR="008817D0" w:rsidRPr="008817D0" w14:paraId="4B0BE3CF" w14:textId="77777777" w:rsidTr="00F041A9">
        <w:trPr>
          <w:trHeight w:val="2735"/>
        </w:trPr>
        <w:tc>
          <w:tcPr>
            <w:tcW w:w="1721" w:type="dxa"/>
            <w:tcBorders>
              <w:top w:val="single" w:sz="4" w:space="0" w:color="auto"/>
              <w:left w:val="single" w:sz="4" w:space="0" w:color="auto"/>
              <w:bottom w:val="single" w:sz="4" w:space="0" w:color="auto"/>
              <w:right w:val="single" w:sz="4" w:space="0" w:color="auto"/>
            </w:tcBorders>
            <w:shd w:val="clear" w:color="auto" w:fill="auto"/>
            <w:hideMark/>
          </w:tcPr>
          <w:p w14:paraId="7264705E" w14:textId="77777777" w:rsidR="008817D0" w:rsidRPr="008817D0" w:rsidRDefault="008817D0" w:rsidP="008817D0">
            <w:pPr>
              <w:spacing w:after="240" w:line="300" w:lineRule="auto"/>
              <w:rPr>
                <w:rFonts w:eastAsia="Calibri"/>
              </w:rPr>
            </w:pPr>
            <w:r w:rsidRPr="008817D0">
              <w:rPr>
                <w:rFonts w:eastAsia="Calibri"/>
              </w:rPr>
              <w:t>After EIM Entity Notice of Termination (180 day notice period)</w:t>
            </w:r>
          </w:p>
        </w:tc>
        <w:tc>
          <w:tcPr>
            <w:tcW w:w="6937" w:type="dxa"/>
            <w:tcBorders>
              <w:top w:val="single" w:sz="4" w:space="0" w:color="auto"/>
              <w:left w:val="single" w:sz="4" w:space="0" w:color="auto"/>
              <w:bottom w:val="single" w:sz="4" w:space="0" w:color="auto"/>
              <w:right w:val="single" w:sz="4" w:space="0" w:color="auto"/>
            </w:tcBorders>
            <w:shd w:val="clear" w:color="auto" w:fill="auto"/>
          </w:tcPr>
          <w:p w14:paraId="1237BFE9" w14:textId="77777777" w:rsidR="008817D0" w:rsidRPr="008817D0" w:rsidRDefault="008817D0" w:rsidP="008817D0">
            <w:pPr>
              <w:spacing w:after="240" w:line="300" w:lineRule="auto"/>
              <w:rPr>
                <w:rFonts w:eastAsia="Calibri"/>
              </w:rPr>
            </w:pPr>
            <w:r w:rsidRPr="008817D0">
              <w:rPr>
                <w:rFonts w:eastAsia="Calibri"/>
              </w:rPr>
              <w:t xml:space="preserve">Termination for this time period </w:t>
            </w:r>
            <w:r w:rsidRPr="008817D0">
              <w:rPr>
                <w:rFonts w:eastAsia="Calibri"/>
                <w:u w:val="single"/>
              </w:rPr>
              <w:t>not</w:t>
            </w:r>
            <w:r w:rsidRPr="008817D0">
              <w:rPr>
                <w:rFonts w:eastAsia="Calibri"/>
              </w:rPr>
              <w:t xml:space="preserve"> at election of CAISO. CAISO would respond to Termination of EIM Entity with the following measures:</w:t>
            </w:r>
          </w:p>
          <w:p w14:paraId="7FCA078F" w14:textId="77777777" w:rsidR="008817D0" w:rsidRPr="008817D0" w:rsidRDefault="008817D0" w:rsidP="000F0531">
            <w:pPr>
              <w:numPr>
                <w:ilvl w:val="0"/>
                <w:numId w:val="32"/>
              </w:numPr>
              <w:spacing w:after="240" w:line="300" w:lineRule="auto"/>
              <w:rPr>
                <w:rFonts w:eastAsia="Calibri"/>
              </w:rPr>
            </w:pPr>
            <w:r w:rsidRPr="008817D0">
              <w:rPr>
                <w:rFonts w:eastAsia="Calibri"/>
              </w:rPr>
              <w:t>Prevent EIM Transfers (day 1 of 180 day period)</w:t>
            </w:r>
          </w:p>
          <w:p w14:paraId="049108D1" w14:textId="77777777" w:rsidR="008817D0" w:rsidRPr="00B406F1" w:rsidRDefault="008817D0" w:rsidP="000F0531">
            <w:pPr>
              <w:numPr>
                <w:ilvl w:val="0"/>
                <w:numId w:val="30"/>
              </w:numPr>
              <w:spacing w:after="240" w:line="300" w:lineRule="auto"/>
              <w:rPr>
                <w:rFonts w:eastAsia="Calibri"/>
              </w:rPr>
            </w:pPr>
            <w:r w:rsidRPr="008817D0">
              <w:rPr>
                <w:rFonts w:eastAsia="Calibri"/>
              </w:rPr>
              <w:t>EIM Entity is switched to “non-EIM Entity” (day 2 of 180 day period)</w:t>
            </w:r>
          </w:p>
        </w:tc>
      </w:tr>
    </w:tbl>
    <w:p w14:paraId="222F6AA5" w14:textId="77777777" w:rsidR="008817D0" w:rsidRPr="008817D0" w:rsidRDefault="008817D0" w:rsidP="008817D0">
      <w:pPr>
        <w:spacing w:after="240" w:line="300" w:lineRule="auto"/>
        <w:rPr>
          <w:rFonts w:eastAsia="Calibri"/>
          <w:b/>
        </w:rPr>
      </w:pPr>
    </w:p>
    <w:p w14:paraId="101B0BBE" w14:textId="77777777" w:rsidR="008817D0" w:rsidRPr="008817D0" w:rsidRDefault="008817D0" w:rsidP="00C33762">
      <w:pPr>
        <w:pStyle w:val="Heading2"/>
        <w:rPr>
          <w:rFonts w:eastAsia="Calibri"/>
        </w:rPr>
      </w:pPr>
      <w:bookmarkStart w:id="2010" w:name="_Toc390869290"/>
      <w:bookmarkStart w:id="2011" w:name="_Toc390946302"/>
      <w:bookmarkStart w:id="2012" w:name="_Toc391969863"/>
      <w:bookmarkStart w:id="2013" w:name="_Toc20384136"/>
      <w:r w:rsidRPr="008817D0">
        <w:rPr>
          <w:rFonts w:eastAsia="Calibri"/>
        </w:rPr>
        <w:t>Separation of the EIM Entity</w:t>
      </w:r>
      <w:bookmarkEnd w:id="2010"/>
      <w:bookmarkEnd w:id="2011"/>
      <w:bookmarkEnd w:id="2012"/>
      <w:bookmarkEnd w:id="2013"/>
    </w:p>
    <w:p w14:paraId="789E3CA8" w14:textId="77777777" w:rsidR="008817D0" w:rsidRPr="008817D0" w:rsidRDefault="00545056" w:rsidP="00877DDB">
      <w:pPr>
        <w:pStyle w:val="BPM"/>
      </w:pPr>
      <w:r>
        <w:t>I</w:t>
      </w:r>
      <w:r w:rsidR="004A54C4">
        <w:t>n the event the EIM E</w:t>
      </w:r>
      <w:r w:rsidR="008817D0" w:rsidRPr="008817D0">
        <w:t>ntity needs to separate from the EIM</w:t>
      </w:r>
      <w:r w:rsidR="001B06BF">
        <w:t xml:space="preserve">, </w:t>
      </w:r>
      <w:r>
        <w:t>CAISO will take appropriate steps to restrict operations</w:t>
      </w:r>
      <w:r w:rsidR="008817D0" w:rsidRPr="008817D0">
        <w:t xml:space="preserve"> and suspend settlements within the market.  </w:t>
      </w:r>
    </w:p>
    <w:p w14:paraId="6989E18E" w14:textId="77777777" w:rsidR="008817D0" w:rsidRPr="008817D0" w:rsidRDefault="008817D0" w:rsidP="00C33762">
      <w:pPr>
        <w:pStyle w:val="Heading3"/>
        <w:rPr>
          <w:rFonts w:eastAsia="Calibri"/>
        </w:rPr>
      </w:pPr>
      <w:bookmarkStart w:id="2014" w:name="_Toc390946303"/>
      <w:bookmarkStart w:id="2015" w:name="_Toc391969864"/>
      <w:bookmarkStart w:id="2016" w:name="_Toc20384137"/>
      <w:r w:rsidRPr="008817D0">
        <w:rPr>
          <w:rFonts w:eastAsia="Calibri"/>
        </w:rPr>
        <w:t>EIM Entity Separation from Market</w:t>
      </w:r>
      <w:bookmarkEnd w:id="2014"/>
      <w:bookmarkEnd w:id="2015"/>
      <w:bookmarkEnd w:id="2016"/>
    </w:p>
    <w:p w14:paraId="699EED69" w14:textId="77777777" w:rsidR="008817D0" w:rsidRPr="008817D0" w:rsidRDefault="008817D0" w:rsidP="00705653">
      <w:pPr>
        <w:rPr>
          <w:rFonts w:eastAsia="Calibri"/>
        </w:rPr>
      </w:pPr>
      <w:r w:rsidRPr="008817D0">
        <w:rPr>
          <w:rFonts w:eastAsia="Calibri"/>
        </w:rPr>
        <w:t>When a separation is activated</w:t>
      </w:r>
      <w:r w:rsidR="001B06BF">
        <w:rPr>
          <w:rFonts w:eastAsia="Calibri"/>
        </w:rPr>
        <w:t xml:space="preserve"> by </w:t>
      </w:r>
      <w:r w:rsidR="00545056">
        <w:rPr>
          <w:rFonts w:eastAsia="Calibri"/>
        </w:rPr>
        <w:t>CAISO</w:t>
      </w:r>
      <w:r w:rsidR="00944E25">
        <w:rPr>
          <w:rFonts w:eastAsia="Calibri"/>
        </w:rPr>
        <w:t>, the followings will apply</w:t>
      </w:r>
      <w:r w:rsidRPr="008817D0">
        <w:rPr>
          <w:rFonts w:eastAsia="Calibri"/>
        </w:rPr>
        <w:t>:</w:t>
      </w:r>
    </w:p>
    <w:p w14:paraId="491D6397" w14:textId="6A0F684F" w:rsidR="00A57C6B" w:rsidRPr="008817D0" w:rsidRDefault="008817D0" w:rsidP="000F0531">
      <w:pPr>
        <w:pStyle w:val="ListParagraph"/>
        <w:numPr>
          <w:ilvl w:val="0"/>
          <w:numId w:val="30"/>
        </w:numPr>
        <w:rPr>
          <w:rFonts w:eastAsia="Calibri"/>
        </w:rPr>
      </w:pPr>
      <w:r w:rsidRPr="008817D0">
        <w:rPr>
          <w:rFonts w:eastAsia="Calibri"/>
        </w:rPr>
        <w:t>SIBR</w:t>
      </w:r>
      <w:r w:rsidRPr="00944E25">
        <w:rPr>
          <w:rFonts w:eastAsia="Calibri"/>
        </w:rPr>
        <w:t xml:space="preserve"> </w:t>
      </w:r>
      <w:r w:rsidR="00944E25" w:rsidRPr="00944E25">
        <w:rPr>
          <w:rFonts w:eastAsia="Calibri"/>
        </w:rPr>
        <w:t>will</w:t>
      </w:r>
      <w:r w:rsidRPr="008817D0">
        <w:rPr>
          <w:rFonts w:eastAsia="Calibri"/>
        </w:rPr>
        <w:t xml:space="preserve"> reject any energy bids from the re</w:t>
      </w:r>
      <w:r w:rsidR="004A54C4">
        <w:rPr>
          <w:rFonts w:eastAsia="Calibri"/>
        </w:rPr>
        <w:t>sources that belong to the EIM E</w:t>
      </w:r>
      <w:r w:rsidRPr="008817D0">
        <w:rPr>
          <w:rFonts w:eastAsia="Calibri"/>
        </w:rPr>
        <w:t xml:space="preserve">ntity BAAs. </w:t>
      </w:r>
      <w:r w:rsidR="00944E25" w:rsidRPr="00944E25">
        <w:rPr>
          <w:rFonts w:eastAsia="Calibri"/>
        </w:rPr>
        <w:t xml:space="preserve">As a result, there will be no unit commitment or economic dispatch for EIM resources in </w:t>
      </w:r>
      <w:r w:rsidR="00D52168">
        <w:rPr>
          <w:rFonts w:eastAsia="Calibri"/>
        </w:rPr>
        <w:t xml:space="preserve">the </w:t>
      </w:r>
      <w:r w:rsidR="00944E25" w:rsidRPr="00944E25">
        <w:rPr>
          <w:rFonts w:eastAsia="Calibri"/>
        </w:rPr>
        <w:t>rea</w:t>
      </w:r>
      <w:r w:rsidR="00D52168">
        <w:rPr>
          <w:rFonts w:eastAsia="Calibri"/>
        </w:rPr>
        <w:t>l-</w:t>
      </w:r>
      <w:r w:rsidR="00944E25" w:rsidRPr="00944E25">
        <w:rPr>
          <w:rFonts w:eastAsia="Calibri"/>
        </w:rPr>
        <w:t>time market.</w:t>
      </w:r>
      <w:r w:rsidRPr="00944E25">
        <w:rPr>
          <w:rFonts w:eastAsia="Calibri"/>
        </w:rPr>
        <w:t xml:space="preserve"> </w:t>
      </w:r>
    </w:p>
    <w:p w14:paraId="304E027D" w14:textId="6C217EC1" w:rsidR="00A57C6B" w:rsidRPr="00877DDB" w:rsidRDefault="00F06452" w:rsidP="000F0531">
      <w:pPr>
        <w:pStyle w:val="ListParagraph"/>
        <w:numPr>
          <w:ilvl w:val="0"/>
          <w:numId w:val="30"/>
        </w:numPr>
        <w:rPr>
          <w:rFonts w:eastAsia="Calibri"/>
        </w:rPr>
      </w:pPr>
      <w:r w:rsidRPr="00877DDB">
        <w:rPr>
          <w:rFonts w:eastAsia="Calibri"/>
        </w:rPr>
        <w:t>The f</w:t>
      </w:r>
      <w:r w:rsidR="008817D0" w:rsidRPr="00877DDB">
        <w:rPr>
          <w:rFonts w:eastAsia="Calibri"/>
        </w:rPr>
        <w:t xml:space="preserve">lexible ramping requirement </w:t>
      </w:r>
      <w:r w:rsidR="00944E25" w:rsidRPr="00877DDB">
        <w:rPr>
          <w:rFonts w:eastAsia="Calibri"/>
        </w:rPr>
        <w:t xml:space="preserve">will be set </w:t>
      </w:r>
      <w:r w:rsidR="008817D0" w:rsidRPr="00877DDB">
        <w:rPr>
          <w:rFonts w:eastAsia="Calibri"/>
        </w:rPr>
        <w:t>equal</w:t>
      </w:r>
      <w:r w:rsidR="00944E25" w:rsidRPr="00877DDB">
        <w:rPr>
          <w:rFonts w:eastAsia="Calibri"/>
        </w:rPr>
        <w:t xml:space="preserve"> to</w:t>
      </w:r>
      <w:r w:rsidR="008817D0" w:rsidRPr="00877DDB">
        <w:rPr>
          <w:rFonts w:eastAsia="Calibri"/>
        </w:rPr>
        <w:t xml:space="preserve"> zero for the EIM Entity BAA</w:t>
      </w:r>
      <w:r w:rsidR="00944E25" w:rsidRPr="00877DDB">
        <w:rPr>
          <w:rFonts w:eastAsia="Calibri"/>
        </w:rPr>
        <w:t>. Also, the flexible ramping requirement will be set to fail for EIM Entity BAA</w:t>
      </w:r>
      <w:r w:rsidR="00A57C6B">
        <w:rPr>
          <w:rFonts w:eastAsia="Calibri"/>
        </w:rPr>
        <w:t>.</w:t>
      </w:r>
    </w:p>
    <w:p w14:paraId="23E66FC9" w14:textId="53E46839" w:rsidR="00A57C6B" w:rsidRPr="00877DDB" w:rsidRDefault="00944E25" w:rsidP="000F0531">
      <w:pPr>
        <w:pStyle w:val="ListParagraph"/>
        <w:numPr>
          <w:ilvl w:val="0"/>
          <w:numId w:val="30"/>
        </w:numPr>
        <w:rPr>
          <w:rFonts w:eastAsia="Calibri"/>
        </w:rPr>
      </w:pPr>
      <w:r w:rsidRPr="00877DDB">
        <w:rPr>
          <w:rFonts w:eastAsia="Calibri"/>
        </w:rPr>
        <w:t>To avoid imbalance energy settlement under separation, EIM Entity is responsible to submit base schedules and meter data.</w:t>
      </w:r>
    </w:p>
    <w:p w14:paraId="7619268A" w14:textId="7C7F46FE" w:rsidR="00A57C6B" w:rsidRPr="00877DDB" w:rsidRDefault="00944E25" w:rsidP="000F0531">
      <w:pPr>
        <w:pStyle w:val="ListParagraph"/>
        <w:numPr>
          <w:ilvl w:val="0"/>
          <w:numId w:val="30"/>
        </w:numPr>
        <w:rPr>
          <w:rFonts w:eastAsia="Calibri"/>
        </w:rPr>
      </w:pPr>
      <w:r w:rsidRPr="00877DDB">
        <w:rPr>
          <w:rFonts w:eastAsia="Calibri"/>
        </w:rPr>
        <w:t>There will be n</w:t>
      </w:r>
      <w:r w:rsidR="008817D0" w:rsidRPr="00877DDB">
        <w:rPr>
          <w:rFonts w:eastAsia="Calibri"/>
        </w:rPr>
        <w:t>o incremental transfer between EIM Entity BAA and the CAISO BAA</w:t>
      </w:r>
      <w:r w:rsidRPr="00877DDB">
        <w:rPr>
          <w:rFonts w:eastAsia="Calibri"/>
        </w:rPr>
        <w:t>.</w:t>
      </w:r>
    </w:p>
    <w:p w14:paraId="17C385ED" w14:textId="39D37AE1" w:rsidR="00A57C6B" w:rsidRPr="00877DDB" w:rsidRDefault="00944E25" w:rsidP="000F0531">
      <w:pPr>
        <w:pStyle w:val="ListParagraph"/>
        <w:numPr>
          <w:ilvl w:val="0"/>
          <w:numId w:val="30"/>
        </w:numPr>
        <w:rPr>
          <w:rFonts w:eastAsia="Calibri"/>
        </w:rPr>
      </w:pPr>
      <w:r w:rsidRPr="00877DDB">
        <w:rPr>
          <w:rFonts w:eastAsia="Calibri"/>
        </w:rPr>
        <w:t>There will be n</w:t>
      </w:r>
      <w:r w:rsidR="008817D0" w:rsidRPr="00877DDB">
        <w:rPr>
          <w:rFonts w:eastAsia="Calibri"/>
        </w:rPr>
        <w:t xml:space="preserve">o congestion management </w:t>
      </w:r>
      <w:r w:rsidR="0084748A" w:rsidRPr="00877DDB">
        <w:rPr>
          <w:rFonts w:eastAsia="Calibri"/>
        </w:rPr>
        <w:t>and no transmission constraint enforcement</w:t>
      </w:r>
      <w:r w:rsidR="008817D0" w:rsidRPr="00877DDB">
        <w:rPr>
          <w:rFonts w:eastAsia="Calibri"/>
        </w:rPr>
        <w:t xml:space="preserve"> for the EIM Entity BAA</w:t>
      </w:r>
      <w:r w:rsidR="0084748A" w:rsidRPr="00877DDB">
        <w:rPr>
          <w:rFonts w:eastAsia="Calibri"/>
        </w:rPr>
        <w:t>.</w:t>
      </w:r>
    </w:p>
    <w:p w14:paraId="60546345" w14:textId="011DE647" w:rsidR="00A57C6B" w:rsidRPr="00877DDB" w:rsidRDefault="008817D0" w:rsidP="000F0531">
      <w:pPr>
        <w:pStyle w:val="ListParagraph"/>
        <w:numPr>
          <w:ilvl w:val="0"/>
          <w:numId w:val="30"/>
        </w:numPr>
        <w:rPr>
          <w:rFonts w:eastAsia="Calibri"/>
        </w:rPr>
      </w:pPr>
      <w:r w:rsidRPr="00877DDB">
        <w:rPr>
          <w:rFonts w:eastAsia="Calibri"/>
        </w:rPr>
        <w:t>The EIM Entity SC shall submit meter in alignment with T+55B Recalculation Statement (Final Meter Submittal T+48B)</w:t>
      </w:r>
      <w:r w:rsidR="00A57C6B">
        <w:rPr>
          <w:rFonts w:eastAsia="Calibri"/>
        </w:rPr>
        <w:t>.</w:t>
      </w:r>
    </w:p>
    <w:p w14:paraId="34C36B06" w14:textId="7317F1C7" w:rsidR="00A57C6B" w:rsidRPr="00877DDB" w:rsidRDefault="004A54C4" w:rsidP="000F0531">
      <w:pPr>
        <w:pStyle w:val="ListParagraph"/>
        <w:numPr>
          <w:ilvl w:val="0"/>
          <w:numId w:val="30"/>
        </w:numPr>
        <w:rPr>
          <w:rFonts w:eastAsia="Calibri"/>
        </w:rPr>
      </w:pPr>
      <w:r w:rsidRPr="00877DDB">
        <w:rPr>
          <w:rFonts w:eastAsia="Calibri"/>
        </w:rPr>
        <w:t>EIM E</w:t>
      </w:r>
      <w:r w:rsidR="008817D0" w:rsidRPr="00877DDB">
        <w:rPr>
          <w:rFonts w:eastAsia="Calibri"/>
        </w:rPr>
        <w:t>ntity SC shall submit the meter equal to the total expected energy for all the EIM Entity BAA resources.</w:t>
      </w:r>
    </w:p>
    <w:p w14:paraId="47EDA670" w14:textId="77777777" w:rsidR="008817D0" w:rsidRPr="00877DDB" w:rsidRDefault="008817D0" w:rsidP="000F0531">
      <w:pPr>
        <w:pStyle w:val="ListParagraph"/>
        <w:numPr>
          <w:ilvl w:val="0"/>
          <w:numId w:val="30"/>
        </w:numPr>
        <w:rPr>
          <w:rFonts w:eastAsia="Calibri"/>
        </w:rPr>
      </w:pPr>
      <w:r w:rsidRPr="00877DDB">
        <w:rPr>
          <w:rFonts w:eastAsia="Calibri"/>
        </w:rPr>
        <w:t>As normal process, the settlement produces statements at T+3B and T+12B using estimation of meter, which is the total expected energy from the market. If an EIM Entity BAA activates the separation flag, the expected energy calculated fro</w:t>
      </w:r>
      <w:r w:rsidR="000B6D3C" w:rsidRPr="00877DDB">
        <w:rPr>
          <w:rFonts w:eastAsia="Calibri"/>
        </w:rPr>
        <w:t>m the market will equal to the Base S</w:t>
      </w:r>
      <w:r w:rsidRPr="00877DDB">
        <w:rPr>
          <w:rFonts w:eastAsia="Calibri"/>
        </w:rPr>
        <w:t>chedule for all t</w:t>
      </w:r>
      <w:r w:rsidR="00A30AD7" w:rsidRPr="00877DDB">
        <w:rPr>
          <w:rFonts w:eastAsia="Calibri"/>
        </w:rPr>
        <w:t xml:space="preserve">he resources/loads/interties that </w:t>
      </w:r>
      <w:r w:rsidRPr="00877DDB">
        <w:rPr>
          <w:rFonts w:eastAsia="Calibri"/>
        </w:rPr>
        <w:t>belong to this BAA. Therefore, the est</w:t>
      </w:r>
      <w:r w:rsidR="000B6D3C" w:rsidRPr="00877DDB">
        <w:rPr>
          <w:rFonts w:eastAsia="Calibri"/>
        </w:rPr>
        <w:t>imation of meter will equal to Base S</w:t>
      </w:r>
      <w:r w:rsidRPr="00877DDB">
        <w:rPr>
          <w:rFonts w:eastAsia="Calibri"/>
        </w:rPr>
        <w:t xml:space="preserve">chedule. The EIM imbalance energy will equal to zero. </w:t>
      </w:r>
    </w:p>
    <w:p w14:paraId="0316E7B0" w14:textId="77777777" w:rsidR="008817D0" w:rsidRPr="008817D0" w:rsidRDefault="008817D0" w:rsidP="008817D0">
      <w:pPr>
        <w:spacing w:after="240" w:line="300" w:lineRule="auto"/>
        <w:rPr>
          <w:rFonts w:eastAsia="Calibri"/>
        </w:rPr>
      </w:pPr>
      <w:r w:rsidRPr="008817D0">
        <w:rPr>
          <w:rFonts w:eastAsia="Calibri"/>
          <w:b/>
        </w:rPr>
        <w:t>Note:</w:t>
      </w:r>
      <w:r w:rsidR="004A54C4">
        <w:rPr>
          <w:rFonts w:eastAsia="Calibri"/>
        </w:rPr>
        <w:t xml:space="preserve"> </w:t>
      </w:r>
      <w:r w:rsidR="00705653">
        <w:rPr>
          <w:rFonts w:eastAsia="Calibri"/>
        </w:rPr>
        <w:t xml:space="preserve">The </w:t>
      </w:r>
      <w:r w:rsidR="004A54C4">
        <w:rPr>
          <w:rFonts w:eastAsia="Calibri"/>
        </w:rPr>
        <w:t>EIM E</w:t>
      </w:r>
      <w:r w:rsidR="000B6D3C">
        <w:rPr>
          <w:rFonts w:eastAsia="Calibri"/>
        </w:rPr>
        <w:t xml:space="preserve">ntity </w:t>
      </w:r>
      <w:r w:rsidR="0084748A">
        <w:rPr>
          <w:rFonts w:eastAsia="Calibri"/>
        </w:rPr>
        <w:t xml:space="preserve">will be </w:t>
      </w:r>
      <w:r w:rsidR="000B6D3C">
        <w:rPr>
          <w:rFonts w:eastAsia="Calibri"/>
        </w:rPr>
        <w:t>responsible for Base S</w:t>
      </w:r>
      <w:r w:rsidRPr="008817D0">
        <w:rPr>
          <w:rFonts w:eastAsia="Calibri"/>
        </w:rPr>
        <w:t>chedule, meter submission, and imbalance energy settlement if the meter is not e</w:t>
      </w:r>
      <w:r w:rsidR="000B6D3C">
        <w:rPr>
          <w:rFonts w:eastAsia="Calibri"/>
        </w:rPr>
        <w:t>qual to the Base S</w:t>
      </w:r>
      <w:r w:rsidR="009879C4">
        <w:rPr>
          <w:rFonts w:eastAsia="Calibri"/>
        </w:rPr>
        <w:t>chedule.</w:t>
      </w:r>
    </w:p>
    <w:p w14:paraId="20C30BFA" w14:textId="77777777" w:rsidR="008817D0" w:rsidRPr="008817D0" w:rsidRDefault="008817D0" w:rsidP="00C33762">
      <w:pPr>
        <w:pStyle w:val="Heading2"/>
        <w:rPr>
          <w:rFonts w:eastAsia="Calibri"/>
        </w:rPr>
      </w:pPr>
      <w:bookmarkStart w:id="2017" w:name="_Toc390869291"/>
      <w:bookmarkStart w:id="2018" w:name="_Toc390946304"/>
      <w:bookmarkStart w:id="2019" w:name="_Toc391969865"/>
      <w:bookmarkStart w:id="2020" w:name="_Toc20384138"/>
      <w:r w:rsidRPr="008817D0">
        <w:rPr>
          <w:rFonts w:eastAsia="Calibri"/>
        </w:rPr>
        <w:t>Advanced Load Forecasting System (</w:t>
      </w:r>
      <w:bookmarkStart w:id="2021" w:name="_Toc390868431"/>
      <w:bookmarkStart w:id="2022" w:name="_Toc390869292"/>
      <w:bookmarkStart w:id="2023" w:name="_Toc390868432"/>
      <w:bookmarkStart w:id="2024" w:name="_Toc390869293"/>
      <w:bookmarkStart w:id="2025" w:name="_Toc390868435"/>
      <w:bookmarkStart w:id="2026" w:name="_Toc390869296"/>
      <w:bookmarkStart w:id="2027" w:name="_Toc390868437"/>
      <w:bookmarkStart w:id="2028" w:name="_Toc390869298"/>
      <w:bookmarkStart w:id="2029" w:name="_Toc390868438"/>
      <w:bookmarkStart w:id="2030" w:name="_Toc390869299"/>
      <w:bookmarkStart w:id="2031" w:name="_Toc390868439"/>
      <w:bookmarkStart w:id="2032" w:name="_Toc390869300"/>
      <w:bookmarkStart w:id="2033" w:name="_Toc390868441"/>
      <w:bookmarkStart w:id="2034" w:name="_Toc390869302"/>
      <w:bookmarkStart w:id="2035" w:name="_Toc390868442"/>
      <w:bookmarkStart w:id="2036" w:name="_Toc390869303"/>
      <w:bookmarkStart w:id="2037" w:name="_Toc390868443"/>
      <w:bookmarkStart w:id="2038" w:name="_Toc390869304"/>
      <w:bookmarkStart w:id="2039" w:name="_Toc390868444"/>
      <w:bookmarkStart w:id="2040" w:name="_Toc390869305"/>
      <w:bookmarkStart w:id="2041" w:name="_Toc390868445"/>
      <w:bookmarkStart w:id="2042" w:name="_Toc390869306"/>
      <w:bookmarkStart w:id="2043" w:name="_Toc390868446"/>
      <w:bookmarkStart w:id="2044" w:name="_Toc390869307"/>
      <w:bookmarkStart w:id="2045" w:name="_Toc390868448"/>
      <w:bookmarkStart w:id="2046" w:name="_Toc390869309"/>
      <w:bookmarkStart w:id="2047" w:name="_Toc390868453"/>
      <w:bookmarkStart w:id="2048" w:name="_Toc390869314"/>
      <w:bookmarkStart w:id="2049" w:name="_Toc390868454"/>
      <w:bookmarkStart w:id="2050" w:name="_Toc390869315"/>
      <w:bookmarkStart w:id="2051" w:name="_Toc390868455"/>
      <w:bookmarkStart w:id="2052" w:name="_Toc390869316"/>
      <w:bookmarkStart w:id="2053" w:name="_Toc390868456"/>
      <w:bookmarkStart w:id="2054" w:name="_Toc390869317"/>
      <w:bookmarkStart w:id="2055" w:name="_Toc390868457"/>
      <w:bookmarkStart w:id="2056" w:name="_Toc390869318"/>
      <w:bookmarkStart w:id="2057" w:name="_Toc390868458"/>
      <w:bookmarkStart w:id="2058" w:name="_Toc390869319"/>
      <w:bookmarkStart w:id="2059" w:name="_Toc390868459"/>
      <w:bookmarkStart w:id="2060" w:name="_Toc390869320"/>
      <w:bookmarkStart w:id="2061" w:name="_Toc390868460"/>
      <w:bookmarkStart w:id="2062" w:name="_Toc390869321"/>
      <w:bookmarkStart w:id="2063" w:name="_Toc390868464"/>
      <w:bookmarkStart w:id="2064" w:name="_Toc390869325"/>
      <w:bookmarkStart w:id="2065" w:name="_Toc390868468"/>
      <w:bookmarkStart w:id="2066" w:name="_Toc390869329"/>
      <w:bookmarkStart w:id="2067" w:name="_Toc390868469"/>
      <w:bookmarkStart w:id="2068" w:name="_Toc390869330"/>
      <w:bookmarkStart w:id="2069" w:name="_Toc390868470"/>
      <w:bookmarkStart w:id="2070" w:name="_Toc390869331"/>
      <w:bookmarkStart w:id="2071" w:name="_Toc390868471"/>
      <w:bookmarkStart w:id="2072" w:name="_Toc390869332"/>
      <w:bookmarkStart w:id="2073" w:name="_Toc390868475"/>
      <w:bookmarkStart w:id="2074" w:name="_Toc390869336"/>
      <w:bookmarkStart w:id="2075" w:name="_Toc390868478"/>
      <w:bookmarkStart w:id="2076" w:name="_Toc390869339"/>
      <w:bookmarkStart w:id="2077" w:name="_Toc390868479"/>
      <w:bookmarkStart w:id="2078" w:name="_Toc390869340"/>
      <w:bookmarkStart w:id="2079" w:name="_Toc390868481"/>
      <w:bookmarkStart w:id="2080" w:name="_Toc390869342"/>
      <w:bookmarkStart w:id="2081" w:name="_Toc390869344"/>
      <w:bookmarkEnd w:id="2017"/>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r w:rsidRPr="008817D0">
        <w:rPr>
          <w:rFonts w:eastAsia="Calibri"/>
        </w:rPr>
        <w:t>ALFS)</w:t>
      </w:r>
      <w:bookmarkEnd w:id="2018"/>
      <w:bookmarkEnd w:id="2019"/>
      <w:bookmarkEnd w:id="2081"/>
      <w:bookmarkEnd w:id="2020"/>
      <w:r w:rsidRPr="008817D0">
        <w:rPr>
          <w:rFonts w:eastAsia="Calibri"/>
        </w:rPr>
        <w:t xml:space="preserve"> </w:t>
      </w:r>
    </w:p>
    <w:p w14:paraId="75AF42C5" w14:textId="77777777" w:rsidR="00560AD6" w:rsidRPr="00E42D61" w:rsidRDefault="008817D0" w:rsidP="00C33762">
      <w:pPr>
        <w:pStyle w:val="Heading3"/>
        <w:rPr>
          <w:rFonts w:eastAsia="Calibri"/>
        </w:rPr>
      </w:pPr>
      <w:bookmarkStart w:id="2082" w:name="_Toc390869345"/>
      <w:bookmarkStart w:id="2083" w:name="_Toc390946305"/>
      <w:bookmarkStart w:id="2084" w:name="_Toc391969866"/>
      <w:bookmarkStart w:id="2085" w:name="_Toc20384139"/>
      <w:r w:rsidRPr="008817D0">
        <w:rPr>
          <w:rFonts w:eastAsia="Calibri"/>
        </w:rPr>
        <w:t xml:space="preserve">Requirements </w:t>
      </w:r>
      <w:r w:rsidR="00560AD6">
        <w:rPr>
          <w:rFonts w:eastAsia="Calibri"/>
        </w:rPr>
        <w:t>for Load</w:t>
      </w:r>
      <w:r w:rsidRPr="008817D0">
        <w:rPr>
          <w:rFonts w:eastAsia="Calibri"/>
        </w:rPr>
        <w:t xml:space="preserve"> Forecasting</w:t>
      </w:r>
      <w:bookmarkEnd w:id="2082"/>
      <w:bookmarkEnd w:id="2083"/>
      <w:bookmarkEnd w:id="2084"/>
      <w:bookmarkEnd w:id="2085"/>
    </w:p>
    <w:p w14:paraId="5FA18550" w14:textId="77777777" w:rsidR="00560AD6" w:rsidRDefault="006276DD" w:rsidP="00BA2E6E">
      <w:pPr>
        <w:pStyle w:val="ParaText"/>
        <w:rPr>
          <w:rFonts w:cs="Arial"/>
        </w:rPr>
      </w:pPr>
      <w:r>
        <w:rPr>
          <w:rFonts w:cs="Arial"/>
        </w:rPr>
        <w:t>CA</w:t>
      </w:r>
      <w:r w:rsidR="00560AD6">
        <w:rPr>
          <w:rFonts w:cs="Arial"/>
        </w:rPr>
        <w:t>ISO forecasts load d</w:t>
      </w:r>
      <w:r w:rsidR="00560AD6" w:rsidRPr="00DD04FE">
        <w:rPr>
          <w:rFonts w:cs="Arial"/>
        </w:rPr>
        <w:t xml:space="preserve">emand for each hour of the next </w:t>
      </w:r>
      <w:r w:rsidR="00E047D3">
        <w:rPr>
          <w:rFonts w:cs="Arial"/>
        </w:rPr>
        <w:t>nine</w:t>
      </w:r>
      <w:r w:rsidR="008475B8">
        <w:rPr>
          <w:rFonts w:cs="Arial"/>
        </w:rPr>
        <w:t xml:space="preserve"> Operating D</w:t>
      </w:r>
      <w:r w:rsidR="00560AD6" w:rsidRPr="00DD04FE">
        <w:rPr>
          <w:rFonts w:cs="Arial"/>
        </w:rPr>
        <w:t>ay</w:t>
      </w:r>
      <w:r w:rsidR="00560AD6">
        <w:rPr>
          <w:rFonts w:cs="Arial"/>
        </w:rPr>
        <w:t>s</w:t>
      </w:r>
      <w:r w:rsidR="00560AD6" w:rsidRPr="00DD04FE">
        <w:rPr>
          <w:rFonts w:cs="Arial"/>
        </w:rPr>
        <w:t xml:space="preserve"> utilizing </w:t>
      </w:r>
      <w:r w:rsidR="00560AD6">
        <w:rPr>
          <w:rFonts w:cs="Arial"/>
        </w:rPr>
        <w:t xml:space="preserve">advanced utility industry accepted </w:t>
      </w:r>
      <w:r w:rsidR="00560AD6" w:rsidRPr="00DD04FE">
        <w:rPr>
          <w:rFonts w:cs="Arial"/>
        </w:rPr>
        <w:t>neural-network forecasting soft</w:t>
      </w:r>
      <w:r w:rsidR="00560AD6">
        <w:rPr>
          <w:rFonts w:cs="Arial"/>
        </w:rPr>
        <w:t>ware</w:t>
      </w:r>
      <w:r w:rsidR="00560AD6" w:rsidRPr="00EF5310">
        <w:rPr>
          <w:rFonts w:cs="Arial"/>
        </w:rPr>
        <w:t xml:space="preserve"> </w:t>
      </w:r>
      <w:r w:rsidR="00560AD6">
        <w:rPr>
          <w:rFonts w:cs="Arial"/>
        </w:rPr>
        <w:t>f</w:t>
      </w:r>
      <w:r w:rsidR="00560AD6" w:rsidRPr="00DD04FE">
        <w:rPr>
          <w:rFonts w:cs="Arial"/>
        </w:rPr>
        <w:t>or each</w:t>
      </w:r>
      <w:r w:rsidR="00560AD6">
        <w:rPr>
          <w:rFonts w:cs="Arial"/>
        </w:rPr>
        <w:t xml:space="preserve"> </w:t>
      </w:r>
      <w:r w:rsidR="00560AD6" w:rsidRPr="00DD04FE">
        <w:rPr>
          <w:rFonts w:cs="Arial"/>
        </w:rPr>
        <w:t xml:space="preserve">load forecast zone. </w:t>
      </w:r>
      <w:r w:rsidR="00560AD6">
        <w:rPr>
          <w:rFonts w:cs="Arial"/>
        </w:rPr>
        <w:t>In order to accurately forecast the load zone, the software requires historical load profiles and utilizes an ensemble of</w:t>
      </w:r>
      <w:r w:rsidR="00560AD6" w:rsidRPr="00DD04FE">
        <w:rPr>
          <w:rFonts w:cs="Arial"/>
        </w:rPr>
        <w:t xml:space="preserve"> weather forecasting data sources </w:t>
      </w:r>
      <w:r w:rsidR="00560AD6">
        <w:rPr>
          <w:rFonts w:cs="Arial"/>
        </w:rPr>
        <w:t>for each zone</w:t>
      </w:r>
      <w:r w:rsidR="00560AD6" w:rsidRPr="00DD04FE">
        <w:rPr>
          <w:rFonts w:cs="Arial"/>
        </w:rPr>
        <w:t>.</w:t>
      </w:r>
    </w:p>
    <w:p w14:paraId="528430BE" w14:textId="77777777" w:rsidR="00560AD6" w:rsidRPr="00560AD6" w:rsidRDefault="006276DD" w:rsidP="00560AD6">
      <w:pPr>
        <w:pStyle w:val="ParaText"/>
        <w:rPr>
          <w:rFonts w:eastAsia="Calibri"/>
        </w:rPr>
      </w:pPr>
      <w:r>
        <w:rPr>
          <w:rFonts w:cs="Arial"/>
        </w:rPr>
        <w:t>CA</w:t>
      </w:r>
      <w:r w:rsidR="00E047D3">
        <w:rPr>
          <w:rFonts w:cs="Arial"/>
        </w:rPr>
        <w:t xml:space="preserve">ISO’s forecasting software </w:t>
      </w:r>
      <w:r w:rsidR="00560AD6">
        <w:rPr>
          <w:rFonts w:cs="Arial"/>
        </w:rPr>
        <w:t>requires the following:</w:t>
      </w:r>
    </w:p>
    <w:p w14:paraId="344ECB55" w14:textId="77777777" w:rsidR="008817D0" w:rsidRPr="008817D0" w:rsidRDefault="008817D0" w:rsidP="000F0531">
      <w:pPr>
        <w:numPr>
          <w:ilvl w:val="0"/>
          <w:numId w:val="25"/>
        </w:numPr>
        <w:ind w:left="1080"/>
        <w:rPr>
          <w:rFonts w:eastAsia="Calibri"/>
        </w:rPr>
      </w:pPr>
      <w:r w:rsidRPr="008817D0">
        <w:rPr>
          <w:rFonts w:eastAsia="Calibri"/>
        </w:rPr>
        <w:t>Define</w:t>
      </w:r>
      <w:r w:rsidR="00560AD6">
        <w:rPr>
          <w:rFonts w:eastAsia="Calibri"/>
        </w:rPr>
        <w:t>d</w:t>
      </w:r>
      <w:r w:rsidRPr="008817D0">
        <w:rPr>
          <w:rFonts w:eastAsia="Calibri"/>
        </w:rPr>
        <w:t xml:space="preserve"> EIM Entity Balancing Authority Areas</w:t>
      </w:r>
      <w:r w:rsidR="00417DC8">
        <w:rPr>
          <w:rFonts w:eastAsia="Calibri"/>
        </w:rPr>
        <w:t xml:space="preserve"> </w:t>
      </w:r>
      <w:r w:rsidR="00560AD6">
        <w:rPr>
          <w:rFonts w:eastAsia="Calibri"/>
        </w:rPr>
        <w:t>to fo</w:t>
      </w:r>
      <w:r w:rsidRPr="008817D0">
        <w:rPr>
          <w:rFonts w:eastAsia="Calibri"/>
        </w:rPr>
        <w:t>recast.</w:t>
      </w:r>
    </w:p>
    <w:p w14:paraId="4DDB3B58" w14:textId="77777777" w:rsidR="008817D0" w:rsidRPr="008817D0" w:rsidRDefault="00560AD6" w:rsidP="000F0531">
      <w:pPr>
        <w:numPr>
          <w:ilvl w:val="0"/>
          <w:numId w:val="25"/>
        </w:numPr>
        <w:ind w:left="1080"/>
        <w:rPr>
          <w:rFonts w:eastAsia="Calibri"/>
        </w:rPr>
      </w:pPr>
      <w:r>
        <w:rPr>
          <w:rFonts w:eastAsia="Calibri"/>
        </w:rPr>
        <w:t xml:space="preserve">Defined  national </w:t>
      </w:r>
      <w:r w:rsidR="008817D0" w:rsidRPr="008817D0">
        <w:rPr>
          <w:rFonts w:eastAsia="Calibri"/>
        </w:rPr>
        <w:t xml:space="preserve"> weather stations within EIM Entity Balancing Authority Areas</w:t>
      </w:r>
    </w:p>
    <w:p w14:paraId="6E807309" w14:textId="77777777" w:rsidR="008817D0" w:rsidRPr="008817D0" w:rsidRDefault="008817D0" w:rsidP="000F0531">
      <w:pPr>
        <w:numPr>
          <w:ilvl w:val="0"/>
          <w:numId w:val="26"/>
        </w:numPr>
        <w:ind w:left="1800"/>
        <w:rPr>
          <w:rFonts w:eastAsia="Calibri"/>
        </w:rPr>
      </w:pPr>
      <w:r w:rsidRPr="008817D0">
        <w:rPr>
          <w:rFonts w:eastAsia="Calibri"/>
        </w:rPr>
        <w:t xml:space="preserve">CAISO will </w:t>
      </w:r>
      <w:r w:rsidR="00E047D3">
        <w:rPr>
          <w:rFonts w:eastAsia="Calibri"/>
        </w:rPr>
        <w:t xml:space="preserve">contract to </w:t>
      </w:r>
      <w:r w:rsidRPr="008817D0">
        <w:rPr>
          <w:rFonts w:eastAsia="Calibri"/>
        </w:rPr>
        <w:t>r</w:t>
      </w:r>
      <w:r w:rsidR="00E047D3">
        <w:rPr>
          <w:rFonts w:eastAsia="Calibri"/>
        </w:rPr>
        <w:t xml:space="preserve">eceive hourly weather data from </w:t>
      </w:r>
      <w:r w:rsidRPr="008817D0">
        <w:rPr>
          <w:rFonts w:eastAsia="Calibri"/>
        </w:rPr>
        <w:t>weather forecast vendor</w:t>
      </w:r>
      <w:r w:rsidR="00E047D3">
        <w:rPr>
          <w:rFonts w:eastAsia="Calibri"/>
        </w:rPr>
        <w:t xml:space="preserve"> (s) for</w:t>
      </w:r>
      <w:r w:rsidRPr="008817D0">
        <w:rPr>
          <w:rFonts w:eastAsia="Calibri"/>
        </w:rPr>
        <w:t xml:space="preserve"> stations</w:t>
      </w:r>
      <w:r w:rsidR="00E047D3">
        <w:rPr>
          <w:rFonts w:eastAsia="Calibri"/>
        </w:rPr>
        <w:t xml:space="preserve"> and historical weather data</w:t>
      </w:r>
      <w:r w:rsidRPr="008817D0">
        <w:rPr>
          <w:rFonts w:eastAsia="Calibri"/>
        </w:rPr>
        <w:t>, to use as an input for EIM load forecast.</w:t>
      </w:r>
    </w:p>
    <w:p w14:paraId="50CA18D4" w14:textId="77777777" w:rsidR="008817D0" w:rsidRPr="008817D0" w:rsidRDefault="00560AD6" w:rsidP="000F0531">
      <w:pPr>
        <w:numPr>
          <w:ilvl w:val="0"/>
          <w:numId w:val="27"/>
        </w:numPr>
        <w:rPr>
          <w:rFonts w:eastAsia="Calibri"/>
        </w:rPr>
      </w:pPr>
      <w:r>
        <w:rPr>
          <w:rFonts w:eastAsia="Calibri"/>
        </w:rPr>
        <w:t>T</w:t>
      </w:r>
      <w:r w:rsidR="008817D0" w:rsidRPr="008817D0">
        <w:rPr>
          <w:rFonts w:eastAsia="Calibri"/>
        </w:rPr>
        <w:t xml:space="preserve">he five-minute average historical load data (at least two years) to train the forecast </w:t>
      </w:r>
      <w:r w:rsidR="00E047D3">
        <w:rPr>
          <w:rFonts w:eastAsia="Calibri"/>
        </w:rPr>
        <w:t>software</w:t>
      </w:r>
      <w:r w:rsidR="008817D0" w:rsidRPr="008817D0">
        <w:rPr>
          <w:rFonts w:eastAsia="Calibri"/>
        </w:rPr>
        <w:t>.</w:t>
      </w:r>
    </w:p>
    <w:p w14:paraId="742760E4" w14:textId="77777777" w:rsidR="008817D0" w:rsidRPr="00E047D3" w:rsidRDefault="008817D0" w:rsidP="000F0531">
      <w:pPr>
        <w:numPr>
          <w:ilvl w:val="0"/>
          <w:numId w:val="27"/>
        </w:numPr>
        <w:rPr>
          <w:rFonts w:eastAsia="Calibri"/>
        </w:rPr>
      </w:pPr>
      <w:r w:rsidRPr="008817D0">
        <w:rPr>
          <w:rFonts w:eastAsia="Calibri"/>
        </w:rPr>
        <w:t>PI tag</w:t>
      </w:r>
      <w:r w:rsidR="00E047D3">
        <w:rPr>
          <w:rFonts w:eastAsia="Calibri"/>
        </w:rPr>
        <w:t>s</w:t>
      </w:r>
      <w:r w:rsidRPr="008817D0">
        <w:rPr>
          <w:rFonts w:eastAsia="Calibri"/>
        </w:rPr>
        <w:t xml:space="preserve"> for EIM load data </w:t>
      </w:r>
      <w:r w:rsidR="00E047D3">
        <w:rPr>
          <w:rFonts w:eastAsia="Calibri"/>
        </w:rPr>
        <w:t xml:space="preserve">points </w:t>
      </w:r>
      <w:r w:rsidRPr="008817D0">
        <w:rPr>
          <w:rFonts w:eastAsia="Calibri"/>
        </w:rPr>
        <w:t xml:space="preserve">as input to </w:t>
      </w:r>
      <w:r w:rsidR="00E047D3">
        <w:rPr>
          <w:rFonts w:eastAsia="Calibri"/>
        </w:rPr>
        <w:t>collect</w:t>
      </w:r>
      <w:r w:rsidRPr="008817D0">
        <w:rPr>
          <w:rFonts w:eastAsia="Calibri"/>
        </w:rPr>
        <w:t xml:space="preserve"> five-minute a</w:t>
      </w:r>
      <w:r w:rsidR="00E047D3">
        <w:rPr>
          <w:rFonts w:eastAsia="Calibri"/>
        </w:rPr>
        <w:t>verage data that feeds into software</w:t>
      </w:r>
      <w:r w:rsidRPr="008817D0">
        <w:rPr>
          <w:rFonts w:eastAsia="Calibri"/>
        </w:rPr>
        <w:t>.</w:t>
      </w:r>
    </w:p>
    <w:p w14:paraId="25BD0FE7" w14:textId="77777777" w:rsidR="008817D0" w:rsidRPr="00E42D61" w:rsidRDefault="00E047D3" w:rsidP="00E42D61">
      <w:pPr>
        <w:pStyle w:val="ParaText"/>
        <w:rPr>
          <w:rFonts w:cs="Arial"/>
        </w:rPr>
      </w:pPr>
      <w:r>
        <w:rPr>
          <w:rFonts w:eastAsia="Calibri"/>
        </w:rPr>
        <w:t xml:space="preserve">Using the </w:t>
      </w:r>
      <w:r w:rsidR="008E2A30">
        <w:rPr>
          <w:rFonts w:eastAsia="Calibri"/>
        </w:rPr>
        <w:t xml:space="preserve">above data for </w:t>
      </w:r>
      <w:r w:rsidR="006B2722">
        <w:rPr>
          <w:rFonts w:eastAsia="Calibri"/>
        </w:rPr>
        <w:t>input into</w:t>
      </w:r>
      <w:r w:rsidR="008E2A30">
        <w:rPr>
          <w:rFonts w:eastAsia="Calibri"/>
        </w:rPr>
        <w:t xml:space="preserve"> the </w:t>
      </w:r>
      <w:r w:rsidR="008E2A30" w:rsidRPr="00DD04FE">
        <w:rPr>
          <w:rFonts w:cs="Arial"/>
        </w:rPr>
        <w:t>neural-network forecasting soft</w:t>
      </w:r>
      <w:r w:rsidR="001B06BF">
        <w:rPr>
          <w:rFonts w:cs="Arial"/>
        </w:rPr>
        <w:t xml:space="preserve">ware, </w:t>
      </w:r>
      <w:r w:rsidR="006276DD">
        <w:rPr>
          <w:rFonts w:cs="Arial"/>
        </w:rPr>
        <w:t>CA</w:t>
      </w:r>
      <w:r w:rsidR="008E2A30">
        <w:rPr>
          <w:rFonts w:cs="Arial"/>
        </w:rPr>
        <w:t>ISO will create and continually monitor</w:t>
      </w:r>
      <w:r w:rsidR="008E2A30" w:rsidRPr="00DD04FE">
        <w:rPr>
          <w:rFonts w:cs="Arial"/>
        </w:rPr>
        <w:t xml:space="preserve"> its </w:t>
      </w:r>
      <w:r w:rsidR="008E2A30">
        <w:rPr>
          <w:rFonts w:cs="Arial"/>
        </w:rPr>
        <w:t xml:space="preserve">load and weather forecasting </w:t>
      </w:r>
      <w:r w:rsidR="008E2A30" w:rsidRPr="00DD04FE">
        <w:rPr>
          <w:rFonts w:cs="Arial"/>
        </w:rPr>
        <w:t>results to ensure the average forecast error is minimized.</w:t>
      </w:r>
    </w:p>
    <w:p w14:paraId="6117DB2C" w14:textId="77777777" w:rsidR="008817D0" w:rsidRPr="008817D0" w:rsidRDefault="008817D0" w:rsidP="00C33762">
      <w:pPr>
        <w:pStyle w:val="Heading2"/>
        <w:rPr>
          <w:rFonts w:eastAsia="Calibri"/>
        </w:rPr>
      </w:pPr>
      <w:bookmarkStart w:id="2086" w:name="_Toc390869347"/>
      <w:bookmarkStart w:id="2087" w:name="_Toc390946306"/>
      <w:r w:rsidRPr="008817D0">
        <w:rPr>
          <w:rFonts w:eastAsia="Calibri"/>
        </w:rPr>
        <w:t xml:space="preserve"> </w:t>
      </w:r>
      <w:bookmarkStart w:id="2088" w:name="_Toc391969867"/>
      <w:bookmarkStart w:id="2089" w:name="_Toc20384140"/>
      <w:r w:rsidRPr="008817D0">
        <w:rPr>
          <w:rFonts w:eastAsia="Calibri"/>
        </w:rPr>
        <w:t>Variable Energy Resource (VERs)</w:t>
      </w:r>
      <w:bookmarkEnd w:id="2086"/>
      <w:bookmarkEnd w:id="2087"/>
      <w:bookmarkEnd w:id="2088"/>
      <w:bookmarkEnd w:id="2089"/>
    </w:p>
    <w:p w14:paraId="6B40010C" w14:textId="77777777" w:rsidR="008817D0" w:rsidRPr="008817D0" w:rsidRDefault="008817D0" w:rsidP="008817D0">
      <w:pPr>
        <w:spacing w:after="240" w:line="300" w:lineRule="auto"/>
        <w:rPr>
          <w:rFonts w:eastAsia="Calibri"/>
        </w:rPr>
      </w:pPr>
      <w:r w:rsidRPr="008817D0">
        <w:rPr>
          <w:rFonts w:eastAsia="Calibri"/>
        </w:rPr>
        <w:t>This section is based on CAISO Tariff Sections 4.6.1.1, 4.8, 9.3.10</w:t>
      </w:r>
      <w:r w:rsidR="00524213">
        <w:rPr>
          <w:rFonts w:eastAsia="Calibri"/>
        </w:rPr>
        <w:t>;</w:t>
      </w:r>
      <w:r w:rsidRPr="008817D0">
        <w:rPr>
          <w:rFonts w:eastAsia="Calibri"/>
        </w:rPr>
        <w:t xml:space="preserve"> Appendix F</w:t>
      </w:r>
      <w:r w:rsidR="00524213">
        <w:rPr>
          <w:rFonts w:eastAsia="Calibri"/>
        </w:rPr>
        <w:t xml:space="preserve">, </w:t>
      </w:r>
      <w:r w:rsidRPr="00FA595A">
        <w:rPr>
          <w:rFonts w:eastAsia="Calibri"/>
          <w:i/>
        </w:rPr>
        <w:t>Rate Schedules</w:t>
      </w:r>
      <w:r w:rsidR="00524213">
        <w:rPr>
          <w:rFonts w:eastAsia="Calibri"/>
        </w:rPr>
        <w:t>;</w:t>
      </w:r>
      <w:r w:rsidRPr="008817D0">
        <w:rPr>
          <w:rFonts w:eastAsia="Calibri"/>
        </w:rPr>
        <w:t xml:space="preserve"> and Appendix Q</w:t>
      </w:r>
      <w:r w:rsidR="00524213">
        <w:rPr>
          <w:rFonts w:eastAsia="Calibri"/>
        </w:rPr>
        <w:t xml:space="preserve">, </w:t>
      </w:r>
      <w:r w:rsidRPr="00FA595A">
        <w:rPr>
          <w:rFonts w:eastAsia="Calibri"/>
          <w:i/>
        </w:rPr>
        <w:t>Eligible Intermittent Resources Protocol (EIRP</w:t>
      </w:r>
      <w:r w:rsidRPr="008817D0">
        <w:rPr>
          <w:rFonts w:eastAsia="Calibri"/>
        </w:rPr>
        <w:t>).</w:t>
      </w:r>
    </w:p>
    <w:p w14:paraId="11750FF0" w14:textId="77777777" w:rsidR="008817D0" w:rsidRPr="008817D0" w:rsidRDefault="008817D0" w:rsidP="00C33762">
      <w:pPr>
        <w:pStyle w:val="Heading3"/>
        <w:rPr>
          <w:rFonts w:eastAsia="Calibri"/>
        </w:rPr>
      </w:pPr>
      <w:bookmarkStart w:id="2090" w:name="_Toc390868495"/>
      <w:bookmarkStart w:id="2091" w:name="_Toc390869356"/>
      <w:bookmarkStart w:id="2092" w:name="_Toc390868497"/>
      <w:bookmarkStart w:id="2093" w:name="_Toc390869358"/>
      <w:bookmarkStart w:id="2094" w:name="_Toc390868498"/>
      <w:bookmarkStart w:id="2095" w:name="_Toc390869359"/>
      <w:bookmarkStart w:id="2096" w:name="_Toc390868501"/>
      <w:bookmarkStart w:id="2097" w:name="_Toc390869362"/>
      <w:bookmarkStart w:id="2098" w:name="_Toc390868506"/>
      <w:bookmarkStart w:id="2099" w:name="_Toc390869367"/>
      <w:bookmarkStart w:id="2100" w:name="_Toc390868508"/>
      <w:bookmarkStart w:id="2101" w:name="_Toc390869369"/>
      <w:bookmarkStart w:id="2102" w:name="_Toc390868510"/>
      <w:bookmarkStart w:id="2103" w:name="_Toc390869371"/>
      <w:bookmarkStart w:id="2104" w:name="_Toc390868512"/>
      <w:bookmarkStart w:id="2105" w:name="_Toc390869373"/>
      <w:bookmarkStart w:id="2106" w:name="_Toc390868513"/>
      <w:bookmarkStart w:id="2107" w:name="_Toc390869374"/>
      <w:bookmarkStart w:id="2108" w:name="_Toc390868516"/>
      <w:bookmarkStart w:id="2109" w:name="_Toc390869377"/>
      <w:bookmarkStart w:id="2110" w:name="_Toc390868518"/>
      <w:bookmarkStart w:id="2111" w:name="_Toc390869379"/>
      <w:bookmarkStart w:id="2112" w:name="_Toc390868522"/>
      <w:bookmarkStart w:id="2113" w:name="_Toc390869383"/>
      <w:bookmarkStart w:id="2114" w:name="_Toc390868523"/>
      <w:bookmarkStart w:id="2115" w:name="_Toc390869384"/>
      <w:bookmarkStart w:id="2116" w:name="_Toc390868528"/>
      <w:bookmarkStart w:id="2117" w:name="_Toc390869389"/>
      <w:bookmarkStart w:id="2118" w:name="_Toc390868531"/>
      <w:bookmarkStart w:id="2119" w:name="_Toc390869392"/>
      <w:bookmarkStart w:id="2120" w:name="_Toc390868533"/>
      <w:bookmarkStart w:id="2121" w:name="_Toc390869394"/>
      <w:bookmarkStart w:id="2122" w:name="_Toc390868560"/>
      <w:bookmarkStart w:id="2123" w:name="_Toc390869421"/>
      <w:bookmarkStart w:id="2124" w:name="_Toc390868563"/>
      <w:bookmarkStart w:id="2125" w:name="_Toc390869424"/>
      <w:bookmarkStart w:id="2126" w:name="_Toc390868569"/>
      <w:bookmarkStart w:id="2127" w:name="_Toc390869430"/>
      <w:bookmarkStart w:id="2128" w:name="_Toc390868570"/>
      <w:bookmarkStart w:id="2129" w:name="_Toc390869431"/>
      <w:bookmarkStart w:id="2130" w:name="_Toc390868596"/>
      <w:bookmarkStart w:id="2131" w:name="_Toc390869457"/>
      <w:bookmarkStart w:id="2132" w:name="_Toc390868626"/>
      <w:bookmarkStart w:id="2133" w:name="_Toc390869487"/>
      <w:bookmarkStart w:id="2134" w:name="_Toc390868717"/>
      <w:bookmarkStart w:id="2135" w:name="_Toc390869578"/>
      <w:bookmarkStart w:id="2136" w:name="_Toc390868718"/>
      <w:bookmarkStart w:id="2137" w:name="_Toc390869579"/>
      <w:bookmarkStart w:id="2138" w:name="_Toc390868722"/>
      <w:bookmarkStart w:id="2139" w:name="_Toc390869583"/>
      <w:bookmarkStart w:id="2140" w:name="_Toc390868724"/>
      <w:bookmarkStart w:id="2141" w:name="_Toc390869585"/>
      <w:bookmarkStart w:id="2142" w:name="_Toc390868726"/>
      <w:bookmarkStart w:id="2143" w:name="_Toc390869587"/>
      <w:bookmarkStart w:id="2144" w:name="_Toc390868728"/>
      <w:bookmarkStart w:id="2145" w:name="_Toc390869589"/>
      <w:bookmarkStart w:id="2146" w:name="_Toc390868732"/>
      <w:bookmarkStart w:id="2147" w:name="_Toc390869593"/>
      <w:bookmarkStart w:id="2148" w:name="_Toc390868733"/>
      <w:bookmarkStart w:id="2149" w:name="_Toc390869594"/>
      <w:bookmarkStart w:id="2150" w:name="_Toc390868734"/>
      <w:bookmarkStart w:id="2151" w:name="_Toc390869595"/>
      <w:bookmarkStart w:id="2152" w:name="_Toc390868735"/>
      <w:bookmarkStart w:id="2153" w:name="_Toc390869596"/>
      <w:bookmarkStart w:id="2154" w:name="_Toc390868737"/>
      <w:bookmarkStart w:id="2155" w:name="_Toc390869598"/>
      <w:bookmarkStart w:id="2156" w:name="_Toc390868739"/>
      <w:bookmarkStart w:id="2157" w:name="_Toc390869600"/>
      <w:bookmarkStart w:id="2158" w:name="_Toc390868786"/>
      <w:bookmarkStart w:id="2159" w:name="_Toc390869647"/>
      <w:bookmarkStart w:id="2160" w:name="_Toc390868787"/>
      <w:bookmarkStart w:id="2161" w:name="_Toc390869648"/>
      <w:bookmarkStart w:id="2162" w:name="_Toc390868788"/>
      <w:bookmarkStart w:id="2163" w:name="_Toc390869649"/>
      <w:bookmarkStart w:id="2164" w:name="_Toc390868789"/>
      <w:bookmarkStart w:id="2165" w:name="_Toc390869650"/>
      <w:bookmarkStart w:id="2166" w:name="_Toc390868790"/>
      <w:bookmarkStart w:id="2167" w:name="_Toc390869651"/>
      <w:bookmarkStart w:id="2168" w:name="_Toc390868792"/>
      <w:bookmarkStart w:id="2169" w:name="_Toc390869653"/>
      <w:bookmarkStart w:id="2170" w:name="_Toc390868864"/>
      <w:bookmarkStart w:id="2171" w:name="_Toc390869725"/>
      <w:bookmarkStart w:id="2172" w:name="_Toc390868865"/>
      <w:bookmarkStart w:id="2173" w:name="_Toc390869726"/>
      <w:bookmarkStart w:id="2174" w:name="_Toc390868869"/>
      <w:bookmarkStart w:id="2175" w:name="_Toc390869730"/>
      <w:bookmarkStart w:id="2176" w:name="_Toc390868888"/>
      <w:bookmarkStart w:id="2177" w:name="_Toc390869749"/>
      <w:bookmarkStart w:id="2178" w:name="_Toc390868928"/>
      <w:bookmarkStart w:id="2179" w:name="_Toc390869789"/>
      <w:bookmarkStart w:id="2180" w:name="_Toc390869040"/>
      <w:bookmarkStart w:id="2181" w:name="_Toc390869901"/>
      <w:bookmarkStart w:id="2182" w:name="_Toc390869041"/>
      <w:bookmarkStart w:id="2183" w:name="_Toc390869902"/>
      <w:bookmarkStart w:id="2184" w:name="_Toc390869043"/>
      <w:bookmarkStart w:id="2185" w:name="_Toc390869904"/>
      <w:bookmarkStart w:id="2186" w:name="_Toc390869044"/>
      <w:bookmarkStart w:id="2187" w:name="_Toc390869905"/>
      <w:bookmarkStart w:id="2188" w:name="_Toc390869047"/>
      <w:bookmarkStart w:id="2189" w:name="_Toc390869908"/>
      <w:bookmarkStart w:id="2190" w:name="_Toc390869912"/>
      <w:bookmarkStart w:id="2191" w:name="_Toc390946307"/>
      <w:bookmarkStart w:id="2192" w:name="_Toc391969868"/>
      <w:bookmarkStart w:id="2193" w:name="_Toc20384141"/>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r w:rsidRPr="008817D0">
        <w:rPr>
          <w:rFonts w:eastAsia="Calibri"/>
        </w:rPr>
        <w:t>Forecast Fee</w:t>
      </w:r>
      <w:bookmarkEnd w:id="2190"/>
      <w:bookmarkEnd w:id="2191"/>
      <w:bookmarkEnd w:id="2192"/>
      <w:bookmarkEnd w:id="2193"/>
    </w:p>
    <w:p w14:paraId="52F1374A" w14:textId="77777777" w:rsidR="008817D0" w:rsidRPr="008817D0" w:rsidRDefault="008817D0" w:rsidP="00C33762">
      <w:pPr>
        <w:pStyle w:val="Heading4"/>
        <w:rPr>
          <w:rFonts w:eastAsia="Calibri"/>
        </w:rPr>
      </w:pPr>
      <w:r w:rsidRPr="008817D0">
        <w:rPr>
          <w:rFonts w:eastAsia="Calibri"/>
        </w:rPr>
        <w:t>Variable Energy Resource Forecast Charge</w:t>
      </w:r>
    </w:p>
    <w:p w14:paraId="0AE2E834" w14:textId="2F45A068" w:rsidR="008817D0" w:rsidRPr="008817D0" w:rsidRDefault="008817D0" w:rsidP="00877DDB">
      <w:pPr>
        <w:spacing w:after="240" w:line="300" w:lineRule="auto"/>
        <w:rPr>
          <w:rFonts w:eastAsia="Calibri"/>
        </w:rPr>
      </w:pPr>
      <w:r w:rsidRPr="00877DDB">
        <w:rPr>
          <w:rFonts w:eastAsia="Calibri"/>
        </w:rPr>
        <w:t xml:space="preserve">In </w:t>
      </w:r>
      <w:r w:rsidR="00A57C6B">
        <w:rPr>
          <w:rFonts w:eastAsia="Calibri"/>
        </w:rPr>
        <w:t>g</w:t>
      </w:r>
      <w:r w:rsidRPr="00877DDB">
        <w:rPr>
          <w:rFonts w:eastAsia="Calibri"/>
        </w:rPr>
        <w:t>eneral</w:t>
      </w:r>
      <w:r w:rsidR="00A57C6B">
        <w:rPr>
          <w:rFonts w:eastAsia="Calibri"/>
          <w:b/>
        </w:rPr>
        <w:t xml:space="preserve"> </w:t>
      </w:r>
      <w:r w:rsidRPr="008817D0">
        <w:rPr>
          <w:rFonts w:eastAsia="Calibri"/>
        </w:rPr>
        <w:t>CAISO will charge EIM Entity Scheduling Coordinators and EIM Participating Resource Scheduling Coordinators a fee for the Variable Energy Resource forecasting services in accordance with Appendix F, Schedule 4.</w:t>
      </w:r>
    </w:p>
    <w:p w14:paraId="3DF2CFF5" w14:textId="1D277BD7" w:rsidR="008817D0" w:rsidRPr="008817D0" w:rsidRDefault="008817D0" w:rsidP="00877DDB">
      <w:pPr>
        <w:spacing w:after="240" w:line="300" w:lineRule="auto"/>
        <w:rPr>
          <w:rFonts w:eastAsia="Calibri"/>
        </w:rPr>
      </w:pPr>
      <w:r w:rsidRPr="008817D0">
        <w:rPr>
          <w:rFonts w:eastAsia="Calibri"/>
        </w:rPr>
        <w:t xml:space="preserve">CAISO will waive the Variable Energy Resource forecast charge if an EIM Entity has an independent forecast for its Variable Energy Resources and provides </w:t>
      </w:r>
      <w:r w:rsidR="001B06BF">
        <w:rPr>
          <w:rFonts w:eastAsia="Calibri"/>
        </w:rPr>
        <w:t xml:space="preserve">the independent forecast to </w:t>
      </w:r>
      <w:r w:rsidRPr="008817D0">
        <w:rPr>
          <w:rFonts w:eastAsia="Calibri"/>
        </w:rPr>
        <w:t>CAISO.</w:t>
      </w:r>
    </w:p>
    <w:p w14:paraId="2720C545" w14:textId="77777777" w:rsidR="00BB3052" w:rsidRPr="008817D0" w:rsidRDefault="00BB3052" w:rsidP="00C33762">
      <w:pPr>
        <w:pStyle w:val="Heading3"/>
        <w:rPr>
          <w:rFonts w:eastAsia="Calibri"/>
        </w:rPr>
      </w:pPr>
      <w:bookmarkStart w:id="2194" w:name="_Toc391969869"/>
      <w:bookmarkStart w:id="2195" w:name="_Toc20384142"/>
      <w:r>
        <w:rPr>
          <w:rFonts w:eastAsia="Calibri"/>
        </w:rPr>
        <w:t xml:space="preserve">EIM Variable </w:t>
      </w:r>
      <w:r w:rsidR="00B26B6D">
        <w:rPr>
          <w:rFonts w:eastAsia="Calibri"/>
        </w:rPr>
        <w:t>Energy</w:t>
      </w:r>
      <w:r>
        <w:rPr>
          <w:rFonts w:eastAsia="Calibri"/>
        </w:rPr>
        <w:t xml:space="preserve"> </w:t>
      </w:r>
      <w:r w:rsidR="00B26B6D">
        <w:rPr>
          <w:rFonts w:eastAsia="Calibri"/>
        </w:rPr>
        <w:t>Resource</w:t>
      </w:r>
      <w:r>
        <w:rPr>
          <w:rFonts w:eastAsia="Calibri"/>
        </w:rPr>
        <w:t xml:space="preserve"> Forecasting</w:t>
      </w:r>
      <w:bookmarkEnd w:id="2194"/>
      <w:bookmarkEnd w:id="2195"/>
    </w:p>
    <w:p w14:paraId="0CE894F3" w14:textId="77777777" w:rsidR="008E6DC4" w:rsidRDefault="008E6DC4">
      <w:r w:rsidRPr="00BB3052">
        <w:t>EIM Variable Energy Resource</w:t>
      </w:r>
      <w:r>
        <w:t>s, both participating and non-participating,</w:t>
      </w:r>
      <w:r w:rsidRPr="00BB3052">
        <w:t xml:space="preserve"> </w:t>
      </w:r>
      <w:r>
        <w:t>may</w:t>
      </w:r>
      <w:r w:rsidRPr="00BB3052">
        <w:t xml:space="preserve"> </w:t>
      </w:r>
      <w:r>
        <w:t>provide</w:t>
      </w:r>
      <w:r w:rsidRPr="00BB3052">
        <w:t xml:space="preserve"> </w:t>
      </w:r>
      <w:r>
        <w:t xml:space="preserve">the CAISO with </w:t>
      </w:r>
      <w:r w:rsidRPr="00BB3052">
        <w:t>a</w:t>
      </w:r>
      <w:r>
        <w:t>n</w:t>
      </w:r>
      <w:r w:rsidRPr="00BB3052">
        <w:t xml:space="preserve"> </w:t>
      </w:r>
      <w:r>
        <w:t xml:space="preserve">independent third party </w:t>
      </w:r>
      <w:r w:rsidRPr="00BB3052">
        <w:t>forecast</w:t>
      </w:r>
      <w:r>
        <w:t xml:space="preserve"> of energy output   or through the CAISO forecasting service. </w:t>
      </w:r>
      <w:r w:rsidRPr="005C1804">
        <w:t>.  </w:t>
      </w:r>
      <w:r w:rsidRPr="005F7ABA">
        <w:t>In addition, if an EIM Entity certifies to the CAISO that it produces its own Variable Energy Resource forecast to operate its EIM Entity Balancing Authority Area and the CAISO is able to verify the accuracy of the forecast initially and on an ongoing basis, this forecast will be accepted by the CAISO as independent.</w:t>
      </w:r>
      <w:r>
        <w:t xml:space="preserve"> The forecast granularity produced by an EIM Entity approved forecast service provider must be p</w:t>
      </w:r>
      <w:r w:rsidRPr="00BB3052">
        <w:t xml:space="preserve">roduced </w:t>
      </w:r>
      <w:r>
        <w:t>in</w:t>
      </w:r>
      <w:r w:rsidRPr="00BB3052">
        <w:t xml:space="preserve"> five-minute </w:t>
      </w:r>
      <w:r>
        <w:t>intervals</w:t>
      </w:r>
      <w:r w:rsidRPr="00BB3052">
        <w:t xml:space="preserve"> and updated every five minutes</w:t>
      </w:r>
      <w:r>
        <w:t>.</w:t>
      </w:r>
      <w:r w:rsidRPr="00A33565">
        <w:t xml:space="preserve"> </w:t>
      </w:r>
      <w:r>
        <w:t>T</w:t>
      </w:r>
      <w:r w:rsidRPr="00BB3052">
        <w:t>he forecast of EIM Variable Energy Resource</w:t>
      </w:r>
      <w:r>
        <w:t>s</w:t>
      </w:r>
      <w:r w:rsidRPr="00BB3052">
        <w:t xml:space="preserve"> must be </w:t>
      </w:r>
      <w:r>
        <w:t xml:space="preserve">automatically </w:t>
      </w:r>
      <w:r w:rsidRPr="00BB3052">
        <w:t xml:space="preserve">submitted to </w:t>
      </w:r>
      <w:r>
        <w:t>the CAISO forecast system</w:t>
      </w:r>
      <w:r w:rsidRPr="00BB3052">
        <w:t>.</w:t>
      </w:r>
    </w:p>
    <w:p w14:paraId="4486A564" w14:textId="77777777" w:rsidR="003E4C54" w:rsidRPr="00F57961" w:rsidRDefault="003E4C54" w:rsidP="00831D03">
      <w:r w:rsidRPr="00E62C48">
        <w:t xml:space="preserve">EIM VER resources shall submit base schedules and/or bids to the markets. The forecasts will be used to adjust the base schedule (if no bid) or the bid curve to reflect the forecast. The dispatch from </w:t>
      </w:r>
      <w:r w:rsidR="0058562B">
        <w:t>CA</w:t>
      </w:r>
      <w:r w:rsidRPr="00E62C48">
        <w:t>ISO real-time application will be the financial binding schedules.</w:t>
      </w:r>
    </w:p>
    <w:p w14:paraId="7C83C2AB" w14:textId="5107505A" w:rsidR="004C23BF" w:rsidRDefault="004C23BF" w:rsidP="00B72C3A">
      <w:pPr>
        <w:autoSpaceDE w:val="0"/>
        <w:autoSpaceDN w:val="0"/>
        <w:spacing w:after="80" w:line="300" w:lineRule="auto"/>
      </w:pPr>
      <w:r w:rsidRPr="00BB3052">
        <w:t xml:space="preserve">If </w:t>
      </w:r>
      <w:r>
        <w:t>the EIM Variable Energy Resource</w:t>
      </w:r>
      <w:r w:rsidRPr="00BB3052">
        <w:t xml:space="preserve"> elec</w:t>
      </w:r>
      <w:r>
        <w:t>ts</w:t>
      </w:r>
      <w:r w:rsidRPr="00BB3052">
        <w:t xml:space="preserve"> the </w:t>
      </w:r>
      <w:r>
        <w:t>CA</w:t>
      </w:r>
      <w:r w:rsidRPr="00BB3052">
        <w:t xml:space="preserve">ISO forecast, </w:t>
      </w:r>
      <w:r>
        <w:t>the EIM Variable Energy Resource</w:t>
      </w:r>
      <w:r w:rsidRPr="00BB3052">
        <w:t xml:space="preserve"> must make metrological data available at minimum 30 days in </w:t>
      </w:r>
      <w:r w:rsidR="00D52168" w:rsidRPr="00BB3052">
        <w:t xml:space="preserve">advance </w:t>
      </w:r>
      <w:r w:rsidR="00D52168">
        <w:t>of</w:t>
      </w:r>
      <w:r>
        <w:t xml:space="preserve"> a forecast being produced </w:t>
      </w:r>
      <w:r w:rsidRPr="00BB3052">
        <w:t xml:space="preserve">the </w:t>
      </w:r>
      <w:r>
        <w:t>CA</w:t>
      </w:r>
      <w:r w:rsidRPr="00BB3052">
        <w:t>ISO system can do the forecast for EIM Variable Energy Resource</w:t>
      </w:r>
      <w:r>
        <w:t>s</w:t>
      </w:r>
      <w:r w:rsidRPr="00BB3052">
        <w:t>.</w:t>
      </w:r>
      <w:bookmarkStart w:id="2196" w:name="_Toc390268073"/>
      <w:bookmarkStart w:id="2197" w:name="_Toc390268204"/>
      <w:bookmarkStart w:id="2198" w:name="_Toc390330952"/>
      <w:bookmarkStart w:id="2199" w:name="_Toc390353408"/>
      <w:bookmarkStart w:id="2200" w:name="_Toc390354385"/>
      <w:bookmarkStart w:id="2201" w:name="_Toc390356335"/>
      <w:bookmarkStart w:id="2202" w:name="_Toc390436999"/>
      <w:bookmarkStart w:id="2203" w:name="_Toc390674290"/>
      <w:bookmarkStart w:id="2204" w:name="_Toc390690564"/>
      <w:bookmarkStart w:id="2205" w:name="_Toc390697569"/>
      <w:bookmarkStart w:id="2206" w:name="_Toc390760582"/>
      <w:bookmarkStart w:id="2207" w:name="_Toc390765338"/>
      <w:bookmarkStart w:id="2208" w:name="_Toc390766867"/>
      <w:bookmarkStart w:id="2209" w:name="_Toc390779336"/>
      <w:bookmarkStart w:id="2210" w:name="_Toc390780314"/>
      <w:bookmarkStart w:id="2211" w:name="_Toc390783127"/>
      <w:bookmarkStart w:id="2212" w:name="_Toc390268075"/>
      <w:bookmarkStart w:id="2213" w:name="_Toc390268206"/>
      <w:bookmarkStart w:id="2214" w:name="_Toc390353410"/>
      <w:bookmarkStart w:id="2215" w:name="_Toc390354387"/>
      <w:bookmarkStart w:id="2216" w:name="_Toc390356337"/>
      <w:bookmarkStart w:id="2217" w:name="_Toc390437001"/>
      <w:bookmarkStart w:id="2218" w:name="_Toc390674292"/>
      <w:bookmarkStart w:id="2219" w:name="_Toc390690566"/>
      <w:bookmarkStart w:id="2220" w:name="_Toc390697571"/>
      <w:bookmarkStart w:id="2221" w:name="_Toc390760584"/>
      <w:bookmarkStart w:id="2222" w:name="_Toc390765340"/>
      <w:bookmarkStart w:id="2223" w:name="_Toc390766869"/>
      <w:bookmarkStart w:id="2224" w:name="_Toc390779338"/>
      <w:bookmarkStart w:id="2225" w:name="_Toc390780316"/>
      <w:bookmarkStart w:id="2226" w:name="_Toc390783129"/>
      <w:bookmarkStart w:id="2227" w:name="_Toc390268076"/>
      <w:bookmarkStart w:id="2228" w:name="_Toc390268207"/>
      <w:bookmarkStart w:id="2229" w:name="_Toc390330955"/>
      <w:bookmarkStart w:id="2230" w:name="_Toc390353411"/>
      <w:bookmarkStart w:id="2231" w:name="_Toc390354388"/>
      <w:bookmarkStart w:id="2232" w:name="_Toc390356338"/>
      <w:bookmarkStart w:id="2233" w:name="_Toc390437002"/>
      <w:bookmarkStart w:id="2234" w:name="_Toc390674293"/>
      <w:bookmarkStart w:id="2235" w:name="_Toc390690567"/>
      <w:bookmarkStart w:id="2236" w:name="_Toc390697572"/>
      <w:bookmarkStart w:id="2237" w:name="_Toc390760585"/>
      <w:bookmarkStart w:id="2238" w:name="_Toc390765341"/>
      <w:bookmarkStart w:id="2239" w:name="_Toc390766870"/>
      <w:bookmarkStart w:id="2240" w:name="_Toc390779339"/>
      <w:bookmarkStart w:id="2241" w:name="_Toc390780317"/>
      <w:bookmarkStart w:id="2242" w:name="_Toc390783130"/>
      <w:bookmarkStart w:id="2243" w:name="_Toc390268079"/>
      <w:bookmarkStart w:id="2244" w:name="_Toc390268210"/>
      <w:bookmarkStart w:id="2245" w:name="_Toc390353414"/>
      <w:bookmarkStart w:id="2246" w:name="_Toc390354391"/>
      <w:bookmarkStart w:id="2247" w:name="_Toc390356341"/>
      <w:bookmarkStart w:id="2248" w:name="_Toc390437005"/>
      <w:bookmarkStart w:id="2249" w:name="_Toc390674296"/>
      <w:bookmarkStart w:id="2250" w:name="_Toc390690570"/>
      <w:bookmarkStart w:id="2251" w:name="_Toc390697575"/>
      <w:bookmarkStart w:id="2252" w:name="_Toc390760588"/>
      <w:bookmarkStart w:id="2253" w:name="_Toc390765344"/>
      <w:bookmarkStart w:id="2254" w:name="_Toc390766873"/>
      <w:bookmarkStart w:id="2255" w:name="_Toc390779342"/>
      <w:bookmarkStart w:id="2256" w:name="_Toc390780320"/>
      <w:bookmarkStart w:id="2257" w:name="_Toc390783133"/>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p>
    <w:p w14:paraId="2E50540C" w14:textId="77777777" w:rsidR="005F7ABA" w:rsidRPr="005F7ABA" w:rsidRDefault="005F7ABA" w:rsidP="005F7ABA">
      <w:pPr>
        <w:autoSpaceDE w:val="0"/>
        <w:autoSpaceDN w:val="0"/>
        <w:spacing w:after="80" w:line="300" w:lineRule="auto"/>
        <w:rPr>
          <w:rFonts w:eastAsia="Calibri"/>
        </w:rPr>
      </w:pPr>
      <w:r w:rsidRPr="005F7ABA">
        <w:rPr>
          <w:rFonts w:eastAsia="Calibri"/>
        </w:rPr>
        <w:t xml:space="preserve">If the EIM Entity elects the VER Persistence Market Model Forecast within the RTD market for solar resources, the EIM Variable Energy Resource must provide 1 year of metrological/production data. This data is to compute reference curves used in creating the forecast. If the EIM Entity elects the VER Persistence Market Model Forecast within the RTD market for wind resources, the 30-day minimum of metrological/production data is adequate. </w:t>
      </w:r>
    </w:p>
    <w:p w14:paraId="20A26929" w14:textId="5AB52E2B" w:rsidR="005F7ABA" w:rsidRDefault="005F7ABA" w:rsidP="005F7ABA">
      <w:pPr>
        <w:autoSpaceDE w:val="0"/>
        <w:autoSpaceDN w:val="0"/>
        <w:spacing w:after="80" w:line="300" w:lineRule="auto"/>
        <w:rPr>
          <w:rFonts w:eastAsia="Calibri"/>
        </w:rPr>
      </w:pPr>
      <w:r w:rsidRPr="005F7ABA">
        <w:rPr>
          <w:rFonts w:eastAsia="Calibri"/>
        </w:rPr>
        <w:t>The VER Persistence Market Model Forecast cannot be elected for fuel types outside of wind/solar, and is only available to resources that have similar response to weather conditions or other variables relevant to forecasting renewable energy. For example, if a solar resource has a Pmax of 300 MW and 50 MW can be moved with gas support, it is not eligible.</w:t>
      </w:r>
    </w:p>
    <w:p w14:paraId="65D0160D" w14:textId="77777777" w:rsidR="004C23BF" w:rsidRDefault="004C23BF" w:rsidP="00B72C3A">
      <w:pPr>
        <w:autoSpaceDE w:val="0"/>
        <w:autoSpaceDN w:val="0"/>
        <w:spacing w:after="80" w:line="300" w:lineRule="auto"/>
        <w:rPr>
          <w:rFonts w:eastAsia="Calibri"/>
        </w:rPr>
      </w:pPr>
      <w:r>
        <w:rPr>
          <w:rFonts w:eastAsia="Calibri"/>
        </w:rPr>
        <w:t>In addition, the EIM participating resource, similar to VER resources located in the CAISO BAA, may elect to use SC forecast option that will allow it to submit its five-minute output forecast to CAISO SIBR system. The SC forecast will be used as the financially binding forecast</w:t>
      </w:r>
      <w:r w:rsidR="003E4C54">
        <w:rPr>
          <w:rFonts w:eastAsia="Calibri"/>
        </w:rPr>
        <w:t xml:space="preserve"> under this election</w:t>
      </w:r>
      <w:r>
        <w:rPr>
          <w:rFonts w:eastAsia="Calibri"/>
        </w:rPr>
        <w:t>.</w:t>
      </w:r>
    </w:p>
    <w:p w14:paraId="7AEADB58" w14:textId="77777777" w:rsidR="004C23BF" w:rsidRDefault="004C23BF"/>
    <w:p w14:paraId="1EEDAB05" w14:textId="77777777" w:rsidR="00A30AD7" w:rsidRPr="00A30AD7" w:rsidRDefault="00A30AD7" w:rsidP="00FA595A">
      <w:pPr>
        <w:autoSpaceDE w:val="0"/>
        <w:autoSpaceDN w:val="0"/>
        <w:spacing w:after="80" w:line="300" w:lineRule="auto"/>
        <w:rPr>
          <w:rFonts w:eastAsia="Calibri"/>
        </w:rPr>
      </w:pPr>
    </w:p>
    <w:p w14:paraId="1EC68F99" w14:textId="77777777" w:rsidR="00C07657" w:rsidRPr="00793130" w:rsidRDefault="00C07657" w:rsidP="00225179">
      <w:pPr>
        <w:pStyle w:val="Heading1"/>
      </w:pPr>
      <w:bookmarkStart w:id="2258" w:name="_Toc389662614"/>
      <w:bookmarkStart w:id="2259" w:name="_Toc390946308"/>
      <w:bookmarkStart w:id="2260" w:name="_Toc391969870"/>
      <w:bookmarkStart w:id="2261" w:name="_Toc20384143"/>
      <w:r w:rsidRPr="00225179">
        <w:t>SETTLEMENTS</w:t>
      </w:r>
      <w:r w:rsidRPr="00793130">
        <w:t xml:space="preserve"> AND BILLING</w:t>
      </w:r>
      <w:bookmarkEnd w:id="2258"/>
      <w:bookmarkEnd w:id="2259"/>
      <w:bookmarkEnd w:id="2260"/>
      <w:bookmarkEnd w:id="2261"/>
    </w:p>
    <w:p w14:paraId="427F9D93" w14:textId="77777777" w:rsidR="007B2BF0" w:rsidRDefault="007B2BF0" w:rsidP="006F6DD6">
      <w:pPr>
        <w:spacing w:after="240" w:line="300" w:lineRule="auto"/>
        <w:rPr>
          <w:rFonts w:cs="Arial"/>
          <w:iCs/>
        </w:rPr>
      </w:pPr>
      <w:r>
        <w:rPr>
          <w:rFonts w:cs="Arial"/>
          <w:iCs/>
        </w:rPr>
        <w:t xml:space="preserve">Welcome to the </w:t>
      </w:r>
      <w:r w:rsidRPr="004C3C5F">
        <w:rPr>
          <w:rFonts w:cs="Arial"/>
          <w:i/>
          <w:iCs/>
        </w:rPr>
        <w:t>Settlements and Billing</w:t>
      </w:r>
      <w:r>
        <w:rPr>
          <w:rFonts w:cs="Arial"/>
          <w:iCs/>
        </w:rPr>
        <w:t xml:space="preserve"> section of the CAISO </w:t>
      </w:r>
      <w:r w:rsidRPr="004C3C5F">
        <w:rPr>
          <w:rFonts w:cs="Arial"/>
          <w:i/>
          <w:iCs/>
        </w:rPr>
        <w:t>BPM for the Energy Imbalance Market</w:t>
      </w:r>
      <w:r>
        <w:rPr>
          <w:rFonts w:cs="Arial"/>
          <w:iCs/>
        </w:rPr>
        <w:t xml:space="preserve">.   </w:t>
      </w:r>
      <w:r w:rsidR="00880F4E">
        <w:rPr>
          <w:rFonts w:cs="Arial"/>
          <w:iCs/>
        </w:rPr>
        <w:t>In this section</w:t>
      </w:r>
      <w:r w:rsidR="00775CF7">
        <w:rPr>
          <w:rFonts w:cs="Arial"/>
          <w:iCs/>
        </w:rPr>
        <w:t xml:space="preserve"> </w:t>
      </w:r>
      <w:r w:rsidR="00880F4E">
        <w:rPr>
          <w:rFonts w:cs="Arial"/>
          <w:iCs/>
        </w:rPr>
        <w:t>you will find</w:t>
      </w:r>
      <w:r w:rsidR="00A82EF7">
        <w:rPr>
          <w:rFonts w:cs="Arial"/>
          <w:iCs/>
        </w:rPr>
        <w:t xml:space="preserve"> </w:t>
      </w:r>
      <w:r>
        <w:rPr>
          <w:rFonts w:cs="Arial"/>
          <w:iCs/>
        </w:rPr>
        <w:t xml:space="preserve">the following </w:t>
      </w:r>
      <w:r w:rsidR="00A82EF7">
        <w:rPr>
          <w:rFonts w:cs="Arial"/>
          <w:iCs/>
        </w:rPr>
        <w:t>information</w:t>
      </w:r>
      <w:r>
        <w:rPr>
          <w:rFonts w:cs="Arial"/>
          <w:iCs/>
        </w:rPr>
        <w:t>:</w:t>
      </w:r>
    </w:p>
    <w:p w14:paraId="34CCE4B3" w14:textId="77777777" w:rsidR="00A82EF7" w:rsidRPr="007B2BF0" w:rsidRDefault="007B2BF0" w:rsidP="000F0531">
      <w:pPr>
        <w:pStyle w:val="ListParagraph"/>
        <w:numPr>
          <w:ilvl w:val="0"/>
          <w:numId w:val="41"/>
        </w:numPr>
        <w:spacing w:after="240" w:line="300" w:lineRule="auto"/>
        <w:rPr>
          <w:rFonts w:cs="Arial"/>
          <w:iCs/>
        </w:rPr>
      </w:pPr>
      <w:r>
        <w:rPr>
          <w:rFonts w:cs="Arial"/>
          <w:iCs/>
        </w:rPr>
        <w:t>T</w:t>
      </w:r>
      <w:r w:rsidR="00A82EF7" w:rsidRPr="007B2BF0">
        <w:rPr>
          <w:rFonts w:cs="Arial"/>
          <w:iCs/>
        </w:rPr>
        <w:t>he processes</w:t>
      </w:r>
      <w:r>
        <w:rPr>
          <w:rFonts w:cs="Arial"/>
          <w:iCs/>
        </w:rPr>
        <w:t xml:space="preserve"> of Settlements and Billing</w:t>
      </w:r>
      <w:r w:rsidR="00A82EF7" w:rsidRPr="007B2BF0">
        <w:rPr>
          <w:rFonts w:cs="Arial"/>
          <w:iCs/>
        </w:rPr>
        <w:t xml:space="preserve"> within </w:t>
      </w:r>
      <w:r w:rsidR="0092123E" w:rsidRPr="007B2BF0">
        <w:rPr>
          <w:rFonts w:cs="Arial"/>
          <w:iCs/>
        </w:rPr>
        <w:t xml:space="preserve">the </w:t>
      </w:r>
      <w:r w:rsidR="00A82EF7" w:rsidRPr="007B2BF0">
        <w:rPr>
          <w:rFonts w:cs="Arial"/>
          <w:iCs/>
        </w:rPr>
        <w:t xml:space="preserve">context of the Energy Imbalance Market.  </w:t>
      </w:r>
      <w:r w:rsidR="00880F4E" w:rsidRPr="007B2BF0">
        <w:rPr>
          <w:rFonts w:cs="Arial"/>
          <w:iCs/>
        </w:rPr>
        <w:t xml:space="preserve"> </w:t>
      </w:r>
    </w:p>
    <w:p w14:paraId="336E67C4" w14:textId="77777777" w:rsidR="0084443E" w:rsidRPr="00793130" w:rsidRDefault="00880F4E" w:rsidP="006F6DD6">
      <w:pPr>
        <w:spacing w:after="240" w:line="300" w:lineRule="auto"/>
        <w:rPr>
          <w:rFonts w:cs="Arial"/>
          <w:iCs/>
        </w:rPr>
      </w:pPr>
      <w:r>
        <w:rPr>
          <w:rFonts w:cs="Arial"/>
          <w:iCs/>
        </w:rPr>
        <w:t xml:space="preserve">  </w:t>
      </w:r>
      <w:r w:rsidR="0084443E" w:rsidRPr="00793130">
        <w:rPr>
          <w:rFonts w:cs="Arial"/>
          <w:iCs/>
        </w:rPr>
        <w:t xml:space="preserve">The business process for settlement of the fiscal results of participation in the EIM is outlined in the </w:t>
      </w:r>
      <w:hyperlink r:id="rId189" w:history="1">
        <w:r w:rsidR="0084443E" w:rsidRPr="003E0BEF">
          <w:rPr>
            <w:rStyle w:val="Hyperlink"/>
            <w:rFonts w:cs="Arial"/>
            <w:b/>
            <w:iCs/>
          </w:rPr>
          <w:t xml:space="preserve">BPM for Settlements </w:t>
        </w:r>
        <w:r w:rsidR="00D727DA">
          <w:rPr>
            <w:rStyle w:val="Hyperlink"/>
            <w:rFonts w:cs="Arial"/>
            <w:b/>
            <w:iCs/>
          </w:rPr>
          <w:t>and</w:t>
        </w:r>
        <w:r w:rsidR="0084443E" w:rsidRPr="003E0BEF">
          <w:rPr>
            <w:rStyle w:val="Hyperlink"/>
            <w:rFonts w:cs="Arial"/>
            <w:b/>
            <w:iCs/>
          </w:rPr>
          <w:t xml:space="preserve"> Billing</w:t>
        </w:r>
      </w:hyperlink>
      <w:r w:rsidR="0084443E" w:rsidRPr="00793130">
        <w:rPr>
          <w:rFonts w:cs="Arial"/>
          <w:iCs/>
        </w:rPr>
        <w:t>.  That BPM provides an overview of the settlement, billing, invoicing</w:t>
      </w:r>
      <w:r w:rsidR="008C6B50" w:rsidRPr="00793130">
        <w:rPr>
          <w:rFonts w:cs="Arial"/>
          <w:iCs/>
        </w:rPr>
        <w:t>,</w:t>
      </w:r>
      <w:r w:rsidR="0084443E" w:rsidRPr="00793130">
        <w:rPr>
          <w:rFonts w:cs="Arial"/>
          <w:iCs/>
        </w:rPr>
        <w:t xml:space="preserve"> and financial clearing business functions, an overview of key settlement and billing principles</w:t>
      </w:r>
      <w:r w:rsidR="00A82EF7">
        <w:rPr>
          <w:rFonts w:cs="Arial"/>
          <w:iCs/>
        </w:rPr>
        <w:t>,</w:t>
      </w:r>
      <w:r w:rsidR="0084443E" w:rsidRPr="00793130">
        <w:rPr>
          <w:rFonts w:cs="Arial"/>
          <w:iCs/>
        </w:rPr>
        <w:t xml:space="preserve"> and an overview of the settlement and invoicing cycles.  </w:t>
      </w:r>
    </w:p>
    <w:p w14:paraId="2D8FA1A5" w14:textId="77777777" w:rsidR="00172436" w:rsidRDefault="00172436" w:rsidP="00C33762">
      <w:pPr>
        <w:pStyle w:val="Heading2"/>
      </w:pPr>
      <w:bookmarkStart w:id="2262" w:name="_Toc391969871"/>
      <w:bookmarkStart w:id="2263" w:name="_Toc20384144"/>
      <w:r>
        <w:t>Charge Codes</w:t>
      </w:r>
      <w:bookmarkEnd w:id="2262"/>
      <w:bookmarkEnd w:id="2263"/>
    </w:p>
    <w:p w14:paraId="7A390FCE" w14:textId="77777777" w:rsidR="000E7D7E" w:rsidRDefault="0084443E">
      <w:pPr>
        <w:spacing w:after="240" w:line="300" w:lineRule="auto"/>
        <w:rPr>
          <w:rFonts w:cs="Arial"/>
          <w:iCs/>
        </w:rPr>
      </w:pPr>
      <w:r w:rsidRPr="00793130">
        <w:rPr>
          <w:rFonts w:cs="Arial"/>
          <w:iCs/>
        </w:rPr>
        <w:t xml:space="preserve">CAISO maintains the </w:t>
      </w:r>
      <w:r w:rsidR="0058562B">
        <w:rPr>
          <w:rFonts w:cs="Arial"/>
          <w:iCs/>
        </w:rPr>
        <w:t>CA</w:t>
      </w:r>
      <w:r w:rsidRPr="00793130">
        <w:rPr>
          <w:rFonts w:cs="Arial"/>
          <w:i/>
          <w:iCs/>
        </w:rPr>
        <w:t>ISO Market Charge Code</w:t>
      </w:r>
      <w:r w:rsidR="00AC3493" w:rsidRPr="00793130">
        <w:rPr>
          <w:rFonts w:cs="Arial"/>
          <w:i/>
          <w:iCs/>
        </w:rPr>
        <w:t>s</w:t>
      </w:r>
      <w:r w:rsidRPr="00793130">
        <w:rPr>
          <w:rFonts w:cs="Arial"/>
          <w:i/>
          <w:iCs/>
        </w:rPr>
        <w:t xml:space="preserve"> Matrix</w:t>
      </w:r>
      <w:r w:rsidRPr="00793130">
        <w:rPr>
          <w:rFonts w:cs="Arial"/>
          <w:iCs/>
        </w:rPr>
        <w:t xml:space="preserve"> </w:t>
      </w:r>
      <w:r w:rsidR="000F52BB">
        <w:rPr>
          <w:rFonts w:cs="Arial"/>
          <w:iCs/>
        </w:rPr>
        <w:t>which</w:t>
      </w:r>
      <w:r w:rsidRPr="00793130">
        <w:rPr>
          <w:rFonts w:cs="Arial"/>
          <w:iCs/>
        </w:rPr>
        <w:t xml:space="preserve"> can be found by navigating to </w:t>
      </w:r>
      <w:r w:rsidR="00D727DA">
        <w:rPr>
          <w:rFonts w:cs="Arial"/>
          <w:iCs/>
        </w:rPr>
        <w:t xml:space="preserve">the </w:t>
      </w:r>
      <w:r w:rsidRPr="00793130">
        <w:rPr>
          <w:rFonts w:cs="Arial"/>
          <w:iCs/>
        </w:rPr>
        <w:t xml:space="preserve">Settlements subheading under the Market &amp; Operations portion of the CAISO website.  </w:t>
      </w:r>
      <w:r w:rsidR="00F73DA7" w:rsidRPr="00793130">
        <w:rPr>
          <w:rFonts w:cs="Arial"/>
          <w:iCs/>
        </w:rPr>
        <w:t xml:space="preserve">This </w:t>
      </w:r>
      <w:r w:rsidR="00F73DA7">
        <w:rPr>
          <w:rFonts w:cs="Arial"/>
          <w:iCs/>
        </w:rPr>
        <w:t>matrix</w:t>
      </w:r>
      <w:r w:rsidR="00F73DA7" w:rsidRPr="00793130">
        <w:rPr>
          <w:rFonts w:cs="Arial"/>
          <w:iCs/>
        </w:rPr>
        <w:t xml:space="preserve"> highlights which </w:t>
      </w:r>
      <w:r w:rsidR="000E7D7E">
        <w:rPr>
          <w:rFonts w:cs="Arial"/>
          <w:iCs/>
        </w:rPr>
        <w:t>C</w:t>
      </w:r>
      <w:r w:rsidR="000E7D7E" w:rsidRPr="00793130">
        <w:rPr>
          <w:rFonts w:cs="Arial"/>
          <w:iCs/>
        </w:rPr>
        <w:t xml:space="preserve">harge </w:t>
      </w:r>
      <w:r w:rsidR="000E7D7E">
        <w:rPr>
          <w:rFonts w:cs="Arial"/>
          <w:iCs/>
        </w:rPr>
        <w:t>C</w:t>
      </w:r>
      <w:r w:rsidR="000E7D7E" w:rsidRPr="00793130">
        <w:rPr>
          <w:rFonts w:cs="Arial"/>
          <w:iCs/>
        </w:rPr>
        <w:t xml:space="preserve">odes </w:t>
      </w:r>
      <w:r w:rsidR="00F73DA7" w:rsidRPr="00793130">
        <w:rPr>
          <w:rFonts w:cs="Arial"/>
          <w:iCs/>
        </w:rPr>
        <w:t>are applicable to the various forms of resources participating in the markets operat</w:t>
      </w:r>
      <w:r w:rsidR="00F73DA7">
        <w:rPr>
          <w:rFonts w:cs="Arial"/>
          <w:iCs/>
        </w:rPr>
        <w:t>ed</w:t>
      </w:r>
      <w:r w:rsidR="001B06BF">
        <w:rPr>
          <w:rFonts w:cs="Arial"/>
          <w:iCs/>
        </w:rPr>
        <w:t xml:space="preserve"> by </w:t>
      </w:r>
      <w:r w:rsidR="00F73DA7" w:rsidRPr="00793130">
        <w:rPr>
          <w:rFonts w:cs="Arial"/>
          <w:iCs/>
        </w:rPr>
        <w:t xml:space="preserve">CAISO.  </w:t>
      </w:r>
      <w:r w:rsidR="000E7D7E">
        <w:rPr>
          <w:rFonts w:cs="Arial"/>
          <w:iCs/>
        </w:rPr>
        <w:t>A detailed description of</w:t>
      </w:r>
      <w:r w:rsidR="000E7D7E" w:rsidRPr="00793130">
        <w:rPr>
          <w:rFonts w:cs="Arial"/>
          <w:iCs/>
        </w:rPr>
        <w:t xml:space="preserve"> each settlement </w:t>
      </w:r>
      <w:r w:rsidR="000E7D7E">
        <w:rPr>
          <w:rFonts w:cs="Arial"/>
          <w:iCs/>
        </w:rPr>
        <w:t>C</w:t>
      </w:r>
      <w:r w:rsidR="000E7D7E" w:rsidRPr="00793130">
        <w:rPr>
          <w:rFonts w:cs="Arial"/>
          <w:iCs/>
        </w:rPr>
        <w:t xml:space="preserve">harge </w:t>
      </w:r>
      <w:r w:rsidR="000E7D7E">
        <w:rPr>
          <w:rFonts w:cs="Arial"/>
          <w:iCs/>
        </w:rPr>
        <w:t>C</w:t>
      </w:r>
      <w:r w:rsidR="000E7D7E" w:rsidRPr="00793130">
        <w:rPr>
          <w:rFonts w:cs="Arial"/>
          <w:iCs/>
        </w:rPr>
        <w:t xml:space="preserve">ode </w:t>
      </w:r>
      <w:r w:rsidR="000E7D7E">
        <w:rPr>
          <w:rFonts w:cs="Arial"/>
          <w:iCs/>
        </w:rPr>
        <w:t xml:space="preserve">or predecessor Pre-Calculation, including business rules and </w:t>
      </w:r>
      <w:r w:rsidR="000E7D7E" w:rsidRPr="00793130">
        <w:rPr>
          <w:rFonts w:cs="Arial"/>
          <w:iCs/>
        </w:rPr>
        <w:t xml:space="preserve">specific </w:t>
      </w:r>
      <w:r w:rsidR="000E7D7E">
        <w:rPr>
          <w:rFonts w:cs="Arial"/>
          <w:iCs/>
        </w:rPr>
        <w:t xml:space="preserve">data calculation </w:t>
      </w:r>
      <w:r w:rsidR="000E7D7E" w:rsidRPr="00793130">
        <w:rPr>
          <w:rFonts w:cs="Arial"/>
          <w:iCs/>
        </w:rPr>
        <w:t>formulas</w:t>
      </w:r>
      <w:r w:rsidR="000E7D7E">
        <w:rPr>
          <w:rFonts w:cs="Arial"/>
          <w:iCs/>
        </w:rPr>
        <w:t>,</w:t>
      </w:r>
      <w:r w:rsidR="000E7D7E" w:rsidRPr="00793130">
        <w:rPr>
          <w:rFonts w:cs="Arial"/>
          <w:iCs/>
        </w:rPr>
        <w:t xml:space="preserve"> can be found in the </w:t>
      </w:r>
      <w:r w:rsidR="000E7D7E" w:rsidRPr="00390D5C">
        <w:rPr>
          <w:rFonts w:cs="Arial"/>
          <w:i/>
          <w:iCs/>
        </w:rPr>
        <w:t xml:space="preserve">BPM </w:t>
      </w:r>
      <w:r w:rsidR="000E7D7E" w:rsidRPr="00793130">
        <w:rPr>
          <w:rFonts w:cs="Arial"/>
          <w:i/>
          <w:iCs/>
        </w:rPr>
        <w:t>Configuration Guide</w:t>
      </w:r>
      <w:r w:rsidR="000E7D7E" w:rsidRPr="00793130">
        <w:rPr>
          <w:rFonts w:cs="Arial"/>
          <w:iCs/>
        </w:rPr>
        <w:t xml:space="preserve"> documents posted </w:t>
      </w:r>
      <w:r w:rsidR="000E7D7E">
        <w:rPr>
          <w:rFonts w:cs="Arial"/>
          <w:iCs/>
        </w:rPr>
        <w:t xml:space="preserve">under the Settlements and Billing section of the BPM Document Library </w:t>
      </w:r>
      <w:r w:rsidR="000E7D7E" w:rsidRPr="00793130">
        <w:rPr>
          <w:rFonts w:cs="Arial"/>
          <w:iCs/>
        </w:rPr>
        <w:t>on the CAISO website.</w:t>
      </w:r>
      <w:r w:rsidR="000E7D7E">
        <w:rPr>
          <w:rFonts w:cs="Arial"/>
          <w:iCs/>
        </w:rPr>
        <w:t xml:space="preserve">  </w:t>
      </w:r>
      <w:r w:rsidR="000E7D7E" w:rsidRPr="00D13F01">
        <w:rPr>
          <w:rFonts w:cs="Arial"/>
          <w:iCs/>
        </w:rPr>
        <w:t xml:space="preserve">Section 8 of the </w:t>
      </w:r>
      <w:hyperlink r:id="rId190" w:history="1">
        <w:r w:rsidR="000E7D7E" w:rsidRPr="003E0BEF">
          <w:rPr>
            <w:rStyle w:val="Hyperlink"/>
            <w:rFonts w:cs="Arial"/>
            <w:b/>
            <w:iCs/>
          </w:rPr>
          <w:t xml:space="preserve">BPM for Settlements </w:t>
        </w:r>
        <w:r w:rsidR="000E7D7E">
          <w:rPr>
            <w:rStyle w:val="Hyperlink"/>
            <w:rFonts w:cs="Arial"/>
            <w:b/>
            <w:iCs/>
          </w:rPr>
          <w:t>and</w:t>
        </w:r>
        <w:r w:rsidR="000E7D7E" w:rsidRPr="003E0BEF">
          <w:rPr>
            <w:rStyle w:val="Hyperlink"/>
            <w:rFonts w:cs="Arial"/>
            <w:b/>
            <w:iCs/>
          </w:rPr>
          <w:t xml:space="preserve"> Billing</w:t>
        </w:r>
      </w:hyperlink>
      <w:r w:rsidR="000E7D7E" w:rsidRPr="00D13F01">
        <w:rPr>
          <w:rFonts w:cs="Arial"/>
          <w:iCs/>
        </w:rPr>
        <w:t xml:space="preserve"> provides details on how to use and read a </w:t>
      </w:r>
      <w:r w:rsidR="000E7D7E" w:rsidRPr="0092123E">
        <w:rPr>
          <w:rFonts w:cs="Arial"/>
          <w:i/>
          <w:iCs/>
        </w:rPr>
        <w:t>BPM Configuration Guide</w:t>
      </w:r>
      <w:r w:rsidR="000E7D7E" w:rsidRPr="00D13F01">
        <w:rPr>
          <w:rFonts w:cs="Arial"/>
          <w:iCs/>
        </w:rPr>
        <w:t>.</w:t>
      </w:r>
    </w:p>
    <w:p w14:paraId="7A203C02" w14:textId="77777777" w:rsidR="001D6A50" w:rsidRDefault="0084443E" w:rsidP="00A812DF">
      <w:pPr>
        <w:spacing w:after="80" w:line="300" w:lineRule="auto"/>
        <w:rPr>
          <w:rFonts w:eastAsia="Calibri"/>
        </w:rPr>
      </w:pPr>
      <w:r w:rsidRPr="00793130">
        <w:rPr>
          <w:rFonts w:cs="Arial"/>
          <w:iCs/>
        </w:rPr>
        <w:t xml:space="preserve">Settlements </w:t>
      </w:r>
      <w:r w:rsidR="00D727DA">
        <w:rPr>
          <w:rFonts w:cs="Arial"/>
          <w:iCs/>
        </w:rPr>
        <w:t xml:space="preserve">concepts </w:t>
      </w:r>
      <w:r w:rsidRPr="00793130">
        <w:rPr>
          <w:rFonts w:cs="Arial"/>
          <w:iCs/>
        </w:rPr>
        <w:t>unique to participation in the EIM include settlements related to Over- and Under-Scheduling of EIM Base Schedules, the EIM Initial Fee</w:t>
      </w:r>
      <w:r w:rsidR="0092123E">
        <w:rPr>
          <w:rFonts w:cs="Arial"/>
          <w:iCs/>
        </w:rPr>
        <w:t>,</w:t>
      </w:r>
      <w:r w:rsidRPr="00793130">
        <w:rPr>
          <w:rFonts w:cs="Arial"/>
          <w:iCs/>
        </w:rPr>
        <w:t xml:space="preserve"> and EIM Administrative Charges.  </w:t>
      </w:r>
      <w:r w:rsidR="00DE6ED8">
        <w:rPr>
          <w:rFonts w:cs="Arial"/>
          <w:iCs/>
        </w:rPr>
        <w:t>As</w:t>
      </w:r>
      <w:r w:rsidRPr="00793130">
        <w:rPr>
          <w:rFonts w:cs="Arial"/>
          <w:iCs/>
        </w:rPr>
        <w:t xml:space="preserve"> documented in Section</w:t>
      </w:r>
      <w:r w:rsidR="000D3F1B" w:rsidRPr="00793130">
        <w:rPr>
          <w:rFonts w:cs="Arial"/>
          <w:iCs/>
        </w:rPr>
        <w:t>s</w:t>
      </w:r>
      <w:r w:rsidRPr="00793130">
        <w:rPr>
          <w:rFonts w:cs="Arial"/>
          <w:iCs/>
        </w:rPr>
        <w:t xml:space="preserve"> 29.11, 29.26</w:t>
      </w:r>
      <w:r w:rsidR="000D3F1B" w:rsidRPr="00793130">
        <w:rPr>
          <w:rFonts w:cs="Arial"/>
          <w:iCs/>
        </w:rPr>
        <w:t>,</w:t>
      </w:r>
      <w:r w:rsidRPr="00793130">
        <w:rPr>
          <w:rFonts w:cs="Arial"/>
          <w:iCs/>
        </w:rPr>
        <w:t xml:space="preserve"> and 29.32 of the CAISO Tariff, calculations of some s</w:t>
      </w:r>
      <w:r w:rsidR="000D3F1B" w:rsidRPr="00793130">
        <w:rPr>
          <w:rFonts w:cs="Arial"/>
          <w:iCs/>
        </w:rPr>
        <w:t>ettlement Charge Codes have EIM-</w:t>
      </w:r>
      <w:r w:rsidRPr="00793130">
        <w:rPr>
          <w:rFonts w:cs="Arial"/>
          <w:iCs/>
        </w:rPr>
        <w:t xml:space="preserve">specific implications </w:t>
      </w:r>
      <w:r w:rsidRPr="00D13F01">
        <w:rPr>
          <w:rFonts w:cs="Arial"/>
          <w:iCs/>
        </w:rPr>
        <w:t>referenc</w:t>
      </w:r>
      <w:r w:rsidR="00D13F01" w:rsidRPr="00D13F01">
        <w:rPr>
          <w:rFonts w:cs="Arial"/>
          <w:iCs/>
        </w:rPr>
        <w:t>ing</w:t>
      </w:r>
      <w:r w:rsidRPr="00D13F01">
        <w:rPr>
          <w:rFonts w:cs="Arial"/>
          <w:iCs/>
        </w:rPr>
        <w:t xml:space="preserve"> the submitted EIM Base Schedules or </w:t>
      </w:r>
      <w:r w:rsidR="00CD0B47" w:rsidRPr="00D13F01">
        <w:rPr>
          <w:rFonts w:cs="Arial"/>
          <w:iCs/>
        </w:rPr>
        <w:t>the transfer of</w:t>
      </w:r>
      <w:r w:rsidRPr="00D13F01">
        <w:rPr>
          <w:rFonts w:cs="Arial"/>
          <w:iCs/>
        </w:rPr>
        <w:t xml:space="preserve"> energy </w:t>
      </w:r>
      <w:r w:rsidR="00CD0B47" w:rsidRPr="00D13F01">
        <w:rPr>
          <w:rFonts w:cs="Arial"/>
          <w:iCs/>
        </w:rPr>
        <w:t xml:space="preserve">between </w:t>
      </w:r>
      <w:r w:rsidRPr="00D13F01">
        <w:rPr>
          <w:rFonts w:cs="Arial"/>
          <w:iCs/>
        </w:rPr>
        <w:t>BAA</w:t>
      </w:r>
      <w:r w:rsidR="00CD0B47" w:rsidRPr="00D13F01">
        <w:rPr>
          <w:rFonts w:cs="Arial"/>
          <w:iCs/>
        </w:rPr>
        <w:t>s participating in the EIM</w:t>
      </w:r>
      <w:r w:rsidRPr="00095C4F">
        <w:rPr>
          <w:rFonts w:cs="Arial"/>
          <w:iCs/>
        </w:rPr>
        <w:t>.</w:t>
      </w:r>
      <w:r w:rsidRPr="00793130">
        <w:rPr>
          <w:rFonts w:cs="Arial"/>
          <w:iCs/>
        </w:rPr>
        <w:t xml:space="preserve">  </w:t>
      </w:r>
      <w:r w:rsidR="00DE6ED8">
        <w:rPr>
          <w:rFonts w:cs="Arial"/>
          <w:iCs/>
        </w:rPr>
        <w:t xml:space="preserve">In addition, </w:t>
      </w:r>
      <w:r w:rsidR="00DE6ED8" w:rsidRPr="00DE6ED8">
        <w:rPr>
          <w:rFonts w:cs="Arial"/>
          <w:iCs/>
        </w:rPr>
        <w:t xml:space="preserve">the calculation of the settlement of the </w:t>
      </w:r>
      <w:r w:rsidR="00FC30E3">
        <w:rPr>
          <w:rFonts w:cs="Arial"/>
          <w:iCs/>
        </w:rPr>
        <w:t>Real-Time</w:t>
      </w:r>
      <w:r w:rsidR="00DE6ED8" w:rsidRPr="00DE6ED8">
        <w:rPr>
          <w:rFonts w:cs="Arial"/>
          <w:iCs/>
        </w:rPr>
        <w:t xml:space="preserve"> Congestion Offset will incorporate the respective pieces of the congestion component of the LMP for PNode in each EIM BAA as noted in the formulas contained in the Configuration Guide for the </w:t>
      </w:r>
      <w:r w:rsidR="00FC30E3">
        <w:rPr>
          <w:rFonts w:cs="Arial"/>
          <w:iCs/>
        </w:rPr>
        <w:t>Real-Time</w:t>
      </w:r>
      <w:r w:rsidR="00DE6ED8" w:rsidRPr="00DE6ED8">
        <w:rPr>
          <w:rFonts w:cs="Arial"/>
          <w:iCs/>
        </w:rPr>
        <w:t xml:space="preserve"> Price Pre-Calc.</w:t>
      </w:r>
      <w:r w:rsidR="00DE6ED8">
        <w:rPr>
          <w:rFonts w:cs="Arial"/>
          <w:iCs/>
        </w:rPr>
        <w:t xml:space="preserve">  However</w:t>
      </w:r>
      <w:r w:rsidR="001B06BF">
        <w:rPr>
          <w:rFonts w:cs="Arial"/>
          <w:iCs/>
        </w:rPr>
        <w:t xml:space="preserve">, </w:t>
      </w:r>
      <w:r w:rsidR="00D727DA" w:rsidRPr="00D727DA">
        <w:rPr>
          <w:rFonts w:cs="Arial"/>
          <w:iCs/>
        </w:rPr>
        <w:t>CAISO will not calculate and invoice charges related to FERC fees or NERC/WECC fees</w:t>
      </w:r>
      <w:r w:rsidR="00DE6ED8">
        <w:rPr>
          <w:rFonts w:cs="Arial"/>
          <w:iCs/>
        </w:rPr>
        <w:t xml:space="preserve"> for EIM participants</w:t>
      </w:r>
      <w:r w:rsidR="00D727DA" w:rsidRPr="00D727DA">
        <w:rPr>
          <w:rFonts w:cs="Arial"/>
          <w:iCs/>
        </w:rPr>
        <w:t>.</w:t>
      </w:r>
      <w:r w:rsidR="00D727DA">
        <w:rPr>
          <w:rFonts w:cs="Arial"/>
          <w:iCs/>
        </w:rPr>
        <w:t xml:space="preserve">  </w:t>
      </w:r>
      <w:r w:rsidR="000E7D7E">
        <w:rPr>
          <w:rFonts w:cs="Arial"/>
          <w:iCs/>
        </w:rPr>
        <w:t>In addition, t</w:t>
      </w:r>
      <w:r w:rsidR="000E7D7E" w:rsidRPr="008817D0">
        <w:rPr>
          <w:rFonts w:eastAsia="Calibri"/>
        </w:rPr>
        <w:t xml:space="preserve">here </w:t>
      </w:r>
      <w:r w:rsidR="000E7D7E">
        <w:rPr>
          <w:rFonts w:eastAsia="Calibri"/>
        </w:rPr>
        <w:t xml:space="preserve">will </w:t>
      </w:r>
      <w:r w:rsidR="001B06BF">
        <w:rPr>
          <w:rFonts w:eastAsia="Calibri"/>
        </w:rPr>
        <w:t xml:space="preserve">be no charge between </w:t>
      </w:r>
      <w:r w:rsidR="00365B85">
        <w:rPr>
          <w:rFonts w:eastAsia="Calibri"/>
        </w:rPr>
        <w:t>CA</w:t>
      </w:r>
      <w:r w:rsidR="000E7D7E" w:rsidRPr="008817D0">
        <w:rPr>
          <w:rFonts w:eastAsia="Calibri"/>
        </w:rPr>
        <w:t xml:space="preserve">ISO and EIM balancing authorities for use </w:t>
      </w:r>
      <w:r w:rsidR="00373419">
        <w:rPr>
          <w:rFonts w:eastAsia="Calibri"/>
        </w:rPr>
        <w:t>of transmission to support EIM T</w:t>
      </w:r>
      <w:r w:rsidR="000E7D7E" w:rsidRPr="008817D0">
        <w:rPr>
          <w:rFonts w:eastAsia="Calibri"/>
        </w:rPr>
        <w:t>ransfers for the first year of EIM operation</w:t>
      </w:r>
      <w:r w:rsidR="000E7D7E">
        <w:rPr>
          <w:rFonts w:eastAsia="Calibri"/>
        </w:rPr>
        <w:t xml:space="preserve">. </w:t>
      </w:r>
      <w:r w:rsidR="000E7D7E" w:rsidRPr="008817D0">
        <w:rPr>
          <w:rFonts w:eastAsia="Calibri"/>
        </w:rPr>
        <w:t xml:space="preserve"> During this time, as stakeholders gain operational experience and additional balancing authoritie</w:t>
      </w:r>
      <w:r w:rsidR="001B06BF">
        <w:rPr>
          <w:rFonts w:eastAsia="Calibri"/>
        </w:rPr>
        <w:t xml:space="preserve">s consider joining the EIM, </w:t>
      </w:r>
      <w:r w:rsidR="00365B85">
        <w:rPr>
          <w:rFonts w:eastAsia="Calibri"/>
        </w:rPr>
        <w:t>CA</w:t>
      </w:r>
      <w:r w:rsidR="000E7D7E" w:rsidRPr="008817D0">
        <w:rPr>
          <w:rFonts w:eastAsia="Calibri"/>
        </w:rPr>
        <w:t>ISO will coordinate with stakeholders to consider various alternatives for a long</w:t>
      </w:r>
      <w:r w:rsidR="000E7D7E">
        <w:rPr>
          <w:rFonts w:eastAsia="Calibri"/>
        </w:rPr>
        <w:t xml:space="preserve">-term transmission rate design.   </w:t>
      </w:r>
    </w:p>
    <w:p w14:paraId="41AB0167" w14:textId="77777777" w:rsidR="00172436" w:rsidRPr="00793130" w:rsidRDefault="00172436" w:rsidP="00C33762">
      <w:pPr>
        <w:pStyle w:val="Heading2"/>
      </w:pPr>
      <w:bookmarkStart w:id="2264" w:name="_Toc391969872"/>
      <w:bookmarkStart w:id="2265" w:name="_Toc20384145"/>
      <w:r>
        <w:t>Disagreements</w:t>
      </w:r>
      <w:bookmarkEnd w:id="2264"/>
      <w:bookmarkEnd w:id="2265"/>
    </w:p>
    <w:p w14:paraId="58619CD1" w14:textId="77777777" w:rsidR="0084443E" w:rsidRDefault="0084443E" w:rsidP="006F6DD6">
      <w:pPr>
        <w:spacing w:after="240" w:line="300" w:lineRule="auto"/>
        <w:rPr>
          <w:rFonts w:cs="Arial"/>
          <w:iCs/>
        </w:rPr>
      </w:pPr>
      <w:r w:rsidRPr="00793130">
        <w:rPr>
          <w:rFonts w:cs="Arial"/>
          <w:iCs/>
        </w:rPr>
        <w:t>Any disagreements wi</w:t>
      </w:r>
      <w:r w:rsidR="001B06BF">
        <w:rPr>
          <w:rFonts w:cs="Arial"/>
          <w:iCs/>
        </w:rPr>
        <w:t xml:space="preserve">th the published results of </w:t>
      </w:r>
      <w:r w:rsidRPr="00793130">
        <w:rPr>
          <w:rFonts w:cs="Arial"/>
          <w:iCs/>
        </w:rPr>
        <w:t>CAISO’s settlement process for the EIM must be submitted</w:t>
      </w:r>
      <w:r w:rsidR="00563036">
        <w:rPr>
          <w:rFonts w:cs="Arial"/>
          <w:iCs/>
        </w:rPr>
        <w:t xml:space="preserve"> </w:t>
      </w:r>
      <w:r w:rsidR="001B06BF">
        <w:rPr>
          <w:rFonts w:cs="Arial"/>
          <w:iCs/>
        </w:rPr>
        <w:t xml:space="preserve">to </w:t>
      </w:r>
      <w:r w:rsidR="00074C0D">
        <w:rPr>
          <w:rFonts w:cs="Arial"/>
          <w:iCs/>
        </w:rPr>
        <w:t xml:space="preserve">CAISO </w:t>
      </w:r>
      <w:r w:rsidR="00563036">
        <w:rPr>
          <w:rFonts w:cs="Arial"/>
          <w:iCs/>
        </w:rPr>
        <w:t xml:space="preserve">by the Scheduling Coordinator </w:t>
      </w:r>
      <w:r w:rsidR="001B06BF">
        <w:rPr>
          <w:rFonts w:cs="Arial"/>
          <w:iCs/>
        </w:rPr>
        <w:t xml:space="preserve">with which </w:t>
      </w:r>
      <w:r w:rsidRPr="00793130">
        <w:rPr>
          <w:rFonts w:cs="Arial"/>
          <w:iCs/>
        </w:rPr>
        <w:t xml:space="preserve">CAISO settled and are governed by the </w:t>
      </w:r>
      <w:r w:rsidR="00D13F01">
        <w:rPr>
          <w:rFonts w:cs="Arial"/>
          <w:iCs/>
        </w:rPr>
        <w:t xml:space="preserve">dispute </w:t>
      </w:r>
      <w:r w:rsidRPr="00793130">
        <w:rPr>
          <w:rFonts w:cs="Arial"/>
          <w:iCs/>
        </w:rPr>
        <w:t xml:space="preserve">process outlined in Section 2.3.5 and Section 5 of the </w:t>
      </w:r>
      <w:hyperlink r:id="rId191" w:history="1">
        <w:r w:rsidR="00D13F01" w:rsidRPr="003E0BEF">
          <w:rPr>
            <w:rStyle w:val="Hyperlink"/>
            <w:rFonts w:cs="Arial"/>
            <w:b/>
            <w:iCs/>
          </w:rPr>
          <w:t xml:space="preserve">BPM for Settlements </w:t>
        </w:r>
        <w:r w:rsidR="00D13F01">
          <w:rPr>
            <w:rStyle w:val="Hyperlink"/>
            <w:rFonts w:cs="Arial"/>
            <w:b/>
            <w:iCs/>
          </w:rPr>
          <w:t>and</w:t>
        </w:r>
        <w:r w:rsidR="00D13F01" w:rsidRPr="003E0BEF">
          <w:rPr>
            <w:rStyle w:val="Hyperlink"/>
            <w:rFonts w:cs="Arial"/>
            <w:b/>
            <w:iCs/>
          </w:rPr>
          <w:t xml:space="preserve"> Billing</w:t>
        </w:r>
      </w:hyperlink>
      <w:r w:rsidRPr="00793130">
        <w:rPr>
          <w:rFonts w:cs="Arial"/>
          <w:iCs/>
        </w:rPr>
        <w:t xml:space="preserve">.  Disputes by a non-participating resource of amounts calculated by CAISO </w:t>
      </w:r>
      <w:r w:rsidR="00D13F01">
        <w:rPr>
          <w:rFonts w:cs="Arial"/>
          <w:iCs/>
        </w:rPr>
        <w:t xml:space="preserve">and distributed to it by an EIM Entity Scheduling Coordinator </w:t>
      </w:r>
      <w:r w:rsidRPr="00793130">
        <w:rPr>
          <w:rFonts w:cs="Arial"/>
          <w:iCs/>
        </w:rPr>
        <w:t>are between the non-participating resource and the EIM En</w:t>
      </w:r>
      <w:r w:rsidR="004D5D76">
        <w:rPr>
          <w:rFonts w:cs="Arial"/>
          <w:iCs/>
        </w:rPr>
        <w:t xml:space="preserve">tity Scheduling Coordinator, </w:t>
      </w:r>
      <w:r w:rsidR="001B06BF">
        <w:rPr>
          <w:rFonts w:cs="Arial"/>
          <w:iCs/>
        </w:rPr>
        <w:t xml:space="preserve">not with </w:t>
      </w:r>
      <w:r w:rsidRPr="00793130">
        <w:rPr>
          <w:rFonts w:cs="Arial"/>
          <w:iCs/>
        </w:rPr>
        <w:t>CAISO.  If an EIM Entity Scheduling Coordinator disagrees with the amounts calculated by</w:t>
      </w:r>
      <w:r w:rsidR="001B06BF">
        <w:rPr>
          <w:rFonts w:cs="Arial"/>
          <w:iCs/>
        </w:rPr>
        <w:t xml:space="preserve"> </w:t>
      </w:r>
      <w:r w:rsidRPr="00793130">
        <w:rPr>
          <w:rFonts w:cs="Arial"/>
          <w:iCs/>
        </w:rPr>
        <w:t xml:space="preserve">CAISO for EIM non-participating resources, the EIM Entity Scheduling Coordinator is responsible for submitting a </w:t>
      </w:r>
      <w:r w:rsidR="00D13F01">
        <w:rPr>
          <w:rFonts w:cs="Arial"/>
          <w:iCs/>
        </w:rPr>
        <w:t xml:space="preserve">settlement </w:t>
      </w:r>
      <w:r w:rsidRPr="00793130">
        <w:rPr>
          <w:rFonts w:cs="Arial"/>
          <w:iCs/>
        </w:rPr>
        <w:t xml:space="preserve">dispute through the process outlined in Section 2.3.5 and Section 5 of the </w:t>
      </w:r>
      <w:hyperlink r:id="rId192" w:history="1">
        <w:r w:rsidR="00D13F01" w:rsidRPr="003E0BEF">
          <w:rPr>
            <w:rStyle w:val="Hyperlink"/>
            <w:rFonts w:cs="Arial"/>
            <w:b/>
            <w:iCs/>
          </w:rPr>
          <w:t xml:space="preserve">BPM for Settlements </w:t>
        </w:r>
        <w:r w:rsidR="00D13F01">
          <w:rPr>
            <w:rStyle w:val="Hyperlink"/>
            <w:rFonts w:cs="Arial"/>
            <w:b/>
            <w:iCs/>
          </w:rPr>
          <w:t>and</w:t>
        </w:r>
        <w:r w:rsidR="00D13F01" w:rsidRPr="003E0BEF">
          <w:rPr>
            <w:rStyle w:val="Hyperlink"/>
            <w:rFonts w:cs="Arial"/>
            <w:b/>
            <w:iCs/>
          </w:rPr>
          <w:t xml:space="preserve"> Billing</w:t>
        </w:r>
      </w:hyperlink>
      <w:r w:rsidRPr="00793130">
        <w:rPr>
          <w:rFonts w:cs="Arial"/>
          <w:iCs/>
        </w:rPr>
        <w:t>.</w:t>
      </w:r>
      <w:r w:rsidR="00042C07">
        <w:rPr>
          <w:rFonts w:cs="Arial"/>
          <w:iCs/>
        </w:rPr>
        <w:t xml:space="preserve">  </w:t>
      </w:r>
    </w:p>
    <w:p w14:paraId="33C9D3F2" w14:textId="77777777" w:rsidR="00172436" w:rsidRDefault="00172436" w:rsidP="00C33762">
      <w:pPr>
        <w:pStyle w:val="Heading2"/>
      </w:pPr>
      <w:bookmarkStart w:id="2266" w:name="_Toc391969873"/>
      <w:bookmarkStart w:id="2267" w:name="_Toc20384146"/>
      <w:r>
        <w:t>Suspension</w:t>
      </w:r>
      <w:bookmarkEnd w:id="2266"/>
      <w:bookmarkEnd w:id="2267"/>
    </w:p>
    <w:p w14:paraId="60D4B278" w14:textId="77777777" w:rsidR="00842CCC" w:rsidRDefault="00842CCC" w:rsidP="00842CCC">
      <w:pPr>
        <w:spacing w:after="240" w:line="300" w:lineRule="auto"/>
        <w:rPr>
          <w:iCs/>
        </w:rPr>
      </w:pPr>
      <w:r>
        <w:rPr>
          <w:iCs/>
        </w:rPr>
        <w:t>In the case where there is a suspension of EIM participation by an EIM Entity</w:t>
      </w:r>
      <w:r w:rsidR="007970DF">
        <w:rPr>
          <w:iCs/>
        </w:rPr>
        <w:t>, as described in S</w:t>
      </w:r>
      <w:r w:rsidR="00156CA6">
        <w:rPr>
          <w:iCs/>
        </w:rPr>
        <w:t>ection 10.</w:t>
      </w:r>
      <w:r w:rsidR="00C30887">
        <w:rPr>
          <w:iCs/>
        </w:rPr>
        <w:t>5</w:t>
      </w:r>
      <w:r w:rsidR="00156CA6">
        <w:rPr>
          <w:iCs/>
        </w:rPr>
        <w:t>.1 of this BPM</w:t>
      </w:r>
      <w:r>
        <w:rPr>
          <w:iCs/>
        </w:rPr>
        <w:t>, a Mark</w:t>
      </w:r>
      <w:r w:rsidR="001B06BF">
        <w:rPr>
          <w:iCs/>
        </w:rPr>
        <w:t xml:space="preserve">et Notice will be issued by </w:t>
      </w:r>
      <w:r>
        <w:rPr>
          <w:iCs/>
        </w:rPr>
        <w:t>CAISO to alert all market participants.  The EIM Entity wi</w:t>
      </w:r>
      <w:r w:rsidR="000B6D3C">
        <w:rPr>
          <w:iCs/>
        </w:rPr>
        <w:t>ll still be required to submit Base S</w:t>
      </w:r>
      <w:r>
        <w:rPr>
          <w:iCs/>
        </w:rPr>
        <w:t>chedules during the period of the suspension along with meter d</w:t>
      </w:r>
      <w:r w:rsidR="001B06BF">
        <w:rPr>
          <w:iCs/>
        </w:rPr>
        <w:t xml:space="preserve">ata matching those values.  </w:t>
      </w:r>
      <w:r>
        <w:rPr>
          <w:iCs/>
        </w:rPr>
        <w:t>CAISO will manually suspend the calculation of U</w:t>
      </w:r>
      <w:r w:rsidR="000E7D7E">
        <w:rPr>
          <w:iCs/>
        </w:rPr>
        <w:t xml:space="preserve">naccounted </w:t>
      </w:r>
      <w:r>
        <w:rPr>
          <w:iCs/>
        </w:rPr>
        <w:t>F</w:t>
      </w:r>
      <w:r w:rsidR="000E7D7E">
        <w:rPr>
          <w:iCs/>
        </w:rPr>
        <w:t xml:space="preserve">or </w:t>
      </w:r>
      <w:r>
        <w:rPr>
          <w:iCs/>
        </w:rPr>
        <w:t>E</w:t>
      </w:r>
      <w:r w:rsidR="000E7D7E">
        <w:rPr>
          <w:iCs/>
        </w:rPr>
        <w:t>nergy (UFE)</w:t>
      </w:r>
      <w:r>
        <w:rPr>
          <w:iCs/>
        </w:rPr>
        <w:t xml:space="preserve"> for the EIM Entity BAA, but will continue to generate and publish settl</w:t>
      </w:r>
      <w:r w:rsidR="000B6D3C">
        <w:rPr>
          <w:iCs/>
        </w:rPr>
        <w:t>ement statements utilizing the Base S</w:t>
      </w:r>
      <w:r>
        <w:rPr>
          <w:iCs/>
        </w:rPr>
        <w:t>chedule and meter data informati</w:t>
      </w:r>
      <w:r w:rsidR="004A54C4">
        <w:rPr>
          <w:iCs/>
        </w:rPr>
        <w:t>on submitted by the EIM Entity.</w:t>
      </w:r>
    </w:p>
    <w:p w14:paraId="5ACF9157" w14:textId="77777777" w:rsidR="00770B86" w:rsidRPr="00770B86" w:rsidRDefault="00770B86" w:rsidP="006F6DD6">
      <w:pPr>
        <w:spacing w:after="240" w:line="300" w:lineRule="auto"/>
        <w:rPr>
          <w:iCs/>
        </w:rPr>
      </w:pPr>
    </w:p>
    <w:p w14:paraId="68079816" w14:textId="77777777" w:rsidR="009540DF" w:rsidRDefault="009540DF" w:rsidP="00FF6F1D">
      <w:pPr>
        <w:pStyle w:val="Heading1"/>
      </w:pPr>
      <w:bookmarkStart w:id="2268" w:name="_Toc20384147"/>
      <w:bookmarkStart w:id="2269" w:name="_Toc389662615"/>
      <w:bookmarkStart w:id="2270" w:name="_Toc390946309"/>
      <w:bookmarkStart w:id="2271" w:name="_Toc391969874"/>
      <w:r w:rsidRPr="00225179">
        <w:t>READINESS</w:t>
      </w:r>
      <w:bookmarkEnd w:id="2268"/>
      <w:r w:rsidRPr="00225179">
        <w:t xml:space="preserve"> </w:t>
      </w:r>
    </w:p>
    <w:p w14:paraId="066269E6" w14:textId="77777777" w:rsidR="00DF5618" w:rsidRDefault="00DF5618" w:rsidP="00DF5618">
      <w:pPr>
        <w:spacing w:after="240" w:line="300" w:lineRule="auto"/>
      </w:pPr>
      <w:r>
        <w:t xml:space="preserve">Welcome to the </w:t>
      </w:r>
      <w:r>
        <w:rPr>
          <w:i/>
        </w:rPr>
        <w:t xml:space="preserve">Readiness </w:t>
      </w:r>
      <w:r>
        <w:t xml:space="preserve">section of the CAISO </w:t>
      </w:r>
      <w:r w:rsidRPr="00A812DF">
        <w:rPr>
          <w:i/>
        </w:rPr>
        <w:t>BPM for the Energy Imbalance Market</w:t>
      </w:r>
      <w:r>
        <w:t xml:space="preserve">.  In this section </w:t>
      </w:r>
      <w:r w:rsidR="00276804">
        <w:t>you will find</w:t>
      </w:r>
      <w:r>
        <w:t>:</w:t>
      </w:r>
    </w:p>
    <w:p w14:paraId="0885513C" w14:textId="77777777" w:rsidR="00276804" w:rsidRDefault="00276804" w:rsidP="000F0531">
      <w:pPr>
        <w:pStyle w:val="ListParagraph"/>
        <w:numPr>
          <w:ilvl w:val="0"/>
          <w:numId w:val="63"/>
        </w:numPr>
        <w:spacing w:after="240" w:line="300" w:lineRule="auto"/>
      </w:pPr>
      <w:r>
        <w:t>Descriptions of the established readiness criteria categories</w:t>
      </w:r>
    </w:p>
    <w:p w14:paraId="7D8A1281" w14:textId="77777777" w:rsidR="00276804" w:rsidRDefault="00276804" w:rsidP="000F0531">
      <w:pPr>
        <w:pStyle w:val="ListParagraph"/>
        <w:numPr>
          <w:ilvl w:val="0"/>
          <w:numId w:val="63"/>
        </w:numPr>
        <w:spacing w:after="240" w:line="300" w:lineRule="auto"/>
      </w:pPr>
      <w:r>
        <w:t>A listing of readiness criteria, metrics and thresholds</w:t>
      </w:r>
    </w:p>
    <w:p w14:paraId="34F4E968" w14:textId="77777777" w:rsidR="00276804" w:rsidRDefault="00276804" w:rsidP="000F0531">
      <w:pPr>
        <w:pStyle w:val="ListParagraph"/>
        <w:numPr>
          <w:ilvl w:val="0"/>
          <w:numId w:val="63"/>
        </w:numPr>
        <w:spacing w:after="240" w:line="300" w:lineRule="auto"/>
      </w:pPr>
      <w:r>
        <w:t>Information on the process for readiness determination, reporting and certification.</w:t>
      </w:r>
    </w:p>
    <w:p w14:paraId="32AB0F14" w14:textId="77777777" w:rsidR="009540DF" w:rsidRDefault="00DB75A7" w:rsidP="0040008D">
      <w:pPr>
        <w:pStyle w:val="Heading2"/>
      </w:pPr>
      <w:bookmarkStart w:id="2272" w:name="_Toc20384148"/>
      <w:r>
        <w:t>Readiness Criteria Categories</w:t>
      </w:r>
      <w:bookmarkEnd w:id="2272"/>
    </w:p>
    <w:p w14:paraId="676E3300" w14:textId="77777777" w:rsidR="009A3F9F" w:rsidRPr="005730EC" w:rsidRDefault="009A3F9F" w:rsidP="009A3F9F">
      <w:pPr>
        <w:pStyle w:val="ParaText"/>
        <w:rPr>
          <w:rFonts w:cs="Arial"/>
        </w:rPr>
      </w:pPr>
      <w:r w:rsidRPr="005730EC">
        <w:rPr>
          <w:rFonts w:cs="Arial"/>
        </w:rPr>
        <w:t xml:space="preserve">The readiness criteria are intended to support readiness certification prior to implementation. Leading to certification, the EIM Entity and CAISO will conduct appropriate steps to ensure that each criteria is evaluated compared with the metric and threshold. </w:t>
      </w:r>
    </w:p>
    <w:p w14:paraId="09A784CF" w14:textId="77777777" w:rsidR="009A3F9F" w:rsidRPr="005730EC" w:rsidRDefault="009A3F9F" w:rsidP="000F0531">
      <w:pPr>
        <w:numPr>
          <w:ilvl w:val="0"/>
          <w:numId w:val="67"/>
        </w:numPr>
        <w:spacing w:after="200" w:line="276" w:lineRule="auto"/>
        <w:rPr>
          <w:rFonts w:cs="Arial"/>
        </w:rPr>
      </w:pPr>
      <w:r w:rsidRPr="005730EC">
        <w:rPr>
          <w:rFonts w:cs="Arial"/>
        </w:rPr>
        <w:t xml:space="preserve">EIM Entity Full Network Model Integration – in order to participate in EIM, the </w:t>
      </w:r>
      <w:r>
        <w:rPr>
          <w:rFonts w:cs="Arial"/>
        </w:rPr>
        <w:t xml:space="preserve">prospective </w:t>
      </w:r>
      <w:r w:rsidRPr="005730EC">
        <w:rPr>
          <w:rFonts w:cs="Arial"/>
        </w:rPr>
        <w:t>EIM Entity</w:t>
      </w:r>
      <w:r>
        <w:rPr>
          <w:rFonts w:cs="Arial"/>
        </w:rPr>
        <w:t>’s full</w:t>
      </w:r>
      <w:r w:rsidRPr="005730EC">
        <w:rPr>
          <w:rFonts w:cs="Arial"/>
        </w:rPr>
        <w:t xml:space="preserve"> network model is integrated into CAISO full network model.  This activity precedes testing and is demonstrated during market simulation.  The incorporation of the EIM Entity’s network model into CAISO’s production full network model follows the standard promotion process and timing.</w:t>
      </w:r>
    </w:p>
    <w:p w14:paraId="7A9EABB3" w14:textId="77777777" w:rsidR="009A3F9F" w:rsidRPr="005730EC" w:rsidRDefault="009A3F9F" w:rsidP="000F0531">
      <w:pPr>
        <w:numPr>
          <w:ilvl w:val="0"/>
          <w:numId w:val="67"/>
        </w:numPr>
        <w:spacing w:after="200" w:line="276" w:lineRule="auto"/>
        <w:rPr>
          <w:rFonts w:cs="Arial"/>
        </w:rPr>
      </w:pPr>
      <w:r w:rsidRPr="005730EC">
        <w:rPr>
          <w:rFonts w:cs="Arial"/>
        </w:rPr>
        <w:t xml:space="preserve">Agreements – prior to the established implementation date, the </w:t>
      </w:r>
      <w:r>
        <w:rPr>
          <w:rFonts w:cs="Arial"/>
        </w:rPr>
        <w:t xml:space="preserve">prospective </w:t>
      </w:r>
      <w:r w:rsidRPr="005730EC">
        <w:rPr>
          <w:rFonts w:cs="Arial"/>
        </w:rPr>
        <w:t xml:space="preserve">EIM Entity must execute all necessary agreements in accordance with the timelines described in section 5 of the EIM Business Practice Manual. </w:t>
      </w:r>
    </w:p>
    <w:p w14:paraId="342DDC34" w14:textId="77777777" w:rsidR="009A3F9F" w:rsidRPr="005730EC" w:rsidRDefault="009A3F9F" w:rsidP="000F0531">
      <w:pPr>
        <w:numPr>
          <w:ilvl w:val="0"/>
          <w:numId w:val="67"/>
        </w:numPr>
        <w:spacing w:after="200" w:line="276" w:lineRule="auto"/>
        <w:rPr>
          <w:rFonts w:cs="Arial"/>
        </w:rPr>
      </w:pPr>
      <w:r w:rsidRPr="005730EC">
        <w:rPr>
          <w:rFonts w:cs="Arial"/>
        </w:rPr>
        <w:t xml:space="preserve">Training –CAISO provides training for </w:t>
      </w:r>
      <w:r>
        <w:rPr>
          <w:rFonts w:cs="Arial"/>
        </w:rPr>
        <w:t xml:space="preserve">prospective </w:t>
      </w:r>
      <w:r w:rsidRPr="005730EC">
        <w:rPr>
          <w:rFonts w:cs="Arial"/>
        </w:rPr>
        <w:t xml:space="preserve">EIM Entity </w:t>
      </w:r>
      <w:r>
        <w:rPr>
          <w:rFonts w:cs="Arial"/>
        </w:rPr>
        <w:t>o</w:t>
      </w:r>
      <w:r w:rsidRPr="005730EC">
        <w:rPr>
          <w:rFonts w:cs="Arial"/>
        </w:rPr>
        <w:t xml:space="preserve">perators before and during market simulation. All training is to be completed prior to the start of parallel </w:t>
      </w:r>
      <w:r>
        <w:rPr>
          <w:rFonts w:cs="Arial"/>
        </w:rPr>
        <w:t>operations</w:t>
      </w:r>
      <w:r w:rsidRPr="005730EC">
        <w:rPr>
          <w:rFonts w:cs="Arial"/>
        </w:rPr>
        <w:t xml:space="preserve">.   </w:t>
      </w:r>
    </w:p>
    <w:p w14:paraId="5E657933" w14:textId="77777777" w:rsidR="009A3F9F" w:rsidRPr="005730EC" w:rsidRDefault="009A3F9F" w:rsidP="000F0531">
      <w:pPr>
        <w:numPr>
          <w:ilvl w:val="0"/>
          <w:numId w:val="67"/>
        </w:numPr>
        <w:spacing w:after="200" w:line="276" w:lineRule="auto"/>
        <w:rPr>
          <w:rFonts w:cs="Arial"/>
        </w:rPr>
      </w:pPr>
      <w:r w:rsidRPr="005730EC">
        <w:rPr>
          <w:rFonts w:cs="Arial"/>
        </w:rPr>
        <w:t>Forecasts – forecasting capabilities are established and measured during the market simulation.</w:t>
      </w:r>
    </w:p>
    <w:p w14:paraId="75E79036" w14:textId="77777777" w:rsidR="009A3F9F" w:rsidRPr="005730EC" w:rsidRDefault="009A3F9F" w:rsidP="000F0531">
      <w:pPr>
        <w:numPr>
          <w:ilvl w:val="0"/>
          <w:numId w:val="67"/>
        </w:numPr>
        <w:spacing w:after="200" w:line="276" w:lineRule="auto"/>
        <w:rPr>
          <w:rFonts w:cs="Arial"/>
        </w:rPr>
      </w:pPr>
      <w:r w:rsidRPr="005730EC">
        <w:rPr>
          <w:rFonts w:cs="Arial"/>
        </w:rPr>
        <w:t>Balanced Schedules– balanced schedule capabilities are measured during the market simulation.</w:t>
      </w:r>
    </w:p>
    <w:p w14:paraId="4F945D07" w14:textId="77777777" w:rsidR="009A3F9F" w:rsidRPr="005730EC" w:rsidRDefault="009A3F9F" w:rsidP="000F0531">
      <w:pPr>
        <w:numPr>
          <w:ilvl w:val="0"/>
          <w:numId w:val="67"/>
        </w:numPr>
        <w:spacing w:after="200" w:line="276" w:lineRule="auto"/>
        <w:rPr>
          <w:rFonts w:cs="Arial"/>
        </w:rPr>
      </w:pPr>
      <w:r w:rsidRPr="005730EC">
        <w:rPr>
          <w:rFonts w:cs="Arial"/>
        </w:rPr>
        <w:t xml:space="preserve">Operating Procedures - the </w:t>
      </w:r>
      <w:r w:rsidRPr="004A6F2D">
        <w:rPr>
          <w:rFonts w:cs="Arial"/>
        </w:rPr>
        <w:t xml:space="preserve">prospective </w:t>
      </w:r>
      <w:r w:rsidRPr="005730EC">
        <w:rPr>
          <w:rFonts w:cs="Arial"/>
        </w:rPr>
        <w:t xml:space="preserve">EIM Entity and CAISO will review and test applicable operating procedures prior to the start of parallel </w:t>
      </w:r>
      <w:r>
        <w:rPr>
          <w:rFonts w:cs="Arial"/>
        </w:rPr>
        <w:t>operations</w:t>
      </w:r>
      <w:r w:rsidRPr="005730EC">
        <w:rPr>
          <w:rFonts w:cs="Arial"/>
        </w:rPr>
        <w:t xml:space="preserve">.   </w:t>
      </w:r>
    </w:p>
    <w:p w14:paraId="09C1C7AA" w14:textId="77777777" w:rsidR="009A3F9F" w:rsidRPr="005730EC" w:rsidRDefault="009A3F9F" w:rsidP="000F0531">
      <w:pPr>
        <w:numPr>
          <w:ilvl w:val="0"/>
          <w:numId w:val="67"/>
        </w:numPr>
        <w:spacing w:after="200" w:line="276" w:lineRule="auto"/>
        <w:rPr>
          <w:rFonts w:cs="Arial"/>
        </w:rPr>
      </w:pPr>
      <w:r w:rsidRPr="005730EC">
        <w:rPr>
          <w:rFonts w:cs="Arial"/>
        </w:rPr>
        <w:t>System Readiness &amp; Integration - the</w:t>
      </w:r>
      <w:r>
        <w:rPr>
          <w:rFonts w:cs="Arial"/>
        </w:rPr>
        <w:t xml:space="preserve"> </w:t>
      </w:r>
      <w:r w:rsidRPr="00200458">
        <w:rPr>
          <w:rFonts w:cs="Arial"/>
        </w:rPr>
        <w:t xml:space="preserve">prospective </w:t>
      </w:r>
      <w:r w:rsidRPr="005730EC">
        <w:rPr>
          <w:rFonts w:cs="Arial"/>
        </w:rPr>
        <w:t xml:space="preserve">EIM Entity and CAISO will perform functional and system testing and system integration testing.      </w:t>
      </w:r>
    </w:p>
    <w:p w14:paraId="6A156A5F" w14:textId="77777777" w:rsidR="009A3F9F" w:rsidRPr="005730EC" w:rsidRDefault="009A3F9F" w:rsidP="000F0531">
      <w:pPr>
        <w:numPr>
          <w:ilvl w:val="0"/>
          <w:numId w:val="67"/>
        </w:numPr>
        <w:spacing w:after="200" w:line="276" w:lineRule="auto"/>
        <w:rPr>
          <w:rFonts w:cs="Arial"/>
        </w:rPr>
      </w:pPr>
      <w:r w:rsidRPr="005730EC">
        <w:rPr>
          <w:rFonts w:cs="Arial"/>
        </w:rPr>
        <w:t xml:space="preserve">Market Simulation - the CAISO will conduct a market simulation for the </w:t>
      </w:r>
      <w:r w:rsidRPr="00200458">
        <w:rPr>
          <w:rFonts w:cs="Arial"/>
        </w:rPr>
        <w:t xml:space="preserve">prospective </w:t>
      </w:r>
      <w:r w:rsidRPr="005730EC">
        <w:rPr>
          <w:rFonts w:cs="Arial"/>
        </w:rPr>
        <w:t xml:space="preserve">EIM Entity and any participating resource scheduling coordinators registered with the </w:t>
      </w:r>
      <w:r w:rsidRPr="00200458">
        <w:rPr>
          <w:rFonts w:cs="Arial"/>
        </w:rPr>
        <w:t xml:space="preserve">prospective </w:t>
      </w:r>
      <w:r w:rsidRPr="005730EC">
        <w:rPr>
          <w:rFonts w:cs="Arial"/>
        </w:rPr>
        <w:t xml:space="preserve">EIM Entity prior to that new </w:t>
      </w:r>
      <w:r w:rsidRPr="00200458">
        <w:rPr>
          <w:rFonts w:cs="Arial"/>
        </w:rPr>
        <w:t xml:space="preserve">prospective </w:t>
      </w:r>
      <w:r w:rsidRPr="005730EC">
        <w:rPr>
          <w:rFonts w:cs="Arial"/>
        </w:rPr>
        <w:t xml:space="preserve">EIM Entity entering EIM.  </w:t>
      </w:r>
    </w:p>
    <w:p w14:paraId="529E9F65" w14:textId="77777777" w:rsidR="009A3F9F" w:rsidRPr="005730EC" w:rsidRDefault="009A3F9F" w:rsidP="000F0531">
      <w:pPr>
        <w:numPr>
          <w:ilvl w:val="0"/>
          <w:numId w:val="67"/>
        </w:numPr>
        <w:spacing w:after="200" w:line="276" w:lineRule="auto"/>
        <w:rPr>
          <w:rFonts w:cs="Arial"/>
        </w:rPr>
      </w:pPr>
      <w:r w:rsidRPr="005730EC">
        <w:rPr>
          <w:rFonts w:cs="Arial"/>
        </w:rPr>
        <w:t xml:space="preserve">Settlements – the CAISO submits a settlement statement to the </w:t>
      </w:r>
      <w:r>
        <w:rPr>
          <w:rFonts w:cs="Arial"/>
        </w:rPr>
        <w:t xml:space="preserve">prospective </w:t>
      </w:r>
      <w:r w:rsidRPr="005730EC">
        <w:rPr>
          <w:rFonts w:cs="Arial"/>
        </w:rPr>
        <w:t xml:space="preserve">EIM Entity including EIM participating and non-participating resources and load.  The </w:t>
      </w:r>
      <w:r w:rsidRPr="00200458">
        <w:rPr>
          <w:rFonts w:cs="Arial"/>
        </w:rPr>
        <w:t xml:space="preserve">prospective </w:t>
      </w:r>
      <w:r w:rsidRPr="005730EC">
        <w:rPr>
          <w:rFonts w:cs="Arial"/>
        </w:rPr>
        <w:t>EIM Entity will verify the accuracy of the CAISO settlement statement to the</w:t>
      </w:r>
      <w:r>
        <w:rPr>
          <w:rFonts w:cs="Arial"/>
        </w:rPr>
        <w:t xml:space="preserve"> </w:t>
      </w:r>
      <w:r w:rsidRPr="00200458">
        <w:rPr>
          <w:rFonts w:cs="Arial"/>
        </w:rPr>
        <w:t xml:space="preserve">prospective </w:t>
      </w:r>
      <w:r w:rsidRPr="005730EC">
        <w:rPr>
          <w:rFonts w:cs="Arial"/>
        </w:rPr>
        <w:t xml:space="preserve">EIM Entity.  Prior to financially binding operations, the </w:t>
      </w:r>
      <w:r w:rsidRPr="00200458">
        <w:rPr>
          <w:rFonts w:cs="Arial"/>
        </w:rPr>
        <w:t xml:space="preserve">prospective </w:t>
      </w:r>
      <w:r w:rsidRPr="005730EC">
        <w:rPr>
          <w:rFonts w:cs="Arial"/>
        </w:rPr>
        <w:t xml:space="preserve">EIM Entity </w:t>
      </w:r>
      <w:r w:rsidRPr="005730EC">
        <w:rPr>
          <w:rFonts w:cs="Arial"/>
          <w:color w:val="000000"/>
        </w:rPr>
        <w:t xml:space="preserve">will demonstrate it can produce allocations of the </w:t>
      </w:r>
      <w:r w:rsidRPr="005730EC">
        <w:rPr>
          <w:rFonts w:cs="Arial"/>
        </w:rPr>
        <w:t xml:space="preserve">CAISO </w:t>
      </w:r>
      <w:r w:rsidRPr="005730EC">
        <w:rPr>
          <w:rFonts w:cs="Arial"/>
          <w:color w:val="000000"/>
        </w:rPr>
        <w:t xml:space="preserve">settlement to its customers that are verifiably accurate against available data.  </w:t>
      </w:r>
    </w:p>
    <w:p w14:paraId="2A55BA36" w14:textId="77777777" w:rsidR="009A3F9F" w:rsidRPr="005730EC" w:rsidRDefault="009A3F9F" w:rsidP="000F0531">
      <w:pPr>
        <w:numPr>
          <w:ilvl w:val="0"/>
          <w:numId w:val="67"/>
        </w:numPr>
        <w:spacing w:after="200" w:line="276" w:lineRule="auto"/>
        <w:rPr>
          <w:rFonts w:cs="Arial"/>
        </w:rPr>
      </w:pPr>
      <w:r w:rsidRPr="005730EC">
        <w:rPr>
          <w:rFonts w:cs="Arial"/>
        </w:rPr>
        <w:t>Monitoring – the CAISO ensures that the CAISO Market Analysis Team and the Department of Market Monitoring have the data that is required to adequately monitor market performance.</w:t>
      </w:r>
    </w:p>
    <w:p w14:paraId="35D57F43" w14:textId="77777777" w:rsidR="009A3F9F" w:rsidRPr="005730EC" w:rsidRDefault="009A3F9F" w:rsidP="000F0531">
      <w:pPr>
        <w:numPr>
          <w:ilvl w:val="0"/>
          <w:numId w:val="67"/>
        </w:numPr>
        <w:spacing w:after="200" w:line="276" w:lineRule="auto"/>
        <w:rPr>
          <w:rFonts w:cs="Arial"/>
        </w:rPr>
      </w:pPr>
      <w:r w:rsidRPr="005730EC">
        <w:rPr>
          <w:rFonts w:cs="Arial"/>
        </w:rPr>
        <w:t xml:space="preserve">Parallel Operations Planning – the CAISO and </w:t>
      </w:r>
      <w:r w:rsidRPr="00200458">
        <w:rPr>
          <w:rFonts w:cs="Arial"/>
        </w:rPr>
        <w:t xml:space="preserve">prospective </w:t>
      </w:r>
      <w:r w:rsidRPr="005730EC">
        <w:rPr>
          <w:rFonts w:cs="Arial"/>
        </w:rPr>
        <w:t xml:space="preserve">EIM Entity ensure that systems, processes and staff are prepared for deployment of systems, parallel </w:t>
      </w:r>
      <w:r>
        <w:rPr>
          <w:rFonts w:cs="Arial"/>
        </w:rPr>
        <w:t>operations</w:t>
      </w:r>
      <w:r w:rsidRPr="005730EC">
        <w:rPr>
          <w:rFonts w:cs="Arial"/>
        </w:rPr>
        <w:t>, and support beyond parallel operations for issues that may arise.</w:t>
      </w:r>
    </w:p>
    <w:p w14:paraId="5A7FF86B" w14:textId="77777777" w:rsidR="009A3F9F" w:rsidRDefault="009A3F9F" w:rsidP="000F0531">
      <w:pPr>
        <w:numPr>
          <w:ilvl w:val="0"/>
          <w:numId w:val="67"/>
        </w:numPr>
        <w:spacing w:after="200" w:line="276" w:lineRule="auto"/>
        <w:rPr>
          <w:rFonts w:cs="Arial"/>
        </w:rPr>
      </w:pPr>
      <w:r w:rsidRPr="005730EC">
        <w:rPr>
          <w:rFonts w:cs="Arial"/>
        </w:rPr>
        <w:t xml:space="preserve">Communication - the CAISO and </w:t>
      </w:r>
      <w:r w:rsidRPr="00200458">
        <w:rPr>
          <w:rFonts w:cs="Arial"/>
        </w:rPr>
        <w:t xml:space="preserve">prospective </w:t>
      </w:r>
      <w:r w:rsidRPr="005730EC">
        <w:rPr>
          <w:rFonts w:cs="Arial"/>
        </w:rPr>
        <w:t xml:space="preserve">EIM Entity ensure all tools and procedures used for communication between the CAISO and </w:t>
      </w:r>
      <w:r w:rsidRPr="00200458">
        <w:rPr>
          <w:rFonts w:cs="Arial"/>
        </w:rPr>
        <w:t xml:space="preserve">prospective </w:t>
      </w:r>
      <w:r w:rsidRPr="005730EC">
        <w:rPr>
          <w:rFonts w:cs="Arial"/>
        </w:rPr>
        <w:t>EIM Entity are in place and tested before the implementation date</w:t>
      </w:r>
    </w:p>
    <w:p w14:paraId="7A69FADB" w14:textId="77777777" w:rsidR="009A3F9F" w:rsidRPr="009A3F9F" w:rsidRDefault="009A3F9F" w:rsidP="000F0531">
      <w:pPr>
        <w:numPr>
          <w:ilvl w:val="0"/>
          <w:numId w:val="67"/>
        </w:numPr>
        <w:spacing w:after="200" w:line="276" w:lineRule="auto"/>
        <w:rPr>
          <w:rFonts w:cs="Arial"/>
        </w:rPr>
      </w:pPr>
      <w:r w:rsidRPr="009A3F9F">
        <w:rPr>
          <w:rFonts w:cs="Arial"/>
          <w:color w:val="000000"/>
        </w:rPr>
        <w:t>EIM Available Balancing Capacity – the CAISO and the prospective EIM Entity register resources that the prospective EIM Entity intends to identify as EIM Available Balancing Capacity in the EIM Resource Plan.</w:t>
      </w:r>
    </w:p>
    <w:p w14:paraId="4EC9A988" w14:textId="77777777" w:rsidR="0046473E" w:rsidRPr="00276804" w:rsidRDefault="0046473E" w:rsidP="00276804">
      <w:pPr>
        <w:pStyle w:val="ParaText"/>
      </w:pPr>
    </w:p>
    <w:p w14:paraId="2979978E" w14:textId="77777777" w:rsidR="0040008D" w:rsidRDefault="0040008D" w:rsidP="0040008D">
      <w:pPr>
        <w:pStyle w:val="Heading2"/>
      </w:pPr>
      <w:bookmarkStart w:id="2273" w:name="_Toc20384149"/>
      <w:r>
        <w:t>Readiness Metrics, Criteria, and Thresholds</w:t>
      </w:r>
      <w:bookmarkEnd w:id="2273"/>
    </w:p>
    <w:tbl>
      <w:tblPr>
        <w:tblW w:w="10242" w:type="dxa"/>
        <w:tblLayout w:type="fixed"/>
        <w:tblLook w:val="04A0" w:firstRow="1" w:lastRow="0" w:firstColumn="1" w:lastColumn="0" w:noHBand="0" w:noVBand="1"/>
      </w:tblPr>
      <w:tblGrid>
        <w:gridCol w:w="1260"/>
        <w:gridCol w:w="1440"/>
        <w:gridCol w:w="2142"/>
        <w:gridCol w:w="2538"/>
        <w:gridCol w:w="2862"/>
      </w:tblGrid>
      <w:tr w:rsidR="001028EC" w:rsidRPr="005730EC" w14:paraId="3A3ACCA2" w14:textId="77777777" w:rsidTr="009E26DA">
        <w:trPr>
          <w:trHeight w:val="780"/>
          <w:tblHeader/>
        </w:trPr>
        <w:tc>
          <w:tcPr>
            <w:tcW w:w="1260" w:type="dxa"/>
            <w:tcBorders>
              <w:top w:val="single" w:sz="4" w:space="0" w:color="auto"/>
              <w:left w:val="single" w:sz="4" w:space="0" w:color="auto"/>
              <w:bottom w:val="single" w:sz="4" w:space="0" w:color="auto"/>
              <w:right w:val="single" w:sz="4" w:space="0" w:color="auto"/>
            </w:tcBorders>
            <w:shd w:val="clear" w:color="auto" w:fill="8EAADB"/>
            <w:hideMark/>
          </w:tcPr>
          <w:p w14:paraId="38B7F190" w14:textId="77777777" w:rsidR="001028EC" w:rsidRPr="005730EC" w:rsidRDefault="001028EC" w:rsidP="00701AB3">
            <w:pPr>
              <w:jc w:val="center"/>
              <w:rPr>
                <w:rFonts w:cs="Arial"/>
                <w:b/>
                <w:sz w:val="20"/>
              </w:rPr>
            </w:pPr>
            <w:r w:rsidRPr="005730EC">
              <w:rPr>
                <w:rFonts w:cs="Arial"/>
                <w:b/>
                <w:sz w:val="20"/>
              </w:rPr>
              <w:t>Readiness Criterion Identifier</w:t>
            </w:r>
          </w:p>
        </w:tc>
        <w:tc>
          <w:tcPr>
            <w:tcW w:w="1440" w:type="dxa"/>
            <w:tcBorders>
              <w:top w:val="single" w:sz="4" w:space="0" w:color="auto"/>
              <w:left w:val="nil"/>
              <w:bottom w:val="single" w:sz="4" w:space="0" w:color="auto"/>
              <w:right w:val="single" w:sz="4" w:space="0" w:color="auto"/>
            </w:tcBorders>
            <w:shd w:val="clear" w:color="auto" w:fill="8EAADB"/>
            <w:hideMark/>
          </w:tcPr>
          <w:p w14:paraId="03BAE607" w14:textId="77777777" w:rsidR="001028EC" w:rsidRPr="005730EC" w:rsidRDefault="001028EC" w:rsidP="00701AB3">
            <w:pPr>
              <w:jc w:val="center"/>
              <w:rPr>
                <w:rFonts w:cs="Arial"/>
                <w:b/>
                <w:sz w:val="20"/>
              </w:rPr>
            </w:pPr>
            <w:r w:rsidRPr="005730EC">
              <w:rPr>
                <w:rFonts w:cs="Arial"/>
                <w:b/>
                <w:sz w:val="20"/>
              </w:rPr>
              <w:t>Readiness Category</w:t>
            </w:r>
          </w:p>
        </w:tc>
        <w:tc>
          <w:tcPr>
            <w:tcW w:w="2142" w:type="dxa"/>
            <w:tcBorders>
              <w:top w:val="single" w:sz="4" w:space="0" w:color="auto"/>
              <w:left w:val="nil"/>
              <w:bottom w:val="single" w:sz="4" w:space="0" w:color="auto"/>
              <w:right w:val="single" w:sz="4" w:space="0" w:color="auto"/>
            </w:tcBorders>
            <w:shd w:val="clear" w:color="auto" w:fill="8EAADB"/>
            <w:hideMark/>
          </w:tcPr>
          <w:p w14:paraId="34173D50" w14:textId="77777777" w:rsidR="001028EC" w:rsidRPr="005730EC" w:rsidRDefault="001028EC" w:rsidP="00701AB3">
            <w:pPr>
              <w:jc w:val="center"/>
              <w:rPr>
                <w:rFonts w:cs="Arial"/>
                <w:b/>
                <w:sz w:val="20"/>
              </w:rPr>
            </w:pPr>
            <w:r w:rsidRPr="005730EC">
              <w:rPr>
                <w:rFonts w:cs="Arial"/>
                <w:b/>
                <w:sz w:val="20"/>
              </w:rPr>
              <w:t>Criteria</w:t>
            </w:r>
          </w:p>
        </w:tc>
        <w:tc>
          <w:tcPr>
            <w:tcW w:w="2538" w:type="dxa"/>
            <w:tcBorders>
              <w:top w:val="single" w:sz="4" w:space="0" w:color="auto"/>
              <w:left w:val="nil"/>
              <w:bottom w:val="single" w:sz="4" w:space="0" w:color="auto"/>
              <w:right w:val="single" w:sz="4" w:space="0" w:color="auto"/>
            </w:tcBorders>
            <w:shd w:val="clear" w:color="auto" w:fill="8EAADB"/>
            <w:hideMark/>
          </w:tcPr>
          <w:p w14:paraId="7A97E453" w14:textId="77777777" w:rsidR="001028EC" w:rsidRPr="005730EC" w:rsidRDefault="001028EC" w:rsidP="00701AB3">
            <w:pPr>
              <w:jc w:val="center"/>
              <w:rPr>
                <w:rFonts w:cs="Arial"/>
                <w:b/>
                <w:sz w:val="20"/>
              </w:rPr>
            </w:pPr>
            <w:r>
              <w:rPr>
                <w:rFonts w:cs="Arial"/>
                <w:b/>
                <w:sz w:val="20"/>
              </w:rPr>
              <w:t>Measurable Elements</w:t>
            </w:r>
          </w:p>
        </w:tc>
        <w:tc>
          <w:tcPr>
            <w:tcW w:w="2862" w:type="dxa"/>
            <w:tcBorders>
              <w:top w:val="single" w:sz="4" w:space="0" w:color="auto"/>
              <w:left w:val="nil"/>
              <w:bottom w:val="single" w:sz="4" w:space="0" w:color="auto"/>
              <w:right w:val="single" w:sz="4" w:space="0" w:color="auto"/>
            </w:tcBorders>
            <w:shd w:val="clear" w:color="auto" w:fill="8EAADB"/>
            <w:hideMark/>
          </w:tcPr>
          <w:p w14:paraId="301F422F" w14:textId="77777777" w:rsidR="001028EC" w:rsidRPr="005730EC" w:rsidRDefault="001028EC" w:rsidP="00701AB3">
            <w:pPr>
              <w:jc w:val="center"/>
              <w:rPr>
                <w:rFonts w:cs="Arial"/>
                <w:b/>
                <w:sz w:val="20"/>
              </w:rPr>
            </w:pPr>
            <w:r w:rsidRPr="005730EC">
              <w:rPr>
                <w:rFonts w:cs="Arial"/>
                <w:b/>
                <w:sz w:val="20"/>
              </w:rPr>
              <w:t>Threshold*</w:t>
            </w:r>
          </w:p>
        </w:tc>
      </w:tr>
      <w:tr w:rsidR="001028EC" w:rsidRPr="005730EC" w14:paraId="2BC8179D" w14:textId="77777777" w:rsidTr="009E26DA">
        <w:trPr>
          <w:trHeight w:val="1530"/>
        </w:trPr>
        <w:tc>
          <w:tcPr>
            <w:tcW w:w="1260" w:type="dxa"/>
            <w:tcBorders>
              <w:top w:val="nil"/>
              <w:left w:val="single" w:sz="4" w:space="0" w:color="auto"/>
              <w:bottom w:val="single" w:sz="4" w:space="0" w:color="auto"/>
              <w:right w:val="single" w:sz="4" w:space="0" w:color="auto"/>
            </w:tcBorders>
            <w:shd w:val="clear" w:color="auto" w:fill="auto"/>
            <w:noWrap/>
            <w:hideMark/>
          </w:tcPr>
          <w:p w14:paraId="7CC9283B" w14:textId="77777777" w:rsidR="001028EC" w:rsidRPr="005730EC" w:rsidRDefault="001028EC" w:rsidP="00701AB3">
            <w:pPr>
              <w:jc w:val="center"/>
              <w:rPr>
                <w:rFonts w:cs="Arial"/>
                <w:color w:val="000000"/>
                <w:sz w:val="20"/>
              </w:rPr>
            </w:pPr>
            <w:r w:rsidRPr="005730EC">
              <w:rPr>
                <w:rFonts w:cs="Arial"/>
                <w:color w:val="000000"/>
                <w:sz w:val="20"/>
              </w:rPr>
              <w:t>1</w:t>
            </w:r>
          </w:p>
        </w:tc>
        <w:tc>
          <w:tcPr>
            <w:tcW w:w="1440" w:type="dxa"/>
            <w:tcBorders>
              <w:top w:val="nil"/>
              <w:left w:val="nil"/>
              <w:bottom w:val="single" w:sz="4" w:space="0" w:color="auto"/>
              <w:right w:val="single" w:sz="4" w:space="0" w:color="auto"/>
            </w:tcBorders>
            <w:shd w:val="clear" w:color="auto" w:fill="auto"/>
            <w:hideMark/>
          </w:tcPr>
          <w:p w14:paraId="4C196747" w14:textId="77777777" w:rsidR="001028EC" w:rsidRPr="005730EC" w:rsidRDefault="001028EC" w:rsidP="00701AB3">
            <w:pPr>
              <w:rPr>
                <w:rFonts w:cs="Arial"/>
                <w:color w:val="000000"/>
                <w:sz w:val="20"/>
              </w:rPr>
            </w:pPr>
            <w:r>
              <w:rPr>
                <w:rFonts w:cs="Arial"/>
                <w:color w:val="000000"/>
                <w:sz w:val="20"/>
              </w:rPr>
              <w:t xml:space="preserve">Prospective </w:t>
            </w:r>
            <w:r w:rsidRPr="005730EC">
              <w:rPr>
                <w:rFonts w:cs="Arial"/>
                <w:color w:val="000000"/>
                <w:sz w:val="20"/>
              </w:rPr>
              <w:t>EIM Entity Full Network Model Integration</w:t>
            </w:r>
          </w:p>
        </w:tc>
        <w:tc>
          <w:tcPr>
            <w:tcW w:w="2142" w:type="dxa"/>
            <w:tcBorders>
              <w:top w:val="nil"/>
              <w:left w:val="nil"/>
              <w:bottom w:val="single" w:sz="4" w:space="0" w:color="auto"/>
              <w:right w:val="single" w:sz="4" w:space="0" w:color="auto"/>
            </w:tcBorders>
            <w:shd w:val="clear" w:color="auto" w:fill="auto"/>
            <w:hideMark/>
          </w:tcPr>
          <w:p w14:paraId="059BF4C6" w14:textId="77777777" w:rsidR="001028EC" w:rsidRPr="005730EC" w:rsidRDefault="001028EC" w:rsidP="00701AB3">
            <w:pPr>
              <w:rPr>
                <w:rFonts w:cs="Arial"/>
                <w:color w:val="000000"/>
                <w:sz w:val="20"/>
              </w:rPr>
            </w:pPr>
            <w:r w:rsidRPr="005730EC">
              <w:rPr>
                <w:rFonts w:cs="Arial"/>
                <w:color w:val="000000"/>
                <w:sz w:val="20"/>
              </w:rPr>
              <w:t>Generation, Interchange and Load comparison</w:t>
            </w:r>
          </w:p>
        </w:tc>
        <w:tc>
          <w:tcPr>
            <w:tcW w:w="2538" w:type="dxa"/>
            <w:tcBorders>
              <w:top w:val="nil"/>
              <w:left w:val="nil"/>
              <w:bottom w:val="single" w:sz="4" w:space="0" w:color="auto"/>
              <w:right w:val="single" w:sz="4" w:space="0" w:color="auto"/>
            </w:tcBorders>
            <w:shd w:val="clear" w:color="auto" w:fill="auto"/>
            <w:hideMark/>
          </w:tcPr>
          <w:p w14:paraId="4B0A0B92" w14:textId="77777777" w:rsidR="001028EC" w:rsidRPr="005730EC" w:rsidRDefault="001028EC" w:rsidP="00701AB3">
            <w:pPr>
              <w:rPr>
                <w:rFonts w:cs="Arial"/>
                <w:color w:val="000000"/>
                <w:sz w:val="20"/>
              </w:rPr>
            </w:pPr>
            <w:r w:rsidRPr="005730EC">
              <w:rPr>
                <w:rFonts w:cs="Arial"/>
                <w:sz w:val="20"/>
              </w:rPr>
              <w:t>Load, EIM Internal Intertie and EIM External Interties, and Generating Unit definition in the Full Network Model is consistent with the Load, EIM Internal Intertie and EIM External Interties, and Generating Unit</w:t>
            </w:r>
            <w:r w:rsidRPr="005730EC" w:rsidDel="004E4396">
              <w:rPr>
                <w:rFonts w:cs="Arial"/>
                <w:sz w:val="20"/>
              </w:rPr>
              <w:t xml:space="preserve"> </w:t>
            </w:r>
            <w:r w:rsidRPr="005730EC">
              <w:rPr>
                <w:rFonts w:cs="Arial"/>
                <w:sz w:val="20"/>
              </w:rPr>
              <w:t xml:space="preserve">definition in the exported </w:t>
            </w:r>
            <w:r>
              <w:rPr>
                <w:rFonts w:cs="Arial"/>
                <w:sz w:val="20"/>
              </w:rPr>
              <w:t xml:space="preserve">prospective </w:t>
            </w:r>
            <w:r w:rsidRPr="005730EC">
              <w:rPr>
                <w:rFonts w:cs="Arial"/>
                <w:sz w:val="20"/>
              </w:rPr>
              <w:t>EIM Entity network model file</w:t>
            </w:r>
            <w:r>
              <w:rPr>
                <w:rFonts w:cs="Arial"/>
                <w:sz w:val="20"/>
              </w:rPr>
              <w:t xml:space="preserve"> </w:t>
            </w:r>
            <w:r w:rsidRPr="00B74B5C">
              <w:rPr>
                <w:rFonts w:cs="Arial"/>
                <w:sz w:val="20"/>
              </w:rPr>
              <w:t>that it delivered to the CAISO</w:t>
            </w:r>
            <w:r>
              <w:rPr>
                <w:rFonts w:cs="Arial"/>
                <w:sz w:val="20"/>
              </w:rPr>
              <w:t>.</w:t>
            </w:r>
          </w:p>
        </w:tc>
        <w:tc>
          <w:tcPr>
            <w:tcW w:w="2862" w:type="dxa"/>
            <w:tcBorders>
              <w:top w:val="nil"/>
              <w:left w:val="nil"/>
              <w:bottom w:val="single" w:sz="4" w:space="0" w:color="auto"/>
              <w:right w:val="single" w:sz="4" w:space="0" w:color="auto"/>
            </w:tcBorders>
            <w:shd w:val="clear" w:color="auto" w:fill="auto"/>
            <w:hideMark/>
          </w:tcPr>
          <w:p w14:paraId="5B6AD05B" w14:textId="77777777" w:rsidR="001028EC" w:rsidRPr="005730EC" w:rsidRDefault="001028EC" w:rsidP="00701AB3">
            <w:pPr>
              <w:rPr>
                <w:rFonts w:cs="Arial"/>
                <w:color w:val="000000"/>
                <w:sz w:val="20"/>
              </w:rPr>
            </w:pPr>
            <w:r w:rsidRPr="005730EC">
              <w:rPr>
                <w:rFonts w:cs="Arial"/>
                <w:color w:val="000000"/>
                <w:sz w:val="20"/>
              </w:rPr>
              <w:t>Data matches within 10%, measured in MW capacity to start parallel operation, and within 5% before full activation. Discrepancies, if any, are accounted for in terms of imbalance adjustment</w:t>
            </w:r>
          </w:p>
        </w:tc>
      </w:tr>
      <w:tr w:rsidR="001028EC" w:rsidRPr="005730EC" w14:paraId="38EC80CB" w14:textId="77777777" w:rsidTr="009E26DA">
        <w:trPr>
          <w:trHeight w:val="1530"/>
        </w:trPr>
        <w:tc>
          <w:tcPr>
            <w:tcW w:w="1260" w:type="dxa"/>
            <w:tcBorders>
              <w:top w:val="nil"/>
              <w:left w:val="single" w:sz="4" w:space="0" w:color="auto"/>
              <w:bottom w:val="single" w:sz="4" w:space="0" w:color="auto"/>
              <w:right w:val="single" w:sz="4" w:space="0" w:color="auto"/>
            </w:tcBorders>
            <w:shd w:val="clear" w:color="auto" w:fill="auto"/>
            <w:noWrap/>
            <w:hideMark/>
          </w:tcPr>
          <w:p w14:paraId="363EB2BC" w14:textId="77777777" w:rsidR="001028EC" w:rsidRPr="005730EC" w:rsidRDefault="001028EC" w:rsidP="00701AB3">
            <w:pPr>
              <w:jc w:val="center"/>
              <w:rPr>
                <w:rFonts w:cs="Arial"/>
                <w:color w:val="000000"/>
                <w:sz w:val="20"/>
              </w:rPr>
            </w:pPr>
            <w:r w:rsidRPr="005730EC">
              <w:rPr>
                <w:rFonts w:cs="Arial"/>
                <w:color w:val="000000"/>
                <w:sz w:val="20"/>
              </w:rPr>
              <w:t>2</w:t>
            </w:r>
          </w:p>
        </w:tc>
        <w:tc>
          <w:tcPr>
            <w:tcW w:w="1440" w:type="dxa"/>
            <w:tcBorders>
              <w:top w:val="nil"/>
              <w:left w:val="nil"/>
              <w:bottom w:val="single" w:sz="4" w:space="0" w:color="auto"/>
              <w:right w:val="single" w:sz="4" w:space="0" w:color="auto"/>
            </w:tcBorders>
            <w:shd w:val="clear" w:color="auto" w:fill="auto"/>
            <w:hideMark/>
          </w:tcPr>
          <w:p w14:paraId="1E5BA1D4" w14:textId="77777777" w:rsidR="001028EC" w:rsidRPr="005730EC" w:rsidRDefault="001028EC" w:rsidP="00701AB3">
            <w:pPr>
              <w:rPr>
                <w:rFonts w:cs="Arial"/>
                <w:color w:val="000000"/>
                <w:sz w:val="20"/>
              </w:rPr>
            </w:pPr>
            <w:r>
              <w:rPr>
                <w:rFonts w:cs="Arial"/>
                <w:color w:val="000000"/>
                <w:sz w:val="20"/>
              </w:rPr>
              <w:t xml:space="preserve">Prospective </w:t>
            </w:r>
            <w:r w:rsidRPr="005730EC">
              <w:rPr>
                <w:rFonts w:cs="Arial"/>
                <w:color w:val="000000"/>
                <w:sz w:val="20"/>
              </w:rPr>
              <w:t>EIM Entity Full Network Model Integration</w:t>
            </w:r>
          </w:p>
        </w:tc>
        <w:tc>
          <w:tcPr>
            <w:tcW w:w="2142" w:type="dxa"/>
            <w:tcBorders>
              <w:top w:val="nil"/>
              <w:left w:val="nil"/>
              <w:bottom w:val="single" w:sz="4" w:space="0" w:color="auto"/>
              <w:right w:val="single" w:sz="4" w:space="0" w:color="auto"/>
            </w:tcBorders>
            <w:shd w:val="clear" w:color="auto" w:fill="auto"/>
            <w:hideMark/>
          </w:tcPr>
          <w:p w14:paraId="3C5BF917" w14:textId="77777777" w:rsidR="001028EC" w:rsidRPr="005730EC" w:rsidRDefault="001028EC" w:rsidP="00701AB3">
            <w:pPr>
              <w:rPr>
                <w:rFonts w:cs="Arial"/>
                <w:color w:val="000000"/>
                <w:sz w:val="20"/>
              </w:rPr>
            </w:pPr>
            <w:r w:rsidRPr="005730EC">
              <w:rPr>
                <w:rFonts w:cs="Arial"/>
                <w:color w:val="000000"/>
                <w:sz w:val="20"/>
              </w:rPr>
              <w:t>Comparison of SCADA measurement</w:t>
            </w:r>
          </w:p>
        </w:tc>
        <w:tc>
          <w:tcPr>
            <w:tcW w:w="2538" w:type="dxa"/>
            <w:tcBorders>
              <w:top w:val="nil"/>
              <w:left w:val="nil"/>
              <w:bottom w:val="single" w:sz="4" w:space="0" w:color="auto"/>
              <w:right w:val="single" w:sz="4" w:space="0" w:color="auto"/>
            </w:tcBorders>
            <w:shd w:val="clear" w:color="auto" w:fill="auto"/>
            <w:hideMark/>
          </w:tcPr>
          <w:p w14:paraId="2F6FAE3D" w14:textId="77777777" w:rsidR="001028EC" w:rsidRPr="005730EC" w:rsidRDefault="001028EC" w:rsidP="00701AB3">
            <w:pPr>
              <w:rPr>
                <w:rFonts w:cs="Arial"/>
                <w:color w:val="000000"/>
                <w:sz w:val="20"/>
              </w:rPr>
            </w:pPr>
            <w:r w:rsidRPr="005730EC">
              <w:rPr>
                <w:rFonts w:cs="Arial"/>
                <w:color w:val="000000"/>
                <w:sz w:val="20"/>
              </w:rPr>
              <w:t xml:space="preserve">SCADA measurements used in </w:t>
            </w:r>
            <w:r w:rsidRPr="00FB5685">
              <w:rPr>
                <w:rFonts w:cs="Arial"/>
                <w:sz w:val="20"/>
              </w:rPr>
              <w:t>prospective</w:t>
            </w:r>
            <w:r>
              <w:rPr>
                <w:rFonts w:cs="Arial"/>
              </w:rPr>
              <w:t xml:space="preserve"> </w:t>
            </w:r>
            <w:r w:rsidRPr="005730EC">
              <w:rPr>
                <w:rFonts w:cs="Arial"/>
                <w:color w:val="000000"/>
                <w:sz w:val="20"/>
              </w:rPr>
              <w:t>EIM Entity EMS model match the measurements observed by the CAISO through the CAISO EMS model</w:t>
            </w:r>
          </w:p>
        </w:tc>
        <w:tc>
          <w:tcPr>
            <w:tcW w:w="2862" w:type="dxa"/>
            <w:tcBorders>
              <w:top w:val="nil"/>
              <w:left w:val="nil"/>
              <w:bottom w:val="single" w:sz="4" w:space="0" w:color="auto"/>
              <w:right w:val="single" w:sz="4" w:space="0" w:color="auto"/>
            </w:tcBorders>
            <w:shd w:val="clear" w:color="auto" w:fill="auto"/>
            <w:hideMark/>
          </w:tcPr>
          <w:p w14:paraId="6A7C2D8E" w14:textId="77777777" w:rsidR="001028EC" w:rsidRPr="005730EC" w:rsidRDefault="001028EC" w:rsidP="00701AB3">
            <w:pPr>
              <w:rPr>
                <w:rFonts w:cs="Arial"/>
                <w:color w:val="000000"/>
                <w:sz w:val="20"/>
              </w:rPr>
            </w:pPr>
            <w:r w:rsidRPr="005730EC">
              <w:rPr>
                <w:rFonts w:cs="Arial"/>
                <w:color w:val="000000"/>
                <w:sz w:val="20"/>
              </w:rPr>
              <w:t xml:space="preserve">Critical and used SCADA measurements match 90% to start parallel operation and 95% before full activation, measured in MW, outside of any exception in EMS model </w:t>
            </w:r>
          </w:p>
        </w:tc>
      </w:tr>
      <w:tr w:rsidR="001028EC" w:rsidRPr="005730EC" w14:paraId="32E85A05" w14:textId="77777777" w:rsidTr="009E26DA">
        <w:trPr>
          <w:trHeight w:val="278"/>
        </w:trPr>
        <w:tc>
          <w:tcPr>
            <w:tcW w:w="1260" w:type="dxa"/>
            <w:tcBorders>
              <w:top w:val="nil"/>
              <w:left w:val="single" w:sz="4" w:space="0" w:color="auto"/>
              <w:bottom w:val="single" w:sz="4" w:space="0" w:color="auto"/>
              <w:right w:val="single" w:sz="4" w:space="0" w:color="auto"/>
            </w:tcBorders>
            <w:shd w:val="clear" w:color="auto" w:fill="auto"/>
            <w:noWrap/>
            <w:hideMark/>
          </w:tcPr>
          <w:p w14:paraId="6415CE46" w14:textId="77777777" w:rsidR="001028EC" w:rsidRPr="005730EC" w:rsidRDefault="001028EC" w:rsidP="00701AB3">
            <w:pPr>
              <w:jc w:val="center"/>
              <w:rPr>
                <w:rFonts w:cs="Arial"/>
                <w:color w:val="000000"/>
                <w:sz w:val="20"/>
              </w:rPr>
            </w:pPr>
            <w:r w:rsidRPr="005730EC">
              <w:rPr>
                <w:rFonts w:cs="Arial"/>
                <w:color w:val="000000"/>
                <w:sz w:val="20"/>
              </w:rPr>
              <w:t>3</w:t>
            </w:r>
          </w:p>
        </w:tc>
        <w:tc>
          <w:tcPr>
            <w:tcW w:w="1440" w:type="dxa"/>
            <w:tcBorders>
              <w:top w:val="nil"/>
              <w:left w:val="nil"/>
              <w:bottom w:val="single" w:sz="4" w:space="0" w:color="auto"/>
              <w:right w:val="single" w:sz="4" w:space="0" w:color="auto"/>
            </w:tcBorders>
            <w:shd w:val="clear" w:color="auto" w:fill="auto"/>
            <w:hideMark/>
          </w:tcPr>
          <w:p w14:paraId="33974E2A" w14:textId="77777777" w:rsidR="001028EC" w:rsidRPr="005730EC" w:rsidRDefault="001028EC" w:rsidP="00701AB3">
            <w:pPr>
              <w:rPr>
                <w:rFonts w:cs="Arial"/>
                <w:color w:val="000000"/>
                <w:sz w:val="20"/>
              </w:rPr>
            </w:pPr>
            <w:r w:rsidRPr="00FB5685">
              <w:rPr>
                <w:rFonts w:cs="Arial"/>
                <w:sz w:val="20"/>
              </w:rPr>
              <w:t>Prospective</w:t>
            </w:r>
            <w:r>
              <w:rPr>
                <w:rFonts w:cs="Arial"/>
              </w:rPr>
              <w:t xml:space="preserve"> </w:t>
            </w:r>
            <w:r w:rsidRPr="005730EC">
              <w:rPr>
                <w:rFonts w:cs="Arial"/>
                <w:color w:val="000000"/>
                <w:sz w:val="20"/>
              </w:rPr>
              <w:t>EIM Entity</w:t>
            </w:r>
            <w:r>
              <w:rPr>
                <w:rFonts w:cs="Arial"/>
                <w:color w:val="000000"/>
                <w:sz w:val="20"/>
              </w:rPr>
              <w:t xml:space="preserve"> </w:t>
            </w:r>
            <w:r w:rsidRPr="005730EC">
              <w:rPr>
                <w:rFonts w:cs="Arial"/>
                <w:color w:val="000000"/>
                <w:sz w:val="20"/>
              </w:rPr>
              <w:t>Full Network Model Integration</w:t>
            </w:r>
          </w:p>
        </w:tc>
        <w:tc>
          <w:tcPr>
            <w:tcW w:w="2142" w:type="dxa"/>
            <w:tcBorders>
              <w:top w:val="nil"/>
              <w:left w:val="nil"/>
              <w:bottom w:val="single" w:sz="4" w:space="0" w:color="auto"/>
              <w:right w:val="single" w:sz="4" w:space="0" w:color="auto"/>
            </w:tcBorders>
            <w:shd w:val="clear" w:color="auto" w:fill="auto"/>
            <w:hideMark/>
          </w:tcPr>
          <w:p w14:paraId="4E9E68F7" w14:textId="77777777" w:rsidR="001028EC" w:rsidRPr="005730EC" w:rsidRDefault="001028EC" w:rsidP="00701AB3">
            <w:pPr>
              <w:rPr>
                <w:rFonts w:cs="Arial"/>
                <w:color w:val="000000"/>
                <w:sz w:val="20"/>
              </w:rPr>
            </w:pPr>
            <w:r w:rsidRPr="005730EC">
              <w:rPr>
                <w:rFonts w:cs="Arial"/>
                <w:color w:val="000000"/>
                <w:sz w:val="20"/>
              </w:rPr>
              <w:t xml:space="preserve">State Estimator solution </w:t>
            </w:r>
          </w:p>
        </w:tc>
        <w:tc>
          <w:tcPr>
            <w:tcW w:w="2538" w:type="dxa"/>
            <w:tcBorders>
              <w:top w:val="nil"/>
              <w:left w:val="nil"/>
              <w:bottom w:val="single" w:sz="4" w:space="0" w:color="auto"/>
              <w:right w:val="single" w:sz="4" w:space="0" w:color="auto"/>
            </w:tcBorders>
            <w:shd w:val="clear" w:color="auto" w:fill="auto"/>
            <w:hideMark/>
          </w:tcPr>
          <w:p w14:paraId="2E2D9F0D" w14:textId="77777777" w:rsidR="001028EC" w:rsidRPr="005730EC" w:rsidRDefault="001028EC" w:rsidP="00701AB3">
            <w:pPr>
              <w:rPr>
                <w:rFonts w:cs="Arial"/>
                <w:color w:val="000000"/>
                <w:sz w:val="20"/>
              </w:rPr>
            </w:pPr>
            <w:r w:rsidRPr="005730EC">
              <w:rPr>
                <w:rFonts w:cs="Arial"/>
                <w:sz w:val="20"/>
              </w:rPr>
              <w:t xml:space="preserve">CAISO state estimator solution is equivalent or superior to the </w:t>
            </w:r>
            <w:r w:rsidRPr="00FB5685">
              <w:rPr>
                <w:rFonts w:cs="Arial"/>
                <w:sz w:val="20"/>
              </w:rPr>
              <w:t>prospective</w:t>
            </w:r>
            <w:r>
              <w:rPr>
                <w:rFonts w:cs="Arial"/>
              </w:rPr>
              <w:t xml:space="preserve"> </w:t>
            </w:r>
            <w:r w:rsidRPr="005730EC">
              <w:rPr>
                <w:rFonts w:cs="Arial"/>
                <w:sz w:val="20"/>
              </w:rPr>
              <w:t>EIM Entity state estimator solution for its Balancing Authority Area.</w:t>
            </w:r>
          </w:p>
        </w:tc>
        <w:tc>
          <w:tcPr>
            <w:tcW w:w="2862" w:type="dxa"/>
            <w:tcBorders>
              <w:top w:val="nil"/>
              <w:left w:val="nil"/>
              <w:bottom w:val="single" w:sz="4" w:space="0" w:color="auto"/>
              <w:right w:val="single" w:sz="4" w:space="0" w:color="auto"/>
            </w:tcBorders>
            <w:shd w:val="clear" w:color="auto" w:fill="auto"/>
            <w:hideMark/>
          </w:tcPr>
          <w:p w14:paraId="273B8EF7" w14:textId="77777777" w:rsidR="001028EC" w:rsidRPr="005730EC" w:rsidRDefault="001028EC" w:rsidP="00701AB3">
            <w:pPr>
              <w:rPr>
                <w:rFonts w:cs="Arial"/>
                <w:color w:val="000000"/>
                <w:sz w:val="20"/>
              </w:rPr>
            </w:pPr>
            <w:r w:rsidRPr="005730EC">
              <w:rPr>
                <w:rFonts w:cs="Arial"/>
                <w:color w:val="000000"/>
                <w:sz w:val="20"/>
              </w:rPr>
              <w:t>State Estimator solutions converge &gt;90% of the time in two days before parallel operation and three days before full activation. Solution differences within 10% before parallel operation and 5% before full activation measured in MW or justified due to different external BAA modeling</w:t>
            </w:r>
          </w:p>
        </w:tc>
      </w:tr>
      <w:tr w:rsidR="001028EC" w:rsidRPr="005730EC" w14:paraId="72A2FCD5" w14:textId="77777777" w:rsidTr="009E26DA">
        <w:trPr>
          <w:trHeight w:val="1530"/>
        </w:trPr>
        <w:tc>
          <w:tcPr>
            <w:tcW w:w="1260" w:type="dxa"/>
            <w:tcBorders>
              <w:top w:val="nil"/>
              <w:left w:val="single" w:sz="4" w:space="0" w:color="auto"/>
              <w:bottom w:val="single" w:sz="4" w:space="0" w:color="auto"/>
              <w:right w:val="single" w:sz="4" w:space="0" w:color="auto"/>
            </w:tcBorders>
            <w:shd w:val="clear" w:color="auto" w:fill="auto"/>
            <w:noWrap/>
            <w:hideMark/>
          </w:tcPr>
          <w:p w14:paraId="16D245D0" w14:textId="77777777" w:rsidR="001028EC" w:rsidRPr="005730EC" w:rsidRDefault="001028EC" w:rsidP="00701AB3">
            <w:pPr>
              <w:jc w:val="center"/>
              <w:rPr>
                <w:rFonts w:cs="Arial"/>
                <w:color w:val="000000"/>
                <w:sz w:val="20"/>
              </w:rPr>
            </w:pPr>
            <w:r w:rsidRPr="005730EC">
              <w:rPr>
                <w:rFonts w:cs="Arial"/>
                <w:color w:val="000000"/>
                <w:sz w:val="20"/>
              </w:rPr>
              <w:t>4</w:t>
            </w:r>
          </w:p>
        </w:tc>
        <w:tc>
          <w:tcPr>
            <w:tcW w:w="1440" w:type="dxa"/>
            <w:tcBorders>
              <w:top w:val="nil"/>
              <w:left w:val="nil"/>
              <w:bottom w:val="single" w:sz="4" w:space="0" w:color="auto"/>
              <w:right w:val="single" w:sz="4" w:space="0" w:color="auto"/>
            </w:tcBorders>
            <w:shd w:val="clear" w:color="auto" w:fill="auto"/>
            <w:hideMark/>
          </w:tcPr>
          <w:p w14:paraId="1BCD07CB" w14:textId="77777777" w:rsidR="001028EC" w:rsidRPr="00BF725A" w:rsidRDefault="001028EC" w:rsidP="00701AB3">
            <w:pPr>
              <w:rPr>
                <w:rFonts w:cs="Arial"/>
                <w:color w:val="000000"/>
                <w:sz w:val="20"/>
              </w:rPr>
            </w:pPr>
            <w:r w:rsidRPr="00B75CE0">
              <w:rPr>
                <w:rFonts w:cs="Arial"/>
                <w:sz w:val="20"/>
              </w:rPr>
              <w:t xml:space="preserve">Prospective </w:t>
            </w:r>
            <w:r w:rsidRPr="00B75CE0">
              <w:rPr>
                <w:rFonts w:cs="Arial"/>
                <w:color w:val="000000"/>
                <w:sz w:val="20"/>
              </w:rPr>
              <w:t xml:space="preserve">EIM Entity </w:t>
            </w:r>
            <w:r w:rsidRPr="003C21CC">
              <w:rPr>
                <w:rFonts w:cs="Arial"/>
                <w:color w:val="000000"/>
                <w:sz w:val="20"/>
              </w:rPr>
              <w:t>Full Network Model Integration</w:t>
            </w:r>
          </w:p>
        </w:tc>
        <w:tc>
          <w:tcPr>
            <w:tcW w:w="2142" w:type="dxa"/>
            <w:tcBorders>
              <w:top w:val="nil"/>
              <w:left w:val="nil"/>
              <w:bottom w:val="single" w:sz="4" w:space="0" w:color="auto"/>
              <w:right w:val="single" w:sz="4" w:space="0" w:color="auto"/>
            </w:tcBorders>
            <w:shd w:val="clear" w:color="auto" w:fill="auto"/>
            <w:hideMark/>
          </w:tcPr>
          <w:p w14:paraId="23B0B84F" w14:textId="77777777" w:rsidR="001028EC" w:rsidRPr="00637054" w:rsidRDefault="001028EC" w:rsidP="00701AB3">
            <w:pPr>
              <w:rPr>
                <w:rFonts w:cs="Arial"/>
                <w:color w:val="000000"/>
                <w:sz w:val="20"/>
              </w:rPr>
            </w:pPr>
            <w:r w:rsidRPr="00C83084">
              <w:rPr>
                <w:rFonts w:cs="Arial"/>
                <w:color w:val="000000"/>
                <w:sz w:val="20"/>
              </w:rPr>
              <w:t>Non-Conforming Load, Behind-the-Met</w:t>
            </w:r>
            <w:r w:rsidRPr="002030A6">
              <w:rPr>
                <w:rFonts w:cs="Arial"/>
                <w:color w:val="000000"/>
                <w:sz w:val="20"/>
              </w:rPr>
              <w:t>er Generation, Pseudo Ties, and Dynamic Schedules</w:t>
            </w:r>
          </w:p>
        </w:tc>
        <w:tc>
          <w:tcPr>
            <w:tcW w:w="2538" w:type="dxa"/>
            <w:tcBorders>
              <w:top w:val="nil"/>
              <w:left w:val="nil"/>
              <w:bottom w:val="single" w:sz="4" w:space="0" w:color="auto"/>
              <w:right w:val="single" w:sz="4" w:space="0" w:color="auto"/>
            </w:tcBorders>
            <w:shd w:val="clear" w:color="auto" w:fill="auto"/>
            <w:hideMark/>
          </w:tcPr>
          <w:p w14:paraId="4D9B8611" w14:textId="77777777" w:rsidR="001028EC" w:rsidRPr="00BF725A" w:rsidRDefault="001028EC" w:rsidP="00701AB3">
            <w:pPr>
              <w:rPr>
                <w:rFonts w:cs="Arial"/>
                <w:color w:val="000000"/>
                <w:sz w:val="20"/>
              </w:rPr>
            </w:pPr>
            <w:r w:rsidRPr="00594716">
              <w:rPr>
                <w:rFonts w:cs="Arial"/>
                <w:color w:val="000000"/>
                <w:sz w:val="20"/>
              </w:rPr>
              <w:t xml:space="preserve">Physical representation of the </w:t>
            </w:r>
            <w:r w:rsidRPr="00B75CE0">
              <w:rPr>
                <w:rFonts w:cs="Arial"/>
                <w:sz w:val="20"/>
              </w:rPr>
              <w:t xml:space="preserve">prospective </w:t>
            </w:r>
            <w:r w:rsidRPr="00B75CE0">
              <w:rPr>
                <w:rFonts w:cs="Arial"/>
                <w:color w:val="000000"/>
                <w:sz w:val="20"/>
              </w:rPr>
              <w:t>EIM Entity</w:t>
            </w:r>
            <w:r>
              <w:rPr>
                <w:rFonts w:cs="Arial"/>
                <w:color w:val="000000"/>
                <w:sz w:val="20"/>
              </w:rPr>
              <w:t>’s</w:t>
            </w:r>
            <w:r w:rsidRPr="00B75CE0">
              <w:rPr>
                <w:rFonts w:cs="Arial"/>
                <w:color w:val="000000"/>
                <w:sz w:val="20"/>
              </w:rPr>
              <w:t xml:space="preserve"> </w:t>
            </w:r>
            <w:r w:rsidRPr="003C21CC">
              <w:rPr>
                <w:rFonts w:cs="Arial"/>
                <w:color w:val="000000"/>
                <w:sz w:val="20"/>
              </w:rPr>
              <w:t xml:space="preserve">network matches the Base Market Model that accounts for non-conforming load, behind-the-meter generation, </w:t>
            </w:r>
            <w:r>
              <w:rPr>
                <w:rFonts w:cs="Arial"/>
                <w:color w:val="000000"/>
                <w:sz w:val="20"/>
              </w:rPr>
              <w:t>p</w:t>
            </w:r>
            <w:r w:rsidRPr="003C21CC">
              <w:rPr>
                <w:rFonts w:cs="Arial"/>
                <w:color w:val="000000"/>
                <w:sz w:val="20"/>
              </w:rPr>
              <w:t>seudo-</w:t>
            </w:r>
            <w:r>
              <w:rPr>
                <w:rFonts w:cs="Arial"/>
                <w:color w:val="000000"/>
                <w:sz w:val="20"/>
              </w:rPr>
              <w:t>t</w:t>
            </w:r>
            <w:r w:rsidRPr="003C21CC">
              <w:rPr>
                <w:rFonts w:cs="Arial"/>
                <w:color w:val="000000"/>
                <w:sz w:val="20"/>
              </w:rPr>
              <w:t xml:space="preserve">ies, </w:t>
            </w:r>
            <w:r w:rsidRPr="005C46D3">
              <w:rPr>
                <w:rFonts w:cs="Arial"/>
                <w:color w:val="000000"/>
                <w:sz w:val="20"/>
              </w:rPr>
              <w:t xml:space="preserve">and </w:t>
            </w:r>
            <w:r>
              <w:rPr>
                <w:rFonts w:cs="Arial"/>
                <w:color w:val="000000"/>
                <w:sz w:val="20"/>
              </w:rPr>
              <w:t>d</w:t>
            </w:r>
            <w:r w:rsidRPr="005C46D3">
              <w:rPr>
                <w:rFonts w:cs="Arial"/>
                <w:color w:val="000000"/>
                <w:sz w:val="20"/>
              </w:rPr>
              <w:t xml:space="preserve">ynamic </w:t>
            </w:r>
            <w:r>
              <w:rPr>
                <w:rFonts w:cs="Arial"/>
                <w:color w:val="000000"/>
                <w:sz w:val="20"/>
              </w:rPr>
              <w:t>s</w:t>
            </w:r>
            <w:r w:rsidRPr="005C46D3">
              <w:rPr>
                <w:rFonts w:cs="Arial"/>
                <w:color w:val="000000"/>
                <w:sz w:val="20"/>
              </w:rPr>
              <w:t xml:space="preserve">chedules, </w:t>
            </w:r>
            <w:r w:rsidRPr="004A6F2D">
              <w:rPr>
                <w:rFonts w:cs="Arial"/>
                <w:sz w:val="20"/>
              </w:rPr>
              <w:t>and third party transmission service provider and path operator information</w:t>
            </w:r>
            <w:r>
              <w:rPr>
                <w:rFonts w:cs="Arial"/>
                <w:sz w:val="20"/>
              </w:rPr>
              <w:t xml:space="preserve"> that supports EIM Transfers and Real-Time Dispatch in</w:t>
            </w:r>
            <w:r w:rsidRPr="004A6F2D">
              <w:rPr>
                <w:rFonts w:cs="Arial"/>
                <w:sz w:val="20"/>
              </w:rPr>
              <w:t xml:space="preserve"> the Energy Imbalance Market, as applicable</w:t>
            </w:r>
          </w:p>
        </w:tc>
        <w:tc>
          <w:tcPr>
            <w:tcW w:w="2862" w:type="dxa"/>
            <w:tcBorders>
              <w:top w:val="nil"/>
              <w:left w:val="nil"/>
              <w:bottom w:val="single" w:sz="4" w:space="0" w:color="auto"/>
              <w:right w:val="single" w:sz="4" w:space="0" w:color="auto"/>
            </w:tcBorders>
            <w:shd w:val="clear" w:color="auto" w:fill="auto"/>
            <w:hideMark/>
          </w:tcPr>
          <w:p w14:paraId="62730C12" w14:textId="77777777" w:rsidR="001028EC" w:rsidRPr="00C83084" w:rsidRDefault="001028EC" w:rsidP="00701AB3">
            <w:pPr>
              <w:rPr>
                <w:rFonts w:cs="Arial"/>
                <w:color w:val="000000"/>
                <w:sz w:val="20"/>
              </w:rPr>
            </w:pPr>
            <w:r>
              <w:rPr>
                <w:rFonts w:cs="Arial"/>
                <w:color w:val="000000"/>
                <w:sz w:val="20"/>
              </w:rPr>
              <w:t xml:space="preserve">Prospective </w:t>
            </w:r>
            <w:r w:rsidRPr="00C83084">
              <w:rPr>
                <w:rFonts w:cs="Arial"/>
                <w:color w:val="000000"/>
                <w:sz w:val="20"/>
              </w:rPr>
              <w:t xml:space="preserve">EIM Entity major non-conforming loads &gt; 5% of </w:t>
            </w:r>
            <w:r>
              <w:rPr>
                <w:rFonts w:cs="Arial"/>
                <w:color w:val="000000"/>
                <w:sz w:val="20"/>
              </w:rPr>
              <w:t xml:space="preserve">prospective </w:t>
            </w:r>
            <w:r w:rsidRPr="00C83084">
              <w:rPr>
                <w:rFonts w:cs="Arial"/>
                <w:color w:val="000000"/>
                <w:sz w:val="20"/>
              </w:rPr>
              <w:t>EIM Entity total actual load in MW are modeled separately from conforming load in market model</w:t>
            </w:r>
          </w:p>
        </w:tc>
      </w:tr>
      <w:tr w:rsidR="001028EC" w:rsidRPr="005730EC" w14:paraId="7A46E537" w14:textId="77777777" w:rsidTr="009E26DA">
        <w:trPr>
          <w:trHeight w:val="1275"/>
        </w:trPr>
        <w:tc>
          <w:tcPr>
            <w:tcW w:w="1260" w:type="dxa"/>
            <w:tcBorders>
              <w:top w:val="nil"/>
              <w:left w:val="single" w:sz="4" w:space="0" w:color="auto"/>
              <w:bottom w:val="single" w:sz="4" w:space="0" w:color="auto"/>
              <w:right w:val="single" w:sz="4" w:space="0" w:color="auto"/>
            </w:tcBorders>
            <w:shd w:val="clear" w:color="000000" w:fill="FFFFFF"/>
            <w:noWrap/>
            <w:hideMark/>
          </w:tcPr>
          <w:p w14:paraId="71CA5F9A" w14:textId="77777777" w:rsidR="001028EC" w:rsidRPr="005730EC" w:rsidRDefault="001028EC" w:rsidP="00701AB3">
            <w:pPr>
              <w:jc w:val="center"/>
              <w:rPr>
                <w:rFonts w:cs="Arial"/>
                <w:color w:val="000000"/>
                <w:sz w:val="20"/>
              </w:rPr>
            </w:pPr>
            <w:r w:rsidRPr="005730EC">
              <w:rPr>
                <w:rFonts w:cs="Arial"/>
                <w:color w:val="000000"/>
                <w:sz w:val="20"/>
              </w:rPr>
              <w:t>5</w:t>
            </w:r>
          </w:p>
        </w:tc>
        <w:tc>
          <w:tcPr>
            <w:tcW w:w="1440" w:type="dxa"/>
            <w:tcBorders>
              <w:top w:val="nil"/>
              <w:left w:val="nil"/>
              <w:bottom w:val="single" w:sz="4" w:space="0" w:color="auto"/>
              <w:right w:val="single" w:sz="4" w:space="0" w:color="auto"/>
            </w:tcBorders>
            <w:shd w:val="clear" w:color="auto" w:fill="auto"/>
            <w:hideMark/>
          </w:tcPr>
          <w:p w14:paraId="7BC28A42" w14:textId="77777777" w:rsidR="001028EC" w:rsidRPr="005730EC" w:rsidRDefault="001028EC" w:rsidP="00701AB3">
            <w:pPr>
              <w:rPr>
                <w:rFonts w:cs="Arial"/>
                <w:color w:val="000000"/>
                <w:sz w:val="20"/>
              </w:rPr>
            </w:pPr>
            <w:r w:rsidRPr="005730EC">
              <w:rPr>
                <w:rFonts w:cs="Arial"/>
                <w:color w:val="000000"/>
                <w:sz w:val="20"/>
              </w:rPr>
              <w:t>Agreements</w:t>
            </w:r>
          </w:p>
        </w:tc>
        <w:tc>
          <w:tcPr>
            <w:tcW w:w="2142" w:type="dxa"/>
            <w:tcBorders>
              <w:top w:val="nil"/>
              <w:left w:val="nil"/>
              <w:bottom w:val="single" w:sz="4" w:space="0" w:color="auto"/>
              <w:right w:val="single" w:sz="4" w:space="0" w:color="auto"/>
            </w:tcBorders>
            <w:shd w:val="clear" w:color="auto" w:fill="auto"/>
            <w:hideMark/>
          </w:tcPr>
          <w:p w14:paraId="713EF4CB" w14:textId="77777777" w:rsidR="001028EC" w:rsidRPr="005730EC" w:rsidRDefault="001028EC" w:rsidP="00701AB3">
            <w:pPr>
              <w:rPr>
                <w:rFonts w:cs="Arial"/>
                <w:color w:val="000000"/>
                <w:sz w:val="20"/>
              </w:rPr>
            </w:pPr>
            <w:r w:rsidRPr="005730EC">
              <w:rPr>
                <w:rFonts w:cs="Arial"/>
                <w:color w:val="000000"/>
                <w:sz w:val="20"/>
              </w:rPr>
              <w:t>Execution of Necessary Agreements</w:t>
            </w:r>
          </w:p>
        </w:tc>
        <w:tc>
          <w:tcPr>
            <w:tcW w:w="2538" w:type="dxa"/>
            <w:tcBorders>
              <w:top w:val="nil"/>
              <w:left w:val="nil"/>
              <w:bottom w:val="single" w:sz="4" w:space="0" w:color="auto"/>
              <w:right w:val="single" w:sz="4" w:space="0" w:color="auto"/>
            </w:tcBorders>
            <w:shd w:val="clear" w:color="auto" w:fill="auto"/>
            <w:hideMark/>
          </w:tcPr>
          <w:p w14:paraId="17420277" w14:textId="77777777" w:rsidR="001028EC" w:rsidRPr="005730EC" w:rsidRDefault="001028EC" w:rsidP="00701AB3">
            <w:pPr>
              <w:rPr>
                <w:rFonts w:cs="Arial"/>
                <w:color w:val="000000"/>
                <w:sz w:val="20"/>
              </w:rPr>
            </w:pPr>
            <w:r w:rsidRPr="005730EC">
              <w:rPr>
                <w:rFonts w:cs="Arial"/>
                <w:color w:val="000000"/>
                <w:sz w:val="20"/>
              </w:rPr>
              <w:t>The</w:t>
            </w:r>
            <w:r>
              <w:rPr>
                <w:rFonts w:cs="Arial"/>
                <w:color w:val="000000"/>
                <w:sz w:val="20"/>
              </w:rPr>
              <w:t xml:space="preserve"> </w:t>
            </w:r>
            <w:r w:rsidRPr="004A6F2D">
              <w:rPr>
                <w:rFonts w:cs="Arial"/>
                <w:sz w:val="20"/>
              </w:rPr>
              <w:t>prospective</w:t>
            </w:r>
            <w:r w:rsidRPr="005730EC">
              <w:rPr>
                <w:rFonts w:cs="Arial"/>
                <w:color w:val="000000"/>
                <w:sz w:val="20"/>
              </w:rPr>
              <w:t xml:space="preserve"> EIM Entity has executed all necessary agreements.</w:t>
            </w:r>
          </w:p>
        </w:tc>
        <w:tc>
          <w:tcPr>
            <w:tcW w:w="2862" w:type="dxa"/>
            <w:tcBorders>
              <w:top w:val="nil"/>
              <w:left w:val="nil"/>
              <w:bottom w:val="single" w:sz="4" w:space="0" w:color="auto"/>
              <w:right w:val="single" w:sz="4" w:space="0" w:color="auto"/>
            </w:tcBorders>
            <w:shd w:val="clear" w:color="auto" w:fill="auto"/>
            <w:hideMark/>
          </w:tcPr>
          <w:p w14:paraId="5A65464D" w14:textId="77777777" w:rsidR="001028EC" w:rsidRPr="005730EC" w:rsidRDefault="001028EC" w:rsidP="00701AB3">
            <w:pPr>
              <w:rPr>
                <w:rFonts w:cs="Arial"/>
                <w:color w:val="000000"/>
                <w:sz w:val="20"/>
              </w:rPr>
            </w:pPr>
            <w:r w:rsidRPr="005730EC">
              <w:rPr>
                <w:rFonts w:cs="Arial"/>
                <w:color w:val="000000"/>
                <w:sz w:val="20"/>
              </w:rPr>
              <w:t xml:space="preserve">The </w:t>
            </w:r>
            <w:r w:rsidRPr="00FB5685">
              <w:rPr>
                <w:rFonts w:cs="Arial"/>
                <w:sz w:val="20"/>
              </w:rPr>
              <w:t>prospective</w:t>
            </w:r>
            <w:r>
              <w:rPr>
                <w:rFonts w:cs="Arial"/>
              </w:rPr>
              <w:t xml:space="preserve"> </w:t>
            </w:r>
            <w:r w:rsidRPr="005730EC">
              <w:rPr>
                <w:rFonts w:cs="Arial"/>
                <w:color w:val="000000"/>
                <w:sz w:val="20"/>
              </w:rPr>
              <w:t>EIM Entity will execute all agreements, as outlined in Section 5 of the EIM BPM within the required timelines outlined in Section 5.</w:t>
            </w:r>
          </w:p>
        </w:tc>
      </w:tr>
      <w:tr w:rsidR="001028EC" w:rsidRPr="005730EC" w14:paraId="54EEF9DD" w14:textId="77777777" w:rsidTr="009E26DA">
        <w:trPr>
          <w:trHeight w:val="350"/>
        </w:trPr>
        <w:tc>
          <w:tcPr>
            <w:tcW w:w="1260" w:type="dxa"/>
            <w:tcBorders>
              <w:top w:val="nil"/>
              <w:left w:val="single" w:sz="4" w:space="0" w:color="auto"/>
              <w:bottom w:val="single" w:sz="4" w:space="0" w:color="auto"/>
              <w:right w:val="single" w:sz="4" w:space="0" w:color="auto"/>
            </w:tcBorders>
            <w:shd w:val="clear" w:color="000000" w:fill="FFFFFF"/>
            <w:noWrap/>
            <w:hideMark/>
          </w:tcPr>
          <w:p w14:paraId="0CD468BE" w14:textId="77777777" w:rsidR="001028EC" w:rsidRPr="005730EC" w:rsidRDefault="001028EC" w:rsidP="00701AB3">
            <w:pPr>
              <w:jc w:val="center"/>
              <w:rPr>
                <w:rFonts w:cs="Arial"/>
                <w:color w:val="000000"/>
                <w:sz w:val="20"/>
              </w:rPr>
            </w:pPr>
            <w:r w:rsidRPr="005730EC">
              <w:rPr>
                <w:rFonts w:cs="Arial"/>
                <w:color w:val="000000"/>
                <w:sz w:val="20"/>
              </w:rPr>
              <w:t>6</w:t>
            </w:r>
          </w:p>
        </w:tc>
        <w:tc>
          <w:tcPr>
            <w:tcW w:w="1440" w:type="dxa"/>
            <w:tcBorders>
              <w:top w:val="nil"/>
              <w:left w:val="nil"/>
              <w:bottom w:val="single" w:sz="4" w:space="0" w:color="auto"/>
              <w:right w:val="single" w:sz="4" w:space="0" w:color="auto"/>
            </w:tcBorders>
            <w:shd w:val="clear" w:color="auto" w:fill="auto"/>
            <w:hideMark/>
          </w:tcPr>
          <w:p w14:paraId="4BC2FAF1" w14:textId="77777777" w:rsidR="001028EC" w:rsidRPr="005730EC" w:rsidRDefault="001028EC" w:rsidP="00701AB3">
            <w:pPr>
              <w:rPr>
                <w:rFonts w:cs="Arial"/>
                <w:color w:val="000000"/>
                <w:sz w:val="20"/>
              </w:rPr>
            </w:pPr>
            <w:r w:rsidRPr="005730EC">
              <w:rPr>
                <w:rFonts w:cs="Arial"/>
                <w:color w:val="000000"/>
                <w:sz w:val="20"/>
              </w:rPr>
              <w:t>Operations Training</w:t>
            </w:r>
          </w:p>
        </w:tc>
        <w:tc>
          <w:tcPr>
            <w:tcW w:w="2142" w:type="dxa"/>
            <w:tcBorders>
              <w:top w:val="nil"/>
              <w:left w:val="nil"/>
              <w:bottom w:val="single" w:sz="4" w:space="0" w:color="auto"/>
              <w:right w:val="single" w:sz="4" w:space="0" w:color="auto"/>
            </w:tcBorders>
            <w:shd w:val="clear" w:color="auto" w:fill="auto"/>
            <w:hideMark/>
          </w:tcPr>
          <w:p w14:paraId="1221D90E" w14:textId="77777777" w:rsidR="001028EC" w:rsidRPr="005730EC" w:rsidRDefault="001028EC" w:rsidP="00701AB3">
            <w:pPr>
              <w:rPr>
                <w:rFonts w:cs="Arial"/>
                <w:color w:val="000000"/>
                <w:sz w:val="20"/>
              </w:rPr>
            </w:pPr>
            <w:r>
              <w:rPr>
                <w:rFonts w:cs="Arial"/>
                <w:color w:val="000000"/>
                <w:sz w:val="20"/>
              </w:rPr>
              <w:t>Completion of m</w:t>
            </w:r>
            <w:r w:rsidRPr="005730EC">
              <w:rPr>
                <w:rFonts w:cs="Arial"/>
                <w:color w:val="000000"/>
                <w:sz w:val="20"/>
              </w:rPr>
              <w:t xml:space="preserve">andatory </w:t>
            </w:r>
            <w:r>
              <w:rPr>
                <w:rFonts w:cs="Arial"/>
                <w:color w:val="000000"/>
                <w:sz w:val="20"/>
              </w:rPr>
              <w:t xml:space="preserve">training </w:t>
            </w:r>
            <w:r w:rsidRPr="005730EC">
              <w:rPr>
                <w:rFonts w:cs="Arial"/>
                <w:color w:val="000000"/>
                <w:sz w:val="20"/>
              </w:rPr>
              <w:t xml:space="preserve">courses </w:t>
            </w:r>
          </w:p>
        </w:tc>
        <w:tc>
          <w:tcPr>
            <w:tcW w:w="2538" w:type="dxa"/>
            <w:tcBorders>
              <w:top w:val="nil"/>
              <w:left w:val="nil"/>
              <w:bottom w:val="single" w:sz="4" w:space="0" w:color="auto"/>
              <w:right w:val="single" w:sz="4" w:space="0" w:color="auto"/>
            </w:tcBorders>
            <w:shd w:val="clear" w:color="auto" w:fill="auto"/>
            <w:hideMark/>
          </w:tcPr>
          <w:p w14:paraId="379097F9" w14:textId="77777777" w:rsidR="001028EC" w:rsidRPr="005730EC" w:rsidRDefault="001028EC" w:rsidP="00701AB3">
            <w:pPr>
              <w:rPr>
                <w:rFonts w:cs="Arial"/>
                <w:color w:val="000000"/>
                <w:sz w:val="20"/>
              </w:rPr>
            </w:pPr>
            <w:r w:rsidRPr="004A6F2D">
              <w:rPr>
                <w:rFonts w:cs="Arial"/>
                <w:sz w:val="20"/>
              </w:rPr>
              <w:t>Prospective</w:t>
            </w:r>
            <w:r>
              <w:rPr>
                <w:rFonts w:cs="Arial"/>
              </w:rPr>
              <w:t xml:space="preserve"> </w:t>
            </w:r>
            <w:r w:rsidRPr="005730EC">
              <w:rPr>
                <w:rFonts w:cs="Arial"/>
                <w:color w:val="000000"/>
                <w:sz w:val="20"/>
              </w:rPr>
              <w:t xml:space="preserve">EIM Entity </w:t>
            </w:r>
            <w:r>
              <w:rPr>
                <w:rFonts w:cs="Arial"/>
                <w:color w:val="000000"/>
                <w:sz w:val="20"/>
              </w:rPr>
              <w:t>o</w:t>
            </w:r>
            <w:r w:rsidRPr="005C46D3">
              <w:rPr>
                <w:rFonts w:cs="Arial"/>
                <w:color w:val="000000"/>
                <w:sz w:val="20"/>
              </w:rPr>
              <w:t xml:space="preserve">perators </w:t>
            </w:r>
            <w:r w:rsidRPr="004A6F2D">
              <w:rPr>
                <w:rFonts w:cs="Arial"/>
                <w:sz w:val="20"/>
              </w:rPr>
              <w:t>who will have responsibility for EIM operations, transactions and settlements</w:t>
            </w:r>
            <w:r>
              <w:rPr>
                <w:rFonts w:cs="Arial"/>
                <w:sz w:val="20"/>
              </w:rPr>
              <w:t>, will</w:t>
            </w:r>
            <w:r w:rsidRPr="004A6F2D">
              <w:rPr>
                <w:rFonts w:cs="Arial"/>
                <w:sz w:val="20"/>
              </w:rPr>
              <w:t xml:space="preserve"> </w:t>
            </w:r>
            <w:r w:rsidRPr="005C46D3">
              <w:rPr>
                <w:rFonts w:cs="Arial"/>
                <w:color w:val="000000"/>
                <w:sz w:val="20"/>
              </w:rPr>
              <w:t>complete CAISO training</w:t>
            </w:r>
            <w:r w:rsidRPr="005730EC">
              <w:rPr>
                <w:rFonts w:cs="Arial"/>
                <w:color w:val="000000"/>
                <w:sz w:val="20"/>
              </w:rPr>
              <w:t xml:space="preserve"> modules.</w:t>
            </w:r>
          </w:p>
        </w:tc>
        <w:tc>
          <w:tcPr>
            <w:tcW w:w="2862" w:type="dxa"/>
            <w:tcBorders>
              <w:top w:val="nil"/>
              <w:left w:val="nil"/>
              <w:bottom w:val="single" w:sz="4" w:space="0" w:color="auto"/>
              <w:right w:val="single" w:sz="4" w:space="0" w:color="auto"/>
            </w:tcBorders>
            <w:shd w:val="clear" w:color="auto" w:fill="auto"/>
            <w:hideMark/>
          </w:tcPr>
          <w:p w14:paraId="4122F38A" w14:textId="77777777" w:rsidR="001028EC" w:rsidRPr="005730EC" w:rsidRDefault="001028EC" w:rsidP="00701AB3">
            <w:pPr>
              <w:rPr>
                <w:rFonts w:cs="Arial"/>
                <w:color w:val="000000"/>
                <w:sz w:val="20"/>
              </w:rPr>
            </w:pPr>
            <w:r w:rsidRPr="005C46D3">
              <w:rPr>
                <w:rFonts w:cs="Arial"/>
                <w:sz w:val="20"/>
              </w:rPr>
              <w:t>P</w:t>
            </w:r>
            <w:r w:rsidRPr="004A6F2D">
              <w:rPr>
                <w:rFonts w:cs="Arial"/>
                <w:sz w:val="20"/>
              </w:rPr>
              <w:t>rospective</w:t>
            </w:r>
            <w:r>
              <w:rPr>
                <w:rFonts w:cs="Arial"/>
              </w:rPr>
              <w:t xml:space="preserve"> </w:t>
            </w:r>
            <w:r w:rsidRPr="005730EC">
              <w:rPr>
                <w:rFonts w:cs="Arial"/>
                <w:color w:val="000000"/>
                <w:sz w:val="20"/>
              </w:rPr>
              <w:t xml:space="preserve">EIM Entity </w:t>
            </w:r>
            <w:r>
              <w:rPr>
                <w:rFonts w:cs="Arial"/>
                <w:color w:val="000000"/>
                <w:sz w:val="20"/>
              </w:rPr>
              <w:t>o</w:t>
            </w:r>
            <w:r w:rsidRPr="005730EC">
              <w:rPr>
                <w:rFonts w:cs="Arial"/>
                <w:color w:val="000000"/>
                <w:sz w:val="20"/>
              </w:rPr>
              <w:t xml:space="preserve">perators </w:t>
            </w:r>
            <w:r>
              <w:rPr>
                <w:rFonts w:cs="Arial"/>
                <w:color w:val="000000"/>
                <w:sz w:val="20"/>
              </w:rPr>
              <w:t xml:space="preserve">will </w:t>
            </w:r>
            <w:r w:rsidRPr="005730EC">
              <w:rPr>
                <w:rFonts w:cs="Arial"/>
                <w:color w:val="000000"/>
                <w:sz w:val="20"/>
              </w:rPr>
              <w:t xml:space="preserve">complete training and close-of-training assessment in the appropriate timeframes as outlined in  </w:t>
            </w:r>
          </w:p>
          <w:p w14:paraId="74E5C4EE" w14:textId="77777777" w:rsidR="001028EC" w:rsidRPr="005730EC" w:rsidRDefault="001028EC" w:rsidP="00701AB3">
            <w:pPr>
              <w:rPr>
                <w:rFonts w:cs="Arial"/>
                <w:color w:val="000000"/>
                <w:sz w:val="20"/>
              </w:rPr>
            </w:pPr>
          </w:p>
          <w:p w14:paraId="2DC0C976" w14:textId="77777777" w:rsidR="001028EC" w:rsidRPr="005730EC" w:rsidRDefault="001028EC" w:rsidP="000F0531">
            <w:pPr>
              <w:pStyle w:val="ListParagraph"/>
              <w:numPr>
                <w:ilvl w:val="0"/>
                <w:numId w:val="66"/>
              </w:numPr>
              <w:ind w:left="162" w:hanging="162"/>
              <w:contextualSpacing/>
              <w:rPr>
                <w:rFonts w:cs="Arial"/>
                <w:color w:val="000000"/>
                <w:sz w:val="20"/>
              </w:rPr>
            </w:pPr>
            <w:r w:rsidRPr="005730EC">
              <w:rPr>
                <w:rFonts w:cs="Arial"/>
                <w:color w:val="000000"/>
                <w:sz w:val="20"/>
              </w:rPr>
              <w:t xml:space="preserve">“100 series”– an introduction to Energy Imbalance Market training </w:t>
            </w:r>
          </w:p>
          <w:p w14:paraId="57FD7607" w14:textId="77777777" w:rsidR="001028EC" w:rsidRPr="005730EC" w:rsidRDefault="001028EC" w:rsidP="00701AB3">
            <w:pPr>
              <w:pStyle w:val="ListParagraph"/>
              <w:ind w:left="162"/>
              <w:rPr>
                <w:rFonts w:cs="Arial"/>
                <w:color w:val="000000"/>
                <w:sz w:val="20"/>
              </w:rPr>
            </w:pPr>
          </w:p>
          <w:p w14:paraId="31A5D34B" w14:textId="77777777" w:rsidR="001028EC" w:rsidRPr="005730EC" w:rsidRDefault="001028EC" w:rsidP="000F0531">
            <w:pPr>
              <w:pStyle w:val="ListParagraph"/>
              <w:numPr>
                <w:ilvl w:val="0"/>
                <w:numId w:val="66"/>
              </w:numPr>
              <w:ind w:left="162" w:hanging="162"/>
              <w:contextualSpacing/>
              <w:rPr>
                <w:rFonts w:cs="Arial"/>
                <w:color w:val="000000"/>
                <w:sz w:val="20"/>
              </w:rPr>
            </w:pPr>
            <w:r w:rsidRPr="005730EC">
              <w:rPr>
                <w:rFonts w:cs="Arial"/>
                <w:color w:val="000000"/>
                <w:sz w:val="20"/>
              </w:rPr>
              <w:t>“200 series”– the specific hourly and daily tasks and duties for normal operation training module; and</w:t>
            </w:r>
            <w:r w:rsidRPr="005730EC" w:rsidDel="00784A2B">
              <w:rPr>
                <w:rFonts w:cs="Arial"/>
                <w:color w:val="000000"/>
                <w:sz w:val="20"/>
              </w:rPr>
              <w:t xml:space="preserve"> </w:t>
            </w:r>
          </w:p>
          <w:p w14:paraId="41A7BB8A" w14:textId="77777777" w:rsidR="001028EC" w:rsidRPr="005730EC" w:rsidRDefault="001028EC" w:rsidP="00701AB3">
            <w:pPr>
              <w:pStyle w:val="ListParagraph"/>
              <w:ind w:left="162"/>
              <w:rPr>
                <w:rFonts w:cs="Arial"/>
                <w:color w:val="000000"/>
                <w:sz w:val="20"/>
              </w:rPr>
            </w:pPr>
          </w:p>
          <w:p w14:paraId="5AD2680F" w14:textId="77777777" w:rsidR="001028EC" w:rsidRPr="005730EC" w:rsidRDefault="001028EC" w:rsidP="000F0531">
            <w:pPr>
              <w:pStyle w:val="ListParagraph"/>
              <w:numPr>
                <w:ilvl w:val="0"/>
                <w:numId w:val="66"/>
              </w:numPr>
              <w:ind w:left="162" w:hanging="162"/>
              <w:contextualSpacing/>
              <w:rPr>
                <w:rFonts w:cs="Arial"/>
                <w:color w:val="000000"/>
                <w:sz w:val="20"/>
              </w:rPr>
            </w:pPr>
            <w:r w:rsidRPr="005730EC">
              <w:rPr>
                <w:rFonts w:cs="Arial"/>
                <w:color w:val="000000"/>
                <w:sz w:val="20"/>
              </w:rPr>
              <w:t>“300 series”– the assessment of market results and response to contingencies and abnormal situations training module.</w:t>
            </w:r>
          </w:p>
        </w:tc>
      </w:tr>
      <w:tr w:rsidR="001028EC" w:rsidRPr="005730EC" w14:paraId="1698DDD5"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hideMark/>
          </w:tcPr>
          <w:p w14:paraId="6EF47B22" w14:textId="77777777" w:rsidR="001028EC" w:rsidRPr="005730EC" w:rsidRDefault="001028EC" w:rsidP="00701AB3">
            <w:pPr>
              <w:jc w:val="center"/>
              <w:rPr>
                <w:rFonts w:cs="Arial"/>
                <w:color w:val="000000"/>
                <w:sz w:val="20"/>
              </w:rPr>
            </w:pPr>
            <w:r w:rsidRPr="005730EC">
              <w:rPr>
                <w:rFonts w:cs="Arial"/>
                <w:color w:val="000000"/>
                <w:sz w:val="20"/>
              </w:rPr>
              <w:t>7</w:t>
            </w:r>
          </w:p>
        </w:tc>
        <w:tc>
          <w:tcPr>
            <w:tcW w:w="1440" w:type="dxa"/>
            <w:tcBorders>
              <w:top w:val="nil"/>
              <w:left w:val="nil"/>
              <w:bottom w:val="single" w:sz="4" w:space="0" w:color="auto"/>
              <w:right w:val="single" w:sz="4" w:space="0" w:color="auto"/>
            </w:tcBorders>
            <w:shd w:val="clear" w:color="auto" w:fill="auto"/>
            <w:hideMark/>
          </w:tcPr>
          <w:p w14:paraId="3424BE1D" w14:textId="77777777" w:rsidR="001028EC" w:rsidRPr="005730EC" w:rsidRDefault="001028EC" w:rsidP="00701AB3">
            <w:pPr>
              <w:rPr>
                <w:rFonts w:cs="Arial"/>
                <w:color w:val="000000"/>
                <w:sz w:val="20"/>
              </w:rPr>
            </w:pPr>
            <w:r w:rsidRPr="005730EC">
              <w:rPr>
                <w:rFonts w:cs="Arial"/>
                <w:color w:val="000000"/>
                <w:sz w:val="20"/>
              </w:rPr>
              <w:t>Forecasting Capability</w:t>
            </w:r>
          </w:p>
        </w:tc>
        <w:tc>
          <w:tcPr>
            <w:tcW w:w="2142" w:type="dxa"/>
            <w:tcBorders>
              <w:top w:val="nil"/>
              <w:left w:val="nil"/>
              <w:bottom w:val="single" w:sz="4" w:space="0" w:color="auto"/>
              <w:right w:val="single" w:sz="4" w:space="0" w:color="auto"/>
            </w:tcBorders>
            <w:shd w:val="clear" w:color="auto" w:fill="auto"/>
            <w:hideMark/>
          </w:tcPr>
          <w:p w14:paraId="009E34A2" w14:textId="77777777" w:rsidR="001028EC" w:rsidRPr="005730EC" w:rsidRDefault="001028EC" w:rsidP="00701AB3">
            <w:pPr>
              <w:rPr>
                <w:rFonts w:cs="Arial"/>
                <w:color w:val="000000"/>
                <w:sz w:val="20"/>
              </w:rPr>
            </w:pPr>
            <w:r w:rsidRPr="005730EC">
              <w:rPr>
                <w:rFonts w:cs="Arial"/>
                <w:color w:val="000000"/>
                <w:sz w:val="20"/>
              </w:rPr>
              <w:t xml:space="preserve">Load forecast capability </w:t>
            </w:r>
            <w:r>
              <w:rPr>
                <w:rFonts w:cs="Arial"/>
                <w:color w:val="000000"/>
                <w:sz w:val="20"/>
              </w:rPr>
              <w:t xml:space="preserve"> </w:t>
            </w:r>
          </w:p>
        </w:tc>
        <w:tc>
          <w:tcPr>
            <w:tcW w:w="2538" w:type="dxa"/>
            <w:tcBorders>
              <w:top w:val="nil"/>
              <w:left w:val="nil"/>
              <w:bottom w:val="single" w:sz="4" w:space="0" w:color="auto"/>
              <w:right w:val="single" w:sz="4" w:space="0" w:color="auto"/>
            </w:tcBorders>
            <w:shd w:val="clear" w:color="auto" w:fill="auto"/>
            <w:hideMark/>
          </w:tcPr>
          <w:p w14:paraId="5055D303" w14:textId="77777777" w:rsidR="001028EC" w:rsidRPr="005730EC" w:rsidRDefault="001028EC" w:rsidP="00701AB3">
            <w:pPr>
              <w:rPr>
                <w:rFonts w:cs="Arial"/>
                <w:color w:val="000000"/>
                <w:sz w:val="20"/>
              </w:rPr>
            </w:pPr>
            <w:r w:rsidRPr="005730EC">
              <w:rPr>
                <w:rFonts w:cs="Arial"/>
                <w:color w:val="000000"/>
                <w:sz w:val="20"/>
              </w:rPr>
              <w:t xml:space="preserve">Definition of EIM demand forecast boundaries based on the conforming and non-conforming </w:t>
            </w:r>
            <w:r>
              <w:rPr>
                <w:rFonts w:cs="Arial"/>
                <w:color w:val="000000"/>
                <w:sz w:val="20"/>
              </w:rPr>
              <w:t>l</w:t>
            </w:r>
            <w:r w:rsidRPr="005730EC">
              <w:rPr>
                <w:rFonts w:cs="Arial"/>
                <w:color w:val="000000"/>
                <w:sz w:val="20"/>
              </w:rPr>
              <w:t>oad characteristics, as applicable</w:t>
            </w:r>
            <w:r w:rsidRPr="005730EC">
              <w:rPr>
                <w:rFonts w:cs="Arial"/>
                <w:color w:val="000000"/>
                <w:sz w:val="20"/>
              </w:rPr>
              <w:br/>
            </w:r>
          </w:p>
          <w:p w14:paraId="078D01B8" w14:textId="77777777" w:rsidR="001028EC" w:rsidRPr="005730EC" w:rsidRDefault="001028EC" w:rsidP="000F0531">
            <w:pPr>
              <w:numPr>
                <w:ilvl w:val="0"/>
                <w:numId w:val="65"/>
              </w:numPr>
              <w:ind w:left="162" w:hanging="162"/>
              <w:rPr>
                <w:rFonts w:cs="Arial"/>
                <w:color w:val="000000"/>
                <w:sz w:val="20"/>
              </w:rPr>
            </w:pPr>
            <w:r w:rsidRPr="005730EC">
              <w:rPr>
                <w:rFonts w:cs="Arial"/>
                <w:color w:val="000000"/>
                <w:sz w:val="20"/>
              </w:rPr>
              <w:t xml:space="preserve">Accuracy of the CAISO forecast of EIM </w:t>
            </w:r>
            <w:r>
              <w:rPr>
                <w:rFonts w:cs="Arial"/>
                <w:color w:val="000000"/>
                <w:sz w:val="20"/>
              </w:rPr>
              <w:t>d</w:t>
            </w:r>
            <w:r w:rsidRPr="005730EC">
              <w:rPr>
                <w:rFonts w:cs="Arial"/>
                <w:color w:val="000000"/>
                <w:sz w:val="20"/>
              </w:rPr>
              <w:t xml:space="preserve">emand based on historical actual </w:t>
            </w:r>
            <w:r>
              <w:rPr>
                <w:rFonts w:cs="Arial"/>
                <w:color w:val="000000"/>
                <w:sz w:val="20"/>
              </w:rPr>
              <w:t>l</w:t>
            </w:r>
            <w:r w:rsidRPr="005730EC">
              <w:rPr>
                <w:rFonts w:cs="Arial"/>
                <w:color w:val="000000"/>
                <w:sz w:val="20"/>
              </w:rPr>
              <w:t xml:space="preserve">oad data for the defined EIM </w:t>
            </w:r>
            <w:r>
              <w:rPr>
                <w:rFonts w:cs="Arial"/>
                <w:color w:val="000000"/>
                <w:sz w:val="20"/>
              </w:rPr>
              <w:t>d</w:t>
            </w:r>
            <w:r w:rsidRPr="005730EC">
              <w:rPr>
                <w:rFonts w:cs="Arial"/>
                <w:color w:val="000000"/>
                <w:sz w:val="20"/>
              </w:rPr>
              <w:t>emand forecast boundaries.</w:t>
            </w:r>
            <w:r w:rsidRPr="005730EC">
              <w:rPr>
                <w:rFonts w:cs="Arial"/>
                <w:color w:val="000000"/>
                <w:sz w:val="20"/>
              </w:rPr>
              <w:br/>
            </w:r>
          </w:p>
          <w:p w14:paraId="4787B6CD" w14:textId="77777777" w:rsidR="001028EC" w:rsidRPr="005730EC" w:rsidRDefault="001028EC" w:rsidP="000F0531">
            <w:pPr>
              <w:numPr>
                <w:ilvl w:val="0"/>
                <w:numId w:val="65"/>
              </w:numPr>
              <w:ind w:left="162" w:hanging="162"/>
              <w:rPr>
                <w:rFonts w:cs="Arial"/>
                <w:color w:val="000000"/>
                <w:sz w:val="20"/>
              </w:rPr>
            </w:pPr>
            <w:r w:rsidRPr="005730EC">
              <w:rPr>
                <w:rFonts w:cs="Arial"/>
                <w:color w:val="000000"/>
                <w:sz w:val="20"/>
              </w:rPr>
              <w:t>Identification of weather station(s) locations used in forecasting, if applicable,</w:t>
            </w:r>
          </w:p>
        </w:tc>
        <w:tc>
          <w:tcPr>
            <w:tcW w:w="2862" w:type="dxa"/>
            <w:tcBorders>
              <w:top w:val="nil"/>
              <w:left w:val="nil"/>
              <w:bottom w:val="single" w:sz="4" w:space="0" w:color="auto"/>
              <w:right w:val="single" w:sz="4" w:space="0" w:color="auto"/>
            </w:tcBorders>
            <w:shd w:val="clear" w:color="auto" w:fill="auto"/>
            <w:hideMark/>
          </w:tcPr>
          <w:p w14:paraId="3C7CB0D6" w14:textId="77777777" w:rsidR="001028EC" w:rsidRPr="005730EC" w:rsidRDefault="001028EC" w:rsidP="00701AB3">
            <w:pPr>
              <w:rPr>
                <w:rFonts w:cs="Arial"/>
                <w:color w:val="000000"/>
                <w:sz w:val="20"/>
              </w:rPr>
            </w:pPr>
            <w:r w:rsidRPr="005730EC">
              <w:rPr>
                <w:rFonts w:cs="Arial"/>
                <w:color w:val="000000"/>
                <w:sz w:val="20"/>
              </w:rPr>
              <w:t>All Plant Information (PI) tags and historical data for defined load area(s), and non-conforming load, if applicable, compared with load forecasts provided from CAISO (if CAISO load forecast used).</w:t>
            </w:r>
          </w:p>
        </w:tc>
      </w:tr>
      <w:tr w:rsidR="001028EC" w:rsidRPr="005730EC" w14:paraId="6F398CA5" w14:textId="77777777" w:rsidTr="009E26DA">
        <w:trPr>
          <w:trHeight w:val="1785"/>
        </w:trPr>
        <w:tc>
          <w:tcPr>
            <w:tcW w:w="1260" w:type="dxa"/>
            <w:tcBorders>
              <w:top w:val="nil"/>
              <w:left w:val="single" w:sz="4" w:space="0" w:color="auto"/>
              <w:bottom w:val="single" w:sz="4" w:space="0" w:color="auto"/>
              <w:right w:val="single" w:sz="4" w:space="0" w:color="auto"/>
            </w:tcBorders>
            <w:shd w:val="clear" w:color="000000" w:fill="FFFFFF"/>
            <w:noWrap/>
            <w:hideMark/>
          </w:tcPr>
          <w:p w14:paraId="0182F0ED" w14:textId="77777777" w:rsidR="001028EC" w:rsidRPr="005730EC" w:rsidRDefault="001028EC" w:rsidP="00701AB3">
            <w:pPr>
              <w:jc w:val="center"/>
              <w:rPr>
                <w:rFonts w:cs="Arial"/>
                <w:color w:val="000000"/>
                <w:sz w:val="20"/>
              </w:rPr>
            </w:pPr>
            <w:r w:rsidRPr="005730EC">
              <w:rPr>
                <w:rFonts w:cs="Arial"/>
                <w:color w:val="000000"/>
                <w:sz w:val="20"/>
              </w:rPr>
              <w:t>8</w:t>
            </w:r>
          </w:p>
        </w:tc>
        <w:tc>
          <w:tcPr>
            <w:tcW w:w="1440" w:type="dxa"/>
            <w:tcBorders>
              <w:top w:val="nil"/>
              <w:left w:val="nil"/>
              <w:bottom w:val="single" w:sz="4" w:space="0" w:color="auto"/>
              <w:right w:val="single" w:sz="4" w:space="0" w:color="auto"/>
            </w:tcBorders>
            <w:shd w:val="clear" w:color="auto" w:fill="auto"/>
            <w:hideMark/>
          </w:tcPr>
          <w:p w14:paraId="17615E96" w14:textId="77777777" w:rsidR="001028EC" w:rsidRPr="005730EC" w:rsidRDefault="001028EC" w:rsidP="00701AB3">
            <w:pPr>
              <w:rPr>
                <w:rFonts w:cs="Arial"/>
                <w:color w:val="000000"/>
                <w:sz w:val="20"/>
              </w:rPr>
            </w:pPr>
            <w:r w:rsidRPr="005730EC">
              <w:rPr>
                <w:rFonts w:cs="Arial"/>
                <w:color w:val="000000"/>
                <w:sz w:val="20"/>
              </w:rPr>
              <w:t>Forecasting Capability</w:t>
            </w:r>
          </w:p>
        </w:tc>
        <w:tc>
          <w:tcPr>
            <w:tcW w:w="2142" w:type="dxa"/>
            <w:tcBorders>
              <w:top w:val="nil"/>
              <w:left w:val="nil"/>
              <w:bottom w:val="single" w:sz="4" w:space="0" w:color="auto"/>
              <w:right w:val="single" w:sz="4" w:space="0" w:color="auto"/>
            </w:tcBorders>
            <w:shd w:val="clear" w:color="auto" w:fill="auto"/>
            <w:hideMark/>
          </w:tcPr>
          <w:p w14:paraId="0D765399" w14:textId="77777777" w:rsidR="001028EC" w:rsidRPr="005730EC" w:rsidRDefault="001028EC" w:rsidP="00701AB3">
            <w:pPr>
              <w:rPr>
                <w:rFonts w:cs="Arial"/>
                <w:color w:val="000000"/>
                <w:sz w:val="20"/>
              </w:rPr>
            </w:pPr>
            <w:r w:rsidRPr="005730EC">
              <w:rPr>
                <w:rFonts w:cs="Arial"/>
                <w:color w:val="000000"/>
                <w:sz w:val="20"/>
              </w:rPr>
              <w:t>Variable Energy Resource</w:t>
            </w:r>
            <w:r>
              <w:rPr>
                <w:rFonts w:cs="Arial"/>
                <w:color w:val="000000"/>
                <w:sz w:val="20"/>
              </w:rPr>
              <w:t xml:space="preserve"> (VER)</w:t>
            </w:r>
            <w:r w:rsidRPr="005730EC">
              <w:rPr>
                <w:rFonts w:cs="Arial"/>
                <w:color w:val="000000"/>
                <w:sz w:val="20"/>
              </w:rPr>
              <w:t xml:space="preserve"> forecast capability </w:t>
            </w:r>
          </w:p>
        </w:tc>
        <w:tc>
          <w:tcPr>
            <w:tcW w:w="2538" w:type="dxa"/>
            <w:tcBorders>
              <w:top w:val="nil"/>
              <w:left w:val="nil"/>
              <w:bottom w:val="single" w:sz="4" w:space="0" w:color="auto"/>
              <w:right w:val="single" w:sz="4" w:space="0" w:color="auto"/>
            </w:tcBorders>
            <w:shd w:val="clear" w:color="auto" w:fill="auto"/>
            <w:hideMark/>
          </w:tcPr>
          <w:p w14:paraId="0F71CEEB" w14:textId="77777777" w:rsidR="001028EC" w:rsidRPr="005730EC" w:rsidRDefault="001028EC" w:rsidP="00701AB3">
            <w:pPr>
              <w:rPr>
                <w:rFonts w:cs="Arial"/>
                <w:color w:val="000000"/>
                <w:sz w:val="20"/>
              </w:rPr>
            </w:pPr>
            <w:r w:rsidRPr="005730EC">
              <w:rPr>
                <w:rFonts w:cs="Arial"/>
                <w:color w:val="000000"/>
                <w:sz w:val="20"/>
              </w:rPr>
              <w:t>Identification of the source of V</w:t>
            </w:r>
            <w:r>
              <w:rPr>
                <w:rFonts w:cs="Arial"/>
                <w:color w:val="000000"/>
                <w:sz w:val="20"/>
              </w:rPr>
              <w:t xml:space="preserve">ER </w:t>
            </w:r>
            <w:r w:rsidRPr="005730EC">
              <w:rPr>
                <w:rFonts w:cs="Arial"/>
                <w:color w:val="000000"/>
                <w:sz w:val="20"/>
              </w:rPr>
              <w:t>forecasts. (If a participating wind or solar unit requi</w:t>
            </w:r>
            <w:r w:rsidR="008974D2">
              <w:rPr>
                <w:rFonts w:cs="Arial"/>
                <w:color w:val="000000"/>
                <w:sz w:val="20"/>
              </w:rPr>
              <w:t>res a CAISO forecast, then BPM and T</w:t>
            </w:r>
            <w:r w:rsidRPr="005730EC">
              <w:rPr>
                <w:rFonts w:cs="Arial"/>
                <w:color w:val="000000"/>
                <w:sz w:val="20"/>
              </w:rPr>
              <w:t>ariff requirements apply.)</w:t>
            </w:r>
          </w:p>
        </w:tc>
        <w:tc>
          <w:tcPr>
            <w:tcW w:w="2862" w:type="dxa"/>
            <w:tcBorders>
              <w:top w:val="nil"/>
              <w:left w:val="nil"/>
              <w:bottom w:val="single" w:sz="4" w:space="0" w:color="auto"/>
              <w:right w:val="single" w:sz="4" w:space="0" w:color="auto"/>
            </w:tcBorders>
            <w:shd w:val="clear" w:color="auto" w:fill="auto"/>
            <w:hideMark/>
          </w:tcPr>
          <w:p w14:paraId="1C1BBD4A" w14:textId="77777777" w:rsidR="001028EC" w:rsidRPr="005730EC" w:rsidRDefault="001028EC" w:rsidP="00701AB3">
            <w:pPr>
              <w:rPr>
                <w:rFonts w:cs="Arial"/>
                <w:color w:val="000000"/>
                <w:sz w:val="20"/>
              </w:rPr>
            </w:pPr>
            <w:r w:rsidRPr="005730EC">
              <w:rPr>
                <w:rFonts w:cs="Arial"/>
                <w:color w:val="000000"/>
                <w:sz w:val="20"/>
              </w:rPr>
              <w:t xml:space="preserve">Forecasting entity must demonstrate delivery of Unit MW forecast at 5 min intervals for at least three hours ahead.  Forecasting entity must also provide base schedule by T-75, T-55 and T-40.  EIM Entity provides to CAISO </w:t>
            </w:r>
            <w:r>
              <w:rPr>
                <w:rFonts w:cs="Arial"/>
                <w:color w:val="000000"/>
                <w:sz w:val="20"/>
              </w:rPr>
              <w:t>r</w:t>
            </w:r>
            <w:r w:rsidRPr="005730EC">
              <w:rPr>
                <w:rFonts w:cs="Arial"/>
                <w:color w:val="000000"/>
                <w:sz w:val="20"/>
              </w:rPr>
              <w:t xml:space="preserve">eal-time MW production PI tags. </w:t>
            </w:r>
          </w:p>
        </w:tc>
      </w:tr>
      <w:tr w:rsidR="001028EC" w:rsidRPr="005730EC" w14:paraId="3C21CC0B" w14:textId="77777777" w:rsidTr="009E26DA">
        <w:trPr>
          <w:trHeight w:val="1020"/>
        </w:trPr>
        <w:tc>
          <w:tcPr>
            <w:tcW w:w="1260" w:type="dxa"/>
            <w:tcBorders>
              <w:top w:val="nil"/>
              <w:left w:val="single" w:sz="4" w:space="0" w:color="auto"/>
              <w:bottom w:val="single" w:sz="4" w:space="0" w:color="auto"/>
              <w:right w:val="single" w:sz="4" w:space="0" w:color="auto"/>
            </w:tcBorders>
            <w:shd w:val="clear" w:color="000000" w:fill="FFFFFF"/>
            <w:noWrap/>
            <w:hideMark/>
          </w:tcPr>
          <w:p w14:paraId="0DD58673" w14:textId="77777777" w:rsidR="001028EC" w:rsidRPr="005730EC" w:rsidRDefault="001028EC" w:rsidP="00701AB3">
            <w:pPr>
              <w:jc w:val="center"/>
              <w:rPr>
                <w:rFonts w:cs="Arial"/>
                <w:color w:val="000000"/>
                <w:sz w:val="20"/>
              </w:rPr>
            </w:pPr>
            <w:r w:rsidRPr="005730EC">
              <w:rPr>
                <w:rFonts w:cs="Arial"/>
                <w:color w:val="000000"/>
                <w:sz w:val="20"/>
              </w:rPr>
              <w:t>9</w:t>
            </w:r>
          </w:p>
        </w:tc>
        <w:tc>
          <w:tcPr>
            <w:tcW w:w="1440" w:type="dxa"/>
            <w:tcBorders>
              <w:top w:val="nil"/>
              <w:left w:val="nil"/>
              <w:bottom w:val="single" w:sz="4" w:space="0" w:color="auto"/>
              <w:right w:val="single" w:sz="4" w:space="0" w:color="auto"/>
            </w:tcBorders>
            <w:shd w:val="clear" w:color="auto" w:fill="auto"/>
            <w:hideMark/>
          </w:tcPr>
          <w:p w14:paraId="5393A63E" w14:textId="77777777" w:rsidR="001028EC" w:rsidRPr="005730EC" w:rsidRDefault="001028EC" w:rsidP="00701AB3">
            <w:pPr>
              <w:rPr>
                <w:rFonts w:cs="Arial"/>
                <w:color w:val="000000"/>
                <w:sz w:val="20"/>
              </w:rPr>
            </w:pPr>
            <w:r w:rsidRPr="005730EC">
              <w:rPr>
                <w:rFonts w:cs="Arial"/>
                <w:color w:val="000000"/>
                <w:sz w:val="20"/>
              </w:rPr>
              <w:t>Forecasting Capability</w:t>
            </w:r>
          </w:p>
        </w:tc>
        <w:tc>
          <w:tcPr>
            <w:tcW w:w="2142" w:type="dxa"/>
            <w:tcBorders>
              <w:top w:val="nil"/>
              <w:left w:val="nil"/>
              <w:bottom w:val="single" w:sz="4" w:space="0" w:color="auto"/>
              <w:right w:val="single" w:sz="4" w:space="0" w:color="auto"/>
            </w:tcBorders>
            <w:shd w:val="clear" w:color="auto" w:fill="auto"/>
            <w:hideMark/>
          </w:tcPr>
          <w:p w14:paraId="625D88C4" w14:textId="77777777" w:rsidR="001028EC" w:rsidRPr="005730EC" w:rsidRDefault="001028EC" w:rsidP="00701AB3">
            <w:pPr>
              <w:rPr>
                <w:rFonts w:cs="Arial"/>
                <w:color w:val="000000"/>
                <w:sz w:val="20"/>
              </w:rPr>
            </w:pPr>
            <w:r w:rsidRPr="005730EC">
              <w:rPr>
                <w:rFonts w:cs="Arial"/>
                <w:color w:val="000000"/>
                <w:sz w:val="20"/>
              </w:rPr>
              <w:t>Flexible capacity requirements</w:t>
            </w:r>
          </w:p>
        </w:tc>
        <w:tc>
          <w:tcPr>
            <w:tcW w:w="2538" w:type="dxa"/>
            <w:tcBorders>
              <w:top w:val="nil"/>
              <w:left w:val="nil"/>
              <w:bottom w:val="single" w:sz="4" w:space="0" w:color="auto"/>
              <w:right w:val="single" w:sz="4" w:space="0" w:color="auto"/>
            </w:tcBorders>
            <w:shd w:val="clear" w:color="auto" w:fill="auto"/>
            <w:hideMark/>
          </w:tcPr>
          <w:p w14:paraId="3954A4CA" w14:textId="77777777" w:rsidR="001028EC" w:rsidRPr="00B75CE0" w:rsidRDefault="001028EC" w:rsidP="00701AB3">
            <w:pPr>
              <w:rPr>
                <w:rFonts w:cs="Arial"/>
                <w:color w:val="000000"/>
                <w:sz w:val="20"/>
              </w:rPr>
            </w:pPr>
            <w:r w:rsidRPr="00B75CE0">
              <w:rPr>
                <w:rFonts w:cs="Arial"/>
                <w:color w:val="000000"/>
                <w:sz w:val="20"/>
              </w:rPr>
              <w:t xml:space="preserve">CAISO has established flexible capacity requirements for the </w:t>
            </w:r>
            <w:r w:rsidRPr="00B75CE0">
              <w:rPr>
                <w:rFonts w:cs="Arial"/>
                <w:sz w:val="20"/>
              </w:rPr>
              <w:t xml:space="preserve">prospective </w:t>
            </w:r>
            <w:r w:rsidRPr="00B75CE0">
              <w:rPr>
                <w:rFonts w:cs="Arial"/>
                <w:color w:val="000000"/>
                <w:sz w:val="20"/>
              </w:rPr>
              <w:t xml:space="preserve">EIM Entity </w:t>
            </w:r>
            <w:r w:rsidRPr="003C21CC">
              <w:rPr>
                <w:rFonts w:cs="Arial"/>
                <w:color w:val="000000"/>
                <w:sz w:val="20"/>
              </w:rPr>
              <w:t xml:space="preserve">Balancing Authority Area and the combined EIM Area including the </w:t>
            </w:r>
            <w:r w:rsidRPr="00B75CE0">
              <w:rPr>
                <w:rFonts w:cs="Arial"/>
                <w:sz w:val="20"/>
              </w:rPr>
              <w:t xml:space="preserve">prospective </w:t>
            </w:r>
            <w:r w:rsidRPr="00B75CE0">
              <w:rPr>
                <w:rFonts w:cs="Arial"/>
                <w:color w:val="000000"/>
                <w:sz w:val="20"/>
              </w:rPr>
              <w:t xml:space="preserve">EIM Entity </w:t>
            </w:r>
          </w:p>
        </w:tc>
        <w:tc>
          <w:tcPr>
            <w:tcW w:w="2862" w:type="dxa"/>
            <w:tcBorders>
              <w:top w:val="nil"/>
              <w:left w:val="nil"/>
              <w:bottom w:val="single" w:sz="4" w:space="0" w:color="auto"/>
              <w:right w:val="single" w:sz="4" w:space="0" w:color="auto"/>
            </w:tcBorders>
            <w:shd w:val="clear" w:color="auto" w:fill="auto"/>
            <w:hideMark/>
          </w:tcPr>
          <w:p w14:paraId="7F42AE33" w14:textId="77777777" w:rsidR="001028EC" w:rsidRPr="00BF725A" w:rsidRDefault="001028EC" w:rsidP="00701AB3">
            <w:pPr>
              <w:rPr>
                <w:rFonts w:cs="Arial"/>
                <w:color w:val="000000"/>
                <w:sz w:val="20"/>
              </w:rPr>
            </w:pPr>
            <w:r w:rsidRPr="003C21CC">
              <w:rPr>
                <w:rFonts w:cs="Arial"/>
                <w:color w:val="000000"/>
                <w:sz w:val="20"/>
              </w:rPr>
              <w:t>The CAISO has received and stored all his</w:t>
            </w:r>
            <w:r w:rsidRPr="00BF725A">
              <w:rPr>
                <w:rFonts w:cs="Arial"/>
                <w:color w:val="000000"/>
                <w:sz w:val="20"/>
              </w:rPr>
              <w:t>torical data from the</w:t>
            </w:r>
            <w:r w:rsidRPr="00C83084">
              <w:rPr>
                <w:rFonts w:cs="Arial"/>
                <w:color w:val="000000"/>
                <w:sz w:val="20"/>
              </w:rPr>
              <w:t xml:space="preserve"> </w:t>
            </w:r>
            <w:r w:rsidRPr="00B75CE0">
              <w:rPr>
                <w:rFonts w:cs="Arial"/>
                <w:sz w:val="20"/>
              </w:rPr>
              <w:t>prospective</w:t>
            </w:r>
            <w:r w:rsidRPr="00B75CE0">
              <w:rPr>
                <w:rFonts w:cs="Arial"/>
                <w:color w:val="000000"/>
                <w:sz w:val="20"/>
              </w:rPr>
              <w:t xml:space="preserve"> EIM Entity </w:t>
            </w:r>
            <w:r w:rsidRPr="003C21CC">
              <w:rPr>
                <w:rFonts w:cs="Arial"/>
                <w:color w:val="000000"/>
                <w:sz w:val="20"/>
              </w:rPr>
              <w:t>necessary and sufficient for the CAISO to perform the flexible ramp requirement.</w:t>
            </w:r>
          </w:p>
        </w:tc>
      </w:tr>
      <w:tr w:rsidR="001028EC" w:rsidRPr="005730EC" w14:paraId="35628370" w14:textId="77777777" w:rsidTr="009E26DA">
        <w:trPr>
          <w:trHeight w:val="1785"/>
        </w:trPr>
        <w:tc>
          <w:tcPr>
            <w:tcW w:w="1260" w:type="dxa"/>
            <w:tcBorders>
              <w:top w:val="nil"/>
              <w:left w:val="single" w:sz="4" w:space="0" w:color="auto"/>
              <w:bottom w:val="single" w:sz="4" w:space="0" w:color="auto"/>
              <w:right w:val="single" w:sz="4" w:space="0" w:color="auto"/>
            </w:tcBorders>
            <w:shd w:val="clear" w:color="000000" w:fill="FFFFFF"/>
            <w:noWrap/>
            <w:hideMark/>
          </w:tcPr>
          <w:p w14:paraId="779DA306" w14:textId="77777777" w:rsidR="001028EC" w:rsidRPr="005730EC" w:rsidRDefault="001028EC" w:rsidP="00701AB3">
            <w:pPr>
              <w:jc w:val="center"/>
              <w:rPr>
                <w:rFonts w:cs="Arial"/>
                <w:color w:val="000000"/>
                <w:sz w:val="20"/>
              </w:rPr>
            </w:pPr>
            <w:r w:rsidRPr="005730EC">
              <w:rPr>
                <w:rFonts w:cs="Arial"/>
                <w:color w:val="000000"/>
                <w:sz w:val="20"/>
              </w:rPr>
              <w:t>10</w:t>
            </w:r>
          </w:p>
        </w:tc>
        <w:tc>
          <w:tcPr>
            <w:tcW w:w="1440" w:type="dxa"/>
            <w:tcBorders>
              <w:top w:val="nil"/>
              <w:left w:val="nil"/>
              <w:bottom w:val="single" w:sz="4" w:space="0" w:color="auto"/>
              <w:right w:val="single" w:sz="4" w:space="0" w:color="auto"/>
            </w:tcBorders>
            <w:shd w:val="clear" w:color="auto" w:fill="auto"/>
            <w:hideMark/>
          </w:tcPr>
          <w:p w14:paraId="758425FF" w14:textId="77777777" w:rsidR="001028EC" w:rsidRPr="005730EC" w:rsidRDefault="001028EC" w:rsidP="00701AB3">
            <w:pPr>
              <w:rPr>
                <w:rFonts w:cs="Arial"/>
                <w:color w:val="000000"/>
                <w:sz w:val="20"/>
              </w:rPr>
            </w:pPr>
            <w:r w:rsidRPr="005730EC">
              <w:rPr>
                <w:rFonts w:cs="Arial"/>
                <w:color w:val="000000"/>
                <w:sz w:val="20"/>
              </w:rPr>
              <w:t xml:space="preserve">Balanced Schedules </w:t>
            </w:r>
          </w:p>
        </w:tc>
        <w:tc>
          <w:tcPr>
            <w:tcW w:w="2142" w:type="dxa"/>
            <w:tcBorders>
              <w:top w:val="nil"/>
              <w:left w:val="nil"/>
              <w:bottom w:val="single" w:sz="4" w:space="0" w:color="auto"/>
              <w:right w:val="single" w:sz="4" w:space="0" w:color="auto"/>
            </w:tcBorders>
            <w:shd w:val="clear" w:color="auto" w:fill="auto"/>
            <w:hideMark/>
          </w:tcPr>
          <w:p w14:paraId="69B29B8C" w14:textId="77777777" w:rsidR="001028EC" w:rsidRPr="005730EC" w:rsidRDefault="001028EC" w:rsidP="00701AB3">
            <w:pPr>
              <w:rPr>
                <w:rFonts w:cs="Arial"/>
                <w:color w:val="000000"/>
                <w:sz w:val="20"/>
              </w:rPr>
            </w:pPr>
            <w:r w:rsidRPr="005730EC">
              <w:rPr>
                <w:rFonts w:cs="Arial"/>
                <w:color w:val="000000"/>
                <w:sz w:val="20"/>
              </w:rPr>
              <w:t xml:space="preserve">Base schedule balancing capability </w:t>
            </w:r>
          </w:p>
        </w:tc>
        <w:tc>
          <w:tcPr>
            <w:tcW w:w="2538" w:type="dxa"/>
            <w:tcBorders>
              <w:top w:val="nil"/>
              <w:left w:val="nil"/>
              <w:bottom w:val="single" w:sz="4" w:space="0" w:color="auto"/>
              <w:right w:val="single" w:sz="4" w:space="0" w:color="auto"/>
            </w:tcBorders>
            <w:shd w:val="clear" w:color="auto" w:fill="auto"/>
            <w:hideMark/>
          </w:tcPr>
          <w:p w14:paraId="04064A11" w14:textId="77777777" w:rsidR="001028EC" w:rsidRPr="002030A6" w:rsidRDefault="001028EC" w:rsidP="00701AB3">
            <w:pPr>
              <w:rPr>
                <w:rFonts w:cs="Arial"/>
                <w:color w:val="000000"/>
                <w:sz w:val="20"/>
              </w:rPr>
            </w:pPr>
            <w:r w:rsidRPr="00B75CE0">
              <w:rPr>
                <w:rFonts w:cs="Arial"/>
                <w:color w:val="000000"/>
                <w:sz w:val="20"/>
              </w:rPr>
              <w:t xml:space="preserve">The </w:t>
            </w:r>
            <w:r w:rsidRPr="00B75CE0">
              <w:rPr>
                <w:rFonts w:cs="Arial"/>
                <w:sz w:val="20"/>
              </w:rPr>
              <w:t xml:space="preserve">prospective </w:t>
            </w:r>
            <w:r w:rsidRPr="00B75CE0">
              <w:rPr>
                <w:rFonts w:cs="Arial"/>
                <w:color w:val="000000"/>
                <w:sz w:val="20"/>
              </w:rPr>
              <w:t xml:space="preserve">EIM Entity </w:t>
            </w:r>
            <w:r w:rsidRPr="00BF725A">
              <w:rPr>
                <w:rFonts w:cs="Arial"/>
                <w:color w:val="000000"/>
                <w:sz w:val="20"/>
              </w:rPr>
              <w:t>Scheduling Coordinator demonstrates its ability</w:t>
            </w:r>
            <w:r w:rsidRPr="00C83084">
              <w:rPr>
                <w:rFonts w:cs="Arial"/>
                <w:color w:val="000000"/>
                <w:sz w:val="20"/>
              </w:rPr>
              <w:t xml:space="preserve"> to balance EIM </w:t>
            </w:r>
            <w:r>
              <w:rPr>
                <w:rFonts w:cs="Arial"/>
                <w:color w:val="000000"/>
                <w:sz w:val="20"/>
              </w:rPr>
              <w:t>d</w:t>
            </w:r>
            <w:r w:rsidRPr="00C83084">
              <w:rPr>
                <w:rFonts w:cs="Arial"/>
                <w:color w:val="000000"/>
                <w:sz w:val="20"/>
              </w:rPr>
              <w:t xml:space="preserve">emand and EIM </w:t>
            </w:r>
            <w:r>
              <w:rPr>
                <w:rFonts w:cs="Arial"/>
                <w:color w:val="000000"/>
                <w:sz w:val="20"/>
              </w:rPr>
              <w:t>s</w:t>
            </w:r>
            <w:r w:rsidRPr="00C83084">
              <w:rPr>
                <w:rFonts w:cs="Arial"/>
                <w:color w:val="000000"/>
                <w:sz w:val="20"/>
              </w:rPr>
              <w:t>upply</w:t>
            </w:r>
            <w:r>
              <w:rPr>
                <w:rFonts w:cs="Arial"/>
                <w:color w:val="000000"/>
                <w:sz w:val="20"/>
              </w:rPr>
              <w:t xml:space="preserve"> </w:t>
            </w:r>
            <w:r w:rsidRPr="00966490">
              <w:rPr>
                <w:rFonts w:cs="Arial"/>
                <w:color w:val="000000"/>
                <w:sz w:val="20"/>
              </w:rPr>
              <w:t>for the prospective EIM Entity’s Balancing Authority Area</w:t>
            </w:r>
          </w:p>
        </w:tc>
        <w:tc>
          <w:tcPr>
            <w:tcW w:w="2862" w:type="dxa"/>
            <w:tcBorders>
              <w:top w:val="nil"/>
              <w:left w:val="nil"/>
              <w:bottom w:val="single" w:sz="4" w:space="0" w:color="auto"/>
              <w:right w:val="single" w:sz="4" w:space="0" w:color="auto"/>
            </w:tcBorders>
            <w:shd w:val="clear" w:color="auto" w:fill="auto"/>
            <w:hideMark/>
          </w:tcPr>
          <w:p w14:paraId="0054197D" w14:textId="77777777" w:rsidR="001028EC" w:rsidRPr="00B75CE0" w:rsidRDefault="001028EC" w:rsidP="00701AB3">
            <w:pPr>
              <w:rPr>
                <w:rFonts w:cs="Arial"/>
                <w:color w:val="000000"/>
                <w:sz w:val="20"/>
              </w:rPr>
            </w:pPr>
            <w:r w:rsidRPr="00637054">
              <w:rPr>
                <w:rFonts w:cs="Arial"/>
                <w:color w:val="000000"/>
                <w:sz w:val="20"/>
              </w:rPr>
              <w:t xml:space="preserve">90% or greater of base schedules balance tests during monitored hours are within 10% average imbalance of load forecast over one day period before parallel operation, and 5% average over  </w:t>
            </w:r>
            <w:r w:rsidRPr="00594716">
              <w:rPr>
                <w:rFonts w:cs="Arial"/>
                <w:color w:val="000000"/>
                <w:sz w:val="20"/>
              </w:rPr>
              <w:t>five full days before full act</w:t>
            </w:r>
            <w:r w:rsidRPr="00B54DEA">
              <w:rPr>
                <w:rFonts w:cs="Arial"/>
                <w:color w:val="000000"/>
                <w:sz w:val="20"/>
              </w:rPr>
              <w:t xml:space="preserve">ivation.  The CAISO will provide examples of MW thresholds for each </w:t>
            </w:r>
            <w:r w:rsidRPr="00FB5685">
              <w:rPr>
                <w:rFonts w:cs="Arial"/>
                <w:sz w:val="20"/>
              </w:rPr>
              <w:t>prospective</w:t>
            </w:r>
            <w:r>
              <w:rPr>
                <w:rFonts w:cs="Arial"/>
              </w:rPr>
              <w:t xml:space="preserve"> </w:t>
            </w:r>
            <w:r w:rsidRPr="00B75CE0">
              <w:rPr>
                <w:rFonts w:cs="Arial"/>
                <w:color w:val="000000"/>
                <w:sz w:val="20"/>
              </w:rPr>
              <w:t>EIM Entity to indicate a reasonable threshold as it applies to a given EIM Entity and indicate the potential implications of a swing from 5% over to 5% under forecast in one hour to the next.</w:t>
            </w:r>
          </w:p>
        </w:tc>
      </w:tr>
      <w:tr w:rsidR="001028EC" w:rsidRPr="005730EC" w14:paraId="6CAE5F55" w14:textId="77777777" w:rsidTr="009E26DA">
        <w:trPr>
          <w:trHeight w:val="1020"/>
        </w:trPr>
        <w:tc>
          <w:tcPr>
            <w:tcW w:w="1260" w:type="dxa"/>
            <w:tcBorders>
              <w:top w:val="nil"/>
              <w:left w:val="single" w:sz="4" w:space="0" w:color="auto"/>
              <w:bottom w:val="single" w:sz="4" w:space="0" w:color="auto"/>
              <w:right w:val="single" w:sz="4" w:space="0" w:color="auto"/>
            </w:tcBorders>
            <w:shd w:val="clear" w:color="000000" w:fill="FFFFFF"/>
            <w:noWrap/>
            <w:hideMark/>
          </w:tcPr>
          <w:p w14:paraId="1F592DEB" w14:textId="77777777" w:rsidR="001028EC" w:rsidRPr="005730EC" w:rsidRDefault="001028EC" w:rsidP="00701AB3">
            <w:pPr>
              <w:jc w:val="center"/>
              <w:rPr>
                <w:rFonts w:cs="Arial"/>
                <w:color w:val="000000"/>
                <w:sz w:val="20"/>
              </w:rPr>
            </w:pPr>
            <w:r w:rsidRPr="005730EC">
              <w:rPr>
                <w:rFonts w:cs="Arial"/>
                <w:color w:val="000000"/>
                <w:sz w:val="20"/>
              </w:rPr>
              <w:t>11</w:t>
            </w:r>
          </w:p>
        </w:tc>
        <w:tc>
          <w:tcPr>
            <w:tcW w:w="1440" w:type="dxa"/>
            <w:tcBorders>
              <w:top w:val="nil"/>
              <w:left w:val="nil"/>
              <w:bottom w:val="single" w:sz="4" w:space="0" w:color="auto"/>
              <w:right w:val="single" w:sz="4" w:space="0" w:color="auto"/>
            </w:tcBorders>
            <w:shd w:val="clear" w:color="auto" w:fill="auto"/>
            <w:hideMark/>
          </w:tcPr>
          <w:p w14:paraId="3B434426" w14:textId="77777777" w:rsidR="001028EC" w:rsidRPr="005730EC" w:rsidRDefault="001028EC" w:rsidP="00701AB3">
            <w:pPr>
              <w:rPr>
                <w:rFonts w:cs="Arial"/>
                <w:color w:val="000000"/>
                <w:sz w:val="20"/>
              </w:rPr>
            </w:pPr>
            <w:r w:rsidRPr="005730EC">
              <w:rPr>
                <w:rFonts w:cs="Arial"/>
                <w:color w:val="000000"/>
                <w:sz w:val="20"/>
              </w:rPr>
              <w:t xml:space="preserve">Balanced Schedules </w:t>
            </w:r>
          </w:p>
        </w:tc>
        <w:tc>
          <w:tcPr>
            <w:tcW w:w="2142" w:type="dxa"/>
            <w:tcBorders>
              <w:top w:val="nil"/>
              <w:left w:val="nil"/>
              <w:bottom w:val="single" w:sz="4" w:space="0" w:color="auto"/>
              <w:right w:val="single" w:sz="4" w:space="0" w:color="auto"/>
            </w:tcBorders>
            <w:shd w:val="clear" w:color="auto" w:fill="auto"/>
            <w:hideMark/>
          </w:tcPr>
          <w:p w14:paraId="1E9A2CFD" w14:textId="77777777" w:rsidR="001028EC" w:rsidRPr="005730EC" w:rsidRDefault="001028EC" w:rsidP="00701AB3">
            <w:pPr>
              <w:rPr>
                <w:rFonts w:cs="Arial"/>
                <w:color w:val="000000"/>
                <w:sz w:val="20"/>
              </w:rPr>
            </w:pPr>
            <w:r w:rsidRPr="005730EC">
              <w:rPr>
                <w:rFonts w:cs="Arial"/>
                <w:color w:val="000000"/>
                <w:sz w:val="20"/>
              </w:rPr>
              <w:t>Flexible ramping sufficiency test capability</w:t>
            </w:r>
          </w:p>
        </w:tc>
        <w:tc>
          <w:tcPr>
            <w:tcW w:w="2538" w:type="dxa"/>
            <w:tcBorders>
              <w:top w:val="nil"/>
              <w:left w:val="nil"/>
              <w:bottom w:val="single" w:sz="4" w:space="0" w:color="auto"/>
              <w:right w:val="single" w:sz="4" w:space="0" w:color="auto"/>
            </w:tcBorders>
            <w:shd w:val="clear" w:color="auto" w:fill="auto"/>
            <w:hideMark/>
          </w:tcPr>
          <w:p w14:paraId="1BBCAED1" w14:textId="77777777" w:rsidR="001028EC" w:rsidRPr="005730EC" w:rsidRDefault="001028EC" w:rsidP="00701AB3">
            <w:pPr>
              <w:rPr>
                <w:rFonts w:cs="Arial"/>
                <w:color w:val="000000"/>
                <w:sz w:val="20"/>
              </w:rPr>
            </w:pPr>
            <w:r w:rsidRPr="005730EC">
              <w:rPr>
                <w:rFonts w:cs="Arial"/>
                <w:color w:val="000000"/>
                <w:sz w:val="20"/>
              </w:rPr>
              <w:t xml:space="preserve">The </w:t>
            </w:r>
            <w:r w:rsidRPr="004A6F2D">
              <w:rPr>
                <w:rFonts w:cs="Arial"/>
                <w:sz w:val="20"/>
              </w:rPr>
              <w:t>prospective</w:t>
            </w:r>
            <w:r>
              <w:rPr>
                <w:rFonts w:cs="Arial"/>
              </w:rPr>
              <w:t xml:space="preserve"> </w:t>
            </w:r>
            <w:r w:rsidRPr="005730EC">
              <w:rPr>
                <w:rFonts w:cs="Arial"/>
                <w:color w:val="000000"/>
                <w:sz w:val="20"/>
              </w:rPr>
              <w:t xml:space="preserve">EIM Entity </w:t>
            </w:r>
            <w:r>
              <w:rPr>
                <w:rFonts w:cs="Arial"/>
                <w:color w:val="000000"/>
                <w:sz w:val="20"/>
              </w:rPr>
              <w:t>\</w:t>
            </w:r>
            <w:r w:rsidRPr="005730EC">
              <w:rPr>
                <w:rFonts w:cs="Arial"/>
                <w:color w:val="000000"/>
                <w:sz w:val="20"/>
              </w:rPr>
              <w:t xml:space="preserve"> Scheduling Coordinator demonstrates its ability to pass the flexible ramping sufficiency test </w:t>
            </w:r>
          </w:p>
        </w:tc>
        <w:tc>
          <w:tcPr>
            <w:tcW w:w="2862" w:type="dxa"/>
            <w:tcBorders>
              <w:top w:val="nil"/>
              <w:left w:val="nil"/>
              <w:bottom w:val="single" w:sz="4" w:space="0" w:color="auto"/>
              <w:right w:val="single" w:sz="4" w:space="0" w:color="auto"/>
            </w:tcBorders>
            <w:shd w:val="clear" w:color="auto" w:fill="auto"/>
            <w:hideMark/>
          </w:tcPr>
          <w:p w14:paraId="308B57A7" w14:textId="77777777" w:rsidR="001028EC" w:rsidRPr="005730EC" w:rsidRDefault="001028EC" w:rsidP="00701AB3">
            <w:pPr>
              <w:rPr>
                <w:rFonts w:cs="Arial"/>
                <w:color w:val="000000"/>
                <w:sz w:val="20"/>
              </w:rPr>
            </w:pPr>
            <w:r w:rsidRPr="005730EC">
              <w:rPr>
                <w:rFonts w:cs="Arial"/>
                <w:color w:val="000000"/>
                <w:sz w:val="20"/>
              </w:rPr>
              <w:t xml:space="preserve">Passes 90% of the time or greater over monitored hours of one day before parallel operation and </w:t>
            </w:r>
            <w:r>
              <w:rPr>
                <w:rFonts w:cs="Arial"/>
                <w:color w:val="000000"/>
                <w:sz w:val="20"/>
              </w:rPr>
              <w:t>five</w:t>
            </w:r>
            <w:r w:rsidRPr="005730EC">
              <w:rPr>
                <w:rFonts w:cs="Arial"/>
                <w:color w:val="000000"/>
                <w:sz w:val="20"/>
              </w:rPr>
              <w:t xml:space="preserve"> </w:t>
            </w:r>
            <w:r>
              <w:rPr>
                <w:rFonts w:cs="Arial"/>
                <w:color w:val="000000"/>
                <w:sz w:val="20"/>
              </w:rPr>
              <w:t xml:space="preserve">non-consecutive </w:t>
            </w:r>
            <w:r w:rsidRPr="005730EC">
              <w:rPr>
                <w:rFonts w:cs="Arial"/>
                <w:color w:val="000000"/>
                <w:sz w:val="20"/>
              </w:rPr>
              <w:t>days before full activation</w:t>
            </w:r>
          </w:p>
        </w:tc>
      </w:tr>
      <w:tr w:rsidR="001028EC" w:rsidRPr="005730EC" w14:paraId="19D47CCF" w14:textId="77777777" w:rsidTr="009E26DA">
        <w:trPr>
          <w:trHeight w:val="1020"/>
        </w:trPr>
        <w:tc>
          <w:tcPr>
            <w:tcW w:w="1260" w:type="dxa"/>
            <w:tcBorders>
              <w:top w:val="nil"/>
              <w:left w:val="single" w:sz="4" w:space="0" w:color="auto"/>
              <w:bottom w:val="single" w:sz="4" w:space="0" w:color="auto"/>
              <w:right w:val="single" w:sz="4" w:space="0" w:color="auto"/>
            </w:tcBorders>
            <w:shd w:val="clear" w:color="000000" w:fill="FFFFFF"/>
            <w:noWrap/>
            <w:hideMark/>
          </w:tcPr>
          <w:p w14:paraId="788C2C86" w14:textId="77777777" w:rsidR="001028EC" w:rsidRPr="005730EC" w:rsidRDefault="001028EC" w:rsidP="00701AB3">
            <w:pPr>
              <w:jc w:val="center"/>
              <w:rPr>
                <w:rFonts w:cs="Arial"/>
                <w:color w:val="000000"/>
                <w:sz w:val="20"/>
              </w:rPr>
            </w:pPr>
            <w:r w:rsidRPr="005730EC">
              <w:rPr>
                <w:rFonts w:cs="Arial"/>
                <w:color w:val="000000"/>
                <w:sz w:val="20"/>
              </w:rPr>
              <w:t>12</w:t>
            </w:r>
          </w:p>
        </w:tc>
        <w:tc>
          <w:tcPr>
            <w:tcW w:w="1440" w:type="dxa"/>
            <w:tcBorders>
              <w:top w:val="nil"/>
              <w:left w:val="nil"/>
              <w:bottom w:val="single" w:sz="4" w:space="0" w:color="auto"/>
              <w:right w:val="single" w:sz="4" w:space="0" w:color="auto"/>
            </w:tcBorders>
            <w:shd w:val="clear" w:color="auto" w:fill="auto"/>
            <w:hideMark/>
          </w:tcPr>
          <w:p w14:paraId="3494F935" w14:textId="77777777" w:rsidR="001028EC" w:rsidRPr="005730EC" w:rsidRDefault="001028EC" w:rsidP="00701AB3">
            <w:pPr>
              <w:rPr>
                <w:rFonts w:cs="Arial"/>
                <w:color w:val="000000"/>
                <w:sz w:val="20"/>
              </w:rPr>
            </w:pPr>
            <w:r w:rsidRPr="005730EC">
              <w:rPr>
                <w:rFonts w:cs="Arial"/>
                <w:color w:val="000000"/>
                <w:sz w:val="20"/>
              </w:rPr>
              <w:t xml:space="preserve">Balanced Schedules </w:t>
            </w:r>
          </w:p>
        </w:tc>
        <w:tc>
          <w:tcPr>
            <w:tcW w:w="2142" w:type="dxa"/>
            <w:tcBorders>
              <w:top w:val="nil"/>
              <w:left w:val="nil"/>
              <w:bottom w:val="single" w:sz="4" w:space="0" w:color="auto"/>
              <w:right w:val="single" w:sz="4" w:space="0" w:color="auto"/>
            </w:tcBorders>
            <w:shd w:val="clear" w:color="auto" w:fill="auto"/>
            <w:hideMark/>
          </w:tcPr>
          <w:p w14:paraId="522928B7" w14:textId="77777777" w:rsidR="001028EC" w:rsidRPr="005730EC" w:rsidRDefault="001028EC" w:rsidP="00701AB3">
            <w:pPr>
              <w:rPr>
                <w:rFonts w:cs="Arial"/>
                <w:color w:val="000000"/>
                <w:sz w:val="20"/>
              </w:rPr>
            </w:pPr>
            <w:r w:rsidRPr="005730EC">
              <w:rPr>
                <w:rFonts w:cs="Arial"/>
                <w:color w:val="000000"/>
                <w:sz w:val="20"/>
              </w:rPr>
              <w:t xml:space="preserve">Capacity test capability </w:t>
            </w:r>
          </w:p>
        </w:tc>
        <w:tc>
          <w:tcPr>
            <w:tcW w:w="2538" w:type="dxa"/>
            <w:tcBorders>
              <w:top w:val="nil"/>
              <w:left w:val="nil"/>
              <w:bottom w:val="single" w:sz="4" w:space="0" w:color="auto"/>
              <w:right w:val="single" w:sz="4" w:space="0" w:color="auto"/>
            </w:tcBorders>
            <w:shd w:val="clear" w:color="auto" w:fill="auto"/>
            <w:hideMark/>
          </w:tcPr>
          <w:p w14:paraId="100BD2BE" w14:textId="77777777" w:rsidR="001028EC" w:rsidRPr="005730EC" w:rsidRDefault="001028EC" w:rsidP="00701AB3">
            <w:pPr>
              <w:rPr>
                <w:rFonts w:cs="Arial"/>
                <w:color w:val="000000"/>
                <w:sz w:val="20"/>
              </w:rPr>
            </w:pPr>
            <w:r w:rsidRPr="005730EC">
              <w:rPr>
                <w:rFonts w:cs="Arial"/>
                <w:color w:val="000000"/>
                <w:sz w:val="20"/>
              </w:rPr>
              <w:t xml:space="preserve">The </w:t>
            </w:r>
            <w:r w:rsidRPr="003410A8">
              <w:rPr>
                <w:rFonts w:cs="Arial"/>
                <w:sz w:val="20"/>
              </w:rPr>
              <w:t xml:space="preserve">prospective </w:t>
            </w:r>
            <w:r w:rsidRPr="00B75CE0">
              <w:rPr>
                <w:rFonts w:cs="Arial"/>
                <w:color w:val="000000"/>
                <w:sz w:val="20"/>
              </w:rPr>
              <w:t>E</w:t>
            </w:r>
            <w:r w:rsidRPr="005730EC">
              <w:rPr>
                <w:rFonts w:cs="Arial"/>
                <w:color w:val="000000"/>
                <w:sz w:val="20"/>
              </w:rPr>
              <w:t>IM Entity Scheduling Coordinator demonstrates its ability to pass capacity test</w:t>
            </w:r>
          </w:p>
        </w:tc>
        <w:tc>
          <w:tcPr>
            <w:tcW w:w="2862" w:type="dxa"/>
            <w:tcBorders>
              <w:top w:val="nil"/>
              <w:left w:val="nil"/>
              <w:bottom w:val="single" w:sz="4" w:space="0" w:color="auto"/>
              <w:right w:val="single" w:sz="4" w:space="0" w:color="auto"/>
            </w:tcBorders>
            <w:shd w:val="clear" w:color="auto" w:fill="auto"/>
            <w:hideMark/>
          </w:tcPr>
          <w:p w14:paraId="30A089D5" w14:textId="77777777" w:rsidR="001028EC" w:rsidRPr="005730EC" w:rsidRDefault="001028EC" w:rsidP="00701AB3">
            <w:pPr>
              <w:rPr>
                <w:rFonts w:cs="Arial"/>
                <w:color w:val="000000"/>
                <w:sz w:val="20"/>
              </w:rPr>
            </w:pPr>
            <w:r w:rsidRPr="005730EC">
              <w:rPr>
                <w:rFonts w:cs="Arial"/>
                <w:color w:val="000000"/>
                <w:sz w:val="20"/>
              </w:rPr>
              <w:t xml:space="preserve">Passes 90% of the time or greater over monitored hours of one day before parallel operation and </w:t>
            </w:r>
            <w:r>
              <w:rPr>
                <w:rFonts w:cs="Arial"/>
                <w:color w:val="000000"/>
                <w:sz w:val="20"/>
              </w:rPr>
              <w:t>five</w:t>
            </w:r>
            <w:r w:rsidRPr="005730EC">
              <w:rPr>
                <w:rFonts w:cs="Arial"/>
                <w:color w:val="000000"/>
                <w:sz w:val="20"/>
              </w:rPr>
              <w:t xml:space="preserve"> </w:t>
            </w:r>
            <w:r>
              <w:rPr>
                <w:rFonts w:cs="Arial"/>
                <w:color w:val="000000"/>
                <w:sz w:val="20"/>
              </w:rPr>
              <w:t xml:space="preserve">non-consecutive </w:t>
            </w:r>
            <w:r w:rsidRPr="005730EC">
              <w:rPr>
                <w:rFonts w:cs="Arial"/>
                <w:color w:val="000000"/>
                <w:sz w:val="20"/>
              </w:rPr>
              <w:t>days before full activation.  The CAISO will explain the implications of any potential issues with the reliability of an EIM Entity to meet its capacity requirements.</w:t>
            </w:r>
          </w:p>
        </w:tc>
      </w:tr>
      <w:tr w:rsidR="001028EC" w:rsidRPr="005730EC" w14:paraId="2710E2C4" w14:textId="77777777" w:rsidTr="009E26DA">
        <w:trPr>
          <w:trHeight w:val="2168"/>
        </w:trPr>
        <w:tc>
          <w:tcPr>
            <w:tcW w:w="1260" w:type="dxa"/>
            <w:tcBorders>
              <w:top w:val="nil"/>
              <w:left w:val="single" w:sz="4" w:space="0" w:color="auto"/>
              <w:bottom w:val="single" w:sz="4" w:space="0" w:color="auto"/>
              <w:right w:val="single" w:sz="4" w:space="0" w:color="auto"/>
            </w:tcBorders>
            <w:shd w:val="clear" w:color="000000" w:fill="FFFFFF"/>
            <w:noWrap/>
            <w:hideMark/>
          </w:tcPr>
          <w:p w14:paraId="07C4CF2B" w14:textId="77777777" w:rsidR="001028EC" w:rsidRPr="005730EC" w:rsidRDefault="001028EC" w:rsidP="00701AB3">
            <w:pPr>
              <w:jc w:val="center"/>
              <w:rPr>
                <w:rFonts w:cs="Arial"/>
                <w:color w:val="000000"/>
                <w:sz w:val="20"/>
              </w:rPr>
            </w:pPr>
            <w:r w:rsidRPr="005730EC">
              <w:rPr>
                <w:rFonts w:cs="Arial"/>
                <w:color w:val="000000"/>
                <w:sz w:val="20"/>
              </w:rPr>
              <w:t>13</w:t>
            </w:r>
          </w:p>
        </w:tc>
        <w:tc>
          <w:tcPr>
            <w:tcW w:w="1440" w:type="dxa"/>
            <w:tcBorders>
              <w:top w:val="nil"/>
              <w:left w:val="nil"/>
              <w:bottom w:val="single" w:sz="4" w:space="0" w:color="auto"/>
              <w:right w:val="single" w:sz="4" w:space="0" w:color="auto"/>
            </w:tcBorders>
            <w:shd w:val="clear" w:color="auto" w:fill="auto"/>
            <w:hideMark/>
          </w:tcPr>
          <w:p w14:paraId="244C606A" w14:textId="77777777" w:rsidR="001028EC" w:rsidRPr="005730EC" w:rsidRDefault="001028EC" w:rsidP="00701AB3">
            <w:pPr>
              <w:rPr>
                <w:rFonts w:cs="Arial"/>
                <w:color w:val="000000"/>
                <w:sz w:val="20"/>
              </w:rPr>
            </w:pPr>
            <w:r w:rsidRPr="005730EC">
              <w:rPr>
                <w:rFonts w:cs="Arial"/>
                <w:color w:val="000000"/>
                <w:sz w:val="20"/>
              </w:rPr>
              <w:t>Operating Procedures</w:t>
            </w:r>
          </w:p>
        </w:tc>
        <w:tc>
          <w:tcPr>
            <w:tcW w:w="2142" w:type="dxa"/>
            <w:tcBorders>
              <w:top w:val="nil"/>
              <w:left w:val="nil"/>
              <w:bottom w:val="single" w:sz="4" w:space="0" w:color="auto"/>
              <w:right w:val="single" w:sz="4" w:space="0" w:color="auto"/>
            </w:tcBorders>
            <w:shd w:val="clear" w:color="auto" w:fill="auto"/>
            <w:hideMark/>
          </w:tcPr>
          <w:p w14:paraId="211B9A67" w14:textId="77777777" w:rsidR="001028EC" w:rsidRPr="005730EC" w:rsidRDefault="001028EC" w:rsidP="00701AB3">
            <w:pPr>
              <w:rPr>
                <w:rFonts w:cs="Arial"/>
                <w:color w:val="000000"/>
                <w:sz w:val="20"/>
              </w:rPr>
            </w:pPr>
            <w:r w:rsidRPr="005730EC">
              <w:rPr>
                <w:rFonts w:cs="Arial"/>
                <w:color w:val="000000"/>
                <w:sz w:val="20"/>
              </w:rPr>
              <w:t xml:space="preserve">CAISO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 (relevant to EIM operations)</w:t>
            </w:r>
          </w:p>
        </w:tc>
        <w:tc>
          <w:tcPr>
            <w:tcW w:w="2538" w:type="dxa"/>
            <w:tcBorders>
              <w:top w:val="nil"/>
              <w:left w:val="nil"/>
              <w:bottom w:val="single" w:sz="4" w:space="0" w:color="auto"/>
              <w:right w:val="single" w:sz="4" w:space="0" w:color="auto"/>
            </w:tcBorders>
            <w:shd w:val="clear" w:color="auto" w:fill="auto"/>
            <w:hideMark/>
          </w:tcPr>
          <w:p w14:paraId="3AFF175E" w14:textId="77777777" w:rsidR="001028EC" w:rsidRPr="005730EC" w:rsidRDefault="001028EC" w:rsidP="00701AB3">
            <w:pPr>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EIM Entity signs CAISO non-disclosure agreement and receives appropriate CAISO “public” and “restricted” operating procedures</w:t>
            </w:r>
          </w:p>
        </w:tc>
        <w:tc>
          <w:tcPr>
            <w:tcW w:w="2862" w:type="dxa"/>
            <w:tcBorders>
              <w:top w:val="nil"/>
              <w:left w:val="nil"/>
              <w:bottom w:val="single" w:sz="4" w:space="0" w:color="auto"/>
              <w:right w:val="single" w:sz="4" w:space="0" w:color="auto"/>
            </w:tcBorders>
            <w:shd w:val="clear" w:color="auto" w:fill="auto"/>
            <w:hideMark/>
          </w:tcPr>
          <w:p w14:paraId="67304298" w14:textId="77777777" w:rsidR="001028EC" w:rsidRPr="005730EC" w:rsidRDefault="001028EC" w:rsidP="00701AB3">
            <w:pPr>
              <w:rPr>
                <w:rFonts w:cs="Arial"/>
                <w:color w:val="000000"/>
                <w:sz w:val="20"/>
              </w:rPr>
            </w:pPr>
            <w:r w:rsidRPr="005730EC">
              <w:rPr>
                <w:rFonts w:cs="Arial"/>
                <w:color w:val="000000"/>
                <w:sz w:val="20"/>
              </w:rPr>
              <w:t xml:space="preserve">Operating </w:t>
            </w:r>
            <w:r>
              <w:rPr>
                <w:rFonts w:cs="Arial"/>
                <w:color w:val="000000"/>
                <w:sz w:val="20"/>
              </w:rPr>
              <w:t>p</w:t>
            </w:r>
            <w:r w:rsidRPr="005730EC">
              <w:rPr>
                <w:rFonts w:cs="Arial"/>
                <w:color w:val="000000"/>
                <w:sz w:val="20"/>
              </w:rPr>
              <w:t xml:space="preserve">rocedures NDA signed by </w:t>
            </w:r>
            <w:r>
              <w:rPr>
                <w:rFonts w:cs="Arial"/>
                <w:color w:val="000000"/>
                <w:sz w:val="20"/>
              </w:rPr>
              <w:t xml:space="preserve">the </w:t>
            </w:r>
            <w:r w:rsidRPr="00200458">
              <w:rPr>
                <w:rFonts w:cs="Arial"/>
                <w:sz w:val="20"/>
              </w:rPr>
              <w:t xml:space="preserve">prospective </w:t>
            </w:r>
            <w:r w:rsidRPr="005730EC">
              <w:rPr>
                <w:rFonts w:cs="Arial"/>
                <w:color w:val="000000"/>
                <w:sz w:val="20"/>
              </w:rPr>
              <w:t xml:space="preserve">EIM Entity. </w:t>
            </w:r>
          </w:p>
          <w:p w14:paraId="4177AC11" w14:textId="77777777" w:rsidR="001028EC" w:rsidRPr="005730EC" w:rsidRDefault="001028EC" w:rsidP="00701AB3">
            <w:pPr>
              <w:rPr>
                <w:rFonts w:cs="Arial"/>
                <w:color w:val="000000"/>
                <w:sz w:val="20"/>
              </w:rPr>
            </w:pPr>
            <w:r w:rsidRPr="005730EC">
              <w:rPr>
                <w:rFonts w:cs="Arial"/>
                <w:color w:val="000000"/>
                <w:sz w:val="20"/>
              </w:rPr>
              <w:br/>
            </w:r>
            <w:r>
              <w:rPr>
                <w:rFonts w:cs="Arial"/>
                <w:sz w:val="20"/>
              </w:rPr>
              <w:t>The p</w:t>
            </w:r>
            <w:r w:rsidRPr="00200458">
              <w:rPr>
                <w:rFonts w:cs="Arial"/>
                <w:sz w:val="20"/>
              </w:rPr>
              <w:t xml:space="preserve">rospective </w:t>
            </w:r>
            <w:r w:rsidRPr="005730EC">
              <w:rPr>
                <w:rFonts w:cs="Arial"/>
                <w:color w:val="000000"/>
                <w:sz w:val="20"/>
              </w:rPr>
              <w:t xml:space="preserve">EIM Entity receives CAISO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 four months prior to the parallel operations date.</w:t>
            </w:r>
          </w:p>
        </w:tc>
      </w:tr>
      <w:tr w:rsidR="001028EC" w:rsidRPr="005730EC" w14:paraId="7B8CAFF5" w14:textId="77777777" w:rsidTr="009E26DA">
        <w:trPr>
          <w:trHeight w:val="620"/>
        </w:trPr>
        <w:tc>
          <w:tcPr>
            <w:tcW w:w="1260" w:type="dxa"/>
            <w:tcBorders>
              <w:top w:val="nil"/>
              <w:left w:val="single" w:sz="4" w:space="0" w:color="auto"/>
              <w:bottom w:val="single" w:sz="4" w:space="0" w:color="auto"/>
              <w:right w:val="single" w:sz="4" w:space="0" w:color="auto"/>
            </w:tcBorders>
            <w:shd w:val="clear" w:color="000000" w:fill="FFFFFF"/>
            <w:noWrap/>
            <w:hideMark/>
          </w:tcPr>
          <w:p w14:paraId="4DD843D5" w14:textId="77777777" w:rsidR="001028EC" w:rsidRPr="005730EC" w:rsidRDefault="001028EC" w:rsidP="00701AB3">
            <w:pPr>
              <w:jc w:val="center"/>
              <w:rPr>
                <w:rFonts w:cs="Arial"/>
                <w:color w:val="000000"/>
                <w:sz w:val="20"/>
              </w:rPr>
            </w:pPr>
            <w:r w:rsidRPr="005730EC">
              <w:rPr>
                <w:rFonts w:cs="Arial"/>
                <w:color w:val="000000"/>
                <w:sz w:val="20"/>
              </w:rPr>
              <w:t>14</w:t>
            </w:r>
          </w:p>
        </w:tc>
        <w:tc>
          <w:tcPr>
            <w:tcW w:w="1440" w:type="dxa"/>
            <w:tcBorders>
              <w:top w:val="nil"/>
              <w:left w:val="nil"/>
              <w:bottom w:val="single" w:sz="4" w:space="0" w:color="auto"/>
              <w:right w:val="single" w:sz="4" w:space="0" w:color="auto"/>
            </w:tcBorders>
            <w:shd w:val="clear" w:color="auto" w:fill="auto"/>
            <w:hideMark/>
          </w:tcPr>
          <w:p w14:paraId="7CAF18EB" w14:textId="77777777" w:rsidR="001028EC" w:rsidRPr="005730EC" w:rsidRDefault="001028EC" w:rsidP="00701AB3">
            <w:pPr>
              <w:rPr>
                <w:rFonts w:cs="Arial"/>
                <w:color w:val="000000"/>
                <w:sz w:val="20"/>
              </w:rPr>
            </w:pPr>
            <w:r w:rsidRPr="005730EC">
              <w:rPr>
                <w:rFonts w:cs="Arial"/>
                <w:color w:val="000000"/>
                <w:sz w:val="20"/>
              </w:rPr>
              <w:t>Operating Procedures</w:t>
            </w:r>
          </w:p>
        </w:tc>
        <w:tc>
          <w:tcPr>
            <w:tcW w:w="2142" w:type="dxa"/>
            <w:tcBorders>
              <w:top w:val="nil"/>
              <w:left w:val="nil"/>
              <w:bottom w:val="single" w:sz="4" w:space="0" w:color="auto"/>
              <w:right w:val="single" w:sz="4" w:space="0" w:color="auto"/>
            </w:tcBorders>
            <w:shd w:val="clear" w:color="auto" w:fill="auto"/>
            <w:hideMark/>
          </w:tcPr>
          <w:p w14:paraId="645BE7B4" w14:textId="77777777" w:rsidR="001028EC" w:rsidRPr="005730EC" w:rsidRDefault="001028EC" w:rsidP="00701AB3">
            <w:pPr>
              <w:rPr>
                <w:rFonts w:cs="Arial"/>
                <w:color w:val="000000"/>
                <w:sz w:val="20"/>
              </w:rPr>
            </w:pPr>
            <w:r>
              <w:rPr>
                <w:rFonts w:cs="Arial"/>
                <w:sz w:val="20"/>
              </w:rPr>
              <w:t>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w:t>
            </w:r>
          </w:p>
        </w:tc>
        <w:tc>
          <w:tcPr>
            <w:tcW w:w="2538" w:type="dxa"/>
            <w:tcBorders>
              <w:top w:val="nil"/>
              <w:left w:val="nil"/>
              <w:bottom w:val="single" w:sz="4" w:space="0" w:color="auto"/>
              <w:right w:val="single" w:sz="4" w:space="0" w:color="auto"/>
            </w:tcBorders>
            <w:shd w:val="clear" w:color="auto" w:fill="auto"/>
            <w:hideMark/>
          </w:tcPr>
          <w:p w14:paraId="34D4D9CE" w14:textId="77777777" w:rsidR="001028EC" w:rsidRPr="005730EC" w:rsidRDefault="001028EC" w:rsidP="00701AB3">
            <w:pPr>
              <w:rPr>
                <w:rFonts w:cs="Arial"/>
                <w:color w:val="000000"/>
                <w:sz w:val="20"/>
              </w:rPr>
            </w:pPr>
            <w:r w:rsidRPr="005730EC">
              <w:rPr>
                <w:rFonts w:cs="Arial"/>
                <w:color w:val="000000"/>
                <w:sz w:val="20"/>
              </w:rPr>
              <w:t xml:space="preserve">The </w:t>
            </w:r>
            <w:r>
              <w:rPr>
                <w:rFonts w:cs="Arial"/>
                <w:sz w:val="20"/>
              </w:rPr>
              <w:t>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 are defined, updated, and tested for the EIM Entity Scheduling Coordinator</w:t>
            </w:r>
          </w:p>
        </w:tc>
        <w:tc>
          <w:tcPr>
            <w:tcW w:w="2862" w:type="dxa"/>
            <w:tcBorders>
              <w:top w:val="nil"/>
              <w:left w:val="nil"/>
              <w:bottom w:val="single" w:sz="4" w:space="0" w:color="auto"/>
              <w:right w:val="single" w:sz="4" w:space="0" w:color="auto"/>
            </w:tcBorders>
            <w:shd w:val="clear" w:color="auto" w:fill="auto"/>
            <w:hideMark/>
          </w:tcPr>
          <w:p w14:paraId="64B47F83" w14:textId="77777777" w:rsidR="001028EC" w:rsidRPr="005730EC" w:rsidRDefault="001028EC" w:rsidP="00701AB3">
            <w:pPr>
              <w:rPr>
                <w:rFonts w:cs="Arial"/>
                <w:color w:val="000000"/>
                <w:sz w:val="20"/>
              </w:rPr>
            </w:pPr>
            <w:r w:rsidRPr="005730EC">
              <w:rPr>
                <w:rFonts w:cs="Arial"/>
                <w:color w:val="000000"/>
                <w:sz w:val="20"/>
              </w:rPr>
              <w:t xml:space="preserve">The </w:t>
            </w:r>
            <w:r>
              <w:rPr>
                <w:rFonts w:cs="Arial"/>
                <w:sz w:val="20"/>
              </w:rPr>
              <w:t>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 are updated tested and implemented prior to parallel operations date.</w:t>
            </w:r>
          </w:p>
        </w:tc>
      </w:tr>
      <w:tr w:rsidR="001028EC" w:rsidRPr="005730EC" w14:paraId="724F4471" w14:textId="77777777" w:rsidTr="009E26DA">
        <w:trPr>
          <w:trHeight w:val="2699"/>
        </w:trPr>
        <w:tc>
          <w:tcPr>
            <w:tcW w:w="1260" w:type="dxa"/>
            <w:tcBorders>
              <w:top w:val="nil"/>
              <w:left w:val="single" w:sz="4" w:space="0" w:color="auto"/>
              <w:bottom w:val="single" w:sz="4" w:space="0" w:color="auto"/>
              <w:right w:val="single" w:sz="4" w:space="0" w:color="auto"/>
            </w:tcBorders>
            <w:shd w:val="clear" w:color="000000" w:fill="FFFFFF"/>
            <w:noWrap/>
            <w:hideMark/>
          </w:tcPr>
          <w:p w14:paraId="5F47555E" w14:textId="77777777" w:rsidR="001028EC" w:rsidRPr="005730EC" w:rsidRDefault="001028EC" w:rsidP="00701AB3">
            <w:pPr>
              <w:jc w:val="center"/>
              <w:rPr>
                <w:rFonts w:cs="Arial"/>
                <w:color w:val="000000"/>
                <w:sz w:val="20"/>
              </w:rPr>
            </w:pPr>
            <w:r w:rsidRPr="005730EC">
              <w:rPr>
                <w:rFonts w:cs="Arial"/>
                <w:color w:val="000000"/>
                <w:sz w:val="20"/>
              </w:rPr>
              <w:t>15</w:t>
            </w:r>
          </w:p>
        </w:tc>
        <w:tc>
          <w:tcPr>
            <w:tcW w:w="1440" w:type="dxa"/>
            <w:tcBorders>
              <w:top w:val="nil"/>
              <w:left w:val="nil"/>
              <w:bottom w:val="single" w:sz="4" w:space="0" w:color="auto"/>
              <w:right w:val="single" w:sz="4" w:space="0" w:color="auto"/>
            </w:tcBorders>
            <w:shd w:val="clear" w:color="auto" w:fill="auto"/>
            <w:hideMark/>
          </w:tcPr>
          <w:p w14:paraId="4EA2F1A8" w14:textId="77777777" w:rsidR="001028EC" w:rsidRPr="005730EC" w:rsidRDefault="001028EC" w:rsidP="00701AB3">
            <w:pPr>
              <w:rPr>
                <w:rFonts w:cs="Arial"/>
                <w:color w:val="000000"/>
                <w:sz w:val="20"/>
              </w:rPr>
            </w:pPr>
            <w:r w:rsidRPr="005730EC">
              <w:rPr>
                <w:rFonts w:cs="Arial"/>
                <w:color w:val="000000"/>
                <w:sz w:val="20"/>
              </w:rPr>
              <w:t>System Readiness &amp; Integration</w:t>
            </w:r>
          </w:p>
        </w:tc>
        <w:tc>
          <w:tcPr>
            <w:tcW w:w="2142" w:type="dxa"/>
            <w:tcBorders>
              <w:top w:val="nil"/>
              <w:left w:val="nil"/>
              <w:bottom w:val="single" w:sz="4" w:space="0" w:color="auto"/>
              <w:right w:val="single" w:sz="4" w:space="0" w:color="auto"/>
            </w:tcBorders>
            <w:shd w:val="clear" w:color="auto" w:fill="auto"/>
            <w:hideMark/>
          </w:tcPr>
          <w:p w14:paraId="5C1D9332" w14:textId="77777777" w:rsidR="001028EC" w:rsidRPr="005730EC" w:rsidRDefault="001028EC" w:rsidP="00701AB3">
            <w:pPr>
              <w:rPr>
                <w:rFonts w:cs="Arial"/>
                <w:color w:val="000000"/>
                <w:sz w:val="20"/>
              </w:rPr>
            </w:pPr>
            <w:r w:rsidRPr="005730EC">
              <w:rPr>
                <w:rFonts w:cs="Arial"/>
                <w:color w:val="000000"/>
                <w:sz w:val="20"/>
              </w:rPr>
              <w:t xml:space="preserve">Functional Testing </w:t>
            </w:r>
          </w:p>
        </w:tc>
        <w:tc>
          <w:tcPr>
            <w:tcW w:w="2538" w:type="dxa"/>
            <w:tcBorders>
              <w:top w:val="nil"/>
              <w:left w:val="nil"/>
              <w:bottom w:val="single" w:sz="4" w:space="0" w:color="auto"/>
              <w:right w:val="single" w:sz="4" w:space="0" w:color="auto"/>
            </w:tcBorders>
            <w:shd w:val="clear" w:color="auto" w:fill="auto"/>
            <w:hideMark/>
          </w:tcPr>
          <w:p w14:paraId="75A4C4D8" w14:textId="77777777" w:rsidR="001028EC" w:rsidRPr="005730EC" w:rsidRDefault="001028EC" w:rsidP="00701AB3">
            <w:pPr>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EIM Entity and the CAISO will test the functional and system elements in accordance with  functional and system testing documentation posted on the CAISO website</w:t>
            </w:r>
          </w:p>
        </w:tc>
        <w:tc>
          <w:tcPr>
            <w:tcW w:w="2862" w:type="dxa"/>
            <w:tcBorders>
              <w:top w:val="nil"/>
              <w:left w:val="nil"/>
              <w:bottom w:val="single" w:sz="4" w:space="0" w:color="auto"/>
              <w:right w:val="single" w:sz="4" w:space="0" w:color="auto"/>
            </w:tcBorders>
            <w:shd w:val="clear" w:color="auto" w:fill="auto"/>
            <w:hideMark/>
          </w:tcPr>
          <w:p w14:paraId="4D2090F2" w14:textId="77777777" w:rsidR="001028EC" w:rsidRPr="005730EC" w:rsidRDefault="001028EC" w:rsidP="00701AB3">
            <w:pPr>
              <w:rPr>
                <w:rFonts w:cs="Arial"/>
                <w:color w:val="000000"/>
                <w:sz w:val="20"/>
              </w:rPr>
            </w:pPr>
            <w:r w:rsidRPr="005730EC">
              <w:rPr>
                <w:rFonts w:cs="Arial"/>
                <w:color w:val="000000"/>
                <w:sz w:val="20"/>
              </w:rPr>
              <w:t xml:space="preserve">All tasks identified in the functional and system testing documentation are completed and will not have any issues deemed significant. </w:t>
            </w:r>
          </w:p>
          <w:p w14:paraId="75658521" w14:textId="77777777" w:rsidR="001028EC" w:rsidRPr="005730EC" w:rsidRDefault="001028EC" w:rsidP="00701AB3">
            <w:pPr>
              <w:rPr>
                <w:rFonts w:cs="Arial"/>
                <w:color w:val="000000"/>
                <w:sz w:val="20"/>
              </w:rPr>
            </w:pPr>
          </w:p>
          <w:p w14:paraId="52B12E6F" w14:textId="77777777" w:rsidR="001028EC" w:rsidRPr="005730EC" w:rsidRDefault="001028EC" w:rsidP="00701AB3">
            <w:pPr>
              <w:rPr>
                <w:rFonts w:cs="Arial"/>
                <w:color w:val="000000"/>
                <w:sz w:val="20"/>
              </w:rPr>
            </w:pPr>
            <w:r w:rsidRPr="005730EC">
              <w:rPr>
                <w:rFonts w:cs="Arial"/>
                <w:color w:val="000000"/>
                <w:sz w:val="20"/>
              </w:rPr>
              <w:t xml:space="preserve">Any exceptions will be explained </w:t>
            </w:r>
            <w:r w:rsidRPr="003F37C8">
              <w:rPr>
                <w:rFonts w:cs="Arial"/>
                <w:color w:val="000000"/>
                <w:sz w:val="20"/>
              </w:rPr>
              <w:t>or have a</w:t>
            </w:r>
            <w:r>
              <w:rPr>
                <w:rFonts w:cs="Arial"/>
                <w:color w:val="000000"/>
                <w:sz w:val="20"/>
              </w:rPr>
              <w:t>n</w:t>
            </w:r>
            <w:r w:rsidRPr="003F37C8">
              <w:rPr>
                <w:rFonts w:cs="Arial"/>
                <w:color w:val="000000"/>
                <w:sz w:val="20"/>
              </w:rPr>
              <w:t xml:space="preserve"> </w:t>
            </w:r>
            <w:r w:rsidRPr="003F37C8">
              <w:rPr>
                <w:rFonts w:cs="Arial"/>
                <w:sz w:val="20"/>
              </w:rPr>
              <w:t xml:space="preserve">interim solution </w:t>
            </w:r>
            <w:r>
              <w:rPr>
                <w:rFonts w:cs="Arial"/>
                <w:sz w:val="20"/>
              </w:rPr>
              <w:t>that is</w:t>
            </w:r>
            <w:r w:rsidRPr="003F37C8">
              <w:rPr>
                <w:rFonts w:cs="Arial"/>
                <w:sz w:val="20"/>
              </w:rPr>
              <w:t xml:space="preserve"> functionally equivalent. </w:t>
            </w:r>
          </w:p>
        </w:tc>
      </w:tr>
      <w:tr w:rsidR="001028EC" w:rsidRPr="005730EC" w14:paraId="697F0107"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hideMark/>
          </w:tcPr>
          <w:p w14:paraId="6601A75F" w14:textId="77777777" w:rsidR="001028EC" w:rsidRPr="005730EC" w:rsidRDefault="001028EC" w:rsidP="00701AB3">
            <w:pPr>
              <w:jc w:val="center"/>
              <w:rPr>
                <w:rFonts w:cs="Arial"/>
                <w:color w:val="000000"/>
                <w:sz w:val="20"/>
              </w:rPr>
            </w:pPr>
            <w:r w:rsidRPr="005730EC">
              <w:rPr>
                <w:rFonts w:cs="Arial"/>
                <w:color w:val="000000"/>
                <w:sz w:val="20"/>
              </w:rPr>
              <w:t>16</w:t>
            </w:r>
          </w:p>
        </w:tc>
        <w:tc>
          <w:tcPr>
            <w:tcW w:w="1440" w:type="dxa"/>
            <w:tcBorders>
              <w:top w:val="nil"/>
              <w:left w:val="nil"/>
              <w:bottom w:val="single" w:sz="4" w:space="0" w:color="auto"/>
              <w:right w:val="single" w:sz="4" w:space="0" w:color="auto"/>
            </w:tcBorders>
            <w:shd w:val="clear" w:color="auto" w:fill="auto"/>
            <w:hideMark/>
          </w:tcPr>
          <w:p w14:paraId="687EDF52" w14:textId="77777777" w:rsidR="001028EC" w:rsidRPr="005730EC" w:rsidRDefault="001028EC" w:rsidP="00701AB3">
            <w:pPr>
              <w:rPr>
                <w:rFonts w:cs="Arial"/>
                <w:color w:val="000000"/>
                <w:sz w:val="20"/>
              </w:rPr>
            </w:pPr>
            <w:r w:rsidRPr="005730EC">
              <w:rPr>
                <w:rFonts w:cs="Arial"/>
                <w:color w:val="000000"/>
                <w:sz w:val="20"/>
              </w:rPr>
              <w:t>System Readiness &amp; Integration</w:t>
            </w:r>
          </w:p>
        </w:tc>
        <w:tc>
          <w:tcPr>
            <w:tcW w:w="2142" w:type="dxa"/>
            <w:tcBorders>
              <w:top w:val="nil"/>
              <w:left w:val="nil"/>
              <w:bottom w:val="single" w:sz="4" w:space="0" w:color="auto"/>
              <w:right w:val="single" w:sz="4" w:space="0" w:color="auto"/>
            </w:tcBorders>
            <w:shd w:val="clear" w:color="auto" w:fill="auto"/>
            <w:hideMark/>
          </w:tcPr>
          <w:p w14:paraId="664A37A3" w14:textId="77777777" w:rsidR="001028EC" w:rsidRPr="005730EC" w:rsidRDefault="001028EC" w:rsidP="00701AB3">
            <w:pPr>
              <w:rPr>
                <w:rFonts w:cs="Arial"/>
                <w:color w:val="000000"/>
                <w:sz w:val="20"/>
              </w:rPr>
            </w:pPr>
            <w:r w:rsidRPr="005730EC">
              <w:rPr>
                <w:rFonts w:cs="Arial"/>
                <w:color w:val="000000"/>
                <w:sz w:val="20"/>
              </w:rPr>
              <w:t xml:space="preserve">System Integration </w:t>
            </w:r>
          </w:p>
        </w:tc>
        <w:tc>
          <w:tcPr>
            <w:tcW w:w="2538" w:type="dxa"/>
            <w:tcBorders>
              <w:top w:val="nil"/>
              <w:left w:val="nil"/>
              <w:bottom w:val="single" w:sz="4" w:space="0" w:color="auto"/>
              <w:right w:val="single" w:sz="4" w:space="0" w:color="auto"/>
            </w:tcBorders>
            <w:shd w:val="clear" w:color="auto" w:fill="auto"/>
            <w:hideMark/>
          </w:tcPr>
          <w:p w14:paraId="484542CE" w14:textId="77777777" w:rsidR="001028EC" w:rsidRPr="005730EC" w:rsidRDefault="001028EC" w:rsidP="00701AB3">
            <w:pPr>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EIM Entity and CAISO will test system integration testing in accordance with the system integration testing documentation posted on the CAISO website</w:t>
            </w:r>
          </w:p>
        </w:tc>
        <w:tc>
          <w:tcPr>
            <w:tcW w:w="2862" w:type="dxa"/>
            <w:tcBorders>
              <w:top w:val="nil"/>
              <w:left w:val="nil"/>
              <w:bottom w:val="single" w:sz="4" w:space="0" w:color="auto"/>
              <w:right w:val="single" w:sz="4" w:space="0" w:color="auto"/>
            </w:tcBorders>
            <w:shd w:val="clear" w:color="auto" w:fill="auto"/>
            <w:hideMark/>
          </w:tcPr>
          <w:p w14:paraId="2420A377" w14:textId="77777777" w:rsidR="001028EC" w:rsidRPr="005730EC" w:rsidRDefault="001028EC" w:rsidP="00701AB3">
            <w:pPr>
              <w:rPr>
                <w:rFonts w:cs="Arial"/>
                <w:color w:val="000000"/>
                <w:sz w:val="20"/>
              </w:rPr>
            </w:pPr>
            <w:r w:rsidRPr="005730EC">
              <w:rPr>
                <w:rFonts w:cs="Arial"/>
                <w:color w:val="000000"/>
                <w:sz w:val="20"/>
              </w:rPr>
              <w:t xml:space="preserve">All tasks identified in the system integration testing documentation are completed and will not have any issues deemed significant. </w:t>
            </w:r>
          </w:p>
          <w:p w14:paraId="132BE2C7" w14:textId="77777777" w:rsidR="001028EC" w:rsidRPr="005730EC" w:rsidRDefault="001028EC" w:rsidP="00701AB3">
            <w:pPr>
              <w:rPr>
                <w:rFonts w:cs="Arial"/>
                <w:color w:val="000000"/>
                <w:sz w:val="20"/>
              </w:rPr>
            </w:pPr>
          </w:p>
          <w:p w14:paraId="15A797E7" w14:textId="77777777" w:rsidR="001028EC" w:rsidRPr="003F37C8" w:rsidRDefault="001028EC" w:rsidP="00701AB3">
            <w:pPr>
              <w:rPr>
                <w:rFonts w:cs="Arial"/>
                <w:sz w:val="20"/>
              </w:rPr>
            </w:pPr>
            <w:r w:rsidRPr="005730EC">
              <w:rPr>
                <w:rFonts w:cs="Arial"/>
                <w:color w:val="000000"/>
                <w:sz w:val="20"/>
              </w:rPr>
              <w:t xml:space="preserve">Any exceptions will be explained </w:t>
            </w:r>
            <w:r w:rsidRPr="003F37C8">
              <w:rPr>
                <w:rFonts w:cs="Arial"/>
                <w:color w:val="000000"/>
                <w:sz w:val="20"/>
              </w:rPr>
              <w:t>or have a</w:t>
            </w:r>
            <w:r>
              <w:rPr>
                <w:rFonts w:cs="Arial"/>
                <w:color w:val="000000"/>
                <w:sz w:val="20"/>
              </w:rPr>
              <w:t>n</w:t>
            </w:r>
            <w:r w:rsidRPr="003F37C8">
              <w:rPr>
                <w:rFonts w:cs="Arial"/>
                <w:color w:val="000000"/>
                <w:sz w:val="20"/>
              </w:rPr>
              <w:t xml:space="preserve"> </w:t>
            </w:r>
            <w:r w:rsidRPr="003F37C8">
              <w:rPr>
                <w:rFonts w:cs="Arial"/>
                <w:sz w:val="20"/>
              </w:rPr>
              <w:t xml:space="preserve">interim solution </w:t>
            </w:r>
            <w:r>
              <w:rPr>
                <w:rFonts w:cs="Arial"/>
                <w:sz w:val="20"/>
              </w:rPr>
              <w:t>that is</w:t>
            </w:r>
            <w:r w:rsidRPr="003F37C8">
              <w:rPr>
                <w:rFonts w:cs="Arial"/>
                <w:sz w:val="20"/>
              </w:rPr>
              <w:t xml:space="preserve"> functionally equivalent. </w:t>
            </w:r>
          </w:p>
          <w:p w14:paraId="597B47D1" w14:textId="77777777" w:rsidR="001028EC" w:rsidRPr="005730EC" w:rsidRDefault="001028EC" w:rsidP="00701AB3">
            <w:pPr>
              <w:rPr>
                <w:rFonts w:cs="Arial"/>
                <w:color w:val="000000"/>
                <w:sz w:val="20"/>
              </w:rPr>
            </w:pPr>
          </w:p>
        </w:tc>
      </w:tr>
      <w:tr w:rsidR="001028EC" w:rsidRPr="005730EC" w14:paraId="653AC558"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hideMark/>
          </w:tcPr>
          <w:p w14:paraId="48575D28" w14:textId="77777777" w:rsidR="001028EC" w:rsidRPr="005730EC" w:rsidRDefault="001028EC" w:rsidP="00701AB3">
            <w:pPr>
              <w:jc w:val="center"/>
              <w:rPr>
                <w:rFonts w:cs="Arial"/>
                <w:color w:val="000000"/>
                <w:sz w:val="20"/>
              </w:rPr>
            </w:pPr>
            <w:r w:rsidRPr="005730EC">
              <w:rPr>
                <w:rFonts w:cs="Arial"/>
                <w:color w:val="000000"/>
                <w:sz w:val="20"/>
              </w:rPr>
              <w:t>17</w:t>
            </w:r>
          </w:p>
        </w:tc>
        <w:tc>
          <w:tcPr>
            <w:tcW w:w="1440" w:type="dxa"/>
            <w:tcBorders>
              <w:top w:val="nil"/>
              <w:left w:val="nil"/>
              <w:bottom w:val="single" w:sz="4" w:space="0" w:color="auto"/>
              <w:right w:val="single" w:sz="4" w:space="0" w:color="auto"/>
            </w:tcBorders>
            <w:shd w:val="clear" w:color="auto" w:fill="auto"/>
            <w:hideMark/>
          </w:tcPr>
          <w:p w14:paraId="5A9DABC9" w14:textId="77777777" w:rsidR="001028EC" w:rsidRPr="005730EC" w:rsidRDefault="001028EC" w:rsidP="00701AB3">
            <w:pPr>
              <w:rPr>
                <w:rFonts w:cs="Arial"/>
                <w:color w:val="000000"/>
                <w:sz w:val="20"/>
              </w:rPr>
            </w:pPr>
            <w:r w:rsidRPr="005730EC">
              <w:rPr>
                <w:rFonts w:cs="Arial"/>
                <w:color w:val="000000"/>
                <w:sz w:val="20"/>
              </w:rPr>
              <w:t>System Readiness &amp; Integration</w:t>
            </w:r>
          </w:p>
        </w:tc>
        <w:tc>
          <w:tcPr>
            <w:tcW w:w="2142" w:type="dxa"/>
            <w:tcBorders>
              <w:top w:val="nil"/>
              <w:left w:val="nil"/>
              <w:bottom w:val="single" w:sz="4" w:space="0" w:color="auto"/>
              <w:right w:val="single" w:sz="4" w:space="0" w:color="auto"/>
            </w:tcBorders>
            <w:shd w:val="clear" w:color="auto" w:fill="auto"/>
            <w:hideMark/>
          </w:tcPr>
          <w:p w14:paraId="6DD41934" w14:textId="77777777" w:rsidR="001028EC" w:rsidRPr="005730EC" w:rsidRDefault="001028EC" w:rsidP="00701AB3">
            <w:pPr>
              <w:rPr>
                <w:rFonts w:cs="Arial"/>
                <w:color w:val="000000"/>
                <w:sz w:val="20"/>
              </w:rPr>
            </w:pPr>
            <w:r>
              <w:rPr>
                <w:rFonts w:cs="Arial"/>
                <w:sz w:val="20"/>
              </w:rPr>
              <w:t>The pr</w:t>
            </w:r>
            <w:r w:rsidRPr="00200458">
              <w:rPr>
                <w:rFonts w:cs="Arial"/>
                <w:sz w:val="20"/>
              </w:rPr>
              <w:t xml:space="preserve">ospective </w:t>
            </w:r>
            <w:r w:rsidRPr="005730EC">
              <w:rPr>
                <w:rFonts w:cs="Arial"/>
                <w:color w:val="000000"/>
                <w:sz w:val="20"/>
              </w:rPr>
              <w:t>EIM Entity system access complete</w:t>
            </w:r>
          </w:p>
        </w:tc>
        <w:tc>
          <w:tcPr>
            <w:tcW w:w="2538" w:type="dxa"/>
            <w:tcBorders>
              <w:top w:val="nil"/>
              <w:left w:val="nil"/>
              <w:bottom w:val="single" w:sz="4" w:space="0" w:color="auto"/>
              <w:right w:val="single" w:sz="4" w:space="0" w:color="auto"/>
            </w:tcBorders>
            <w:shd w:val="clear" w:color="auto" w:fill="auto"/>
            <w:hideMark/>
          </w:tcPr>
          <w:p w14:paraId="7CD7E243" w14:textId="77777777" w:rsidR="001028EC" w:rsidRPr="005730EC" w:rsidRDefault="001028EC" w:rsidP="00701AB3">
            <w:pPr>
              <w:rPr>
                <w:rFonts w:cs="Arial"/>
                <w:color w:val="000000"/>
                <w:sz w:val="20"/>
              </w:rPr>
            </w:pPr>
            <w:r w:rsidRPr="005730EC">
              <w:rPr>
                <w:rFonts w:cs="Arial"/>
                <w:color w:val="000000"/>
                <w:sz w:val="20"/>
              </w:rPr>
              <w:t xml:space="preserve">All </w:t>
            </w:r>
            <w:r w:rsidRPr="00200458">
              <w:rPr>
                <w:rFonts w:cs="Arial"/>
                <w:sz w:val="20"/>
              </w:rPr>
              <w:t xml:space="preserve">prospective </w:t>
            </w:r>
            <w:r w:rsidRPr="005730EC">
              <w:rPr>
                <w:rFonts w:cs="Arial"/>
                <w:color w:val="000000"/>
                <w:sz w:val="20"/>
              </w:rPr>
              <w:t>EIM Entity employees who require system access to perform EIM-related job functions identified and have necessary certificates.</w:t>
            </w:r>
          </w:p>
        </w:tc>
        <w:tc>
          <w:tcPr>
            <w:tcW w:w="2862" w:type="dxa"/>
            <w:tcBorders>
              <w:top w:val="nil"/>
              <w:left w:val="nil"/>
              <w:bottom w:val="single" w:sz="4" w:space="0" w:color="auto"/>
              <w:right w:val="single" w:sz="4" w:space="0" w:color="auto"/>
            </w:tcBorders>
            <w:shd w:val="clear" w:color="auto" w:fill="auto"/>
            <w:hideMark/>
          </w:tcPr>
          <w:p w14:paraId="011026A5" w14:textId="77777777" w:rsidR="001028EC" w:rsidRPr="005730EC" w:rsidRDefault="001028EC" w:rsidP="00701AB3">
            <w:pPr>
              <w:rPr>
                <w:rFonts w:cs="Arial"/>
                <w:color w:val="000000"/>
                <w:sz w:val="20"/>
              </w:rPr>
            </w:pPr>
            <w:r w:rsidRPr="005730EC">
              <w:rPr>
                <w:rFonts w:cs="Arial"/>
                <w:color w:val="000000"/>
                <w:sz w:val="20"/>
              </w:rPr>
              <w:t xml:space="preserve">All </w:t>
            </w:r>
            <w:r w:rsidRPr="00200458">
              <w:rPr>
                <w:rFonts w:cs="Arial"/>
                <w:sz w:val="20"/>
              </w:rPr>
              <w:t xml:space="preserve">prospective </w:t>
            </w:r>
            <w:r w:rsidRPr="005730EC">
              <w:rPr>
                <w:rFonts w:cs="Arial"/>
                <w:color w:val="000000"/>
                <w:sz w:val="20"/>
              </w:rPr>
              <w:t>EIM Employees performing job functions for EIM market are identified.</w:t>
            </w:r>
            <w:r w:rsidRPr="005730EC">
              <w:rPr>
                <w:rFonts w:cs="Arial"/>
                <w:color w:val="000000"/>
                <w:sz w:val="20"/>
              </w:rPr>
              <w:br/>
            </w:r>
          </w:p>
          <w:p w14:paraId="63A7369F" w14:textId="77777777" w:rsidR="001028EC" w:rsidRPr="005730EC" w:rsidRDefault="001028EC" w:rsidP="00701AB3">
            <w:pPr>
              <w:rPr>
                <w:rFonts w:cs="Arial"/>
                <w:color w:val="000000"/>
                <w:sz w:val="20"/>
              </w:rPr>
            </w:pPr>
            <w:r w:rsidRPr="005730EC">
              <w:rPr>
                <w:rFonts w:cs="Arial"/>
                <w:color w:val="000000"/>
                <w:sz w:val="20"/>
              </w:rPr>
              <w:t xml:space="preserve">All CASIO issued certificates are requested within the appropriate timeframes. </w:t>
            </w:r>
          </w:p>
          <w:p w14:paraId="20E751D3" w14:textId="77777777" w:rsidR="001028EC" w:rsidRPr="005730EC" w:rsidRDefault="001028EC" w:rsidP="00701AB3">
            <w:pPr>
              <w:rPr>
                <w:rFonts w:cs="Arial"/>
                <w:color w:val="000000"/>
                <w:sz w:val="20"/>
              </w:rPr>
            </w:pPr>
            <w:r w:rsidRPr="005730EC">
              <w:rPr>
                <w:rFonts w:cs="Arial"/>
                <w:color w:val="000000"/>
                <w:sz w:val="20"/>
              </w:rPr>
              <w:br/>
              <w:t>All identified employees provided the necessary EIM system access certificates.</w:t>
            </w:r>
          </w:p>
        </w:tc>
      </w:tr>
      <w:tr w:rsidR="001028EC" w:rsidRPr="005730EC" w14:paraId="78521ABA" w14:textId="77777777" w:rsidTr="009E26DA">
        <w:trPr>
          <w:trHeight w:val="1275"/>
        </w:trPr>
        <w:tc>
          <w:tcPr>
            <w:tcW w:w="1260" w:type="dxa"/>
            <w:tcBorders>
              <w:top w:val="nil"/>
              <w:left w:val="single" w:sz="4" w:space="0" w:color="auto"/>
              <w:bottom w:val="single" w:sz="4" w:space="0" w:color="auto"/>
              <w:right w:val="single" w:sz="4" w:space="0" w:color="auto"/>
            </w:tcBorders>
            <w:shd w:val="clear" w:color="000000" w:fill="FFFFFF"/>
            <w:noWrap/>
            <w:hideMark/>
          </w:tcPr>
          <w:p w14:paraId="1AB1BBEE" w14:textId="77777777" w:rsidR="001028EC" w:rsidRPr="005730EC" w:rsidRDefault="001028EC" w:rsidP="00701AB3">
            <w:pPr>
              <w:jc w:val="center"/>
              <w:rPr>
                <w:rFonts w:cs="Arial"/>
                <w:color w:val="000000"/>
                <w:sz w:val="20"/>
              </w:rPr>
            </w:pPr>
            <w:r w:rsidRPr="005730EC">
              <w:rPr>
                <w:rFonts w:cs="Arial"/>
                <w:color w:val="000000"/>
                <w:sz w:val="20"/>
              </w:rPr>
              <w:t>18</w:t>
            </w:r>
          </w:p>
        </w:tc>
        <w:tc>
          <w:tcPr>
            <w:tcW w:w="1440" w:type="dxa"/>
            <w:tcBorders>
              <w:top w:val="nil"/>
              <w:left w:val="nil"/>
              <w:bottom w:val="single" w:sz="4" w:space="0" w:color="auto"/>
              <w:right w:val="single" w:sz="4" w:space="0" w:color="auto"/>
            </w:tcBorders>
            <w:shd w:val="clear" w:color="auto" w:fill="auto"/>
            <w:hideMark/>
          </w:tcPr>
          <w:p w14:paraId="2F834FB6" w14:textId="77777777" w:rsidR="001028EC" w:rsidRPr="005730EC" w:rsidRDefault="001028EC" w:rsidP="00701AB3">
            <w:pPr>
              <w:rPr>
                <w:rFonts w:cs="Arial"/>
                <w:color w:val="000000"/>
                <w:sz w:val="20"/>
              </w:rPr>
            </w:pPr>
            <w:r w:rsidRPr="005730EC">
              <w:rPr>
                <w:rFonts w:cs="Arial"/>
                <w:color w:val="000000"/>
                <w:sz w:val="20"/>
              </w:rPr>
              <w:t>System Readiness &amp; Integration</w:t>
            </w:r>
          </w:p>
        </w:tc>
        <w:tc>
          <w:tcPr>
            <w:tcW w:w="2142" w:type="dxa"/>
            <w:tcBorders>
              <w:top w:val="nil"/>
              <w:left w:val="nil"/>
              <w:bottom w:val="single" w:sz="4" w:space="0" w:color="auto"/>
              <w:right w:val="single" w:sz="4" w:space="0" w:color="auto"/>
            </w:tcBorders>
            <w:shd w:val="clear" w:color="auto" w:fill="auto"/>
            <w:noWrap/>
            <w:hideMark/>
          </w:tcPr>
          <w:p w14:paraId="5B95C013" w14:textId="77777777" w:rsidR="001028EC" w:rsidRPr="005730EC" w:rsidRDefault="001028EC" w:rsidP="00701AB3">
            <w:pPr>
              <w:rPr>
                <w:rFonts w:cs="Arial"/>
                <w:color w:val="000000"/>
                <w:sz w:val="20"/>
              </w:rPr>
            </w:pPr>
            <w:r w:rsidRPr="005730EC">
              <w:rPr>
                <w:rFonts w:cs="Arial"/>
                <w:color w:val="000000"/>
                <w:sz w:val="20"/>
              </w:rPr>
              <w:t xml:space="preserve">ISO - </w:t>
            </w:r>
            <w:r w:rsidRPr="00200458">
              <w:rPr>
                <w:rFonts w:cs="Arial"/>
                <w:sz w:val="20"/>
              </w:rPr>
              <w:t xml:space="preserve">prospective </w:t>
            </w:r>
            <w:r w:rsidRPr="005730EC">
              <w:rPr>
                <w:rFonts w:cs="Arial"/>
                <w:color w:val="000000"/>
                <w:sz w:val="20"/>
              </w:rPr>
              <w:t xml:space="preserve">EIM Entity interfaces </w:t>
            </w:r>
          </w:p>
        </w:tc>
        <w:tc>
          <w:tcPr>
            <w:tcW w:w="2538" w:type="dxa"/>
            <w:tcBorders>
              <w:top w:val="nil"/>
              <w:left w:val="nil"/>
              <w:bottom w:val="single" w:sz="4" w:space="0" w:color="auto"/>
              <w:right w:val="single" w:sz="4" w:space="0" w:color="auto"/>
            </w:tcBorders>
            <w:shd w:val="clear" w:color="auto" w:fill="auto"/>
            <w:hideMark/>
          </w:tcPr>
          <w:p w14:paraId="1AF67345" w14:textId="77777777" w:rsidR="001028EC" w:rsidRPr="005730EC" w:rsidRDefault="001028EC" w:rsidP="00701AB3">
            <w:pPr>
              <w:rPr>
                <w:rFonts w:cs="Arial"/>
                <w:color w:val="000000"/>
                <w:sz w:val="20"/>
              </w:rPr>
            </w:pPr>
            <w:r w:rsidRPr="005730EC">
              <w:rPr>
                <w:rFonts w:cs="Arial"/>
                <w:color w:val="000000"/>
                <w:sz w:val="20"/>
              </w:rPr>
              <w:t xml:space="preserve">Data interfaces between </w:t>
            </w:r>
            <w:r>
              <w:rPr>
                <w:rFonts w:cs="Arial"/>
                <w:color w:val="000000"/>
                <w:sz w:val="20"/>
              </w:rPr>
              <w:t xml:space="preserve">prospective </w:t>
            </w:r>
            <w:r w:rsidRPr="005730EC">
              <w:rPr>
                <w:rFonts w:cs="Arial"/>
                <w:color w:val="000000"/>
                <w:sz w:val="20"/>
              </w:rPr>
              <w:t>EIM Entity</w:t>
            </w:r>
            <w:r>
              <w:rPr>
                <w:rFonts w:cs="Arial"/>
                <w:color w:val="000000"/>
                <w:sz w:val="20"/>
              </w:rPr>
              <w:t xml:space="preserve">’s </w:t>
            </w:r>
            <w:r w:rsidRPr="005730EC">
              <w:rPr>
                <w:rFonts w:cs="Arial"/>
                <w:color w:val="000000"/>
                <w:sz w:val="20"/>
              </w:rPr>
              <w:t xml:space="preserve">systems and CAISO systems </w:t>
            </w:r>
            <w:r>
              <w:rPr>
                <w:rFonts w:cs="Arial"/>
                <w:color w:val="000000"/>
                <w:sz w:val="20"/>
              </w:rPr>
              <w:t xml:space="preserve">are </w:t>
            </w:r>
            <w:r w:rsidRPr="005730EC">
              <w:rPr>
                <w:rFonts w:cs="Arial"/>
                <w:color w:val="000000"/>
                <w:sz w:val="20"/>
              </w:rPr>
              <w:t>tested</w:t>
            </w:r>
          </w:p>
        </w:tc>
        <w:tc>
          <w:tcPr>
            <w:tcW w:w="2862" w:type="dxa"/>
            <w:tcBorders>
              <w:top w:val="nil"/>
              <w:left w:val="nil"/>
              <w:bottom w:val="single" w:sz="4" w:space="0" w:color="auto"/>
              <w:right w:val="single" w:sz="4" w:space="0" w:color="auto"/>
            </w:tcBorders>
            <w:shd w:val="clear" w:color="auto" w:fill="auto"/>
            <w:hideMark/>
          </w:tcPr>
          <w:p w14:paraId="7BB0D3C9" w14:textId="77777777" w:rsidR="001028EC" w:rsidRPr="005730EC" w:rsidRDefault="001028EC" w:rsidP="00701AB3">
            <w:pPr>
              <w:rPr>
                <w:rFonts w:cs="Arial"/>
                <w:color w:val="000000"/>
                <w:sz w:val="20"/>
              </w:rPr>
            </w:pPr>
            <w:r w:rsidRPr="005730EC">
              <w:rPr>
                <w:rFonts w:cs="Arial"/>
                <w:color w:val="000000"/>
                <w:sz w:val="20"/>
              </w:rPr>
              <w:t xml:space="preserve">ISO and </w:t>
            </w:r>
            <w:r w:rsidRPr="00200458">
              <w:rPr>
                <w:rFonts w:cs="Arial"/>
                <w:sz w:val="20"/>
              </w:rPr>
              <w:t xml:space="preserve">prospective </w:t>
            </w:r>
            <w:r w:rsidRPr="005730EC">
              <w:rPr>
                <w:rFonts w:cs="Arial"/>
                <w:color w:val="000000"/>
                <w:sz w:val="20"/>
              </w:rPr>
              <w:t>EIM Entity identify significant data interface issues.</w:t>
            </w:r>
            <w:r w:rsidRPr="005730EC">
              <w:rPr>
                <w:rFonts w:cs="Arial"/>
                <w:color w:val="000000"/>
                <w:sz w:val="20"/>
              </w:rPr>
              <w:br/>
            </w:r>
          </w:p>
          <w:p w14:paraId="49B9CF4A" w14:textId="77777777" w:rsidR="001028EC" w:rsidRPr="005730EC" w:rsidRDefault="001028EC" w:rsidP="00701AB3">
            <w:pPr>
              <w:rPr>
                <w:rFonts w:cs="Arial"/>
                <w:color w:val="000000"/>
                <w:sz w:val="20"/>
              </w:rPr>
            </w:pPr>
            <w:r w:rsidRPr="005730EC">
              <w:rPr>
                <w:rFonts w:cs="Arial"/>
                <w:color w:val="000000"/>
                <w:sz w:val="20"/>
              </w:rPr>
              <w:t xml:space="preserve">EIM Entity and CAISO executives to approve exceptions. </w:t>
            </w:r>
          </w:p>
        </w:tc>
      </w:tr>
      <w:tr w:rsidR="001028EC" w:rsidRPr="005730EC" w14:paraId="17DB4EF2" w14:textId="77777777" w:rsidTr="009E26DA">
        <w:trPr>
          <w:trHeight w:val="1020"/>
        </w:trPr>
        <w:tc>
          <w:tcPr>
            <w:tcW w:w="1260" w:type="dxa"/>
            <w:tcBorders>
              <w:top w:val="nil"/>
              <w:left w:val="single" w:sz="4" w:space="0" w:color="auto"/>
              <w:bottom w:val="single" w:sz="4" w:space="0" w:color="auto"/>
              <w:right w:val="single" w:sz="4" w:space="0" w:color="auto"/>
            </w:tcBorders>
            <w:shd w:val="clear" w:color="000000" w:fill="FFFFFF"/>
            <w:noWrap/>
            <w:hideMark/>
          </w:tcPr>
          <w:p w14:paraId="00D85167" w14:textId="77777777" w:rsidR="001028EC" w:rsidRPr="005730EC" w:rsidRDefault="001028EC" w:rsidP="00701AB3">
            <w:pPr>
              <w:jc w:val="center"/>
              <w:rPr>
                <w:rFonts w:cs="Arial"/>
                <w:color w:val="000000"/>
                <w:sz w:val="20"/>
              </w:rPr>
            </w:pPr>
            <w:r w:rsidRPr="005730EC">
              <w:rPr>
                <w:rFonts w:cs="Arial"/>
                <w:color w:val="000000"/>
                <w:sz w:val="20"/>
              </w:rPr>
              <w:t>19</w:t>
            </w:r>
          </w:p>
        </w:tc>
        <w:tc>
          <w:tcPr>
            <w:tcW w:w="1440" w:type="dxa"/>
            <w:tcBorders>
              <w:top w:val="nil"/>
              <w:left w:val="nil"/>
              <w:bottom w:val="single" w:sz="4" w:space="0" w:color="auto"/>
              <w:right w:val="single" w:sz="4" w:space="0" w:color="auto"/>
            </w:tcBorders>
            <w:shd w:val="clear" w:color="auto" w:fill="auto"/>
            <w:hideMark/>
          </w:tcPr>
          <w:p w14:paraId="05B78B67" w14:textId="77777777" w:rsidR="001028EC" w:rsidRPr="005730EC" w:rsidRDefault="001028EC" w:rsidP="00701AB3">
            <w:pPr>
              <w:rPr>
                <w:rFonts w:cs="Arial"/>
                <w:color w:val="000000"/>
                <w:sz w:val="20"/>
              </w:rPr>
            </w:pPr>
            <w:r w:rsidRPr="005730EC">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hideMark/>
          </w:tcPr>
          <w:p w14:paraId="6D6B9D9F" w14:textId="77777777" w:rsidR="001028EC" w:rsidRPr="005730EC" w:rsidRDefault="001028EC" w:rsidP="00701AB3">
            <w:pPr>
              <w:rPr>
                <w:rFonts w:cs="Arial"/>
                <w:color w:val="000000"/>
                <w:sz w:val="20"/>
              </w:rPr>
            </w:pPr>
            <w:r w:rsidRPr="005730EC">
              <w:rPr>
                <w:rFonts w:cs="Arial"/>
                <w:color w:val="000000"/>
                <w:sz w:val="20"/>
              </w:rPr>
              <w:t xml:space="preserve">Day in the life simulation </w:t>
            </w:r>
          </w:p>
        </w:tc>
        <w:tc>
          <w:tcPr>
            <w:tcW w:w="2538" w:type="dxa"/>
            <w:tcBorders>
              <w:top w:val="nil"/>
              <w:left w:val="nil"/>
              <w:bottom w:val="single" w:sz="4" w:space="0" w:color="auto"/>
              <w:right w:val="single" w:sz="4" w:space="0" w:color="auto"/>
            </w:tcBorders>
            <w:shd w:val="clear" w:color="auto" w:fill="auto"/>
            <w:hideMark/>
          </w:tcPr>
          <w:p w14:paraId="548AD2BB" w14:textId="77777777" w:rsidR="001028EC" w:rsidRPr="005730EC" w:rsidRDefault="001028EC" w:rsidP="00701AB3">
            <w:pPr>
              <w:rPr>
                <w:rFonts w:cs="Arial"/>
                <w:color w:val="000000"/>
                <w:sz w:val="20"/>
              </w:rPr>
            </w:pPr>
            <w:r>
              <w:rPr>
                <w:rFonts w:cs="Arial"/>
                <w:sz w:val="20"/>
              </w:rPr>
              <w:t>The 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perators are able to meet the market timelines</w:t>
            </w:r>
          </w:p>
        </w:tc>
        <w:tc>
          <w:tcPr>
            <w:tcW w:w="2862" w:type="dxa"/>
            <w:tcBorders>
              <w:top w:val="nil"/>
              <w:left w:val="nil"/>
              <w:bottom w:val="single" w:sz="4" w:space="0" w:color="auto"/>
              <w:right w:val="single" w:sz="4" w:space="0" w:color="auto"/>
            </w:tcBorders>
            <w:shd w:val="clear" w:color="auto" w:fill="auto"/>
            <w:hideMark/>
          </w:tcPr>
          <w:p w14:paraId="6CC33529" w14:textId="77777777" w:rsidR="001028EC" w:rsidRPr="005730EC" w:rsidRDefault="001028EC" w:rsidP="00701AB3">
            <w:pPr>
              <w:rPr>
                <w:rFonts w:cs="Arial"/>
                <w:color w:val="000000"/>
                <w:sz w:val="20"/>
              </w:rPr>
            </w:pPr>
            <w:r w:rsidRPr="005730EC">
              <w:rPr>
                <w:rFonts w:cs="Arial"/>
                <w:color w:val="000000"/>
                <w:sz w:val="20"/>
              </w:rPr>
              <w:t>The</w:t>
            </w:r>
            <w:r>
              <w:rPr>
                <w:rFonts w:cs="Arial"/>
                <w:color w:val="000000"/>
                <w:sz w:val="20"/>
              </w:rPr>
              <w:t xml:space="preserve"> </w:t>
            </w:r>
            <w:r w:rsidRPr="00200458">
              <w:rPr>
                <w:rFonts w:cs="Arial"/>
                <w:sz w:val="20"/>
              </w:rPr>
              <w:t>prospective</w:t>
            </w:r>
            <w:r w:rsidRPr="005730EC">
              <w:rPr>
                <w:rFonts w:cs="Arial"/>
                <w:color w:val="000000"/>
                <w:sz w:val="20"/>
              </w:rPr>
              <w:t xml:space="preserve"> EIM Entity </w:t>
            </w:r>
            <w:r>
              <w:rPr>
                <w:rFonts w:cs="Arial"/>
                <w:color w:val="000000"/>
                <w:sz w:val="20"/>
              </w:rPr>
              <w:t xml:space="preserve">grid </w:t>
            </w:r>
            <w:r w:rsidRPr="005730EC">
              <w:rPr>
                <w:rFonts w:cs="Arial"/>
                <w:color w:val="000000"/>
                <w:sz w:val="20"/>
              </w:rPr>
              <w:t>operations staff complete end-to-end daily market workflow with no critical defects</w:t>
            </w:r>
            <w:r>
              <w:rPr>
                <w:rFonts w:cs="Arial"/>
                <w:color w:val="000000"/>
                <w:sz w:val="20"/>
              </w:rPr>
              <w:t>.</w:t>
            </w:r>
          </w:p>
        </w:tc>
      </w:tr>
      <w:tr w:rsidR="001028EC" w:rsidRPr="005730EC" w14:paraId="40DFCC35" w14:textId="77777777" w:rsidTr="009E26DA">
        <w:trPr>
          <w:trHeight w:val="1785"/>
        </w:trPr>
        <w:tc>
          <w:tcPr>
            <w:tcW w:w="1260" w:type="dxa"/>
            <w:tcBorders>
              <w:top w:val="nil"/>
              <w:left w:val="single" w:sz="4" w:space="0" w:color="auto"/>
              <w:bottom w:val="single" w:sz="4" w:space="0" w:color="auto"/>
              <w:right w:val="single" w:sz="4" w:space="0" w:color="auto"/>
            </w:tcBorders>
            <w:shd w:val="clear" w:color="000000" w:fill="FFFFFF"/>
            <w:noWrap/>
            <w:hideMark/>
          </w:tcPr>
          <w:p w14:paraId="537066DD" w14:textId="77777777" w:rsidR="001028EC" w:rsidRPr="005730EC" w:rsidRDefault="001028EC" w:rsidP="00701AB3">
            <w:pPr>
              <w:jc w:val="center"/>
              <w:rPr>
                <w:rFonts w:cs="Arial"/>
                <w:color w:val="000000"/>
                <w:sz w:val="20"/>
              </w:rPr>
            </w:pPr>
            <w:r w:rsidRPr="005730EC">
              <w:rPr>
                <w:rFonts w:cs="Arial"/>
                <w:color w:val="000000"/>
                <w:sz w:val="20"/>
              </w:rPr>
              <w:t>20</w:t>
            </w:r>
          </w:p>
        </w:tc>
        <w:tc>
          <w:tcPr>
            <w:tcW w:w="1440" w:type="dxa"/>
            <w:tcBorders>
              <w:top w:val="nil"/>
              <w:left w:val="nil"/>
              <w:bottom w:val="single" w:sz="4" w:space="0" w:color="auto"/>
              <w:right w:val="single" w:sz="4" w:space="0" w:color="auto"/>
            </w:tcBorders>
            <w:shd w:val="clear" w:color="auto" w:fill="auto"/>
            <w:hideMark/>
          </w:tcPr>
          <w:p w14:paraId="1A271B08" w14:textId="77777777" w:rsidR="001028EC" w:rsidRPr="005730EC" w:rsidRDefault="001028EC" w:rsidP="00701AB3">
            <w:pPr>
              <w:rPr>
                <w:rFonts w:cs="Arial"/>
                <w:color w:val="000000"/>
                <w:sz w:val="20"/>
              </w:rPr>
            </w:pPr>
            <w:r w:rsidRPr="005730EC">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hideMark/>
          </w:tcPr>
          <w:p w14:paraId="6944C736" w14:textId="77777777" w:rsidR="001028EC" w:rsidRPr="005730EC" w:rsidRDefault="001028EC" w:rsidP="00701AB3">
            <w:pPr>
              <w:rPr>
                <w:rFonts w:cs="Arial"/>
                <w:color w:val="000000"/>
                <w:sz w:val="20"/>
              </w:rPr>
            </w:pPr>
            <w:r w:rsidRPr="005730EC">
              <w:rPr>
                <w:rFonts w:cs="Arial"/>
                <w:color w:val="000000"/>
                <w:sz w:val="20"/>
              </w:rPr>
              <w:t xml:space="preserve">Structured scenarios simulation </w:t>
            </w:r>
          </w:p>
        </w:tc>
        <w:tc>
          <w:tcPr>
            <w:tcW w:w="2538" w:type="dxa"/>
            <w:tcBorders>
              <w:top w:val="nil"/>
              <w:left w:val="nil"/>
              <w:bottom w:val="single" w:sz="4" w:space="0" w:color="auto"/>
              <w:right w:val="single" w:sz="4" w:space="0" w:color="auto"/>
            </w:tcBorders>
            <w:shd w:val="clear" w:color="auto" w:fill="auto"/>
            <w:hideMark/>
          </w:tcPr>
          <w:p w14:paraId="0E9B637F" w14:textId="77777777" w:rsidR="001028EC" w:rsidRPr="005730EC" w:rsidRDefault="001028EC" w:rsidP="00701AB3">
            <w:pPr>
              <w:rPr>
                <w:rFonts w:cs="Arial"/>
                <w:color w:val="000000"/>
                <w:sz w:val="20"/>
              </w:rPr>
            </w:pPr>
            <w:r>
              <w:rPr>
                <w:rFonts w:cs="Arial"/>
                <w:sz w:val="20"/>
              </w:rPr>
              <w:t>The 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perators execute and pass all structured scenarios provided by CAISO</w:t>
            </w:r>
          </w:p>
        </w:tc>
        <w:tc>
          <w:tcPr>
            <w:tcW w:w="2862" w:type="dxa"/>
            <w:tcBorders>
              <w:top w:val="nil"/>
              <w:left w:val="nil"/>
              <w:bottom w:val="single" w:sz="4" w:space="0" w:color="auto"/>
              <w:right w:val="single" w:sz="4" w:space="0" w:color="auto"/>
            </w:tcBorders>
            <w:shd w:val="clear" w:color="auto" w:fill="auto"/>
            <w:hideMark/>
          </w:tcPr>
          <w:p w14:paraId="7A44C2CB" w14:textId="77777777" w:rsidR="001028EC" w:rsidRPr="003F37C8" w:rsidRDefault="001028EC" w:rsidP="00701AB3">
            <w:pPr>
              <w:rPr>
                <w:rFonts w:cs="Arial"/>
                <w:sz w:val="20"/>
              </w:rPr>
            </w:pPr>
            <w:r w:rsidRPr="003F37C8">
              <w:rPr>
                <w:rFonts w:cs="Arial"/>
                <w:color w:val="000000"/>
                <w:sz w:val="20"/>
              </w:rPr>
              <w:t>All significant issues resolved or have a</w:t>
            </w:r>
            <w:r>
              <w:rPr>
                <w:rFonts w:cs="Arial"/>
                <w:color w:val="000000"/>
                <w:sz w:val="20"/>
              </w:rPr>
              <w:t>n</w:t>
            </w:r>
            <w:r w:rsidRPr="003F37C8">
              <w:rPr>
                <w:rFonts w:cs="Arial"/>
                <w:color w:val="000000"/>
                <w:sz w:val="20"/>
              </w:rPr>
              <w:t xml:space="preserve"> </w:t>
            </w:r>
            <w:r w:rsidRPr="003F37C8">
              <w:rPr>
                <w:rFonts w:cs="Arial"/>
                <w:sz w:val="20"/>
              </w:rPr>
              <w:t xml:space="preserve">interim solution </w:t>
            </w:r>
            <w:r>
              <w:rPr>
                <w:rFonts w:cs="Arial"/>
                <w:sz w:val="20"/>
              </w:rPr>
              <w:t>that is</w:t>
            </w:r>
            <w:r w:rsidRPr="003F37C8">
              <w:rPr>
                <w:rFonts w:cs="Arial"/>
                <w:sz w:val="20"/>
              </w:rPr>
              <w:t xml:space="preserve"> functionally equivalent. </w:t>
            </w:r>
          </w:p>
          <w:p w14:paraId="3AF1E6C6" w14:textId="77777777" w:rsidR="001028EC" w:rsidRPr="003F37C8" w:rsidRDefault="001028EC" w:rsidP="00701AB3">
            <w:pPr>
              <w:rPr>
                <w:rFonts w:cs="Arial"/>
                <w:color w:val="000000"/>
                <w:sz w:val="20"/>
              </w:rPr>
            </w:pPr>
            <w:r w:rsidRPr="003F37C8">
              <w:rPr>
                <w:rFonts w:cs="Arial"/>
                <w:color w:val="000000"/>
                <w:sz w:val="20"/>
              </w:rPr>
              <w:br/>
            </w:r>
          </w:p>
          <w:p w14:paraId="6D2F0BAD" w14:textId="77777777" w:rsidR="001028EC" w:rsidRPr="003F37C8" w:rsidRDefault="001028EC" w:rsidP="00701AB3">
            <w:pPr>
              <w:rPr>
                <w:rFonts w:cs="Arial"/>
                <w:color w:val="000000"/>
                <w:sz w:val="20"/>
              </w:rPr>
            </w:pPr>
          </w:p>
        </w:tc>
      </w:tr>
      <w:tr w:rsidR="001028EC" w:rsidRPr="005730EC" w14:paraId="3ACCD969" w14:textId="77777777" w:rsidTr="009E26DA">
        <w:trPr>
          <w:trHeight w:val="1275"/>
        </w:trPr>
        <w:tc>
          <w:tcPr>
            <w:tcW w:w="1260" w:type="dxa"/>
            <w:tcBorders>
              <w:top w:val="nil"/>
              <w:left w:val="single" w:sz="4" w:space="0" w:color="auto"/>
              <w:bottom w:val="single" w:sz="4" w:space="0" w:color="auto"/>
              <w:right w:val="single" w:sz="4" w:space="0" w:color="auto"/>
            </w:tcBorders>
            <w:shd w:val="clear" w:color="000000" w:fill="FFFFFF"/>
            <w:noWrap/>
            <w:hideMark/>
          </w:tcPr>
          <w:p w14:paraId="64A9D782" w14:textId="77777777" w:rsidR="001028EC" w:rsidRPr="005730EC" w:rsidRDefault="001028EC" w:rsidP="00701AB3">
            <w:pPr>
              <w:jc w:val="center"/>
              <w:rPr>
                <w:rFonts w:cs="Arial"/>
                <w:color w:val="000000"/>
                <w:sz w:val="20"/>
              </w:rPr>
            </w:pPr>
            <w:r w:rsidRPr="005730EC">
              <w:rPr>
                <w:rFonts w:cs="Arial"/>
                <w:color w:val="000000"/>
                <w:sz w:val="20"/>
              </w:rPr>
              <w:t>21</w:t>
            </w:r>
          </w:p>
        </w:tc>
        <w:tc>
          <w:tcPr>
            <w:tcW w:w="1440" w:type="dxa"/>
            <w:tcBorders>
              <w:top w:val="nil"/>
              <w:left w:val="nil"/>
              <w:bottom w:val="single" w:sz="4" w:space="0" w:color="auto"/>
              <w:right w:val="single" w:sz="4" w:space="0" w:color="auto"/>
            </w:tcBorders>
            <w:shd w:val="clear" w:color="auto" w:fill="auto"/>
            <w:hideMark/>
          </w:tcPr>
          <w:p w14:paraId="62BD704A" w14:textId="77777777" w:rsidR="001028EC" w:rsidRPr="005730EC" w:rsidRDefault="001028EC" w:rsidP="00701AB3">
            <w:pPr>
              <w:rPr>
                <w:rFonts w:cs="Arial"/>
                <w:color w:val="000000"/>
                <w:sz w:val="20"/>
              </w:rPr>
            </w:pPr>
            <w:r w:rsidRPr="005730EC">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hideMark/>
          </w:tcPr>
          <w:p w14:paraId="1889AD76" w14:textId="77777777" w:rsidR="001028EC" w:rsidRPr="005730EC" w:rsidRDefault="001028EC" w:rsidP="00701AB3">
            <w:pPr>
              <w:rPr>
                <w:rFonts w:cs="Arial"/>
                <w:color w:val="000000"/>
                <w:sz w:val="20"/>
              </w:rPr>
            </w:pPr>
            <w:r w:rsidRPr="005730EC">
              <w:rPr>
                <w:rFonts w:cs="Arial"/>
                <w:color w:val="000000"/>
                <w:sz w:val="20"/>
              </w:rPr>
              <w:t>Unstructured scenarios simulation</w:t>
            </w:r>
          </w:p>
        </w:tc>
        <w:tc>
          <w:tcPr>
            <w:tcW w:w="2538" w:type="dxa"/>
            <w:tcBorders>
              <w:top w:val="nil"/>
              <w:left w:val="nil"/>
              <w:bottom w:val="single" w:sz="4" w:space="0" w:color="auto"/>
              <w:right w:val="single" w:sz="4" w:space="0" w:color="auto"/>
            </w:tcBorders>
            <w:shd w:val="clear" w:color="auto" w:fill="auto"/>
            <w:hideMark/>
          </w:tcPr>
          <w:p w14:paraId="74D054E4" w14:textId="77777777" w:rsidR="001028EC" w:rsidRPr="005730EC" w:rsidRDefault="001028EC" w:rsidP="00701AB3">
            <w:pPr>
              <w:rPr>
                <w:rFonts w:cs="Arial"/>
                <w:color w:val="000000"/>
                <w:sz w:val="20"/>
              </w:rPr>
            </w:pPr>
            <w:r>
              <w:rPr>
                <w:rFonts w:cs="Arial"/>
                <w:sz w:val="20"/>
              </w:rPr>
              <w:t>The p</w:t>
            </w:r>
            <w:r w:rsidRPr="00200458">
              <w:rPr>
                <w:rFonts w:cs="Arial"/>
                <w:sz w:val="20"/>
              </w:rPr>
              <w:t xml:space="preserve">rospective </w:t>
            </w:r>
            <w:r w:rsidRPr="005730EC">
              <w:rPr>
                <w:rFonts w:cs="Arial"/>
                <w:color w:val="000000"/>
                <w:sz w:val="20"/>
              </w:rPr>
              <w:t xml:space="preserve">EIM Entity </w:t>
            </w:r>
            <w:r>
              <w:rPr>
                <w:rFonts w:cs="Arial"/>
                <w:color w:val="000000"/>
                <w:sz w:val="20"/>
              </w:rPr>
              <w:t>o</w:t>
            </w:r>
            <w:r w:rsidRPr="005730EC">
              <w:rPr>
                <w:rFonts w:cs="Arial"/>
                <w:color w:val="000000"/>
                <w:sz w:val="20"/>
              </w:rPr>
              <w:t xml:space="preserve">perators execute and pass all unstructured scenarios provided by </w:t>
            </w:r>
            <w:r w:rsidRPr="00200458">
              <w:rPr>
                <w:rFonts w:cs="Arial"/>
                <w:sz w:val="20"/>
              </w:rPr>
              <w:t xml:space="preserve">prospective </w:t>
            </w:r>
            <w:r w:rsidRPr="005730EC">
              <w:rPr>
                <w:rFonts w:cs="Arial"/>
                <w:color w:val="000000"/>
                <w:sz w:val="20"/>
              </w:rPr>
              <w:t xml:space="preserve">EIM Entity </w:t>
            </w:r>
          </w:p>
        </w:tc>
        <w:tc>
          <w:tcPr>
            <w:tcW w:w="2862" w:type="dxa"/>
            <w:tcBorders>
              <w:top w:val="nil"/>
              <w:left w:val="nil"/>
              <w:bottom w:val="single" w:sz="4" w:space="0" w:color="auto"/>
              <w:right w:val="single" w:sz="4" w:space="0" w:color="auto"/>
            </w:tcBorders>
            <w:shd w:val="clear" w:color="auto" w:fill="auto"/>
            <w:hideMark/>
          </w:tcPr>
          <w:p w14:paraId="7755A48A" w14:textId="77777777" w:rsidR="001028EC" w:rsidRPr="003F37C8" w:rsidRDefault="001028EC" w:rsidP="00701AB3">
            <w:pPr>
              <w:rPr>
                <w:rFonts w:cs="Arial"/>
                <w:sz w:val="20"/>
              </w:rPr>
            </w:pPr>
            <w:r w:rsidRPr="003F37C8">
              <w:rPr>
                <w:rFonts w:cs="Arial"/>
                <w:color w:val="000000"/>
                <w:sz w:val="20"/>
              </w:rPr>
              <w:t>All significant issues resolved or have a</w:t>
            </w:r>
            <w:r>
              <w:rPr>
                <w:rFonts w:cs="Arial"/>
                <w:color w:val="000000"/>
                <w:sz w:val="20"/>
              </w:rPr>
              <w:t>n</w:t>
            </w:r>
            <w:r w:rsidRPr="003F37C8">
              <w:rPr>
                <w:rFonts w:cs="Arial"/>
                <w:color w:val="000000"/>
                <w:sz w:val="20"/>
              </w:rPr>
              <w:t xml:space="preserve"> </w:t>
            </w:r>
            <w:r w:rsidRPr="003F37C8">
              <w:rPr>
                <w:rFonts w:cs="Arial"/>
                <w:sz w:val="20"/>
              </w:rPr>
              <w:t xml:space="preserve">interim solution </w:t>
            </w:r>
            <w:r>
              <w:rPr>
                <w:rFonts w:cs="Arial"/>
                <w:sz w:val="20"/>
              </w:rPr>
              <w:t>that is</w:t>
            </w:r>
            <w:r w:rsidRPr="003F37C8">
              <w:rPr>
                <w:rFonts w:cs="Arial"/>
                <w:sz w:val="20"/>
              </w:rPr>
              <w:t xml:space="preserve"> functionally equivalent. </w:t>
            </w:r>
          </w:p>
          <w:p w14:paraId="2B9629C3" w14:textId="77777777" w:rsidR="001028EC" w:rsidRPr="005730EC" w:rsidRDefault="001028EC" w:rsidP="00701AB3">
            <w:pPr>
              <w:rPr>
                <w:rFonts w:cs="Arial"/>
                <w:color w:val="000000"/>
                <w:sz w:val="20"/>
              </w:rPr>
            </w:pPr>
            <w:r w:rsidRPr="005730EC">
              <w:rPr>
                <w:rFonts w:cs="Arial"/>
                <w:color w:val="000000"/>
                <w:sz w:val="20"/>
              </w:rPr>
              <w:br/>
            </w:r>
          </w:p>
        </w:tc>
      </w:tr>
      <w:tr w:rsidR="001028EC" w:rsidRPr="005730EC" w14:paraId="0BBB59D7"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tcPr>
          <w:p w14:paraId="5FBD5421" w14:textId="77777777" w:rsidR="001028EC" w:rsidRPr="005730EC" w:rsidRDefault="001028EC" w:rsidP="00701AB3">
            <w:pPr>
              <w:jc w:val="center"/>
              <w:rPr>
                <w:rFonts w:cs="Arial"/>
                <w:color w:val="000000"/>
                <w:sz w:val="20"/>
              </w:rPr>
            </w:pPr>
            <w:r w:rsidRPr="005730EC">
              <w:rPr>
                <w:rFonts w:cs="Arial"/>
                <w:color w:val="000000"/>
                <w:sz w:val="20"/>
              </w:rPr>
              <w:t>22</w:t>
            </w:r>
          </w:p>
        </w:tc>
        <w:tc>
          <w:tcPr>
            <w:tcW w:w="1440" w:type="dxa"/>
            <w:tcBorders>
              <w:top w:val="nil"/>
              <w:left w:val="nil"/>
              <w:bottom w:val="single" w:sz="4" w:space="0" w:color="auto"/>
              <w:right w:val="single" w:sz="4" w:space="0" w:color="auto"/>
            </w:tcBorders>
            <w:shd w:val="clear" w:color="auto" w:fill="auto"/>
          </w:tcPr>
          <w:p w14:paraId="7D515EA9" w14:textId="77777777" w:rsidR="001028EC" w:rsidRPr="005730EC" w:rsidRDefault="001028EC" w:rsidP="00701AB3">
            <w:pPr>
              <w:rPr>
                <w:rFonts w:cs="Arial"/>
                <w:color w:val="000000"/>
                <w:sz w:val="20"/>
              </w:rPr>
            </w:pPr>
            <w:r w:rsidRPr="005730EC">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tcPr>
          <w:p w14:paraId="35A97015" w14:textId="77777777" w:rsidR="001028EC" w:rsidRPr="005730EC" w:rsidRDefault="001028EC" w:rsidP="00701AB3">
            <w:pPr>
              <w:rPr>
                <w:rFonts w:cs="Arial"/>
                <w:color w:val="000000"/>
                <w:sz w:val="20"/>
              </w:rPr>
            </w:pPr>
            <w:r w:rsidRPr="005730EC">
              <w:rPr>
                <w:rFonts w:cs="Arial"/>
                <w:color w:val="000000"/>
                <w:sz w:val="20"/>
              </w:rPr>
              <w:t>Market results reports</w:t>
            </w:r>
          </w:p>
        </w:tc>
        <w:tc>
          <w:tcPr>
            <w:tcW w:w="2538" w:type="dxa"/>
            <w:tcBorders>
              <w:top w:val="nil"/>
              <w:left w:val="nil"/>
              <w:bottom w:val="single" w:sz="4" w:space="0" w:color="auto"/>
              <w:right w:val="single" w:sz="4" w:space="0" w:color="auto"/>
            </w:tcBorders>
            <w:shd w:val="clear" w:color="auto" w:fill="auto"/>
          </w:tcPr>
          <w:p w14:paraId="403DA4AE" w14:textId="77777777" w:rsidR="001028EC" w:rsidRPr="005730EC" w:rsidRDefault="001028EC" w:rsidP="00701AB3">
            <w:pPr>
              <w:rPr>
                <w:rFonts w:cs="Arial"/>
                <w:color w:val="000000"/>
                <w:sz w:val="20"/>
              </w:rPr>
            </w:pPr>
            <w:r w:rsidRPr="005730EC">
              <w:rPr>
                <w:rFonts w:cs="Arial"/>
                <w:color w:val="000000"/>
                <w:sz w:val="20"/>
              </w:rPr>
              <w:t xml:space="preserve">Market results are appropriate based on inputs </w:t>
            </w:r>
          </w:p>
        </w:tc>
        <w:tc>
          <w:tcPr>
            <w:tcW w:w="2862" w:type="dxa"/>
            <w:tcBorders>
              <w:top w:val="nil"/>
              <w:left w:val="nil"/>
              <w:bottom w:val="single" w:sz="4" w:space="0" w:color="auto"/>
              <w:right w:val="single" w:sz="4" w:space="0" w:color="auto"/>
            </w:tcBorders>
            <w:shd w:val="clear" w:color="auto" w:fill="auto"/>
          </w:tcPr>
          <w:p w14:paraId="17E372E4" w14:textId="77777777" w:rsidR="001028EC" w:rsidRPr="005730EC" w:rsidRDefault="001028EC" w:rsidP="00701AB3">
            <w:pPr>
              <w:autoSpaceDE w:val="0"/>
              <w:autoSpaceDN w:val="0"/>
              <w:adjustRightInd w:val="0"/>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EIM Entity and CAISO executive project sponsors approve the market results reports during market simulation</w:t>
            </w:r>
          </w:p>
        </w:tc>
      </w:tr>
      <w:tr w:rsidR="001028EC" w:rsidRPr="005730EC" w14:paraId="355A1C02"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tcPr>
          <w:p w14:paraId="2D724BBF" w14:textId="77777777" w:rsidR="001028EC" w:rsidRPr="005730EC" w:rsidRDefault="001028EC" w:rsidP="00701AB3">
            <w:pPr>
              <w:jc w:val="center"/>
              <w:rPr>
                <w:rFonts w:cs="Arial"/>
                <w:color w:val="000000"/>
                <w:sz w:val="20"/>
              </w:rPr>
            </w:pPr>
            <w:r w:rsidRPr="005730EC">
              <w:rPr>
                <w:rFonts w:cs="Arial"/>
                <w:color w:val="000000"/>
                <w:sz w:val="20"/>
              </w:rPr>
              <w:t>23</w:t>
            </w:r>
            <w:r w:rsidR="005072AD">
              <w:rPr>
                <w:rFonts w:cs="Arial"/>
                <w:color w:val="000000"/>
                <w:sz w:val="20"/>
              </w:rPr>
              <w:t>a</w:t>
            </w:r>
          </w:p>
        </w:tc>
        <w:tc>
          <w:tcPr>
            <w:tcW w:w="1440" w:type="dxa"/>
            <w:tcBorders>
              <w:top w:val="nil"/>
              <w:left w:val="nil"/>
              <w:bottom w:val="single" w:sz="4" w:space="0" w:color="auto"/>
              <w:right w:val="single" w:sz="4" w:space="0" w:color="auto"/>
            </w:tcBorders>
            <w:shd w:val="clear" w:color="auto" w:fill="auto"/>
          </w:tcPr>
          <w:p w14:paraId="14D0B289" w14:textId="77777777" w:rsidR="001028EC" w:rsidRPr="005730EC" w:rsidRDefault="001028EC" w:rsidP="00701AB3">
            <w:pPr>
              <w:rPr>
                <w:rFonts w:cs="Arial"/>
                <w:color w:val="000000"/>
                <w:sz w:val="20"/>
              </w:rPr>
            </w:pPr>
            <w:r w:rsidRPr="005730EC">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tcPr>
          <w:p w14:paraId="255DE493" w14:textId="77777777" w:rsidR="001028EC" w:rsidRPr="005730EC" w:rsidRDefault="001028EC" w:rsidP="00701AB3">
            <w:pPr>
              <w:rPr>
                <w:rFonts w:cs="Arial"/>
                <w:color w:val="000000"/>
                <w:sz w:val="20"/>
              </w:rPr>
            </w:pPr>
            <w:r w:rsidRPr="005730EC">
              <w:rPr>
                <w:rFonts w:cs="Arial"/>
                <w:color w:val="000000"/>
                <w:sz w:val="20"/>
              </w:rPr>
              <w:t>Market quality review</w:t>
            </w:r>
          </w:p>
        </w:tc>
        <w:tc>
          <w:tcPr>
            <w:tcW w:w="2538" w:type="dxa"/>
            <w:tcBorders>
              <w:top w:val="nil"/>
              <w:left w:val="nil"/>
              <w:bottom w:val="single" w:sz="4" w:space="0" w:color="auto"/>
              <w:right w:val="single" w:sz="4" w:space="0" w:color="auto"/>
            </w:tcBorders>
            <w:shd w:val="clear" w:color="auto" w:fill="auto"/>
          </w:tcPr>
          <w:p w14:paraId="1E1694BA" w14:textId="77777777" w:rsidR="001028EC" w:rsidRPr="005730EC" w:rsidRDefault="001028EC" w:rsidP="00701AB3">
            <w:pPr>
              <w:rPr>
                <w:rFonts w:cs="Arial"/>
                <w:color w:val="000000"/>
                <w:sz w:val="20"/>
              </w:rPr>
            </w:pPr>
            <w:r w:rsidRPr="005730EC">
              <w:rPr>
                <w:rFonts w:cs="Arial"/>
                <w:color w:val="000000"/>
                <w:sz w:val="20"/>
              </w:rPr>
              <w:t>Prices are validated based on input data</w:t>
            </w:r>
          </w:p>
        </w:tc>
        <w:tc>
          <w:tcPr>
            <w:tcW w:w="2862" w:type="dxa"/>
            <w:tcBorders>
              <w:top w:val="nil"/>
              <w:left w:val="nil"/>
              <w:bottom w:val="single" w:sz="4" w:space="0" w:color="auto"/>
              <w:right w:val="single" w:sz="4" w:space="0" w:color="auto"/>
            </w:tcBorders>
            <w:shd w:val="clear" w:color="auto" w:fill="auto"/>
          </w:tcPr>
          <w:p w14:paraId="63545552" w14:textId="77777777" w:rsidR="001028EC" w:rsidRPr="005730EC" w:rsidRDefault="001028EC" w:rsidP="00701AB3">
            <w:pPr>
              <w:autoSpaceDE w:val="0"/>
              <w:autoSpaceDN w:val="0"/>
              <w:adjustRightInd w:val="0"/>
              <w:rPr>
                <w:rFonts w:cs="Arial"/>
                <w:color w:val="FF0101"/>
                <w:sz w:val="20"/>
              </w:rPr>
            </w:pPr>
            <w:r w:rsidRPr="005730EC">
              <w:rPr>
                <w:rFonts w:cs="Arial"/>
                <w:color w:val="000000"/>
                <w:sz w:val="20"/>
              </w:rPr>
              <w:t>Market simulation prices and MWs schedules/dispatches are validated by CAISO market quality team for entry into parallel operation</w:t>
            </w:r>
          </w:p>
        </w:tc>
      </w:tr>
      <w:tr w:rsidR="0048431D" w:rsidRPr="005730EC" w14:paraId="3A4F7C4F" w14:textId="77777777" w:rsidTr="0048431D">
        <w:trPr>
          <w:trHeight w:val="1530"/>
        </w:trPr>
        <w:tc>
          <w:tcPr>
            <w:tcW w:w="1260" w:type="dxa"/>
            <w:tcBorders>
              <w:top w:val="nil"/>
              <w:left w:val="single" w:sz="4" w:space="0" w:color="auto"/>
              <w:bottom w:val="single" w:sz="4" w:space="0" w:color="auto"/>
              <w:right w:val="single" w:sz="4" w:space="0" w:color="auto"/>
            </w:tcBorders>
            <w:shd w:val="clear" w:color="000000" w:fill="FFFFFF"/>
            <w:noWrap/>
          </w:tcPr>
          <w:p w14:paraId="5CF13DCF" w14:textId="77777777" w:rsidR="0048431D" w:rsidRDefault="005072AD" w:rsidP="0048431D">
            <w:pPr>
              <w:jc w:val="center"/>
              <w:rPr>
                <w:rFonts w:cs="Arial"/>
                <w:color w:val="000000"/>
                <w:sz w:val="20"/>
              </w:rPr>
            </w:pPr>
            <w:r>
              <w:rPr>
                <w:rFonts w:cs="Arial"/>
                <w:color w:val="000000"/>
                <w:sz w:val="20"/>
              </w:rPr>
              <w:t>23b</w:t>
            </w:r>
          </w:p>
        </w:tc>
        <w:tc>
          <w:tcPr>
            <w:tcW w:w="1440" w:type="dxa"/>
            <w:tcBorders>
              <w:top w:val="nil"/>
              <w:left w:val="nil"/>
              <w:bottom w:val="single" w:sz="4" w:space="0" w:color="auto"/>
              <w:right w:val="single" w:sz="4" w:space="0" w:color="auto"/>
            </w:tcBorders>
            <w:shd w:val="clear" w:color="auto" w:fill="auto"/>
          </w:tcPr>
          <w:p w14:paraId="2DDD1A2C" w14:textId="77777777" w:rsidR="0048431D" w:rsidRDefault="0048431D" w:rsidP="0048431D">
            <w:pPr>
              <w:rPr>
                <w:rFonts w:cs="Arial"/>
                <w:color w:val="000000"/>
                <w:sz w:val="20"/>
              </w:rPr>
            </w:pPr>
            <w:r>
              <w:rPr>
                <w:rFonts w:cs="Arial"/>
                <w:color w:val="000000"/>
                <w:sz w:val="20"/>
              </w:rPr>
              <w:t>Parallel Operations</w:t>
            </w:r>
          </w:p>
        </w:tc>
        <w:tc>
          <w:tcPr>
            <w:tcW w:w="2142" w:type="dxa"/>
            <w:tcBorders>
              <w:top w:val="nil"/>
              <w:left w:val="nil"/>
              <w:bottom w:val="single" w:sz="4" w:space="0" w:color="auto"/>
              <w:right w:val="single" w:sz="4" w:space="0" w:color="auto"/>
            </w:tcBorders>
            <w:shd w:val="clear" w:color="auto" w:fill="auto"/>
          </w:tcPr>
          <w:p w14:paraId="1641DA03" w14:textId="77777777" w:rsidR="0048431D" w:rsidRDefault="0048431D" w:rsidP="0048431D">
            <w:pPr>
              <w:rPr>
                <w:rFonts w:cs="Arial"/>
                <w:color w:val="000000"/>
                <w:sz w:val="20"/>
              </w:rPr>
            </w:pPr>
            <w:r w:rsidRPr="005730EC">
              <w:rPr>
                <w:rFonts w:cs="Arial"/>
                <w:color w:val="000000"/>
                <w:sz w:val="20"/>
              </w:rPr>
              <w:t>Market quality review</w:t>
            </w:r>
          </w:p>
        </w:tc>
        <w:tc>
          <w:tcPr>
            <w:tcW w:w="2538" w:type="dxa"/>
            <w:tcBorders>
              <w:top w:val="nil"/>
              <w:left w:val="nil"/>
              <w:bottom w:val="single" w:sz="4" w:space="0" w:color="auto"/>
              <w:right w:val="single" w:sz="4" w:space="0" w:color="auto"/>
            </w:tcBorders>
            <w:shd w:val="clear" w:color="auto" w:fill="auto"/>
          </w:tcPr>
          <w:p w14:paraId="77555843" w14:textId="77777777" w:rsidR="0048431D" w:rsidRDefault="0048431D" w:rsidP="0048431D">
            <w:pPr>
              <w:rPr>
                <w:rFonts w:cs="Arial"/>
                <w:color w:val="000000"/>
                <w:sz w:val="20"/>
              </w:rPr>
            </w:pPr>
            <w:r w:rsidRPr="005730EC">
              <w:rPr>
                <w:rFonts w:cs="Arial"/>
                <w:color w:val="000000"/>
                <w:sz w:val="20"/>
              </w:rPr>
              <w:t>Prices are validated based on input data</w:t>
            </w:r>
          </w:p>
        </w:tc>
        <w:tc>
          <w:tcPr>
            <w:tcW w:w="2862" w:type="dxa"/>
            <w:tcBorders>
              <w:top w:val="nil"/>
              <w:left w:val="nil"/>
              <w:bottom w:val="single" w:sz="4" w:space="0" w:color="auto"/>
              <w:right w:val="single" w:sz="4" w:space="0" w:color="auto"/>
            </w:tcBorders>
            <w:shd w:val="clear" w:color="auto" w:fill="auto"/>
          </w:tcPr>
          <w:p w14:paraId="202804DE" w14:textId="77777777" w:rsidR="0048431D" w:rsidRPr="00520345" w:rsidRDefault="009E26DA" w:rsidP="0048431D">
            <w:pPr>
              <w:rPr>
                <w:rFonts w:cs="Arial"/>
                <w:sz w:val="20"/>
              </w:rPr>
            </w:pPr>
            <w:r w:rsidRPr="009E26DA">
              <w:rPr>
                <w:rFonts w:cs="Arial"/>
                <w:sz w:val="20"/>
              </w:rPr>
              <w:t>Par</w:t>
            </w:r>
            <w:r>
              <w:rPr>
                <w:rFonts w:cs="Arial"/>
                <w:sz w:val="20"/>
              </w:rPr>
              <w:t>allel operations prices and MWs</w:t>
            </w:r>
            <w:r w:rsidR="005072AD">
              <w:rPr>
                <w:rFonts w:cs="Arial"/>
                <w:sz w:val="20"/>
              </w:rPr>
              <w:t xml:space="preserve"> </w:t>
            </w:r>
            <w:r w:rsidRPr="009E26DA">
              <w:rPr>
                <w:rFonts w:cs="Arial"/>
                <w:sz w:val="20"/>
              </w:rPr>
              <w:t xml:space="preserve">schedules/dispatches are validated by </w:t>
            </w:r>
            <w:r>
              <w:rPr>
                <w:rFonts w:cs="Arial"/>
                <w:sz w:val="20"/>
              </w:rPr>
              <w:t xml:space="preserve">the </w:t>
            </w:r>
            <w:r w:rsidRPr="009E26DA">
              <w:rPr>
                <w:rFonts w:cs="Arial"/>
                <w:sz w:val="20"/>
              </w:rPr>
              <w:t>CAISO market quality team</w:t>
            </w:r>
          </w:p>
        </w:tc>
      </w:tr>
      <w:tr w:rsidR="0048431D" w:rsidRPr="005730EC" w14:paraId="6B93989A" w14:textId="77777777" w:rsidTr="009E26DA">
        <w:trPr>
          <w:trHeight w:val="1530"/>
        </w:trPr>
        <w:tc>
          <w:tcPr>
            <w:tcW w:w="1260" w:type="dxa"/>
            <w:tcBorders>
              <w:top w:val="nil"/>
              <w:left w:val="single" w:sz="4" w:space="0" w:color="auto"/>
              <w:bottom w:val="single" w:sz="4" w:space="0" w:color="auto"/>
              <w:right w:val="single" w:sz="4" w:space="0" w:color="auto"/>
            </w:tcBorders>
            <w:shd w:val="clear" w:color="000000" w:fill="FFFFFF"/>
            <w:noWrap/>
          </w:tcPr>
          <w:p w14:paraId="1660BD5E" w14:textId="77777777" w:rsidR="0048431D" w:rsidRPr="005730EC" w:rsidRDefault="0048431D" w:rsidP="0048431D">
            <w:pPr>
              <w:jc w:val="center"/>
              <w:rPr>
                <w:rFonts w:cs="Arial"/>
                <w:color w:val="000000"/>
                <w:sz w:val="20"/>
              </w:rPr>
            </w:pPr>
            <w:r>
              <w:rPr>
                <w:rFonts w:cs="Arial"/>
                <w:color w:val="000000"/>
                <w:sz w:val="20"/>
              </w:rPr>
              <w:t>24</w:t>
            </w:r>
          </w:p>
        </w:tc>
        <w:tc>
          <w:tcPr>
            <w:tcW w:w="1440" w:type="dxa"/>
            <w:tcBorders>
              <w:top w:val="nil"/>
              <w:left w:val="nil"/>
              <w:bottom w:val="single" w:sz="4" w:space="0" w:color="auto"/>
              <w:right w:val="single" w:sz="4" w:space="0" w:color="auto"/>
            </w:tcBorders>
            <w:shd w:val="clear" w:color="auto" w:fill="auto"/>
          </w:tcPr>
          <w:p w14:paraId="184D6A63" w14:textId="77777777" w:rsidR="0048431D" w:rsidRPr="005730EC" w:rsidRDefault="0048431D" w:rsidP="0048431D">
            <w:pPr>
              <w:rPr>
                <w:rFonts w:cs="Arial"/>
                <w:color w:val="000000"/>
                <w:sz w:val="20"/>
              </w:rPr>
            </w:pPr>
            <w:r>
              <w:rPr>
                <w:rFonts w:cs="Arial"/>
                <w:color w:val="000000"/>
                <w:sz w:val="20"/>
              </w:rPr>
              <w:t>Market Simulation</w:t>
            </w:r>
          </w:p>
        </w:tc>
        <w:tc>
          <w:tcPr>
            <w:tcW w:w="2142" w:type="dxa"/>
            <w:tcBorders>
              <w:top w:val="nil"/>
              <w:left w:val="nil"/>
              <w:bottom w:val="single" w:sz="4" w:space="0" w:color="auto"/>
              <w:right w:val="single" w:sz="4" w:space="0" w:color="auto"/>
            </w:tcBorders>
            <w:shd w:val="clear" w:color="auto" w:fill="auto"/>
          </w:tcPr>
          <w:p w14:paraId="6CF70405" w14:textId="77777777" w:rsidR="0048431D" w:rsidRPr="005730EC" w:rsidRDefault="0048431D" w:rsidP="0048431D">
            <w:pPr>
              <w:rPr>
                <w:rFonts w:cs="Arial"/>
                <w:color w:val="000000"/>
                <w:sz w:val="20"/>
              </w:rPr>
            </w:pPr>
            <w:r>
              <w:rPr>
                <w:rFonts w:cs="Arial"/>
                <w:color w:val="000000"/>
                <w:sz w:val="20"/>
              </w:rPr>
              <w:t>The prospective EIM Entity Identification</w:t>
            </w:r>
          </w:p>
        </w:tc>
        <w:tc>
          <w:tcPr>
            <w:tcW w:w="2538" w:type="dxa"/>
            <w:tcBorders>
              <w:top w:val="nil"/>
              <w:left w:val="nil"/>
              <w:bottom w:val="single" w:sz="4" w:space="0" w:color="auto"/>
              <w:right w:val="single" w:sz="4" w:space="0" w:color="auto"/>
            </w:tcBorders>
            <w:shd w:val="clear" w:color="auto" w:fill="auto"/>
          </w:tcPr>
          <w:p w14:paraId="5B622C86" w14:textId="77777777" w:rsidR="0048431D" w:rsidRPr="00520345" w:rsidRDefault="0048431D" w:rsidP="0048431D">
            <w:pPr>
              <w:rPr>
                <w:rFonts w:cs="Arial"/>
                <w:color w:val="000000"/>
                <w:sz w:val="20"/>
              </w:rPr>
            </w:pPr>
            <w:r>
              <w:rPr>
                <w:rFonts w:cs="Arial"/>
                <w:color w:val="000000"/>
                <w:sz w:val="20"/>
              </w:rPr>
              <w:t>Validation of SCID’s and Resource ID’s</w:t>
            </w:r>
          </w:p>
        </w:tc>
        <w:tc>
          <w:tcPr>
            <w:tcW w:w="2862" w:type="dxa"/>
            <w:tcBorders>
              <w:top w:val="nil"/>
              <w:left w:val="nil"/>
              <w:bottom w:val="single" w:sz="4" w:space="0" w:color="auto"/>
              <w:right w:val="single" w:sz="4" w:space="0" w:color="auto"/>
            </w:tcBorders>
            <w:shd w:val="clear" w:color="auto" w:fill="auto"/>
          </w:tcPr>
          <w:p w14:paraId="6053027E" w14:textId="77777777" w:rsidR="0048431D" w:rsidRPr="00520345" w:rsidRDefault="0048431D" w:rsidP="0048431D">
            <w:pPr>
              <w:rPr>
                <w:rFonts w:cs="Arial"/>
                <w:color w:val="000000"/>
                <w:sz w:val="20"/>
              </w:rPr>
            </w:pPr>
            <w:r w:rsidRPr="00520345">
              <w:rPr>
                <w:rFonts w:cs="Arial"/>
                <w:sz w:val="20"/>
              </w:rPr>
              <w:t>The CAISO has established and the prospective EIM Entity has tested all necessary SCIDs and Resource IDs established for the prospective EIM Entity’s Balancing Authority Area</w:t>
            </w:r>
          </w:p>
        </w:tc>
      </w:tr>
      <w:tr w:rsidR="0048431D" w:rsidRPr="005730EC" w14:paraId="40D853F3" w14:textId="77777777" w:rsidTr="009E26DA">
        <w:trPr>
          <w:trHeight w:val="530"/>
        </w:trPr>
        <w:tc>
          <w:tcPr>
            <w:tcW w:w="1260" w:type="dxa"/>
            <w:tcBorders>
              <w:top w:val="nil"/>
              <w:left w:val="single" w:sz="4" w:space="0" w:color="auto"/>
              <w:bottom w:val="single" w:sz="4" w:space="0" w:color="auto"/>
              <w:right w:val="single" w:sz="4" w:space="0" w:color="auto"/>
            </w:tcBorders>
            <w:shd w:val="clear" w:color="000000" w:fill="FFFFFF"/>
            <w:noWrap/>
          </w:tcPr>
          <w:p w14:paraId="18523D51" w14:textId="77777777" w:rsidR="0048431D" w:rsidRPr="005730EC" w:rsidRDefault="0048431D" w:rsidP="0048431D">
            <w:pPr>
              <w:jc w:val="center"/>
              <w:rPr>
                <w:rFonts w:cs="Arial"/>
                <w:color w:val="000000"/>
                <w:sz w:val="20"/>
              </w:rPr>
            </w:pPr>
            <w:r>
              <w:rPr>
                <w:rFonts w:cs="Arial"/>
                <w:color w:val="000000"/>
                <w:sz w:val="20"/>
              </w:rPr>
              <w:t>25</w:t>
            </w:r>
          </w:p>
        </w:tc>
        <w:tc>
          <w:tcPr>
            <w:tcW w:w="1440" w:type="dxa"/>
            <w:tcBorders>
              <w:top w:val="nil"/>
              <w:left w:val="nil"/>
              <w:bottom w:val="single" w:sz="4" w:space="0" w:color="auto"/>
              <w:right w:val="single" w:sz="4" w:space="0" w:color="auto"/>
            </w:tcBorders>
            <w:shd w:val="clear" w:color="auto" w:fill="auto"/>
          </w:tcPr>
          <w:p w14:paraId="2606F929" w14:textId="77777777" w:rsidR="0048431D" w:rsidRPr="005730EC" w:rsidRDefault="0048431D" w:rsidP="0048431D">
            <w:pPr>
              <w:rPr>
                <w:rFonts w:cs="Arial"/>
                <w:color w:val="000000"/>
                <w:sz w:val="20"/>
              </w:rPr>
            </w:pPr>
            <w:r w:rsidRPr="005730EC">
              <w:rPr>
                <w:rFonts w:cs="Arial"/>
                <w:color w:val="000000"/>
                <w:sz w:val="20"/>
              </w:rPr>
              <w:t>Settlements</w:t>
            </w:r>
          </w:p>
        </w:tc>
        <w:tc>
          <w:tcPr>
            <w:tcW w:w="2142" w:type="dxa"/>
            <w:tcBorders>
              <w:top w:val="nil"/>
              <w:left w:val="nil"/>
              <w:bottom w:val="single" w:sz="4" w:space="0" w:color="auto"/>
              <w:right w:val="single" w:sz="4" w:space="0" w:color="auto"/>
            </w:tcBorders>
            <w:shd w:val="clear" w:color="auto" w:fill="auto"/>
          </w:tcPr>
          <w:p w14:paraId="74915E3A" w14:textId="77777777" w:rsidR="0048431D" w:rsidRPr="005730EC" w:rsidRDefault="0048431D" w:rsidP="0048431D">
            <w:pPr>
              <w:rPr>
                <w:rFonts w:cs="Arial"/>
                <w:color w:val="000000"/>
                <w:sz w:val="20"/>
              </w:rPr>
            </w:pPr>
            <w:r w:rsidRPr="005730EC">
              <w:rPr>
                <w:rFonts w:cs="Arial"/>
                <w:color w:val="000000"/>
                <w:sz w:val="20"/>
              </w:rPr>
              <w:t xml:space="preserve">ISO Settlement Statements and Invoices published to </w:t>
            </w:r>
            <w:r>
              <w:rPr>
                <w:rFonts w:cs="Arial"/>
                <w:color w:val="000000"/>
                <w:sz w:val="20"/>
              </w:rPr>
              <w:t xml:space="preserve">the </w:t>
            </w:r>
            <w:r w:rsidRPr="00200458">
              <w:rPr>
                <w:rFonts w:cs="Arial"/>
                <w:sz w:val="20"/>
              </w:rPr>
              <w:t xml:space="preserve">prospective </w:t>
            </w:r>
            <w:r w:rsidRPr="005730EC">
              <w:rPr>
                <w:rFonts w:cs="Arial"/>
                <w:color w:val="000000"/>
                <w:sz w:val="20"/>
              </w:rPr>
              <w:t>EIM Entity and EIM Participating Resources</w:t>
            </w:r>
          </w:p>
        </w:tc>
        <w:tc>
          <w:tcPr>
            <w:tcW w:w="2538" w:type="dxa"/>
            <w:tcBorders>
              <w:top w:val="nil"/>
              <w:left w:val="nil"/>
              <w:bottom w:val="single" w:sz="4" w:space="0" w:color="auto"/>
              <w:right w:val="single" w:sz="4" w:space="0" w:color="auto"/>
            </w:tcBorders>
            <w:shd w:val="clear" w:color="auto" w:fill="auto"/>
          </w:tcPr>
          <w:p w14:paraId="07D8CA17" w14:textId="77777777" w:rsidR="0048431D" w:rsidRPr="005730EC" w:rsidRDefault="0048431D" w:rsidP="0048431D">
            <w:pPr>
              <w:rPr>
                <w:rFonts w:cs="Arial"/>
                <w:color w:val="000000"/>
                <w:sz w:val="20"/>
              </w:rPr>
            </w:pPr>
            <w:r w:rsidRPr="005730EC">
              <w:rPr>
                <w:rFonts w:cs="Arial"/>
                <w:color w:val="000000"/>
                <w:sz w:val="20"/>
              </w:rPr>
              <w:t xml:space="preserve">The CAISO Settlement statements and invoices match the operational data </w:t>
            </w:r>
            <w:r>
              <w:rPr>
                <w:rFonts w:cs="Arial"/>
                <w:color w:val="000000"/>
                <w:sz w:val="20"/>
              </w:rPr>
              <w:t xml:space="preserve">published to stakeholders or </w:t>
            </w:r>
            <w:r w:rsidRPr="005730EC">
              <w:rPr>
                <w:rFonts w:cs="Arial"/>
                <w:color w:val="000000"/>
                <w:sz w:val="20"/>
              </w:rPr>
              <w:t>fed into</w:t>
            </w:r>
            <w:r w:rsidRPr="005730EC">
              <w:rPr>
                <w:rFonts w:cs="Arial"/>
                <w:color w:val="000000"/>
                <w:sz w:val="20"/>
              </w:rPr>
              <w:br/>
              <w:t>settlement system and the resulting calculations correspond to the formulas defined in</w:t>
            </w:r>
            <w:r w:rsidRPr="005730EC">
              <w:rPr>
                <w:rFonts w:cs="Arial"/>
                <w:color w:val="000000"/>
                <w:sz w:val="20"/>
              </w:rPr>
              <w:br/>
              <w:t>ISO’s tariff and BPMs</w:t>
            </w:r>
          </w:p>
        </w:tc>
        <w:tc>
          <w:tcPr>
            <w:tcW w:w="2862" w:type="dxa"/>
            <w:tcBorders>
              <w:top w:val="nil"/>
              <w:left w:val="nil"/>
              <w:bottom w:val="single" w:sz="4" w:space="0" w:color="auto"/>
              <w:right w:val="single" w:sz="4" w:space="0" w:color="auto"/>
            </w:tcBorders>
            <w:shd w:val="clear" w:color="auto" w:fill="auto"/>
          </w:tcPr>
          <w:p w14:paraId="22CD80F1" w14:textId="77777777" w:rsidR="0048431D" w:rsidRPr="005730EC" w:rsidRDefault="0048431D" w:rsidP="0048431D">
            <w:pPr>
              <w:rPr>
                <w:rFonts w:cs="Arial"/>
                <w:color w:val="000000"/>
                <w:sz w:val="20"/>
              </w:rPr>
            </w:pPr>
            <w:r w:rsidRPr="005730EC">
              <w:rPr>
                <w:rFonts w:cs="Arial"/>
                <w:color w:val="000000"/>
                <w:sz w:val="20"/>
              </w:rPr>
              <w:t xml:space="preserve">Monthly settlement statement and invoice with corresponding daily statements produced during market simulation </w:t>
            </w:r>
            <w:r>
              <w:rPr>
                <w:rFonts w:cs="Arial"/>
                <w:color w:val="000000"/>
                <w:sz w:val="20"/>
              </w:rPr>
              <w:t xml:space="preserve">and parallel operations </w:t>
            </w:r>
            <w:r w:rsidRPr="005730EC">
              <w:rPr>
                <w:rFonts w:cs="Arial"/>
                <w:color w:val="000000"/>
                <w:sz w:val="20"/>
              </w:rPr>
              <w:t>are verifiably accurate against available data.</w:t>
            </w:r>
            <w:r w:rsidRPr="005730EC" w:rsidDel="00592C47">
              <w:rPr>
                <w:rFonts w:cs="Arial"/>
                <w:color w:val="FF0101"/>
                <w:sz w:val="20"/>
              </w:rPr>
              <w:t xml:space="preserve"> </w:t>
            </w:r>
          </w:p>
        </w:tc>
      </w:tr>
      <w:tr w:rsidR="0048431D" w:rsidRPr="005730EC" w14:paraId="2F94E7F4" w14:textId="77777777" w:rsidTr="009E26DA">
        <w:trPr>
          <w:trHeight w:val="765"/>
        </w:trPr>
        <w:tc>
          <w:tcPr>
            <w:tcW w:w="1260" w:type="dxa"/>
            <w:tcBorders>
              <w:top w:val="nil"/>
              <w:left w:val="single" w:sz="4" w:space="0" w:color="auto"/>
              <w:bottom w:val="single" w:sz="4" w:space="0" w:color="auto"/>
              <w:right w:val="single" w:sz="4" w:space="0" w:color="auto"/>
            </w:tcBorders>
            <w:shd w:val="clear" w:color="000000" w:fill="FFFFFF"/>
            <w:noWrap/>
          </w:tcPr>
          <w:p w14:paraId="4619662C" w14:textId="77777777" w:rsidR="0048431D" w:rsidRPr="005730EC" w:rsidRDefault="0048431D" w:rsidP="0048431D">
            <w:pPr>
              <w:jc w:val="center"/>
              <w:rPr>
                <w:rFonts w:cs="Arial"/>
                <w:color w:val="000000"/>
                <w:sz w:val="20"/>
              </w:rPr>
            </w:pPr>
            <w:r>
              <w:rPr>
                <w:rFonts w:cs="Arial"/>
                <w:color w:val="000000"/>
                <w:sz w:val="20"/>
              </w:rPr>
              <w:t>26</w:t>
            </w:r>
          </w:p>
        </w:tc>
        <w:tc>
          <w:tcPr>
            <w:tcW w:w="1440" w:type="dxa"/>
            <w:tcBorders>
              <w:top w:val="nil"/>
              <w:left w:val="nil"/>
              <w:bottom w:val="single" w:sz="4" w:space="0" w:color="auto"/>
              <w:right w:val="single" w:sz="4" w:space="0" w:color="auto"/>
            </w:tcBorders>
            <w:shd w:val="clear" w:color="auto" w:fill="auto"/>
          </w:tcPr>
          <w:p w14:paraId="5771781B" w14:textId="77777777" w:rsidR="0048431D" w:rsidRPr="005730EC" w:rsidRDefault="0048431D" w:rsidP="0048431D">
            <w:pPr>
              <w:rPr>
                <w:rFonts w:cs="Arial"/>
                <w:color w:val="000000"/>
                <w:sz w:val="20"/>
              </w:rPr>
            </w:pPr>
            <w:r w:rsidRPr="005730EC">
              <w:rPr>
                <w:rFonts w:cs="Arial"/>
                <w:color w:val="000000"/>
                <w:sz w:val="20"/>
              </w:rPr>
              <w:t>Settlements</w:t>
            </w:r>
          </w:p>
        </w:tc>
        <w:tc>
          <w:tcPr>
            <w:tcW w:w="2142" w:type="dxa"/>
            <w:tcBorders>
              <w:top w:val="nil"/>
              <w:left w:val="nil"/>
              <w:bottom w:val="single" w:sz="4" w:space="0" w:color="auto"/>
              <w:right w:val="single" w:sz="4" w:space="0" w:color="auto"/>
            </w:tcBorders>
            <w:shd w:val="clear" w:color="auto" w:fill="auto"/>
          </w:tcPr>
          <w:p w14:paraId="371980A5" w14:textId="77777777" w:rsidR="0048431D" w:rsidRPr="005730EC" w:rsidRDefault="0048431D" w:rsidP="0048431D">
            <w:pPr>
              <w:rPr>
                <w:rFonts w:cs="Arial"/>
                <w:color w:val="000000"/>
                <w:sz w:val="20"/>
              </w:rPr>
            </w:pPr>
            <w:r>
              <w:rPr>
                <w:rFonts w:cs="Arial"/>
                <w:color w:val="000000"/>
                <w:sz w:val="20"/>
              </w:rPr>
              <w:t xml:space="preserve">The prospective </w:t>
            </w:r>
            <w:r w:rsidRPr="005730EC">
              <w:rPr>
                <w:rFonts w:cs="Arial"/>
                <w:color w:val="000000"/>
                <w:sz w:val="20"/>
              </w:rPr>
              <w:t xml:space="preserve">EIM Entity </w:t>
            </w:r>
            <w:r>
              <w:rPr>
                <w:rFonts w:cs="Arial"/>
                <w:color w:val="000000"/>
                <w:sz w:val="20"/>
              </w:rPr>
              <w:t>s</w:t>
            </w:r>
            <w:r w:rsidRPr="005730EC">
              <w:rPr>
                <w:rFonts w:cs="Arial"/>
                <w:color w:val="000000"/>
                <w:sz w:val="20"/>
              </w:rPr>
              <w:t xml:space="preserve">ettlement </w:t>
            </w:r>
            <w:r>
              <w:rPr>
                <w:rFonts w:cs="Arial"/>
                <w:color w:val="000000"/>
                <w:sz w:val="20"/>
              </w:rPr>
              <w:t>s</w:t>
            </w:r>
            <w:r w:rsidRPr="005730EC">
              <w:rPr>
                <w:rFonts w:cs="Arial"/>
                <w:color w:val="000000"/>
                <w:sz w:val="20"/>
              </w:rPr>
              <w:t xml:space="preserve">tatements and </w:t>
            </w:r>
            <w:r>
              <w:rPr>
                <w:rFonts w:cs="Arial"/>
                <w:color w:val="000000"/>
                <w:sz w:val="20"/>
              </w:rPr>
              <w:t>i</w:t>
            </w:r>
            <w:r w:rsidRPr="005730EC">
              <w:rPr>
                <w:rFonts w:cs="Arial"/>
                <w:color w:val="000000"/>
                <w:sz w:val="20"/>
              </w:rPr>
              <w:t xml:space="preserve">nvoices reflect </w:t>
            </w:r>
            <w:r>
              <w:rPr>
                <w:rFonts w:cs="Arial"/>
                <w:color w:val="000000"/>
                <w:sz w:val="20"/>
              </w:rPr>
              <w:t xml:space="preserve">accurate </w:t>
            </w:r>
            <w:r w:rsidRPr="005730EC">
              <w:rPr>
                <w:rFonts w:cs="Arial"/>
                <w:color w:val="000000"/>
                <w:sz w:val="20"/>
              </w:rPr>
              <w:t xml:space="preserve">allocations to </w:t>
            </w:r>
            <w:r>
              <w:rPr>
                <w:rFonts w:cs="Arial"/>
                <w:color w:val="000000"/>
                <w:sz w:val="20"/>
              </w:rPr>
              <w:t xml:space="preserve">the prospective </w:t>
            </w:r>
            <w:r w:rsidRPr="005730EC">
              <w:rPr>
                <w:rFonts w:cs="Arial"/>
                <w:color w:val="000000"/>
                <w:sz w:val="20"/>
              </w:rPr>
              <w:t>EIM Entity customers prior to financially binding operations.</w:t>
            </w:r>
          </w:p>
        </w:tc>
        <w:tc>
          <w:tcPr>
            <w:tcW w:w="2538" w:type="dxa"/>
            <w:tcBorders>
              <w:top w:val="nil"/>
              <w:left w:val="nil"/>
              <w:bottom w:val="single" w:sz="4" w:space="0" w:color="auto"/>
              <w:right w:val="single" w:sz="4" w:space="0" w:color="auto"/>
            </w:tcBorders>
            <w:shd w:val="clear" w:color="auto" w:fill="auto"/>
          </w:tcPr>
          <w:p w14:paraId="686915CD" w14:textId="77777777" w:rsidR="0048431D" w:rsidRPr="005730EC" w:rsidRDefault="0048431D" w:rsidP="0048431D">
            <w:pPr>
              <w:rPr>
                <w:rFonts w:cs="Arial"/>
                <w:color w:val="000000"/>
                <w:sz w:val="20"/>
              </w:rPr>
            </w:pPr>
            <w:r w:rsidRPr="005730EC">
              <w:rPr>
                <w:rFonts w:cs="Arial"/>
                <w:color w:val="000000"/>
                <w:sz w:val="20"/>
              </w:rPr>
              <w:t>Verification that settlement statements and invoices accurately reflects system and market data</w:t>
            </w:r>
            <w:r>
              <w:rPr>
                <w:rFonts w:cs="Arial"/>
                <w:color w:val="000000"/>
                <w:sz w:val="20"/>
              </w:rPr>
              <w:t xml:space="preserve"> </w:t>
            </w:r>
          </w:p>
        </w:tc>
        <w:tc>
          <w:tcPr>
            <w:tcW w:w="2862" w:type="dxa"/>
            <w:tcBorders>
              <w:top w:val="nil"/>
              <w:left w:val="nil"/>
              <w:bottom w:val="single" w:sz="4" w:space="0" w:color="auto"/>
              <w:right w:val="single" w:sz="4" w:space="0" w:color="auto"/>
            </w:tcBorders>
            <w:shd w:val="clear" w:color="auto" w:fill="auto"/>
          </w:tcPr>
          <w:p w14:paraId="22764DD7" w14:textId="77777777" w:rsidR="0048431D" w:rsidRPr="005730EC" w:rsidRDefault="0048431D" w:rsidP="0048431D">
            <w:pPr>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 xml:space="preserve">EIM Entity </w:t>
            </w:r>
            <w:r>
              <w:rPr>
                <w:rFonts w:cs="Arial"/>
                <w:color w:val="000000"/>
                <w:sz w:val="20"/>
              </w:rPr>
              <w:t>s</w:t>
            </w:r>
            <w:r w:rsidRPr="005730EC">
              <w:rPr>
                <w:rFonts w:cs="Arial"/>
                <w:color w:val="000000"/>
                <w:sz w:val="20"/>
              </w:rPr>
              <w:t xml:space="preserve">ettlement </w:t>
            </w:r>
            <w:r>
              <w:rPr>
                <w:rFonts w:cs="Arial"/>
                <w:color w:val="000000"/>
                <w:sz w:val="20"/>
              </w:rPr>
              <w:t>s</w:t>
            </w:r>
            <w:r w:rsidRPr="005730EC">
              <w:rPr>
                <w:rFonts w:cs="Arial"/>
                <w:color w:val="000000"/>
                <w:sz w:val="20"/>
              </w:rPr>
              <w:t xml:space="preserve">tatements and </w:t>
            </w:r>
            <w:r>
              <w:rPr>
                <w:rFonts w:cs="Arial"/>
                <w:color w:val="000000"/>
                <w:sz w:val="20"/>
              </w:rPr>
              <w:t>i</w:t>
            </w:r>
            <w:r w:rsidRPr="005730EC">
              <w:rPr>
                <w:rFonts w:cs="Arial"/>
                <w:color w:val="000000"/>
                <w:sz w:val="20"/>
              </w:rPr>
              <w:t xml:space="preserve">nvoices that allocate charges and credits to its customers accurately reflect system and market data during parallel operations.  </w:t>
            </w:r>
          </w:p>
        </w:tc>
      </w:tr>
      <w:tr w:rsidR="0048431D" w:rsidRPr="005730EC" w14:paraId="60043C0B" w14:textId="77777777" w:rsidTr="009E26DA">
        <w:trPr>
          <w:trHeight w:val="2610"/>
        </w:trPr>
        <w:tc>
          <w:tcPr>
            <w:tcW w:w="1260" w:type="dxa"/>
            <w:tcBorders>
              <w:top w:val="nil"/>
              <w:left w:val="single" w:sz="4" w:space="0" w:color="auto"/>
              <w:bottom w:val="single" w:sz="4" w:space="0" w:color="auto"/>
              <w:right w:val="single" w:sz="4" w:space="0" w:color="auto"/>
            </w:tcBorders>
            <w:shd w:val="clear" w:color="000000" w:fill="FFFFFF"/>
            <w:noWrap/>
            <w:hideMark/>
          </w:tcPr>
          <w:p w14:paraId="7E9353FA" w14:textId="77777777" w:rsidR="0048431D" w:rsidRPr="005730EC" w:rsidRDefault="0048431D" w:rsidP="0048431D">
            <w:pPr>
              <w:jc w:val="center"/>
              <w:rPr>
                <w:rFonts w:cs="Arial"/>
                <w:color w:val="000000"/>
                <w:sz w:val="20"/>
              </w:rPr>
            </w:pPr>
            <w:r>
              <w:rPr>
                <w:rFonts w:cs="Arial"/>
                <w:color w:val="000000"/>
                <w:sz w:val="20"/>
              </w:rPr>
              <w:t>27</w:t>
            </w:r>
          </w:p>
        </w:tc>
        <w:tc>
          <w:tcPr>
            <w:tcW w:w="1440" w:type="dxa"/>
            <w:tcBorders>
              <w:top w:val="nil"/>
              <w:left w:val="nil"/>
              <w:bottom w:val="single" w:sz="4" w:space="0" w:color="auto"/>
              <w:right w:val="single" w:sz="4" w:space="0" w:color="auto"/>
            </w:tcBorders>
            <w:shd w:val="clear" w:color="auto" w:fill="auto"/>
            <w:hideMark/>
          </w:tcPr>
          <w:p w14:paraId="7509A3F0" w14:textId="77777777" w:rsidR="0048431D" w:rsidRPr="005730EC" w:rsidRDefault="0048431D" w:rsidP="0048431D">
            <w:pPr>
              <w:rPr>
                <w:rFonts w:cs="Arial"/>
                <w:color w:val="000000"/>
                <w:sz w:val="20"/>
              </w:rPr>
            </w:pPr>
            <w:r w:rsidRPr="005730EC">
              <w:rPr>
                <w:rFonts w:cs="Arial"/>
                <w:color w:val="000000"/>
                <w:sz w:val="20"/>
              </w:rPr>
              <w:t>Monitoring</w:t>
            </w:r>
          </w:p>
        </w:tc>
        <w:tc>
          <w:tcPr>
            <w:tcW w:w="2142" w:type="dxa"/>
            <w:tcBorders>
              <w:top w:val="nil"/>
              <w:left w:val="nil"/>
              <w:bottom w:val="single" w:sz="4" w:space="0" w:color="auto"/>
              <w:right w:val="single" w:sz="4" w:space="0" w:color="auto"/>
            </w:tcBorders>
            <w:shd w:val="clear" w:color="auto" w:fill="auto"/>
            <w:hideMark/>
          </w:tcPr>
          <w:p w14:paraId="0DE333CA" w14:textId="77777777" w:rsidR="0048431D" w:rsidRPr="005730EC" w:rsidRDefault="0048431D" w:rsidP="0048431D">
            <w:pPr>
              <w:rPr>
                <w:rFonts w:cs="Arial"/>
                <w:color w:val="000000"/>
                <w:sz w:val="20"/>
              </w:rPr>
            </w:pPr>
            <w:r w:rsidRPr="005730EC">
              <w:rPr>
                <w:rFonts w:cs="Arial"/>
                <w:color w:val="000000"/>
                <w:sz w:val="20"/>
              </w:rPr>
              <w:t>Data monitoring</w:t>
            </w:r>
          </w:p>
        </w:tc>
        <w:tc>
          <w:tcPr>
            <w:tcW w:w="2538" w:type="dxa"/>
            <w:tcBorders>
              <w:top w:val="nil"/>
              <w:left w:val="nil"/>
              <w:bottom w:val="single" w:sz="4" w:space="0" w:color="auto"/>
              <w:right w:val="single" w:sz="4" w:space="0" w:color="auto"/>
            </w:tcBorders>
            <w:shd w:val="clear" w:color="auto" w:fill="auto"/>
            <w:hideMark/>
          </w:tcPr>
          <w:p w14:paraId="60467AC3" w14:textId="77777777" w:rsidR="0048431D" w:rsidRPr="005730EC" w:rsidRDefault="0048431D" w:rsidP="0048431D">
            <w:pPr>
              <w:rPr>
                <w:rFonts w:cs="Arial"/>
                <w:color w:val="000000"/>
                <w:sz w:val="20"/>
              </w:rPr>
            </w:pPr>
            <w:r w:rsidRPr="005730EC">
              <w:rPr>
                <w:rFonts w:cs="Arial"/>
                <w:color w:val="000000"/>
                <w:sz w:val="20"/>
              </w:rPr>
              <w:t xml:space="preserve">Sufficient and adequate data is available to the CAISO and the Department of Market Monitoring </w:t>
            </w:r>
          </w:p>
        </w:tc>
        <w:tc>
          <w:tcPr>
            <w:tcW w:w="2862" w:type="dxa"/>
            <w:tcBorders>
              <w:top w:val="nil"/>
              <w:left w:val="nil"/>
              <w:bottom w:val="single" w:sz="4" w:space="0" w:color="auto"/>
              <w:right w:val="single" w:sz="4" w:space="0" w:color="auto"/>
            </w:tcBorders>
            <w:shd w:val="clear" w:color="auto" w:fill="auto"/>
            <w:hideMark/>
          </w:tcPr>
          <w:p w14:paraId="0AE07564" w14:textId="77777777" w:rsidR="0048431D" w:rsidRPr="005730EC" w:rsidRDefault="0048431D" w:rsidP="0048431D">
            <w:pPr>
              <w:rPr>
                <w:rFonts w:cs="Arial"/>
                <w:color w:val="000000"/>
                <w:sz w:val="20"/>
              </w:rPr>
            </w:pPr>
            <w:r w:rsidRPr="005730EC">
              <w:rPr>
                <w:rFonts w:cs="Arial"/>
                <w:color w:val="000000"/>
                <w:sz w:val="20"/>
              </w:rPr>
              <w:t xml:space="preserve">All required market monitoring data is available during testing and during post go-live for the key metrics (any exceptions will be addressed). </w:t>
            </w:r>
            <w:r w:rsidRPr="005730EC">
              <w:rPr>
                <w:rFonts w:cs="Arial"/>
                <w:color w:val="000000"/>
                <w:sz w:val="20"/>
              </w:rPr>
              <w:br/>
            </w:r>
            <w:r w:rsidRPr="005730EC">
              <w:rPr>
                <w:rFonts w:cs="Arial"/>
                <w:color w:val="000000"/>
                <w:sz w:val="20"/>
              </w:rPr>
              <w:br/>
              <w:t>CAISO will provide a market report that will provide publicly available information to all market participants.</w:t>
            </w:r>
          </w:p>
        </w:tc>
      </w:tr>
      <w:tr w:rsidR="0048431D" w:rsidRPr="005730EC" w14:paraId="658712C5" w14:textId="77777777" w:rsidTr="009E26DA">
        <w:trPr>
          <w:trHeight w:val="765"/>
        </w:trPr>
        <w:tc>
          <w:tcPr>
            <w:tcW w:w="1260" w:type="dxa"/>
            <w:tcBorders>
              <w:top w:val="nil"/>
              <w:left w:val="single" w:sz="4" w:space="0" w:color="auto"/>
              <w:bottom w:val="single" w:sz="4" w:space="0" w:color="auto"/>
              <w:right w:val="single" w:sz="4" w:space="0" w:color="auto"/>
            </w:tcBorders>
            <w:shd w:val="clear" w:color="000000" w:fill="FFFFFF"/>
            <w:noWrap/>
            <w:hideMark/>
          </w:tcPr>
          <w:p w14:paraId="1D804D1C" w14:textId="77777777" w:rsidR="0048431D" w:rsidRPr="005730EC" w:rsidRDefault="0048431D" w:rsidP="0048431D">
            <w:pPr>
              <w:jc w:val="center"/>
              <w:rPr>
                <w:rFonts w:cs="Arial"/>
                <w:color w:val="000000"/>
                <w:sz w:val="20"/>
              </w:rPr>
            </w:pPr>
            <w:r>
              <w:rPr>
                <w:rFonts w:cs="Arial"/>
                <w:color w:val="000000"/>
                <w:sz w:val="20"/>
              </w:rPr>
              <w:t>28</w:t>
            </w:r>
          </w:p>
        </w:tc>
        <w:tc>
          <w:tcPr>
            <w:tcW w:w="1440" w:type="dxa"/>
            <w:tcBorders>
              <w:top w:val="nil"/>
              <w:left w:val="nil"/>
              <w:bottom w:val="single" w:sz="4" w:space="0" w:color="auto"/>
              <w:right w:val="single" w:sz="4" w:space="0" w:color="auto"/>
            </w:tcBorders>
            <w:shd w:val="clear" w:color="auto" w:fill="auto"/>
            <w:hideMark/>
          </w:tcPr>
          <w:p w14:paraId="5E1B0037" w14:textId="77777777" w:rsidR="0048431D" w:rsidRPr="005730EC" w:rsidRDefault="0048431D" w:rsidP="0048431D">
            <w:pPr>
              <w:rPr>
                <w:rFonts w:cs="Arial"/>
                <w:color w:val="000000"/>
                <w:sz w:val="20"/>
              </w:rPr>
            </w:pPr>
            <w:r w:rsidRPr="005730EC">
              <w:rPr>
                <w:rFonts w:cs="Arial"/>
                <w:color w:val="000000"/>
                <w:sz w:val="20"/>
              </w:rPr>
              <w:t xml:space="preserve">Parallel </w:t>
            </w:r>
            <w:r>
              <w:rPr>
                <w:rFonts w:cs="Arial"/>
                <w:color w:val="000000"/>
                <w:sz w:val="20"/>
              </w:rPr>
              <w:t xml:space="preserve"> Operations</w:t>
            </w:r>
            <w:r w:rsidRPr="005730EC">
              <w:rPr>
                <w:rFonts w:cs="Arial"/>
                <w:color w:val="000000"/>
                <w:sz w:val="20"/>
              </w:rPr>
              <w:t xml:space="preserve"> Plan</w:t>
            </w:r>
          </w:p>
        </w:tc>
        <w:tc>
          <w:tcPr>
            <w:tcW w:w="2142" w:type="dxa"/>
            <w:tcBorders>
              <w:top w:val="nil"/>
              <w:left w:val="nil"/>
              <w:bottom w:val="single" w:sz="4" w:space="0" w:color="auto"/>
              <w:right w:val="single" w:sz="4" w:space="0" w:color="auto"/>
            </w:tcBorders>
            <w:shd w:val="clear" w:color="auto" w:fill="auto"/>
            <w:hideMark/>
          </w:tcPr>
          <w:p w14:paraId="4CE41E0A" w14:textId="77777777" w:rsidR="0048431D" w:rsidRPr="005730EC" w:rsidRDefault="0048431D" w:rsidP="0048431D">
            <w:pPr>
              <w:rPr>
                <w:rFonts w:cs="Arial"/>
                <w:color w:val="000000"/>
                <w:sz w:val="20"/>
              </w:rPr>
            </w:pPr>
            <w:r w:rsidRPr="005730EC">
              <w:rPr>
                <w:rFonts w:cs="Arial"/>
                <w:color w:val="000000"/>
                <w:sz w:val="20"/>
              </w:rPr>
              <w:t xml:space="preserve">Deployment plan </w:t>
            </w:r>
          </w:p>
        </w:tc>
        <w:tc>
          <w:tcPr>
            <w:tcW w:w="2538" w:type="dxa"/>
            <w:tcBorders>
              <w:top w:val="nil"/>
              <w:left w:val="nil"/>
              <w:bottom w:val="single" w:sz="4" w:space="0" w:color="auto"/>
              <w:right w:val="single" w:sz="4" w:space="0" w:color="auto"/>
            </w:tcBorders>
            <w:shd w:val="clear" w:color="auto" w:fill="auto"/>
            <w:hideMark/>
          </w:tcPr>
          <w:p w14:paraId="66613A3A" w14:textId="77777777" w:rsidR="0048431D" w:rsidRPr="005730EC" w:rsidRDefault="0048431D" w:rsidP="0048431D">
            <w:pPr>
              <w:rPr>
                <w:rFonts w:cs="Arial"/>
                <w:color w:val="000000"/>
                <w:sz w:val="20"/>
              </w:rPr>
            </w:pPr>
            <w:r>
              <w:rPr>
                <w:rFonts w:cs="Arial"/>
                <w:color w:val="000000"/>
                <w:sz w:val="20"/>
              </w:rPr>
              <w:t>P</w:t>
            </w:r>
            <w:r w:rsidRPr="003243AE">
              <w:rPr>
                <w:rFonts w:cs="Arial"/>
                <w:color w:val="000000"/>
                <w:sz w:val="20"/>
              </w:rPr>
              <w:t xml:space="preserve">arallel </w:t>
            </w:r>
            <w:r>
              <w:rPr>
                <w:rFonts w:cs="Arial"/>
                <w:color w:val="000000"/>
                <w:sz w:val="20"/>
              </w:rPr>
              <w:t>operations</w:t>
            </w:r>
            <w:r w:rsidRPr="003243AE">
              <w:rPr>
                <w:rFonts w:cs="Arial"/>
                <w:color w:val="000000"/>
                <w:sz w:val="20"/>
              </w:rPr>
              <w:t xml:space="preserve"> run consistently and in accordance with the timeframe set forth in the prospective EIM Entity specific parallel operation plan</w:t>
            </w:r>
          </w:p>
        </w:tc>
        <w:tc>
          <w:tcPr>
            <w:tcW w:w="2862" w:type="dxa"/>
            <w:tcBorders>
              <w:top w:val="nil"/>
              <w:left w:val="nil"/>
              <w:bottom w:val="single" w:sz="4" w:space="0" w:color="auto"/>
              <w:right w:val="single" w:sz="4" w:space="0" w:color="auto"/>
            </w:tcBorders>
            <w:shd w:val="clear" w:color="auto" w:fill="auto"/>
            <w:hideMark/>
          </w:tcPr>
          <w:p w14:paraId="3B039FAF" w14:textId="77777777" w:rsidR="0048431D" w:rsidRDefault="0048431D" w:rsidP="0048431D">
            <w:pPr>
              <w:rPr>
                <w:rFonts w:cs="Arial"/>
                <w:color w:val="000000"/>
                <w:sz w:val="20"/>
              </w:rPr>
            </w:pPr>
            <w:r w:rsidRPr="005730EC">
              <w:rPr>
                <w:rFonts w:cs="Arial"/>
                <w:color w:val="000000"/>
                <w:sz w:val="20"/>
              </w:rPr>
              <w:t xml:space="preserve">Parallel operations runs consistently within </w:t>
            </w:r>
            <w:r>
              <w:rPr>
                <w:rFonts w:cs="Arial"/>
                <w:color w:val="000000"/>
                <w:sz w:val="20"/>
              </w:rPr>
              <w:t>normal production CAISO M</w:t>
            </w:r>
            <w:r w:rsidRPr="005730EC">
              <w:rPr>
                <w:rFonts w:cs="Arial"/>
                <w:color w:val="000000"/>
                <w:sz w:val="20"/>
              </w:rPr>
              <w:t>arket disruption tolerances.</w:t>
            </w:r>
          </w:p>
          <w:p w14:paraId="1511C389" w14:textId="77777777" w:rsidR="0048431D" w:rsidRPr="00A73BF0" w:rsidRDefault="0048431D" w:rsidP="0048431D">
            <w:pPr>
              <w:rPr>
                <w:rFonts w:cs="Arial"/>
                <w:sz w:val="20"/>
              </w:rPr>
            </w:pPr>
          </w:p>
        </w:tc>
      </w:tr>
      <w:tr w:rsidR="0048431D" w:rsidRPr="005730EC" w14:paraId="69720EC6" w14:textId="77777777" w:rsidTr="009E26DA">
        <w:trPr>
          <w:trHeight w:val="260"/>
        </w:trPr>
        <w:tc>
          <w:tcPr>
            <w:tcW w:w="1260" w:type="dxa"/>
            <w:tcBorders>
              <w:top w:val="single" w:sz="4" w:space="0" w:color="auto"/>
              <w:left w:val="single" w:sz="4" w:space="0" w:color="auto"/>
              <w:bottom w:val="single" w:sz="4" w:space="0" w:color="auto"/>
              <w:right w:val="single" w:sz="4" w:space="0" w:color="auto"/>
            </w:tcBorders>
            <w:shd w:val="clear" w:color="000000" w:fill="FFFFFF"/>
            <w:noWrap/>
          </w:tcPr>
          <w:p w14:paraId="09E7EBA8" w14:textId="77777777" w:rsidR="0048431D" w:rsidRPr="005730EC" w:rsidRDefault="0048431D" w:rsidP="0048431D">
            <w:pPr>
              <w:jc w:val="center"/>
              <w:rPr>
                <w:rFonts w:cs="Arial"/>
                <w:color w:val="000000"/>
                <w:sz w:val="20"/>
              </w:rPr>
            </w:pPr>
            <w:r>
              <w:rPr>
                <w:rFonts w:cs="Arial"/>
                <w:color w:val="000000"/>
                <w:sz w:val="20"/>
              </w:rPr>
              <w:t>29</w:t>
            </w:r>
          </w:p>
        </w:tc>
        <w:tc>
          <w:tcPr>
            <w:tcW w:w="1440" w:type="dxa"/>
            <w:tcBorders>
              <w:top w:val="single" w:sz="4" w:space="0" w:color="auto"/>
              <w:left w:val="nil"/>
              <w:bottom w:val="single" w:sz="4" w:space="0" w:color="auto"/>
              <w:right w:val="single" w:sz="4" w:space="0" w:color="auto"/>
            </w:tcBorders>
            <w:shd w:val="clear" w:color="auto" w:fill="auto"/>
          </w:tcPr>
          <w:p w14:paraId="21484893" w14:textId="2DEB6F18" w:rsidR="0048431D" w:rsidRPr="005730EC" w:rsidRDefault="00B722C6" w:rsidP="0048431D">
            <w:pPr>
              <w:rPr>
                <w:rFonts w:cs="Arial"/>
                <w:color w:val="000000"/>
                <w:sz w:val="20"/>
              </w:rPr>
            </w:pPr>
            <w:r>
              <w:rPr>
                <w:rFonts w:cs="Arial"/>
                <w:color w:val="000000"/>
                <w:sz w:val="20"/>
              </w:rPr>
              <w:t>o</w:t>
            </w:r>
            <w:r w:rsidR="0048431D" w:rsidRPr="005730EC">
              <w:rPr>
                <w:rFonts w:cs="Arial"/>
                <w:color w:val="000000"/>
                <w:sz w:val="20"/>
              </w:rPr>
              <w:t xml:space="preserve">utage </w:t>
            </w:r>
            <w:r>
              <w:rPr>
                <w:rFonts w:cs="Arial"/>
                <w:color w:val="000000"/>
                <w:sz w:val="20"/>
              </w:rPr>
              <w:t>m</w:t>
            </w:r>
            <w:r w:rsidR="0048431D" w:rsidRPr="005730EC">
              <w:rPr>
                <w:rFonts w:cs="Arial"/>
                <w:color w:val="000000"/>
                <w:sz w:val="20"/>
              </w:rPr>
              <w:t xml:space="preserve">anagement </w:t>
            </w:r>
            <w:r>
              <w:rPr>
                <w:rFonts w:cs="Arial"/>
                <w:color w:val="000000"/>
                <w:sz w:val="20"/>
              </w:rPr>
              <w:t>s</w:t>
            </w:r>
            <w:r w:rsidR="0048431D" w:rsidRPr="005730EC">
              <w:rPr>
                <w:rFonts w:cs="Arial"/>
                <w:color w:val="000000"/>
                <w:sz w:val="20"/>
              </w:rPr>
              <w:t>ystem</w:t>
            </w:r>
          </w:p>
          <w:p w14:paraId="6D15003F" w14:textId="77777777" w:rsidR="0048431D" w:rsidRPr="005730EC" w:rsidRDefault="0048431D" w:rsidP="0048431D">
            <w:pPr>
              <w:rPr>
                <w:rFonts w:cs="Arial"/>
                <w:color w:val="000000"/>
                <w:sz w:val="20"/>
              </w:rPr>
            </w:pPr>
          </w:p>
          <w:p w14:paraId="59B770B7" w14:textId="77777777" w:rsidR="0048431D" w:rsidRPr="005730EC" w:rsidDel="00F9298F" w:rsidRDefault="0048431D" w:rsidP="0048431D">
            <w:pPr>
              <w:rPr>
                <w:rFonts w:cs="Arial"/>
                <w:color w:val="000000"/>
                <w:sz w:val="20"/>
              </w:rPr>
            </w:pPr>
          </w:p>
        </w:tc>
        <w:tc>
          <w:tcPr>
            <w:tcW w:w="2142" w:type="dxa"/>
            <w:tcBorders>
              <w:top w:val="single" w:sz="4" w:space="0" w:color="auto"/>
              <w:left w:val="nil"/>
              <w:bottom w:val="single" w:sz="4" w:space="0" w:color="auto"/>
              <w:right w:val="single" w:sz="4" w:space="0" w:color="auto"/>
            </w:tcBorders>
            <w:shd w:val="clear" w:color="auto" w:fill="auto"/>
          </w:tcPr>
          <w:p w14:paraId="6D6BF1D2" w14:textId="77777777" w:rsidR="0048431D" w:rsidRPr="005730EC" w:rsidRDefault="0048431D" w:rsidP="0048431D">
            <w:pPr>
              <w:rPr>
                <w:rFonts w:cs="Arial"/>
                <w:color w:val="000000"/>
                <w:sz w:val="20"/>
              </w:rPr>
            </w:pPr>
            <w:r w:rsidRPr="005730EC">
              <w:rPr>
                <w:rFonts w:cs="Arial"/>
                <w:color w:val="000000"/>
                <w:sz w:val="20"/>
              </w:rPr>
              <w:t>Transmission and generation outage submittal and retrieval</w:t>
            </w:r>
          </w:p>
        </w:tc>
        <w:tc>
          <w:tcPr>
            <w:tcW w:w="2538" w:type="dxa"/>
            <w:tcBorders>
              <w:top w:val="single" w:sz="4" w:space="0" w:color="auto"/>
              <w:left w:val="nil"/>
              <w:bottom w:val="single" w:sz="4" w:space="0" w:color="auto"/>
              <w:right w:val="single" w:sz="4" w:space="0" w:color="auto"/>
            </w:tcBorders>
            <w:shd w:val="clear" w:color="auto" w:fill="auto"/>
          </w:tcPr>
          <w:p w14:paraId="61290138" w14:textId="77777777" w:rsidR="0048431D" w:rsidRPr="005730EC" w:rsidRDefault="0048431D" w:rsidP="0048431D">
            <w:pPr>
              <w:rPr>
                <w:rFonts w:cs="Arial"/>
                <w:color w:val="000000"/>
                <w:sz w:val="20"/>
              </w:rPr>
            </w:pPr>
            <w:r>
              <w:rPr>
                <w:rFonts w:cs="Arial"/>
                <w:sz w:val="20"/>
              </w:rPr>
              <w:t>The p</w:t>
            </w:r>
            <w:r w:rsidRPr="00200458">
              <w:rPr>
                <w:rFonts w:cs="Arial"/>
                <w:sz w:val="20"/>
              </w:rPr>
              <w:t xml:space="preserve">rospective </w:t>
            </w:r>
            <w:r w:rsidRPr="005730EC">
              <w:rPr>
                <w:rFonts w:cs="Arial"/>
                <w:color w:val="000000"/>
                <w:sz w:val="20"/>
              </w:rPr>
              <w:t xml:space="preserve">EIM Entity will verify its ability to submit and retrieve outage information with the CAISO </w:t>
            </w:r>
          </w:p>
        </w:tc>
        <w:tc>
          <w:tcPr>
            <w:tcW w:w="2862" w:type="dxa"/>
            <w:tcBorders>
              <w:top w:val="single" w:sz="4" w:space="0" w:color="auto"/>
              <w:left w:val="nil"/>
              <w:bottom w:val="single" w:sz="4" w:space="0" w:color="auto"/>
              <w:right w:val="single" w:sz="4" w:space="0" w:color="auto"/>
            </w:tcBorders>
            <w:shd w:val="clear" w:color="auto" w:fill="auto"/>
          </w:tcPr>
          <w:p w14:paraId="7D20ABF7" w14:textId="77777777" w:rsidR="0048431D" w:rsidRPr="005730EC" w:rsidRDefault="0048431D" w:rsidP="0048431D">
            <w:pPr>
              <w:rPr>
                <w:rFonts w:cs="Arial"/>
                <w:color w:val="000000"/>
                <w:sz w:val="20"/>
              </w:rPr>
            </w:pPr>
            <w:r w:rsidRPr="005730EC">
              <w:rPr>
                <w:rFonts w:cs="Arial"/>
                <w:color w:val="000000"/>
                <w:sz w:val="20"/>
              </w:rPr>
              <w:t xml:space="preserve">The </w:t>
            </w:r>
            <w:r w:rsidRPr="00200458">
              <w:rPr>
                <w:rFonts w:cs="Arial"/>
                <w:sz w:val="20"/>
              </w:rPr>
              <w:t xml:space="preserve">prospective </w:t>
            </w:r>
            <w:r w:rsidRPr="005730EC">
              <w:rPr>
                <w:rFonts w:cs="Arial"/>
                <w:color w:val="000000"/>
                <w:sz w:val="20"/>
              </w:rPr>
              <w:t xml:space="preserve">EIM Entity validate their ability to submit and retrieve transmission out-of-service outages, generation Pmax derates, generation Pmin rerates, and generation out-of-service outage tickets within the required timelines. </w:t>
            </w:r>
          </w:p>
        </w:tc>
      </w:tr>
      <w:tr w:rsidR="0048431D" w:rsidRPr="005730EC" w14:paraId="0A843DEE" w14:textId="77777777" w:rsidTr="009E26DA">
        <w:trPr>
          <w:trHeight w:val="765"/>
        </w:trPr>
        <w:tc>
          <w:tcPr>
            <w:tcW w:w="1260" w:type="dxa"/>
            <w:tcBorders>
              <w:top w:val="single" w:sz="4" w:space="0" w:color="auto"/>
              <w:left w:val="single" w:sz="4" w:space="0" w:color="auto"/>
              <w:bottom w:val="single" w:sz="4" w:space="0" w:color="auto"/>
              <w:right w:val="single" w:sz="4" w:space="0" w:color="auto"/>
            </w:tcBorders>
            <w:shd w:val="clear" w:color="000000" w:fill="FFFFFF"/>
            <w:noWrap/>
          </w:tcPr>
          <w:p w14:paraId="57ADBF6F" w14:textId="77777777" w:rsidR="0048431D" w:rsidRPr="005730EC" w:rsidRDefault="0048431D" w:rsidP="0048431D">
            <w:pPr>
              <w:jc w:val="center"/>
              <w:rPr>
                <w:rFonts w:cs="Arial"/>
                <w:color w:val="000000"/>
                <w:sz w:val="20"/>
              </w:rPr>
            </w:pPr>
            <w:r>
              <w:rPr>
                <w:rFonts w:cs="Arial"/>
                <w:color w:val="000000"/>
                <w:sz w:val="20"/>
              </w:rPr>
              <w:t>30</w:t>
            </w:r>
          </w:p>
        </w:tc>
        <w:tc>
          <w:tcPr>
            <w:tcW w:w="1440" w:type="dxa"/>
            <w:tcBorders>
              <w:top w:val="single" w:sz="4" w:space="0" w:color="auto"/>
              <w:left w:val="nil"/>
              <w:bottom w:val="single" w:sz="4" w:space="0" w:color="auto"/>
              <w:right w:val="single" w:sz="4" w:space="0" w:color="auto"/>
            </w:tcBorders>
            <w:shd w:val="clear" w:color="auto" w:fill="auto"/>
          </w:tcPr>
          <w:p w14:paraId="3F95E8AE" w14:textId="77777777" w:rsidR="0048431D" w:rsidRPr="005730EC" w:rsidRDefault="0048431D" w:rsidP="0048431D">
            <w:pPr>
              <w:rPr>
                <w:rFonts w:cs="Arial"/>
                <w:color w:val="000000"/>
                <w:sz w:val="20"/>
              </w:rPr>
            </w:pPr>
            <w:r w:rsidRPr="005730EC">
              <w:rPr>
                <w:rFonts w:cs="Arial"/>
                <w:color w:val="000000"/>
                <w:sz w:val="20"/>
              </w:rPr>
              <w:t xml:space="preserve">Communications between the CAISO and the </w:t>
            </w:r>
            <w:r w:rsidRPr="00200458">
              <w:rPr>
                <w:rFonts w:cs="Arial"/>
                <w:sz w:val="20"/>
              </w:rPr>
              <w:t xml:space="preserve">prospective </w:t>
            </w:r>
            <w:r w:rsidRPr="005730EC">
              <w:rPr>
                <w:rFonts w:cs="Arial"/>
                <w:color w:val="000000"/>
                <w:sz w:val="20"/>
              </w:rPr>
              <w:t xml:space="preserve">EIM Entity </w:t>
            </w:r>
          </w:p>
        </w:tc>
        <w:tc>
          <w:tcPr>
            <w:tcW w:w="2142" w:type="dxa"/>
            <w:tcBorders>
              <w:top w:val="single" w:sz="4" w:space="0" w:color="auto"/>
              <w:left w:val="nil"/>
              <w:bottom w:val="single" w:sz="4" w:space="0" w:color="auto"/>
              <w:right w:val="single" w:sz="4" w:space="0" w:color="auto"/>
            </w:tcBorders>
            <w:shd w:val="clear" w:color="auto" w:fill="auto"/>
          </w:tcPr>
          <w:p w14:paraId="750C2F81" w14:textId="77777777" w:rsidR="0048431D" w:rsidRPr="005730EC" w:rsidRDefault="0048431D" w:rsidP="0048431D">
            <w:pPr>
              <w:rPr>
                <w:rFonts w:cs="Arial"/>
                <w:color w:val="000000"/>
                <w:sz w:val="20"/>
              </w:rPr>
            </w:pPr>
            <w:r w:rsidRPr="005730EC">
              <w:rPr>
                <w:rFonts w:cs="Arial"/>
                <w:color w:val="000000"/>
                <w:sz w:val="20"/>
              </w:rPr>
              <w:t>Voice and/or electronic messaging</w:t>
            </w:r>
          </w:p>
        </w:tc>
        <w:tc>
          <w:tcPr>
            <w:tcW w:w="2538" w:type="dxa"/>
            <w:tcBorders>
              <w:top w:val="single" w:sz="4" w:space="0" w:color="auto"/>
              <w:left w:val="nil"/>
              <w:bottom w:val="single" w:sz="4" w:space="0" w:color="auto"/>
              <w:right w:val="single" w:sz="4" w:space="0" w:color="auto"/>
            </w:tcBorders>
            <w:shd w:val="clear" w:color="auto" w:fill="auto"/>
          </w:tcPr>
          <w:p w14:paraId="6F874EF6" w14:textId="77777777" w:rsidR="0048431D" w:rsidRPr="005730EC" w:rsidRDefault="0048431D" w:rsidP="0048431D">
            <w:pPr>
              <w:rPr>
                <w:rFonts w:cs="Arial"/>
                <w:color w:val="000000"/>
                <w:sz w:val="20"/>
              </w:rPr>
            </w:pPr>
            <w:r>
              <w:rPr>
                <w:rFonts w:cs="Arial"/>
                <w:color w:val="000000"/>
                <w:sz w:val="20"/>
              </w:rPr>
              <w:t>Implemented p</w:t>
            </w:r>
            <w:r w:rsidRPr="005730EC">
              <w:rPr>
                <w:rFonts w:cs="Arial"/>
                <w:color w:val="000000"/>
                <w:sz w:val="20"/>
              </w:rPr>
              <w:t xml:space="preserve">rocess and procedures used for voice and/or electronic messaging </w:t>
            </w:r>
          </w:p>
        </w:tc>
        <w:tc>
          <w:tcPr>
            <w:tcW w:w="2862" w:type="dxa"/>
            <w:tcBorders>
              <w:top w:val="single" w:sz="4" w:space="0" w:color="auto"/>
              <w:left w:val="nil"/>
              <w:bottom w:val="single" w:sz="4" w:space="0" w:color="auto"/>
              <w:right w:val="single" w:sz="4" w:space="0" w:color="auto"/>
            </w:tcBorders>
            <w:shd w:val="clear" w:color="auto" w:fill="auto"/>
          </w:tcPr>
          <w:p w14:paraId="34ED312C" w14:textId="77777777" w:rsidR="0048431D" w:rsidRPr="005730EC" w:rsidRDefault="0048431D" w:rsidP="0048431D">
            <w:pPr>
              <w:rPr>
                <w:rFonts w:cs="Arial"/>
                <w:color w:val="000000"/>
                <w:sz w:val="20"/>
              </w:rPr>
            </w:pPr>
            <w:r w:rsidRPr="005730EC">
              <w:rPr>
                <w:rFonts w:cs="Arial"/>
                <w:color w:val="000000"/>
                <w:sz w:val="20"/>
              </w:rPr>
              <w:t>The process and procedures are incorporated into the</w:t>
            </w:r>
            <w:r>
              <w:rPr>
                <w:rFonts w:cs="Arial"/>
                <w:color w:val="000000"/>
                <w:sz w:val="20"/>
              </w:rPr>
              <w:t xml:space="preserve"> </w:t>
            </w:r>
            <w:r w:rsidRPr="00200458">
              <w:rPr>
                <w:rFonts w:cs="Arial"/>
                <w:sz w:val="20"/>
              </w:rPr>
              <w:t>prospective</w:t>
            </w:r>
            <w:r w:rsidRPr="005730EC">
              <w:rPr>
                <w:rFonts w:cs="Arial"/>
                <w:color w:val="000000"/>
                <w:sz w:val="20"/>
              </w:rPr>
              <w:t xml:space="preserve"> EIM Entities business processes before the start of market simulation. </w:t>
            </w:r>
          </w:p>
        </w:tc>
      </w:tr>
      <w:tr w:rsidR="0048431D" w:rsidRPr="005730EC" w14:paraId="286E9900" w14:textId="77777777" w:rsidTr="009E26DA">
        <w:trPr>
          <w:trHeight w:val="765"/>
        </w:trPr>
        <w:tc>
          <w:tcPr>
            <w:tcW w:w="1260" w:type="dxa"/>
            <w:tcBorders>
              <w:top w:val="single" w:sz="4" w:space="0" w:color="auto"/>
              <w:left w:val="single" w:sz="4" w:space="0" w:color="auto"/>
              <w:bottom w:val="single" w:sz="4" w:space="0" w:color="auto"/>
              <w:right w:val="single" w:sz="4" w:space="0" w:color="auto"/>
            </w:tcBorders>
            <w:shd w:val="clear" w:color="000000" w:fill="FFFFFF"/>
            <w:noWrap/>
          </w:tcPr>
          <w:p w14:paraId="0E4877E1" w14:textId="77777777" w:rsidR="0048431D" w:rsidRPr="005730EC" w:rsidRDefault="0048431D" w:rsidP="0048431D">
            <w:pPr>
              <w:jc w:val="center"/>
              <w:rPr>
                <w:rFonts w:cs="Arial"/>
                <w:color w:val="000000"/>
                <w:sz w:val="20"/>
              </w:rPr>
            </w:pPr>
            <w:r>
              <w:rPr>
                <w:rFonts w:cs="Arial"/>
                <w:color w:val="000000"/>
                <w:sz w:val="20"/>
              </w:rPr>
              <w:t>31</w:t>
            </w:r>
          </w:p>
        </w:tc>
        <w:tc>
          <w:tcPr>
            <w:tcW w:w="1440" w:type="dxa"/>
            <w:tcBorders>
              <w:top w:val="single" w:sz="4" w:space="0" w:color="auto"/>
              <w:left w:val="nil"/>
              <w:bottom w:val="single" w:sz="4" w:space="0" w:color="auto"/>
              <w:right w:val="single" w:sz="4" w:space="0" w:color="auto"/>
            </w:tcBorders>
            <w:shd w:val="clear" w:color="auto" w:fill="auto"/>
          </w:tcPr>
          <w:p w14:paraId="0D2BB0DB" w14:textId="77777777" w:rsidR="0048431D" w:rsidRPr="005730EC" w:rsidRDefault="0048431D" w:rsidP="0048431D">
            <w:pPr>
              <w:rPr>
                <w:rFonts w:cs="Arial"/>
                <w:color w:val="000000"/>
                <w:sz w:val="20"/>
              </w:rPr>
            </w:pPr>
            <w:r w:rsidRPr="005730EC">
              <w:rPr>
                <w:rFonts w:cs="Arial"/>
                <w:color w:val="000000"/>
                <w:sz w:val="20"/>
              </w:rPr>
              <w:t>Communications between the CAISO and the</w:t>
            </w:r>
            <w:r>
              <w:rPr>
                <w:rFonts w:cs="Arial"/>
                <w:color w:val="000000"/>
                <w:sz w:val="20"/>
              </w:rPr>
              <w:t xml:space="preserve"> </w:t>
            </w:r>
            <w:r w:rsidRPr="00200458">
              <w:rPr>
                <w:rFonts w:cs="Arial"/>
                <w:sz w:val="20"/>
              </w:rPr>
              <w:t xml:space="preserve">prospective </w:t>
            </w:r>
            <w:r w:rsidRPr="005730EC">
              <w:rPr>
                <w:rFonts w:cs="Arial"/>
                <w:color w:val="000000"/>
                <w:sz w:val="20"/>
              </w:rPr>
              <w:t xml:space="preserve">EIM Entity </w:t>
            </w:r>
          </w:p>
        </w:tc>
        <w:tc>
          <w:tcPr>
            <w:tcW w:w="2142" w:type="dxa"/>
            <w:tcBorders>
              <w:top w:val="single" w:sz="4" w:space="0" w:color="auto"/>
              <w:left w:val="nil"/>
              <w:bottom w:val="single" w:sz="4" w:space="0" w:color="auto"/>
              <w:right w:val="single" w:sz="4" w:space="0" w:color="auto"/>
            </w:tcBorders>
            <w:shd w:val="clear" w:color="auto" w:fill="auto"/>
          </w:tcPr>
          <w:p w14:paraId="602C8B49" w14:textId="77777777" w:rsidR="0048431D" w:rsidRPr="005730EC" w:rsidRDefault="0048431D" w:rsidP="0048431D">
            <w:pPr>
              <w:rPr>
                <w:rFonts w:cs="Arial"/>
                <w:color w:val="000000"/>
                <w:sz w:val="20"/>
              </w:rPr>
            </w:pPr>
            <w:r w:rsidRPr="005730EC">
              <w:rPr>
                <w:rFonts w:cs="Arial"/>
                <w:color w:val="000000"/>
                <w:sz w:val="20"/>
              </w:rPr>
              <w:t>Communication tools</w:t>
            </w:r>
          </w:p>
        </w:tc>
        <w:tc>
          <w:tcPr>
            <w:tcW w:w="2538" w:type="dxa"/>
            <w:tcBorders>
              <w:top w:val="single" w:sz="4" w:space="0" w:color="auto"/>
              <w:left w:val="nil"/>
              <w:bottom w:val="single" w:sz="4" w:space="0" w:color="auto"/>
              <w:right w:val="single" w:sz="4" w:space="0" w:color="auto"/>
            </w:tcBorders>
            <w:shd w:val="clear" w:color="auto" w:fill="auto"/>
          </w:tcPr>
          <w:p w14:paraId="27E86589" w14:textId="77777777" w:rsidR="0048431D" w:rsidRPr="005730EC" w:rsidRDefault="0048431D" w:rsidP="0048431D">
            <w:pPr>
              <w:rPr>
                <w:rFonts w:cs="Arial"/>
                <w:color w:val="000000"/>
                <w:sz w:val="20"/>
              </w:rPr>
            </w:pPr>
            <w:r w:rsidRPr="005730EC">
              <w:rPr>
                <w:rFonts w:cs="Arial"/>
                <w:color w:val="000000"/>
                <w:sz w:val="20"/>
              </w:rPr>
              <w:t>Staff are trained on communication procedures and tools</w:t>
            </w:r>
          </w:p>
        </w:tc>
        <w:tc>
          <w:tcPr>
            <w:tcW w:w="2862" w:type="dxa"/>
            <w:tcBorders>
              <w:top w:val="single" w:sz="4" w:space="0" w:color="auto"/>
              <w:left w:val="nil"/>
              <w:bottom w:val="single" w:sz="4" w:space="0" w:color="auto"/>
              <w:right w:val="single" w:sz="4" w:space="0" w:color="auto"/>
            </w:tcBorders>
            <w:shd w:val="clear" w:color="auto" w:fill="auto"/>
          </w:tcPr>
          <w:p w14:paraId="198BEF78" w14:textId="77777777" w:rsidR="0048431D" w:rsidRPr="005730EC" w:rsidRDefault="0048431D" w:rsidP="0048431D">
            <w:pPr>
              <w:rPr>
                <w:rFonts w:cs="Arial"/>
                <w:color w:val="000000"/>
                <w:sz w:val="20"/>
              </w:rPr>
            </w:pPr>
            <w:r w:rsidRPr="005730EC">
              <w:rPr>
                <w:rFonts w:cs="Arial"/>
                <w:color w:val="000000"/>
                <w:sz w:val="20"/>
              </w:rPr>
              <w:t>The</w:t>
            </w:r>
            <w:r>
              <w:rPr>
                <w:rFonts w:cs="Arial"/>
                <w:color w:val="000000"/>
                <w:sz w:val="20"/>
              </w:rPr>
              <w:t xml:space="preserve"> </w:t>
            </w:r>
            <w:r w:rsidRPr="00200458">
              <w:rPr>
                <w:rFonts w:cs="Arial"/>
                <w:sz w:val="20"/>
              </w:rPr>
              <w:t>prospective</w:t>
            </w:r>
            <w:r w:rsidRPr="005730EC">
              <w:rPr>
                <w:rFonts w:cs="Arial"/>
                <w:color w:val="000000"/>
                <w:sz w:val="20"/>
              </w:rPr>
              <w:t xml:space="preserve"> EIM Entity operations staff</w:t>
            </w:r>
            <w:r>
              <w:rPr>
                <w:rFonts w:cs="Arial"/>
                <w:color w:val="000000"/>
                <w:sz w:val="20"/>
              </w:rPr>
              <w:t xml:space="preserve"> </w:t>
            </w:r>
            <w:r w:rsidRPr="00F4266A">
              <w:rPr>
                <w:rFonts w:cs="Arial"/>
                <w:color w:val="000000"/>
                <w:sz w:val="20"/>
              </w:rPr>
              <w:t>who will have responsibility for EIM operations, transactions and settlements</w:t>
            </w:r>
            <w:r w:rsidRPr="005730EC">
              <w:rPr>
                <w:rFonts w:cs="Arial"/>
                <w:color w:val="000000"/>
                <w:sz w:val="20"/>
              </w:rPr>
              <w:t xml:space="preserve"> are trained on the relevant </w:t>
            </w:r>
            <w:r>
              <w:rPr>
                <w:rFonts w:cs="Arial"/>
                <w:color w:val="000000"/>
                <w:sz w:val="20"/>
              </w:rPr>
              <w:t>o</w:t>
            </w:r>
            <w:r w:rsidRPr="005730EC">
              <w:rPr>
                <w:rFonts w:cs="Arial"/>
                <w:color w:val="000000"/>
                <w:sz w:val="20"/>
              </w:rPr>
              <w:t xml:space="preserve">perating </w:t>
            </w:r>
            <w:r>
              <w:rPr>
                <w:rFonts w:cs="Arial"/>
                <w:color w:val="000000"/>
                <w:sz w:val="20"/>
              </w:rPr>
              <w:t>p</w:t>
            </w:r>
            <w:r w:rsidRPr="005730EC">
              <w:rPr>
                <w:rFonts w:cs="Arial"/>
                <w:color w:val="000000"/>
                <w:sz w:val="20"/>
              </w:rPr>
              <w:t>rocedures and tools used for EIM related communications before the start of parallel operations</w:t>
            </w:r>
          </w:p>
        </w:tc>
      </w:tr>
      <w:tr w:rsidR="0048431D" w:rsidRPr="005730EC" w14:paraId="7276EB23" w14:textId="77777777" w:rsidTr="009E26DA">
        <w:trPr>
          <w:trHeight w:val="765"/>
        </w:trPr>
        <w:tc>
          <w:tcPr>
            <w:tcW w:w="1260" w:type="dxa"/>
            <w:tcBorders>
              <w:top w:val="single" w:sz="4" w:space="0" w:color="auto"/>
              <w:left w:val="single" w:sz="4" w:space="0" w:color="auto"/>
              <w:bottom w:val="single" w:sz="4" w:space="0" w:color="auto"/>
              <w:right w:val="single" w:sz="4" w:space="0" w:color="auto"/>
            </w:tcBorders>
            <w:shd w:val="clear" w:color="000000" w:fill="FFFFFF"/>
            <w:noWrap/>
          </w:tcPr>
          <w:p w14:paraId="35F056A3" w14:textId="77777777" w:rsidR="0048431D" w:rsidRPr="005730EC" w:rsidRDefault="0048431D" w:rsidP="0048431D">
            <w:pPr>
              <w:jc w:val="center"/>
              <w:rPr>
                <w:rFonts w:cs="Arial"/>
                <w:color w:val="000000"/>
                <w:sz w:val="20"/>
              </w:rPr>
            </w:pPr>
            <w:r>
              <w:rPr>
                <w:rFonts w:cs="Arial"/>
                <w:color w:val="000000"/>
                <w:sz w:val="20"/>
              </w:rPr>
              <w:t>32</w:t>
            </w:r>
          </w:p>
        </w:tc>
        <w:tc>
          <w:tcPr>
            <w:tcW w:w="1440" w:type="dxa"/>
            <w:tcBorders>
              <w:top w:val="single" w:sz="4" w:space="0" w:color="auto"/>
              <w:left w:val="nil"/>
              <w:bottom w:val="single" w:sz="4" w:space="0" w:color="auto"/>
              <w:right w:val="single" w:sz="4" w:space="0" w:color="auto"/>
            </w:tcBorders>
            <w:shd w:val="clear" w:color="auto" w:fill="auto"/>
          </w:tcPr>
          <w:p w14:paraId="6038898C" w14:textId="77777777" w:rsidR="0048431D" w:rsidRPr="005730EC" w:rsidRDefault="0048431D" w:rsidP="0048431D">
            <w:pPr>
              <w:rPr>
                <w:rFonts w:cs="Arial"/>
                <w:color w:val="000000"/>
                <w:sz w:val="20"/>
              </w:rPr>
            </w:pPr>
            <w:r w:rsidRPr="005730EC">
              <w:rPr>
                <w:rFonts w:cs="Arial"/>
                <w:color w:val="000000"/>
                <w:sz w:val="20"/>
              </w:rPr>
              <w:t>Communications between the CAISO and the</w:t>
            </w:r>
            <w:r>
              <w:rPr>
                <w:rFonts w:cs="Arial"/>
                <w:color w:val="000000"/>
                <w:sz w:val="20"/>
              </w:rPr>
              <w:t xml:space="preserve"> </w:t>
            </w:r>
            <w:r w:rsidRPr="00200458">
              <w:rPr>
                <w:rFonts w:cs="Arial"/>
                <w:sz w:val="20"/>
              </w:rPr>
              <w:t xml:space="preserve">prospective </w:t>
            </w:r>
            <w:r w:rsidRPr="005730EC">
              <w:rPr>
                <w:rFonts w:cs="Arial"/>
                <w:color w:val="000000"/>
                <w:sz w:val="20"/>
              </w:rPr>
              <w:t>EIM Entity</w:t>
            </w:r>
          </w:p>
        </w:tc>
        <w:tc>
          <w:tcPr>
            <w:tcW w:w="2142" w:type="dxa"/>
            <w:tcBorders>
              <w:top w:val="single" w:sz="4" w:space="0" w:color="auto"/>
              <w:left w:val="nil"/>
              <w:bottom w:val="single" w:sz="4" w:space="0" w:color="auto"/>
              <w:right w:val="single" w:sz="4" w:space="0" w:color="auto"/>
            </w:tcBorders>
            <w:shd w:val="clear" w:color="auto" w:fill="auto"/>
          </w:tcPr>
          <w:p w14:paraId="7401B3FF" w14:textId="77777777" w:rsidR="0048431D" w:rsidRPr="005730EC" w:rsidRDefault="0048431D" w:rsidP="0048431D">
            <w:pPr>
              <w:rPr>
                <w:rFonts w:cs="Arial"/>
                <w:color w:val="000000"/>
                <w:sz w:val="20"/>
              </w:rPr>
            </w:pPr>
            <w:r>
              <w:rPr>
                <w:rFonts w:cs="Arial"/>
                <w:color w:val="000000"/>
                <w:sz w:val="20"/>
              </w:rPr>
              <w:t>3</w:t>
            </w:r>
            <w:r w:rsidRPr="00980FEE">
              <w:rPr>
                <w:rFonts w:cs="Arial"/>
                <w:color w:val="000000"/>
                <w:sz w:val="20"/>
                <w:vertAlign w:val="superscript"/>
              </w:rPr>
              <w:t>rd</w:t>
            </w:r>
            <w:r>
              <w:rPr>
                <w:rFonts w:cs="Arial"/>
                <w:color w:val="000000"/>
                <w:sz w:val="20"/>
              </w:rPr>
              <w:t xml:space="preserve"> party transmission service provider</w:t>
            </w:r>
          </w:p>
        </w:tc>
        <w:tc>
          <w:tcPr>
            <w:tcW w:w="2538" w:type="dxa"/>
            <w:tcBorders>
              <w:top w:val="single" w:sz="4" w:space="0" w:color="auto"/>
              <w:left w:val="nil"/>
              <w:bottom w:val="single" w:sz="4" w:space="0" w:color="auto"/>
              <w:right w:val="single" w:sz="4" w:space="0" w:color="auto"/>
            </w:tcBorders>
            <w:shd w:val="clear" w:color="auto" w:fill="auto"/>
          </w:tcPr>
          <w:p w14:paraId="00632C4F" w14:textId="77777777" w:rsidR="0048431D" w:rsidRPr="005730EC" w:rsidRDefault="0048431D" w:rsidP="0048431D">
            <w:pPr>
              <w:rPr>
                <w:rFonts w:cs="Arial"/>
                <w:color w:val="000000"/>
                <w:sz w:val="20"/>
              </w:rPr>
            </w:pPr>
            <w:r>
              <w:rPr>
                <w:rFonts w:cs="Arial"/>
                <w:color w:val="000000"/>
                <w:sz w:val="20"/>
              </w:rPr>
              <w:t>The third party transmission service provider information that supports EIM Transfers and Real-Time Dispatch included in the Full Network Model is available during parallel operations</w:t>
            </w:r>
          </w:p>
        </w:tc>
        <w:tc>
          <w:tcPr>
            <w:tcW w:w="2862" w:type="dxa"/>
            <w:tcBorders>
              <w:top w:val="single" w:sz="4" w:space="0" w:color="auto"/>
              <w:left w:val="nil"/>
              <w:bottom w:val="single" w:sz="4" w:space="0" w:color="auto"/>
              <w:right w:val="single" w:sz="4" w:space="0" w:color="auto"/>
            </w:tcBorders>
            <w:shd w:val="clear" w:color="auto" w:fill="auto"/>
          </w:tcPr>
          <w:p w14:paraId="77A7911D" w14:textId="77777777" w:rsidR="0048431D" w:rsidRPr="005730EC" w:rsidRDefault="0048431D" w:rsidP="0048431D">
            <w:pPr>
              <w:rPr>
                <w:rFonts w:cs="Arial"/>
                <w:color w:val="000000"/>
                <w:sz w:val="20"/>
              </w:rPr>
            </w:pPr>
            <w:r>
              <w:rPr>
                <w:rFonts w:cs="Arial"/>
                <w:color w:val="000000"/>
                <w:sz w:val="20"/>
              </w:rPr>
              <w:t xml:space="preserve">The CAISO provides </w:t>
            </w:r>
            <w:r w:rsidRPr="00F4266A">
              <w:rPr>
                <w:rFonts w:cs="Arial"/>
                <w:color w:val="000000"/>
                <w:sz w:val="20"/>
              </w:rPr>
              <w:t>third party transmission service provider and path operator information to the prospective EIM Entity through parallel operations</w:t>
            </w:r>
          </w:p>
        </w:tc>
      </w:tr>
      <w:tr w:rsidR="0048431D" w:rsidRPr="005730EC" w14:paraId="4AD9B647" w14:textId="77777777" w:rsidTr="009E26DA">
        <w:trPr>
          <w:trHeight w:val="765"/>
        </w:trPr>
        <w:tc>
          <w:tcPr>
            <w:tcW w:w="1260" w:type="dxa"/>
            <w:tcBorders>
              <w:top w:val="single" w:sz="4" w:space="0" w:color="auto"/>
              <w:left w:val="single" w:sz="4" w:space="0" w:color="auto"/>
              <w:bottom w:val="single" w:sz="4" w:space="0" w:color="auto"/>
              <w:right w:val="single" w:sz="4" w:space="0" w:color="auto"/>
            </w:tcBorders>
            <w:shd w:val="clear" w:color="000000" w:fill="FFFFFF"/>
            <w:noWrap/>
          </w:tcPr>
          <w:p w14:paraId="572791A1" w14:textId="77777777" w:rsidR="0048431D" w:rsidRDefault="0048431D" w:rsidP="0048431D">
            <w:pPr>
              <w:jc w:val="center"/>
              <w:rPr>
                <w:rFonts w:cs="Arial"/>
                <w:color w:val="000000"/>
                <w:sz w:val="20"/>
              </w:rPr>
            </w:pPr>
            <w:r>
              <w:rPr>
                <w:rFonts w:cs="Arial"/>
                <w:color w:val="000000"/>
                <w:sz w:val="20"/>
              </w:rPr>
              <w:t>33</w:t>
            </w:r>
          </w:p>
        </w:tc>
        <w:tc>
          <w:tcPr>
            <w:tcW w:w="1440" w:type="dxa"/>
            <w:tcBorders>
              <w:top w:val="single" w:sz="4" w:space="0" w:color="auto"/>
              <w:left w:val="nil"/>
              <w:bottom w:val="single" w:sz="4" w:space="0" w:color="auto"/>
              <w:right w:val="single" w:sz="4" w:space="0" w:color="auto"/>
            </w:tcBorders>
            <w:shd w:val="clear" w:color="auto" w:fill="auto"/>
          </w:tcPr>
          <w:p w14:paraId="240AA754" w14:textId="77777777" w:rsidR="0048431D" w:rsidRPr="00980FEE" w:rsidRDefault="0048431D" w:rsidP="0048431D">
            <w:pPr>
              <w:rPr>
                <w:rFonts w:cs="Arial"/>
                <w:color w:val="000000"/>
                <w:sz w:val="20"/>
              </w:rPr>
            </w:pPr>
            <w:r w:rsidRPr="00773416">
              <w:rPr>
                <w:rFonts w:cs="Arial"/>
                <w:color w:val="000000"/>
                <w:sz w:val="20"/>
              </w:rPr>
              <w:t>EIM Available Balancing Capacity</w:t>
            </w:r>
          </w:p>
        </w:tc>
        <w:tc>
          <w:tcPr>
            <w:tcW w:w="2142" w:type="dxa"/>
            <w:tcBorders>
              <w:top w:val="single" w:sz="4" w:space="0" w:color="auto"/>
              <w:left w:val="nil"/>
              <w:bottom w:val="single" w:sz="4" w:space="0" w:color="auto"/>
              <w:right w:val="single" w:sz="4" w:space="0" w:color="auto"/>
            </w:tcBorders>
            <w:shd w:val="clear" w:color="auto" w:fill="auto"/>
          </w:tcPr>
          <w:p w14:paraId="47C21330" w14:textId="77777777" w:rsidR="0048431D" w:rsidRPr="00773416" w:rsidRDefault="0048431D" w:rsidP="0048431D">
            <w:pPr>
              <w:rPr>
                <w:rFonts w:cs="Arial"/>
                <w:color w:val="000000"/>
                <w:sz w:val="20"/>
              </w:rPr>
            </w:pPr>
            <w:r w:rsidRPr="00B51F19">
              <w:rPr>
                <w:rFonts w:cs="Arial"/>
                <w:color w:val="000000"/>
                <w:sz w:val="20"/>
              </w:rPr>
              <w:t>Identification of EIM Available Balancing Capacity</w:t>
            </w:r>
          </w:p>
        </w:tc>
        <w:tc>
          <w:tcPr>
            <w:tcW w:w="2538" w:type="dxa"/>
            <w:tcBorders>
              <w:top w:val="single" w:sz="4" w:space="0" w:color="auto"/>
              <w:left w:val="nil"/>
              <w:bottom w:val="single" w:sz="4" w:space="0" w:color="auto"/>
              <w:right w:val="single" w:sz="4" w:space="0" w:color="auto"/>
            </w:tcBorders>
            <w:shd w:val="clear" w:color="auto" w:fill="auto"/>
          </w:tcPr>
          <w:p w14:paraId="7B66F1D3" w14:textId="77777777" w:rsidR="0048431D" w:rsidRPr="00F4266A" w:rsidRDefault="0048431D" w:rsidP="0048431D">
            <w:pPr>
              <w:rPr>
                <w:rFonts w:cs="Arial"/>
                <w:color w:val="000000"/>
                <w:sz w:val="20"/>
              </w:rPr>
            </w:pPr>
            <w:r>
              <w:rPr>
                <w:rFonts w:cs="Arial"/>
                <w:color w:val="000000"/>
                <w:sz w:val="20"/>
              </w:rPr>
              <w:t>P</w:t>
            </w:r>
            <w:r w:rsidRPr="007D400D">
              <w:rPr>
                <w:rFonts w:cs="Arial"/>
                <w:color w:val="000000"/>
                <w:sz w:val="20"/>
              </w:rPr>
              <w:t xml:space="preserve">articipating </w:t>
            </w:r>
            <w:r>
              <w:rPr>
                <w:rFonts w:cs="Arial"/>
                <w:color w:val="000000"/>
                <w:sz w:val="20"/>
              </w:rPr>
              <w:t>r</w:t>
            </w:r>
            <w:r w:rsidRPr="007D400D">
              <w:rPr>
                <w:rFonts w:cs="Arial"/>
                <w:color w:val="000000"/>
                <w:sz w:val="20"/>
              </w:rPr>
              <w:t xml:space="preserve">esources and non-participating resources </w:t>
            </w:r>
            <w:r>
              <w:rPr>
                <w:rFonts w:cs="Arial"/>
                <w:color w:val="000000"/>
                <w:sz w:val="20"/>
              </w:rPr>
              <w:t>for</w:t>
            </w:r>
            <w:r w:rsidRPr="007D400D">
              <w:rPr>
                <w:rFonts w:cs="Arial"/>
                <w:color w:val="000000"/>
                <w:sz w:val="20"/>
              </w:rPr>
              <w:t xml:space="preserve"> EIM Available Balancing Capacity.</w:t>
            </w:r>
          </w:p>
        </w:tc>
        <w:tc>
          <w:tcPr>
            <w:tcW w:w="2862" w:type="dxa"/>
            <w:tcBorders>
              <w:top w:val="single" w:sz="4" w:space="0" w:color="auto"/>
              <w:left w:val="nil"/>
              <w:bottom w:val="single" w:sz="4" w:space="0" w:color="auto"/>
              <w:right w:val="single" w:sz="4" w:space="0" w:color="auto"/>
            </w:tcBorders>
            <w:shd w:val="clear" w:color="auto" w:fill="auto"/>
          </w:tcPr>
          <w:p w14:paraId="3758203E" w14:textId="77777777" w:rsidR="0048431D" w:rsidRPr="005730EC" w:rsidRDefault="0048431D" w:rsidP="0048431D">
            <w:pPr>
              <w:rPr>
                <w:rFonts w:cs="Arial"/>
                <w:color w:val="000000"/>
                <w:sz w:val="20"/>
              </w:rPr>
            </w:pPr>
            <w:r w:rsidRPr="007F0A79">
              <w:rPr>
                <w:rFonts w:cs="Arial"/>
                <w:color w:val="000000"/>
                <w:sz w:val="20"/>
              </w:rPr>
              <w:t>The prospective EIM Entity has identified EIM participating resources and non-participating resources that it intends to designate in the EIM Resource Plan as EIM Available Balancing Capacity</w:t>
            </w:r>
          </w:p>
        </w:tc>
      </w:tr>
    </w:tbl>
    <w:p w14:paraId="1D328DC6" w14:textId="77777777" w:rsidR="008E2755" w:rsidRPr="008E2755" w:rsidRDefault="008E2755" w:rsidP="008E2755">
      <w:pPr>
        <w:pStyle w:val="ParaText"/>
      </w:pPr>
    </w:p>
    <w:p w14:paraId="37759F73" w14:textId="77777777" w:rsidR="00C45CA7" w:rsidRDefault="00C45CA7" w:rsidP="008034D9">
      <w:pPr>
        <w:spacing w:after="240" w:line="300" w:lineRule="auto"/>
        <w:rPr>
          <w:b/>
        </w:rPr>
      </w:pPr>
      <w:r w:rsidRPr="00C45CA7">
        <w:rPr>
          <w:b/>
        </w:rPr>
        <w:t>Exceptions to Thresholds</w:t>
      </w:r>
    </w:p>
    <w:p w14:paraId="3672D34C" w14:textId="77777777" w:rsidR="001028EC" w:rsidRPr="005A28AC" w:rsidRDefault="001028EC" w:rsidP="001028EC">
      <w:pPr>
        <w:spacing w:after="240" w:line="300" w:lineRule="auto"/>
        <w:rPr>
          <w:rFonts w:cs="Arial"/>
        </w:rPr>
      </w:pPr>
      <w:r w:rsidRPr="005A28AC">
        <w:rPr>
          <w:rFonts w:cs="Arial"/>
        </w:rPr>
        <w:t xml:space="preserve">Any exceptions to the adherence to the thresholds listed above will be considered by the CAISO and prospective EIM Entity in accordance with the procedures for granting exceptions outlined below, </w:t>
      </w:r>
      <w:r w:rsidRPr="005A28AC">
        <w:rPr>
          <w:rFonts w:cs="Arial"/>
          <w:color w:val="000000"/>
        </w:rPr>
        <w:t>explained fully in stakeholder calls, noted on the readiness dashboard that</w:t>
      </w:r>
      <w:r w:rsidR="00840590">
        <w:rPr>
          <w:rFonts w:cs="Arial"/>
          <w:color w:val="000000"/>
        </w:rPr>
        <w:t xml:space="preserve"> is posted on the CAISO website. Exceptions will also be</w:t>
      </w:r>
      <w:r w:rsidRPr="005A28AC">
        <w:rPr>
          <w:rFonts w:cs="Arial"/>
          <w:color w:val="000000"/>
        </w:rPr>
        <w:t xml:space="preserve"> explained in the certification statements of the CAISO and the EIM Entity. </w:t>
      </w:r>
      <w:r w:rsidRPr="005A28AC">
        <w:rPr>
          <w:rFonts w:cs="Arial"/>
        </w:rPr>
        <w:t>With each prospective EIM Entity implementation, the CAISO will revisit the readiness thresholds and make modifications based on stakeholder feedback.</w:t>
      </w:r>
    </w:p>
    <w:p w14:paraId="6E20E040" w14:textId="77777777" w:rsidR="001028EC" w:rsidRPr="001028EC" w:rsidRDefault="001028EC" w:rsidP="000D72C0">
      <w:pPr>
        <w:spacing w:after="240" w:line="300" w:lineRule="auto"/>
        <w:rPr>
          <w:rFonts w:cs="Arial"/>
          <w:b/>
        </w:rPr>
      </w:pPr>
      <w:r w:rsidRPr="005A28AC">
        <w:rPr>
          <w:rFonts w:cs="Arial"/>
          <w:color w:val="212121"/>
        </w:rPr>
        <w:t xml:space="preserve">Any exception to a threshold would be reviewed by the responsible staff, escalated to the senior officers ultimately responsible for certification, and then documented in the readiness report that supports the certification.  </w:t>
      </w:r>
      <w:r w:rsidRPr="005A28AC">
        <w:rPr>
          <w:rFonts w:cs="Arial"/>
        </w:rPr>
        <w:t xml:space="preserve">The CAISO and the prospective EIM Entity will engage in a collaborative approach to satisfy the readiness criteria and endeavor to make decisions based on consensus between the parties.  Both parties will strive to avoid exceptions by providing comprehensive updates and proactively managing issues and risks.  </w:t>
      </w:r>
      <w:r w:rsidRPr="005A28AC">
        <w:rPr>
          <w:rFonts w:cs="Arial"/>
          <w:color w:val="212121"/>
        </w:rPr>
        <w:t>When an exception is required, it will be defined by specifying what is not conforming and why an exception is necessary.</w:t>
      </w:r>
    </w:p>
    <w:p w14:paraId="7E47E8B0" w14:textId="77777777" w:rsidR="009540DF" w:rsidRDefault="00DF5618" w:rsidP="000D72C0">
      <w:pPr>
        <w:pStyle w:val="Heading2"/>
      </w:pPr>
      <w:bookmarkStart w:id="2274" w:name="_Toc20384150"/>
      <w:r>
        <w:t xml:space="preserve">Readiness </w:t>
      </w:r>
      <w:r w:rsidR="00FA251B">
        <w:t>Reporting</w:t>
      </w:r>
      <w:r w:rsidR="00D6641B">
        <w:t xml:space="preserve">, </w:t>
      </w:r>
      <w:r w:rsidR="00BF347C">
        <w:t xml:space="preserve">Determination </w:t>
      </w:r>
      <w:r w:rsidR="00D6641B">
        <w:t>&amp; Certification</w:t>
      </w:r>
      <w:bookmarkEnd w:id="2274"/>
    </w:p>
    <w:p w14:paraId="27B6A871" w14:textId="77777777" w:rsidR="008B7613" w:rsidRDefault="008B7613" w:rsidP="008B7613">
      <w:pPr>
        <w:spacing w:after="240" w:line="300" w:lineRule="auto"/>
      </w:pPr>
      <w:r>
        <w:t xml:space="preserve">Welcome to the </w:t>
      </w:r>
      <w:r>
        <w:rPr>
          <w:i/>
        </w:rPr>
        <w:t>Readiness Certification</w:t>
      </w:r>
      <w:r>
        <w:t xml:space="preserve"> section of the CAISO </w:t>
      </w:r>
      <w:r w:rsidRPr="00A812DF">
        <w:rPr>
          <w:i/>
        </w:rPr>
        <w:t>BPM for the Energy Imbalance Market</w:t>
      </w:r>
      <w:r>
        <w:t>.  In this section you will find the following information:</w:t>
      </w:r>
    </w:p>
    <w:p w14:paraId="2568BE4F" w14:textId="77777777" w:rsidR="00BF347C" w:rsidRDefault="00BF347C" w:rsidP="000F0531">
      <w:pPr>
        <w:pStyle w:val="ListParagraph"/>
        <w:numPr>
          <w:ilvl w:val="0"/>
          <w:numId w:val="63"/>
        </w:numPr>
        <w:spacing w:after="240" w:line="300" w:lineRule="auto"/>
      </w:pPr>
      <w:r>
        <w:t xml:space="preserve">Timeline in which CAISO will report on the status of readiness criteria </w:t>
      </w:r>
    </w:p>
    <w:p w14:paraId="3E59AC93" w14:textId="77777777" w:rsidR="00D6641B" w:rsidRDefault="00D6641B" w:rsidP="000F0531">
      <w:pPr>
        <w:pStyle w:val="ListParagraph"/>
        <w:numPr>
          <w:ilvl w:val="0"/>
          <w:numId w:val="63"/>
        </w:numPr>
        <w:spacing w:after="240" w:line="300" w:lineRule="auto"/>
      </w:pPr>
      <w:r>
        <w:t>Timeline in which the CAISO and the EIM Entity Initiate will determine readiness</w:t>
      </w:r>
    </w:p>
    <w:p w14:paraId="113E4F02" w14:textId="77777777" w:rsidR="008B7613" w:rsidRDefault="008B7613" w:rsidP="000F0531">
      <w:pPr>
        <w:pStyle w:val="ListParagraph"/>
        <w:numPr>
          <w:ilvl w:val="0"/>
          <w:numId w:val="63"/>
        </w:numPr>
        <w:spacing w:after="240" w:line="300" w:lineRule="auto"/>
      </w:pPr>
      <w:r>
        <w:t>Timelines in which CAISO and the EIM Entity Initiate will submit readiness certification to the Federal Energy Regulatory Commission</w:t>
      </w:r>
    </w:p>
    <w:p w14:paraId="1E69BDC5" w14:textId="77777777" w:rsidR="004D06AE" w:rsidRPr="005730EC" w:rsidRDefault="004D06AE" w:rsidP="004D06AE">
      <w:pPr>
        <w:pStyle w:val="ParaText"/>
        <w:rPr>
          <w:rFonts w:cs="Arial"/>
          <w:b/>
          <w:u w:val="single"/>
        </w:rPr>
      </w:pPr>
      <w:r w:rsidRPr="005730EC">
        <w:rPr>
          <w:rFonts w:cs="Arial"/>
          <w:b/>
          <w:u w:val="single"/>
        </w:rPr>
        <w:t>Readiness Reporting</w:t>
      </w:r>
    </w:p>
    <w:p w14:paraId="59A1F154" w14:textId="77777777" w:rsidR="004D06AE" w:rsidRPr="005730EC" w:rsidRDefault="004D06AE" w:rsidP="004D06AE">
      <w:pPr>
        <w:pStyle w:val="ParaText"/>
        <w:rPr>
          <w:rFonts w:cs="Arial"/>
        </w:rPr>
      </w:pPr>
      <w:r w:rsidRPr="005730EC">
        <w:rPr>
          <w:rFonts w:cs="Arial"/>
        </w:rPr>
        <w:t>CAISO will report at least monthly during market simulation and at least twice a month during parallel operations on the status of the readiness criteria. The reporting will be on the public CAISO web site (</w:t>
      </w:r>
      <w:hyperlink r:id="rId193" w:history="1">
        <w:r w:rsidRPr="005730EC">
          <w:rPr>
            <w:rStyle w:val="Hyperlink"/>
            <w:rFonts w:cs="Arial"/>
          </w:rPr>
          <w:t>www.caiso.com</w:t>
        </w:r>
      </w:hyperlink>
      <w:r w:rsidRPr="005730EC">
        <w:rPr>
          <w:rFonts w:cs="Arial"/>
        </w:rPr>
        <w:t xml:space="preserve">), and will consist of current progress towards readiness thresholds and any exceptions or deviations from the readiness thresholds.  </w:t>
      </w:r>
    </w:p>
    <w:p w14:paraId="34B3F749" w14:textId="77777777" w:rsidR="004D06AE" w:rsidRPr="005730EC" w:rsidRDefault="004D06AE" w:rsidP="004D06AE">
      <w:pPr>
        <w:pStyle w:val="ParaText"/>
        <w:rPr>
          <w:rFonts w:cs="Arial"/>
          <w:b/>
          <w:u w:val="single"/>
        </w:rPr>
      </w:pPr>
      <w:r w:rsidRPr="005730EC">
        <w:rPr>
          <w:rFonts w:cs="Arial"/>
          <w:b/>
          <w:u w:val="single"/>
        </w:rPr>
        <w:t>Readiness Determination</w:t>
      </w:r>
    </w:p>
    <w:p w14:paraId="77228834" w14:textId="77777777" w:rsidR="004D06AE" w:rsidRPr="005730EC" w:rsidRDefault="004D06AE" w:rsidP="004D06AE">
      <w:pPr>
        <w:pStyle w:val="ParaText"/>
        <w:rPr>
          <w:rFonts w:cs="Arial"/>
          <w:b/>
          <w:u w:val="single"/>
        </w:rPr>
      </w:pPr>
      <w:r w:rsidRPr="005F4B1C">
        <w:rPr>
          <w:rFonts w:cs="Arial"/>
        </w:rPr>
        <w:t xml:space="preserve">No later than 30 days prior to the </w:t>
      </w:r>
      <w:r>
        <w:rPr>
          <w:rFonts w:cs="Arial"/>
        </w:rPr>
        <w:t xml:space="preserve">prospective EIM Entity’s </w:t>
      </w:r>
      <w:r w:rsidRPr="005F4B1C">
        <w:rPr>
          <w:rFonts w:cs="Arial"/>
        </w:rPr>
        <w:t>Implementation Date</w:t>
      </w:r>
      <w:r w:rsidRPr="00A12622">
        <w:rPr>
          <w:rFonts w:cs="Arial"/>
        </w:rPr>
        <w:t>, the CAISO will determine, in consultation</w:t>
      </w:r>
      <w:r w:rsidRPr="005F4B1C">
        <w:rPr>
          <w:rFonts w:cs="Arial"/>
        </w:rPr>
        <w:t xml:space="preserve"> with the </w:t>
      </w:r>
      <w:r>
        <w:rPr>
          <w:rFonts w:cs="Arial"/>
        </w:rPr>
        <w:t xml:space="preserve">prospective </w:t>
      </w:r>
      <w:r w:rsidRPr="005F4B1C">
        <w:rPr>
          <w:rFonts w:cs="Arial"/>
        </w:rPr>
        <w:t xml:space="preserve">EIM Entity, whether the systems and processes of the </w:t>
      </w:r>
      <w:r>
        <w:rPr>
          <w:rFonts w:cs="Arial"/>
        </w:rPr>
        <w:t xml:space="preserve">prospective </w:t>
      </w:r>
      <w:r w:rsidRPr="00F506DD">
        <w:rPr>
          <w:rFonts w:cs="Arial"/>
        </w:rPr>
        <w:t xml:space="preserve">EIM </w:t>
      </w:r>
      <w:r w:rsidRPr="005F4B1C">
        <w:rPr>
          <w:rFonts w:cs="Arial"/>
        </w:rPr>
        <w:t>Entity will be ready for participation in the</w:t>
      </w:r>
      <w:r>
        <w:rPr>
          <w:rFonts w:cs="Arial"/>
        </w:rPr>
        <w:t xml:space="preserve"> Energy Imbalance Market. Readiness will be determined</w:t>
      </w:r>
      <w:r w:rsidRPr="00F506DD">
        <w:rPr>
          <w:rFonts w:cs="Arial"/>
        </w:rPr>
        <w:t xml:space="preserve"> </w:t>
      </w:r>
      <w:r>
        <w:rPr>
          <w:rFonts w:cs="Arial"/>
        </w:rPr>
        <w:t xml:space="preserve">by the </w:t>
      </w:r>
      <w:r w:rsidRPr="00F506DD">
        <w:rPr>
          <w:rFonts w:cs="Arial"/>
        </w:rPr>
        <w:t xml:space="preserve">thresholds specified in </w:t>
      </w:r>
      <w:r>
        <w:rPr>
          <w:rFonts w:cs="Arial"/>
        </w:rPr>
        <w:t>section 2.1of the Business Practice Manual, with any exceptions for the certifying prospective EIM Entity.</w:t>
      </w:r>
    </w:p>
    <w:p w14:paraId="02D0272F" w14:textId="77777777" w:rsidR="004D06AE" w:rsidRPr="00FA4BF2" w:rsidRDefault="004D06AE" w:rsidP="004D06AE">
      <w:pPr>
        <w:pStyle w:val="ParaText"/>
        <w:rPr>
          <w:rFonts w:cs="Arial"/>
          <w:b/>
          <w:u w:val="single"/>
        </w:rPr>
      </w:pPr>
      <w:r w:rsidRPr="00FA4BF2">
        <w:rPr>
          <w:rFonts w:cs="Arial"/>
          <w:b/>
          <w:u w:val="single"/>
        </w:rPr>
        <w:t>Readiness Certification</w:t>
      </w:r>
    </w:p>
    <w:p w14:paraId="067BE5F5" w14:textId="77777777" w:rsidR="004D06AE" w:rsidRPr="00C83084" w:rsidRDefault="004D06AE" w:rsidP="004D06AE">
      <w:pPr>
        <w:pStyle w:val="ParaText"/>
        <w:rPr>
          <w:rFonts w:cs="Arial"/>
        </w:rPr>
      </w:pPr>
      <w:r w:rsidRPr="00BF725A">
        <w:rPr>
          <w:rFonts w:cs="Arial"/>
        </w:rPr>
        <w:t>CAISO and the prospective EIM Entity will track their progress and report on readiness criteria prior to filing for EIM readiness certification. Both parties will file a market readiness certificate with the Federal Energy Regulatory Commission 30 days in advance of the prospective EIM Entity established</w:t>
      </w:r>
      <w:r w:rsidRPr="00C83084">
        <w:rPr>
          <w:rFonts w:cs="Arial"/>
        </w:rPr>
        <w:t xml:space="preserve"> implementation date. The readiness certification will cover the following information:</w:t>
      </w:r>
    </w:p>
    <w:p w14:paraId="5A319E1A" w14:textId="77777777" w:rsidR="004D06AE" w:rsidRDefault="004D06AE" w:rsidP="000F0531">
      <w:pPr>
        <w:pStyle w:val="ParaText"/>
        <w:numPr>
          <w:ilvl w:val="0"/>
          <w:numId w:val="64"/>
        </w:numPr>
        <w:rPr>
          <w:rFonts w:cs="Arial"/>
        </w:rPr>
      </w:pPr>
      <w:r>
        <w:rPr>
          <w:rFonts w:cs="Arial"/>
        </w:rPr>
        <w:t>That the processes and systems</w:t>
      </w:r>
      <w:r w:rsidRPr="00F506DD">
        <w:rPr>
          <w:rFonts w:cs="Arial"/>
        </w:rPr>
        <w:t xml:space="preserve"> of the </w:t>
      </w:r>
      <w:r>
        <w:rPr>
          <w:rFonts w:cs="Arial"/>
        </w:rPr>
        <w:t xml:space="preserve">prospective </w:t>
      </w:r>
      <w:r w:rsidRPr="00F506DD">
        <w:rPr>
          <w:rFonts w:cs="Arial"/>
        </w:rPr>
        <w:t>EIM Entity have satisfied or will have satisfied the readiness criteria</w:t>
      </w:r>
      <w:r>
        <w:rPr>
          <w:rFonts w:cs="Arial"/>
        </w:rPr>
        <w:t xml:space="preserve"> as outlined above.</w:t>
      </w:r>
      <w:r w:rsidRPr="002030A6" w:rsidDel="003410A8">
        <w:rPr>
          <w:rFonts w:cs="Arial"/>
        </w:rPr>
        <w:t xml:space="preserve"> </w:t>
      </w:r>
    </w:p>
    <w:p w14:paraId="3C8B41D3" w14:textId="77777777" w:rsidR="004D06AE" w:rsidRDefault="004D06AE" w:rsidP="000F0531">
      <w:pPr>
        <w:pStyle w:val="ParaText"/>
        <w:numPr>
          <w:ilvl w:val="0"/>
          <w:numId w:val="64"/>
        </w:numPr>
        <w:rPr>
          <w:rFonts w:cs="Arial"/>
        </w:rPr>
      </w:pPr>
      <w:r w:rsidRPr="00452BC4">
        <w:rPr>
          <w:rFonts w:cs="Arial"/>
        </w:rPr>
        <w:t xml:space="preserve">Any known issues requiring resolution prior to the established </w:t>
      </w:r>
      <w:r>
        <w:rPr>
          <w:rFonts w:cs="Arial"/>
        </w:rPr>
        <w:t xml:space="preserve">EIM </w:t>
      </w:r>
      <w:r w:rsidRPr="00452BC4">
        <w:rPr>
          <w:rFonts w:cs="Arial"/>
        </w:rPr>
        <w:t>Implementation Date</w:t>
      </w:r>
      <w:r>
        <w:rPr>
          <w:rFonts w:cs="Arial"/>
        </w:rPr>
        <w:t>.</w:t>
      </w:r>
    </w:p>
    <w:p w14:paraId="456905E8" w14:textId="77777777" w:rsidR="004D06AE" w:rsidRPr="00C007BA" w:rsidRDefault="004D06AE" w:rsidP="000F0531">
      <w:pPr>
        <w:pStyle w:val="ParaText"/>
        <w:numPr>
          <w:ilvl w:val="0"/>
          <w:numId w:val="64"/>
        </w:numPr>
        <w:rPr>
          <w:rFonts w:cs="Arial"/>
        </w:rPr>
      </w:pPr>
      <w:r w:rsidRPr="00452BC4">
        <w:rPr>
          <w:rFonts w:cs="Arial"/>
        </w:rPr>
        <w:t xml:space="preserve">Any exceptions from the readiness thresholds as outlined </w:t>
      </w:r>
      <w:r>
        <w:rPr>
          <w:rFonts w:cs="Arial"/>
        </w:rPr>
        <w:t>above.</w:t>
      </w:r>
    </w:p>
    <w:p w14:paraId="69146F58" w14:textId="77777777" w:rsidR="004D06AE" w:rsidRPr="00824B46" w:rsidRDefault="004D06AE" w:rsidP="004D06AE">
      <w:pPr>
        <w:pStyle w:val="ParaText"/>
        <w:rPr>
          <w:rFonts w:cs="Arial"/>
        </w:rPr>
      </w:pPr>
      <w:r>
        <w:rPr>
          <w:rFonts w:cs="Arial"/>
        </w:rPr>
        <w:t>Th</w:t>
      </w:r>
      <w:r w:rsidRPr="002E195E">
        <w:rPr>
          <w:rFonts w:cs="Arial"/>
        </w:rPr>
        <w:t xml:space="preserve">at the EIM Implementation Date is conditional </w:t>
      </w:r>
      <w:r>
        <w:rPr>
          <w:rFonts w:cs="Arial"/>
        </w:rPr>
        <w:t>upon</w:t>
      </w:r>
      <w:r w:rsidRPr="002E195E">
        <w:rPr>
          <w:rFonts w:cs="Arial"/>
        </w:rPr>
        <w:t xml:space="preserve"> the resolution of </w:t>
      </w:r>
      <w:r>
        <w:rPr>
          <w:rFonts w:cs="Arial"/>
        </w:rPr>
        <w:t>any</w:t>
      </w:r>
      <w:r w:rsidRPr="006A7C2F">
        <w:rPr>
          <w:rFonts w:cs="Arial"/>
        </w:rPr>
        <w:t xml:space="preserve"> known issues </w:t>
      </w:r>
      <w:r>
        <w:rPr>
          <w:rFonts w:cs="Arial"/>
        </w:rPr>
        <w:t xml:space="preserve">identified in the </w:t>
      </w:r>
      <w:r w:rsidRPr="00F506DD">
        <w:rPr>
          <w:rFonts w:cs="Arial"/>
        </w:rPr>
        <w:t>certificates</w:t>
      </w:r>
      <w:r>
        <w:rPr>
          <w:rFonts w:cs="Arial"/>
        </w:rPr>
        <w:t xml:space="preserve"> filed with FERC</w:t>
      </w:r>
      <w:r w:rsidRPr="00F506DD">
        <w:rPr>
          <w:rFonts w:cs="Arial"/>
        </w:rPr>
        <w:t xml:space="preserve"> and any unforeseen issues </w:t>
      </w:r>
      <w:r>
        <w:rPr>
          <w:rFonts w:cs="Arial"/>
        </w:rPr>
        <w:t xml:space="preserve">that arise that </w:t>
      </w:r>
      <w:r w:rsidRPr="00F506DD">
        <w:rPr>
          <w:rFonts w:cs="Arial"/>
        </w:rPr>
        <w:t>undermine the satisfaction of the rea</w:t>
      </w:r>
      <w:r w:rsidRPr="006A7C2F">
        <w:rPr>
          <w:rFonts w:cs="Arial"/>
        </w:rPr>
        <w:t>diness criteria</w:t>
      </w:r>
      <w:r>
        <w:rPr>
          <w:rFonts w:cs="Arial"/>
        </w:rPr>
        <w:t xml:space="preserve">.  </w:t>
      </w:r>
      <w:r w:rsidRPr="00594716">
        <w:rPr>
          <w:rFonts w:cs="Arial"/>
        </w:rPr>
        <w:t xml:space="preserve">If, subsequent to readiness certification </w:t>
      </w:r>
      <w:r w:rsidRPr="00824B46">
        <w:rPr>
          <w:rFonts w:cs="Arial"/>
        </w:rPr>
        <w:t xml:space="preserve">the CAISO or the prospective EIM Entity </w:t>
      </w:r>
      <w:r>
        <w:rPr>
          <w:rFonts w:cs="Arial"/>
        </w:rPr>
        <w:t>determines they</w:t>
      </w:r>
      <w:r w:rsidRPr="00824B46">
        <w:rPr>
          <w:rFonts w:cs="Arial"/>
        </w:rPr>
        <w:t xml:space="preserve"> cannot proceed with implementation on the Implementation Date, the CAISO </w:t>
      </w:r>
      <w:r>
        <w:rPr>
          <w:rFonts w:cs="Arial"/>
        </w:rPr>
        <w:t>and</w:t>
      </w:r>
      <w:r w:rsidRPr="00824B46">
        <w:rPr>
          <w:rFonts w:cs="Arial"/>
        </w:rPr>
        <w:t xml:space="preserve"> the prospective EIM Entity will notify the Federal Energy Regulatory Commission of the delay, the reason for the delay, the new Implementation Date if it can be determined, and whether it will need to re-issue a portion or all of the readiness certification.</w:t>
      </w:r>
    </w:p>
    <w:p w14:paraId="5000698C" w14:textId="4AC346E2" w:rsidR="002E46E9" w:rsidRPr="00225179" w:rsidRDefault="002E46E9" w:rsidP="00DF5618">
      <w:pPr>
        <w:pStyle w:val="Heading1"/>
      </w:pPr>
      <w:bookmarkStart w:id="2275" w:name="_Toc20384151"/>
      <w:r w:rsidRPr="00225179">
        <w:t>RULES OF CONDUCT</w:t>
      </w:r>
      <w:bookmarkEnd w:id="2269"/>
      <w:bookmarkEnd w:id="2270"/>
      <w:bookmarkEnd w:id="2271"/>
      <w:bookmarkEnd w:id="2275"/>
    </w:p>
    <w:p w14:paraId="3ADDECE3" w14:textId="77777777" w:rsidR="00A812DF" w:rsidRDefault="00A812DF" w:rsidP="006F6DD6">
      <w:pPr>
        <w:spacing w:after="240" w:line="300" w:lineRule="auto"/>
      </w:pPr>
      <w:r>
        <w:t xml:space="preserve">Welcome to the </w:t>
      </w:r>
      <w:r w:rsidR="004D5D76" w:rsidRPr="004D5D76">
        <w:rPr>
          <w:i/>
        </w:rPr>
        <w:t>Rules of Conduct</w:t>
      </w:r>
      <w:r w:rsidR="004D5D76">
        <w:t xml:space="preserve"> section</w:t>
      </w:r>
      <w:r w:rsidR="00775CF7">
        <w:t xml:space="preserve"> </w:t>
      </w:r>
      <w:r>
        <w:t xml:space="preserve">of the CAISO </w:t>
      </w:r>
      <w:r w:rsidRPr="00A812DF">
        <w:rPr>
          <w:i/>
        </w:rPr>
        <w:t>BPM for the Energy Imbalance Market</w:t>
      </w:r>
      <w:r>
        <w:t xml:space="preserve">.  In this section </w:t>
      </w:r>
      <w:r w:rsidR="004D5D76">
        <w:t xml:space="preserve">you will find </w:t>
      </w:r>
      <w:r>
        <w:t xml:space="preserve">the following </w:t>
      </w:r>
      <w:r w:rsidR="004D5D76">
        <w:t>information</w:t>
      </w:r>
      <w:r>
        <w:t>:</w:t>
      </w:r>
    </w:p>
    <w:p w14:paraId="6ED58FD0" w14:textId="77777777" w:rsidR="004D5D76" w:rsidRDefault="00A812DF" w:rsidP="000F0531">
      <w:pPr>
        <w:pStyle w:val="ListParagraph"/>
        <w:numPr>
          <w:ilvl w:val="0"/>
          <w:numId w:val="41"/>
        </w:numPr>
        <w:spacing w:after="240" w:line="300" w:lineRule="auto"/>
      </w:pPr>
      <w:r>
        <w:t>S</w:t>
      </w:r>
      <w:r w:rsidR="004D5D76">
        <w:t>ummar</w:t>
      </w:r>
      <w:r>
        <w:t>y of</w:t>
      </w:r>
      <w:r w:rsidR="004D5D76">
        <w:t xml:space="preserve"> the behavior that is subject to Sanction under the CAISO Tariff Rules of Conduct (CAISO Tariff Section 37).</w:t>
      </w:r>
    </w:p>
    <w:p w14:paraId="11FB061E" w14:textId="77777777" w:rsidR="00770B86" w:rsidRDefault="00770B86" w:rsidP="006F6DD6">
      <w:pPr>
        <w:spacing w:after="240" w:line="300" w:lineRule="auto"/>
      </w:pPr>
      <w:r w:rsidRPr="00770B86">
        <w:t xml:space="preserve">Participants in the CAISO markets are expected to comply with the provisions of the CAISO Tariff as well as requirements contained within </w:t>
      </w:r>
      <w:r w:rsidR="000F52BB">
        <w:t>its</w:t>
      </w:r>
      <w:r w:rsidRPr="00770B86">
        <w:t xml:space="preserve"> Business Practice Manuals.  The p</w:t>
      </w:r>
      <w:r w:rsidR="001B06BF">
        <w:t xml:space="preserve">rocess that </w:t>
      </w:r>
      <w:r w:rsidRPr="00770B86">
        <w:t xml:space="preserve">CAISO undertakes to ensure compliance with these documents is described in the </w:t>
      </w:r>
      <w:hyperlink r:id="rId194" w:history="1">
        <w:r w:rsidRPr="003E0BEF">
          <w:rPr>
            <w:rStyle w:val="Hyperlink"/>
            <w:b/>
          </w:rPr>
          <w:t>BPM for Rules of Conduct Administration</w:t>
        </w:r>
      </w:hyperlink>
      <w:r w:rsidRPr="00770B86">
        <w:t xml:space="preserve">.  A participant in the EIM is also subject to these rules as defined by their specific participation in the EIM.   </w:t>
      </w:r>
    </w:p>
    <w:p w14:paraId="66266192" w14:textId="77777777" w:rsidR="00770B86" w:rsidRPr="00770B86" w:rsidRDefault="00770B86" w:rsidP="006F6DD6">
      <w:pPr>
        <w:spacing w:after="240" w:line="300" w:lineRule="auto"/>
      </w:pPr>
    </w:p>
    <w:p w14:paraId="697A127A" w14:textId="77777777" w:rsidR="002E46E9" w:rsidRDefault="002E46E9" w:rsidP="00DF5618">
      <w:pPr>
        <w:pStyle w:val="Heading1"/>
      </w:pPr>
      <w:bookmarkStart w:id="2276" w:name="_Toc389662616"/>
      <w:bookmarkStart w:id="2277" w:name="_Toc390946310"/>
      <w:bookmarkStart w:id="2278" w:name="_Toc391969875"/>
      <w:bookmarkStart w:id="2279" w:name="_Toc20384152"/>
      <w:r>
        <w:t xml:space="preserve">CHANGE </w:t>
      </w:r>
      <w:r w:rsidRPr="00225179">
        <w:t>MANAGEMENT</w:t>
      </w:r>
      <w:bookmarkEnd w:id="2276"/>
      <w:bookmarkEnd w:id="2277"/>
      <w:bookmarkEnd w:id="2278"/>
      <w:bookmarkEnd w:id="2279"/>
    </w:p>
    <w:p w14:paraId="0B23B681" w14:textId="77777777" w:rsidR="00A812DF" w:rsidRDefault="00A812DF" w:rsidP="006F6DD6">
      <w:pPr>
        <w:spacing w:after="240" w:line="300" w:lineRule="auto"/>
      </w:pPr>
      <w:r>
        <w:t xml:space="preserve">Welcome to </w:t>
      </w:r>
      <w:r w:rsidR="00375CB7">
        <w:t xml:space="preserve">the </w:t>
      </w:r>
      <w:r w:rsidR="00375CB7" w:rsidRPr="00375CB7">
        <w:rPr>
          <w:i/>
        </w:rPr>
        <w:t>Change Management</w:t>
      </w:r>
      <w:r w:rsidR="00375CB7">
        <w:t xml:space="preserve"> section of th</w:t>
      </w:r>
      <w:r>
        <w:t>e CAISO</w:t>
      </w:r>
      <w:r w:rsidR="00375CB7">
        <w:t xml:space="preserve"> </w:t>
      </w:r>
      <w:r w:rsidR="00375CB7" w:rsidRPr="00A812DF">
        <w:rPr>
          <w:i/>
        </w:rPr>
        <w:t>BPM</w:t>
      </w:r>
      <w:r w:rsidRPr="00A812DF">
        <w:rPr>
          <w:i/>
        </w:rPr>
        <w:t xml:space="preserve"> for the Energy Imbalance Market</w:t>
      </w:r>
      <w:r>
        <w:t>.  In this section</w:t>
      </w:r>
      <w:r w:rsidR="00775CF7">
        <w:t xml:space="preserve"> </w:t>
      </w:r>
      <w:r w:rsidR="00375CB7">
        <w:t xml:space="preserve">you will find </w:t>
      </w:r>
      <w:r w:rsidR="00F57961">
        <w:t>the following information</w:t>
      </w:r>
      <w:r>
        <w:t>:</w:t>
      </w:r>
    </w:p>
    <w:p w14:paraId="741D20B7" w14:textId="77777777" w:rsidR="00375CB7" w:rsidRDefault="00A812DF" w:rsidP="000F0531">
      <w:pPr>
        <w:pStyle w:val="ListParagraph"/>
        <w:numPr>
          <w:ilvl w:val="0"/>
          <w:numId w:val="41"/>
        </w:numPr>
        <w:spacing w:after="240" w:line="300" w:lineRule="auto"/>
      </w:pPr>
      <w:r>
        <w:t xml:space="preserve">Information </w:t>
      </w:r>
      <w:r w:rsidR="00375CB7">
        <w:t xml:space="preserve">relating to requests for additions, edits, deletions, revisions, or clarifications to a BPM, including any attachments and exhibits to a BPM that are expressly incorporated by reference.   </w:t>
      </w:r>
    </w:p>
    <w:p w14:paraId="1C7D12FB" w14:textId="77777777" w:rsidR="009D4F0E" w:rsidRDefault="00770B86" w:rsidP="006F6DD6">
      <w:pPr>
        <w:spacing w:after="240" w:line="300" w:lineRule="auto"/>
      </w:pPr>
      <w:r w:rsidRPr="00770B86">
        <w:t>The Business Practice Manuals (BPMs) developed by CAISO are intended t</w:t>
      </w:r>
      <w:r w:rsidR="000F52BB">
        <w:t>o contain implementation detail</w:t>
      </w:r>
      <w:r w:rsidRPr="00770B86">
        <w:t xml:space="preserve"> consistent with and supported by the CAISO Tariff, including: instructions, rules, procedures, examples, and guidelines for the administration, operation, planning, and accounting requirements of CAISO </w:t>
      </w:r>
      <w:r w:rsidR="001B06BF">
        <w:t xml:space="preserve">and the markets operated by </w:t>
      </w:r>
      <w:r w:rsidRPr="00770B86">
        <w:t>CAISO.  Changes to the information pro</w:t>
      </w:r>
      <w:r w:rsidR="001B06BF">
        <w:t xml:space="preserve">vided in the BPMs posted by </w:t>
      </w:r>
      <w:r w:rsidRPr="00770B86">
        <w:t xml:space="preserve">CAISO are governed by the process outlined in the </w:t>
      </w:r>
      <w:hyperlink r:id="rId195" w:history="1">
        <w:r w:rsidRPr="003E0BEF">
          <w:rPr>
            <w:rStyle w:val="Hyperlink"/>
            <w:b/>
          </w:rPr>
          <w:t>BPM for Change Management</w:t>
        </w:r>
      </w:hyperlink>
      <w:r w:rsidRPr="00770B86">
        <w:t>.</w:t>
      </w:r>
    </w:p>
    <w:p w14:paraId="054DDC76" w14:textId="77777777" w:rsidR="0028031A" w:rsidRPr="00770B86" w:rsidRDefault="0028031A" w:rsidP="006F6DD6">
      <w:pPr>
        <w:spacing w:after="240" w:line="300" w:lineRule="auto"/>
      </w:pPr>
    </w:p>
    <w:p w14:paraId="170F53F7" w14:textId="77777777" w:rsidR="002E46E9" w:rsidRPr="002E46E9" w:rsidRDefault="002E46E9" w:rsidP="00DF5618">
      <w:pPr>
        <w:pStyle w:val="Heading1"/>
      </w:pPr>
      <w:bookmarkStart w:id="2280" w:name="_Toc389662617"/>
      <w:bookmarkStart w:id="2281" w:name="_Toc390946311"/>
      <w:bookmarkStart w:id="2282" w:name="_Toc391969876"/>
      <w:bookmarkStart w:id="2283" w:name="_Toc20384153"/>
      <w:r>
        <w:t xml:space="preserve">DEFINITIONS </w:t>
      </w:r>
      <w:r w:rsidRPr="00225179">
        <w:t>AND</w:t>
      </w:r>
      <w:r>
        <w:t xml:space="preserve"> ACRONYMS</w:t>
      </w:r>
      <w:bookmarkEnd w:id="2280"/>
      <w:bookmarkEnd w:id="2281"/>
      <w:bookmarkEnd w:id="2282"/>
      <w:bookmarkEnd w:id="2283"/>
    </w:p>
    <w:p w14:paraId="4214EDF1" w14:textId="77777777" w:rsidR="00793AFA" w:rsidRDefault="006D50D0" w:rsidP="006F6DD6">
      <w:pPr>
        <w:pStyle w:val="ParaText"/>
      </w:pPr>
      <w:r>
        <w:t xml:space="preserve">Welcome to the </w:t>
      </w:r>
      <w:r w:rsidR="00B15CEB" w:rsidRPr="00B15CEB">
        <w:rPr>
          <w:i/>
        </w:rPr>
        <w:t>Definitions and Acronyms</w:t>
      </w:r>
      <w:r w:rsidR="00B15CEB">
        <w:t xml:space="preserve"> </w:t>
      </w:r>
      <w:r>
        <w:t>sec</w:t>
      </w:r>
      <w:r w:rsidR="00B15CEB">
        <w:t xml:space="preserve">tion of the </w:t>
      </w:r>
      <w:r w:rsidR="00793AFA">
        <w:t xml:space="preserve">CAISO </w:t>
      </w:r>
      <w:r w:rsidR="00B15CEB" w:rsidRPr="00793AFA">
        <w:rPr>
          <w:i/>
        </w:rPr>
        <w:t>BPM for the Energy Imbalance Market</w:t>
      </w:r>
      <w:r w:rsidR="00B15CEB">
        <w:t xml:space="preserve">.  </w:t>
      </w:r>
      <w:r w:rsidR="00793AFA">
        <w:t>In this section you will find the following information:</w:t>
      </w:r>
    </w:p>
    <w:p w14:paraId="37F90DC5" w14:textId="77777777" w:rsidR="00793AFA" w:rsidRDefault="00793AFA" w:rsidP="000F0531">
      <w:pPr>
        <w:pStyle w:val="ParaText"/>
        <w:numPr>
          <w:ilvl w:val="0"/>
          <w:numId w:val="41"/>
        </w:numPr>
      </w:pPr>
      <w:r>
        <w:t>A list of defined terms, abbreviations, and acronyms that are used in the CAISO BPM for the Energy Imbalance Market.</w:t>
      </w:r>
    </w:p>
    <w:p w14:paraId="68920286" w14:textId="77777777" w:rsidR="0016220E" w:rsidRPr="00A7770E" w:rsidRDefault="00D34FAF" w:rsidP="00793AFA">
      <w:pPr>
        <w:pStyle w:val="ParaText"/>
      </w:pPr>
      <w:r w:rsidRPr="003E0BEF">
        <w:t xml:space="preserve">The </w:t>
      </w:r>
      <w:hyperlink r:id="rId196" w:history="1">
        <w:r w:rsidRPr="003E0BEF">
          <w:rPr>
            <w:rStyle w:val="Hyperlink"/>
            <w:b/>
          </w:rPr>
          <w:t>BPM for Definitions &amp; Acronyms</w:t>
        </w:r>
      </w:hyperlink>
      <w:r w:rsidRPr="003E0BEF">
        <w:t xml:space="preserve"> serves as a general reference for readers of </w:t>
      </w:r>
      <w:r w:rsidR="00B15CEB">
        <w:t xml:space="preserve">the </w:t>
      </w:r>
      <w:r w:rsidRPr="003E0BEF">
        <w:t>CAISO BPMs.  It lists definitions used in the BPMs, including both newly defined terms and pertinent terms from</w:t>
      </w:r>
      <w:r w:rsidR="00B91756">
        <w:t xml:space="preserve"> the</w:t>
      </w:r>
      <w:r w:rsidRPr="003E0BEF">
        <w:t xml:space="preserve"> CAISO Tariff Appendix A.  </w:t>
      </w:r>
      <w:hyperlink r:id="rId197" w:history="1">
        <w:r w:rsidRPr="00B15CEB">
          <w:rPr>
            <w:rStyle w:val="Hyperlink"/>
            <w:b/>
          </w:rPr>
          <w:t>The BPM for Definitions &amp; Acronyms</w:t>
        </w:r>
      </w:hyperlink>
      <w:r w:rsidRPr="003E0BEF">
        <w:t xml:space="preserve"> also provides a list of acronyms used in CAISO BPMs, as well as acronyms associated with the remainder of the defined terms in Appendix A</w:t>
      </w:r>
      <w:r w:rsidR="000F52BB">
        <w:t>,</w:t>
      </w:r>
      <w:r w:rsidRPr="003E0BEF">
        <w:t xml:space="preserve"> regardless of whether they appear in the BPMs.</w:t>
      </w:r>
    </w:p>
    <w:p w14:paraId="4477C537" w14:textId="77777777" w:rsidR="0016220E" w:rsidRDefault="0033737B" w:rsidP="00C33762">
      <w:pPr>
        <w:pStyle w:val="Heading2"/>
      </w:pPr>
      <w:bookmarkStart w:id="2284" w:name="_Toc389662618"/>
      <w:bookmarkStart w:id="2285" w:name="_Toc390946312"/>
      <w:bookmarkStart w:id="2286" w:name="_Toc391969877"/>
      <w:bookmarkStart w:id="2287" w:name="_Toc20384154"/>
      <w:r>
        <w:t>Acronyms</w:t>
      </w:r>
      <w:bookmarkEnd w:id="2284"/>
      <w:bookmarkEnd w:id="2285"/>
      <w:bookmarkEnd w:id="2286"/>
      <w:bookmarkEnd w:id="2287"/>
    </w:p>
    <w:p w14:paraId="41D5B675" w14:textId="77777777" w:rsidR="0033737B" w:rsidRDefault="0033737B" w:rsidP="0033737B">
      <w:r>
        <w:t>In this section you will find abbreviations and acronyms that are used in the CAISO EIM BPM.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6947"/>
      </w:tblGrid>
      <w:tr w:rsidR="0033737B" w14:paraId="60949C9B" w14:textId="77777777" w:rsidTr="00190C1B">
        <w:tc>
          <w:tcPr>
            <w:tcW w:w="2448" w:type="dxa"/>
            <w:tcBorders>
              <w:bottom w:val="single" w:sz="4" w:space="0" w:color="auto"/>
            </w:tcBorders>
            <w:shd w:val="clear" w:color="auto" w:fill="BFBFBF"/>
          </w:tcPr>
          <w:p w14:paraId="3EC57A6D" w14:textId="77777777" w:rsidR="0033737B" w:rsidRPr="00D23D0F" w:rsidRDefault="0033737B" w:rsidP="00D23D0F">
            <w:pPr>
              <w:jc w:val="center"/>
              <w:rPr>
                <w:b/>
              </w:rPr>
            </w:pPr>
            <w:r w:rsidRPr="00D23D0F">
              <w:rPr>
                <w:b/>
              </w:rPr>
              <w:t>Acronym</w:t>
            </w:r>
          </w:p>
        </w:tc>
        <w:tc>
          <w:tcPr>
            <w:tcW w:w="7128" w:type="dxa"/>
            <w:tcBorders>
              <w:bottom w:val="single" w:sz="4" w:space="0" w:color="auto"/>
            </w:tcBorders>
            <w:shd w:val="clear" w:color="auto" w:fill="BFBFBF"/>
          </w:tcPr>
          <w:p w14:paraId="38F66BDC" w14:textId="77777777" w:rsidR="0033737B" w:rsidRPr="00D23D0F" w:rsidRDefault="0033737B" w:rsidP="00D23D0F">
            <w:pPr>
              <w:jc w:val="center"/>
              <w:rPr>
                <w:b/>
              </w:rPr>
            </w:pPr>
            <w:r w:rsidRPr="00D23D0F">
              <w:rPr>
                <w:b/>
              </w:rPr>
              <w:t>Definition</w:t>
            </w:r>
          </w:p>
        </w:tc>
      </w:tr>
      <w:tr w:rsidR="00270D7F" w14:paraId="40B5C0DD" w14:textId="77777777" w:rsidTr="00D23D0F">
        <w:tc>
          <w:tcPr>
            <w:tcW w:w="2448" w:type="dxa"/>
            <w:shd w:val="clear" w:color="auto" w:fill="auto"/>
          </w:tcPr>
          <w:p w14:paraId="4048BD4D" w14:textId="77777777" w:rsidR="00270D7F" w:rsidRPr="00D23D0F" w:rsidRDefault="00270D7F" w:rsidP="0033737B">
            <w:pPr>
              <w:rPr>
                <w:b/>
              </w:rPr>
            </w:pPr>
            <w:r w:rsidRPr="009762A8">
              <w:rPr>
                <w:b/>
              </w:rPr>
              <w:t>AANSI</w:t>
            </w:r>
          </w:p>
        </w:tc>
        <w:tc>
          <w:tcPr>
            <w:tcW w:w="7128" w:type="dxa"/>
            <w:shd w:val="clear" w:color="auto" w:fill="auto"/>
          </w:tcPr>
          <w:p w14:paraId="41930864" w14:textId="77777777" w:rsidR="00270D7F" w:rsidRDefault="00270D7F" w:rsidP="0033737B">
            <w:r>
              <w:t xml:space="preserve">Area to Area Net Scheduled Interchange </w:t>
            </w:r>
          </w:p>
        </w:tc>
      </w:tr>
      <w:tr w:rsidR="00270D7F" w14:paraId="4E77D1BD" w14:textId="77777777" w:rsidTr="00D23D0F">
        <w:tc>
          <w:tcPr>
            <w:tcW w:w="2448" w:type="dxa"/>
            <w:shd w:val="clear" w:color="auto" w:fill="auto"/>
          </w:tcPr>
          <w:p w14:paraId="17B4C4A4" w14:textId="77777777" w:rsidR="00270D7F" w:rsidRPr="00D23D0F" w:rsidRDefault="00270D7F" w:rsidP="0033737B">
            <w:pPr>
              <w:rPr>
                <w:b/>
              </w:rPr>
            </w:pPr>
            <w:r>
              <w:rPr>
                <w:b/>
              </w:rPr>
              <w:t>API</w:t>
            </w:r>
          </w:p>
        </w:tc>
        <w:tc>
          <w:tcPr>
            <w:tcW w:w="7128" w:type="dxa"/>
            <w:shd w:val="clear" w:color="auto" w:fill="auto"/>
          </w:tcPr>
          <w:p w14:paraId="0CE87FB4" w14:textId="77777777" w:rsidR="00270D7F" w:rsidRDefault="00270D7F" w:rsidP="0033737B">
            <w:r>
              <w:t>Application Program Interface</w:t>
            </w:r>
          </w:p>
        </w:tc>
      </w:tr>
      <w:tr w:rsidR="00270D7F" w14:paraId="07579002" w14:textId="77777777" w:rsidTr="00D23D0F">
        <w:tc>
          <w:tcPr>
            <w:tcW w:w="2448" w:type="dxa"/>
            <w:shd w:val="clear" w:color="auto" w:fill="auto"/>
          </w:tcPr>
          <w:p w14:paraId="65B62616" w14:textId="77777777" w:rsidR="00270D7F" w:rsidRPr="00D23D0F" w:rsidRDefault="00270D7F" w:rsidP="0033737B">
            <w:pPr>
              <w:rPr>
                <w:b/>
              </w:rPr>
            </w:pPr>
            <w:r w:rsidRPr="00D23D0F">
              <w:rPr>
                <w:b/>
              </w:rPr>
              <w:t>BPM</w:t>
            </w:r>
          </w:p>
        </w:tc>
        <w:tc>
          <w:tcPr>
            <w:tcW w:w="7128" w:type="dxa"/>
            <w:shd w:val="clear" w:color="auto" w:fill="auto"/>
          </w:tcPr>
          <w:p w14:paraId="17DFFF73" w14:textId="77777777" w:rsidR="00270D7F" w:rsidRDefault="00270D7F" w:rsidP="0033737B">
            <w:r>
              <w:t>Business Practice Manual</w:t>
            </w:r>
          </w:p>
        </w:tc>
      </w:tr>
      <w:tr w:rsidR="00270D7F" w14:paraId="19C778CA" w14:textId="77777777" w:rsidTr="00D23D0F">
        <w:tc>
          <w:tcPr>
            <w:tcW w:w="2448" w:type="dxa"/>
            <w:shd w:val="clear" w:color="auto" w:fill="auto"/>
          </w:tcPr>
          <w:p w14:paraId="453C5D2A" w14:textId="77777777" w:rsidR="00270D7F" w:rsidRPr="00D23D0F" w:rsidRDefault="00270D7F" w:rsidP="0033737B">
            <w:pPr>
              <w:rPr>
                <w:b/>
              </w:rPr>
            </w:pPr>
            <w:r w:rsidRPr="00D23D0F">
              <w:rPr>
                <w:b/>
              </w:rPr>
              <w:t>CAISO</w:t>
            </w:r>
          </w:p>
        </w:tc>
        <w:tc>
          <w:tcPr>
            <w:tcW w:w="7128" w:type="dxa"/>
            <w:shd w:val="clear" w:color="auto" w:fill="auto"/>
          </w:tcPr>
          <w:p w14:paraId="37CEF631" w14:textId="77777777" w:rsidR="00270D7F" w:rsidRDefault="00270D7F" w:rsidP="0033737B">
            <w:r>
              <w:t>California Independent System Operator Corporation</w:t>
            </w:r>
          </w:p>
        </w:tc>
      </w:tr>
      <w:tr w:rsidR="00270D7F" w14:paraId="658B9BF5" w14:textId="77777777" w:rsidTr="00D23D0F">
        <w:tc>
          <w:tcPr>
            <w:tcW w:w="2448" w:type="dxa"/>
            <w:shd w:val="clear" w:color="auto" w:fill="auto"/>
          </w:tcPr>
          <w:p w14:paraId="14719FB3" w14:textId="77777777" w:rsidR="00270D7F" w:rsidRPr="00D23D0F" w:rsidRDefault="00270D7F" w:rsidP="0033737B">
            <w:pPr>
              <w:rPr>
                <w:b/>
              </w:rPr>
            </w:pPr>
            <w:r>
              <w:rPr>
                <w:b/>
              </w:rPr>
              <w:t>CAI</w:t>
            </w:r>
            <w:r w:rsidRPr="00D23D0F">
              <w:rPr>
                <w:b/>
              </w:rPr>
              <w:t>SO BAA</w:t>
            </w:r>
          </w:p>
        </w:tc>
        <w:tc>
          <w:tcPr>
            <w:tcW w:w="7128" w:type="dxa"/>
            <w:shd w:val="clear" w:color="auto" w:fill="auto"/>
          </w:tcPr>
          <w:p w14:paraId="66083FFC" w14:textId="77777777" w:rsidR="00270D7F" w:rsidRDefault="00270D7F" w:rsidP="0033737B">
            <w:r>
              <w:t>The Balancing Authority Area of California Independent System Operator</w:t>
            </w:r>
          </w:p>
        </w:tc>
      </w:tr>
      <w:tr w:rsidR="00270D7F" w14:paraId="01806028" w14:textId="77777777" w:rsidTr="00D23D0F">
        <w:tc>
          <w:tcPr>
            <w:tcW w:w="2448" w:type="dxa"/>
            <w:shd w:val="clear" w:color="auto" w:fill="auto"/>
          </w:tcPr>
          <w:p w14:paraId="37EAF80C" w14:textId="77777777" w:rsidR="00270D7F" w:rsidRPr="00D23D0F" w:rsidRDefault="00270D7F" w:rsidP="0033737B">
            <w:pPr>
              <w:rPr>
                <w:b/>
              </w:rPr>
            </w:pPr>
            <w:r>
              <w:rPr>
                <w:b/>
              </w:rPr>
              <w:t>DAM</w:t>
            </w:r>
          </w:p>
        </w:tc>
        <w:tc>
          <w:tcPr>
            <w:tcW w:w="7128" w:type="dxa"/>
            <w:shd w:val="clear" w:color="auto" w:fill="auto"/>
          </w:tcPr>
          <w:p w14:paraId="4C3AA95E" w14:textId="77777777" w:rsidR="00270D7F" w:rsidRDefault="00270D7F" w:rsidP="0033737B">
            <w:r>
              <w:t>Day-Ahead Market</w:t>
            </w:r>
          </w:p>
        </w:tc>
      </w:tr>
      <w:tr w:rsidR="00270D7F" w14:paraId="74064641" w14:textId="77777777" w:rsidTr="00D23D0F">
        <w:tc>
          <w:tcPr>
            <w:tcW w:w="2448" w:type="dxa"/>
            <w:shd w:val="clear" w:color="auto" w:fill="auto"/>
          </w:tcPr>
          <w:p w14:paraId="34F58C50" w14:textId="77777777" w:rsidR="00270D7F" w:rsidRDefault="00270D7F" w:rsidP="0033737B">
            <w:pPr>
              <w:rPr>
                <w:b/>
              </w:rPr>
            </w:pPr>
            <w:r>
              <w:rPr>
                <w:b/>
              </w:rPr>
              <w:t>DB</w:t>
            </w:r>
          </w:p>
        </w:tc>
        <w:tc>
          <w:tcPr>
            <w:tcW w:w="7128" w:type="dxa"/>
            <w:shd w:val="clear" w:color="auto" w:fill="auto"/>
          </w:tcPr>
          <w:p w14:paraId="4B14B23A" w14:textId="77777777" w:rsidR="00270D7F" w:rsidRDefault="00270D7F" w:rsidP="0033737B">
            <w:r>
              <w:t>EIM diversity benefit</w:t>
            </w:r>
          </w:p>
        </w:tc>
      </w:tr>
      <w:tr w:rsidR="00270D7F" w14:paraId="6E530809" w14:textId="77777777" w:rsidTr="00D23D0F">
        <w:tc>
          <w:tcPr>
            <w:tcW w:w="2448" w:type="dxa"/>
            <w:shd w:val="clear" w:color="auto" w:fill="auto"/>
          </w:tcPr>
          <w:p w14:paraId="2FC2126B" w14:textId="77777777" w:rsidR="00270D7F" w:rsidRPr="00D23D0F" w:rsidRDefault="00270D7F" w:rsidP="0033737B">
            <w:pPr>
              <w:rPr>
                <w:b/>
              </w:rPr>
            </w:pPr>
            <w:r w:rsidRPr="00D23D0F">
              <w:rPr>
                <w:b/>
              </w:rPr>
              <w:t>EIM</w:t>
            </w:r>
          </w:p>
        </w:tc>
        <w:tc>
          <w:tcPr>
            <w:tcW w:w="7128" w:type="dxa"/>
            <w:shd w:val="clear" w:color="auto" w:fill="auto"/>
          </w:tcPr>
          <w:p w14:paraId="43494E70" w14:textId="77777777" w:rsidR="00270D7F" w:rsidRPr="00D723BF" w:rsidRDefault="00270D7F" w:rsidP="0033737B">
            <w:r>
              <w:t xml:space="preserve"> Energy Imbalance Market</w:t>
            </w:r>
          </w:p>
        </w:tc>
      </w:tr>
      <w:tr w:rsidR="00270D7F" w14:paraId="25F24816" w14:textId="77777777" w:rsidTr="00D23D0F">
        <w:tc>
          <w:tcPr>
            <w:tcW w:w="2448" w:type="dxa"/>
            <w:shd w:val="clear" w:color="auto" w:fill="auto"/>
          </w:tcPr>
          <w:p w14:paraId="026829F3" w14:textId="77777777" w:rsidR="00270D7F" w:rsidRPr="00D23D0F" w:rsidRDefault="00270D7F" w:rsidP="0033737B">
            <w:pPr>
              <w:rPr>
                <w:b/>
              </w:rPr>
            </w:pPr>
            <w:r w:rsidRPr="00D23D0F">
              <w:rPr>
                <w:b/>
              </w:rPr>
              <w:t xml:space="preserve">EIM </w:t>
            </w:r>
            <w:r>
              <w:rPr>
                <w:b/>
              </w:rPr>
              <w:t xml:space="preserve">Entity </w:t>
            </w:r>
            <w:r w:rsidRPr="00D23D0F">
              <w:rPr>
                <w:b/>
              </w:rPr>
              <w:t>BAA</w:t>
            </w:r>
          </w:p>
        </w:tc>
        <w:tc>
          <w:tcPr>
            <w:tcW w:w="7128" w:type="dxa"/>
            <w:shd w:val="clear" w:color="auto" w:fill="auto"/>
          </w:tcPr>
          <w:p w14:paraId="711DF94F" w14:textId="77777777" w:rsidR="00270D7F" w:rsidRPr="00095C4F" w:rsidRDefault="00270D7F" w:rsidP="0033737B">
            <w:r w:rsidRPr="00095C4F">
              <w:t>The Balancing Authority Area of Entity that is participating in the Energy Imbalance Market</w:t>
            </w:r>
          </w:p>
        </w:tc>
      </w:tr>
      <w:tr w:rsidR="00270D7F" w14:paraId="471D9B18" w14:textId="77777777" w:rsidTr="00D23D0F">
        <w:tc>
          <w:tcPr>
            <w:tcW w:w="2448" w:type="dxa"/>
            <w:shd w:val="clear" w:color="auto" w:fill="auto"/>
          </w:tcPr>
          <w:p w14:paraId="5AC42C43" w14:textId="77777777" w:rsidR="00270D7F" w:rsidRPr="00D23D0F" w:rsidRDefault="00270D7F" w:rsidP="0033737B">
            <w:pPr>
              <w:rPr>
                <w:b/>
              </w:rPr>
            </w:pPr>
            <w:r w:rsidRPr="00D23D0F">
              <w:rPr>
                <w:b/>
              </w:rPr>
              <w:t>External BAA</w:t>
            </w:r>
          </w:p>
        </w:tc>
        <w:tc>
          <w:tcPr>
            <w:tcW w:w="7128" w:type="dxa"/>
            <w:shd w:val="clear" w:color="auto" w:fill="auto"/>
          </w:tcPr>
          <w:p w14:paraId="32E2EFFD" w14:textId="77777777" w:rsidR="00270D7F" w:rsidRDefault="00270D7F" w:rsidP="0033737B">
            <w:r>
              <w:t xml:space="preserve">The Balancing Authority Area of Entities that </w:t>
            </w:r>
            <w:r w:rsidRPr="00D723BF">
              <w:t>are</w:t>
            </w:r>
            <w:r>
              <w:t xml:space="preserve"> not CAISO BAA.  External BAA includes EIM </w:t>
            </w:r>
            <w:r>
              <w:rPr>
                <w:rFonts w:cs="Arial"/>
              </w:rPr>
              <w:t>Entity</w:t>
            </w:r>
            <w:r>
              <w:t xml:space="preserve"> BAA, non-EIM Entity BAA, and boundary BAA that are not modeled in the FNM.</w:t>
            </w:r>
          </w:p>
        </w:tc>
      </w:tr>
      <w:tr w:rsidR="00270D7F" w14:paraId="5711591C" w14:textId="77777777" w:rsidTr="00D23D0F">
        <w:tc>
          <w:tcPr>
            <w:tcW w:w="2448" w:type="dxa"/>
            <w:shd w:val="clear" w:color="auto" w:fill="auto"/>
          </w:tcPr>
          <w:p w14:paraId="55D3CDEC" w14:textId="77777777" w:rsidR="00270D7F" w:rsidRPr="00D23D0F" w:rsidRDefault="00270D7F" w:rsidP="0033737B">
            <w:pPr>
              <w:rPr>
                <w:b/>
              </w:rPr>
            </w:pPr>
            <w:r>
              <w:rPr>
                <w:b/>
              </w:rPr>
              <w:t>HVDC</w:t>
            </w:r>
          </w:p>
        </w:tc>
        <w:tc>
          <w:tcPr>
            <w:tcW w:w="7128" w:type="dxa"/>
            <w:shd w:val="clear" w:color="auto" w:fill="auto"/>
          </w:tcPr>
          <w:p w14:paraId="398FA748" w14:textId="77777777" w:rsidR="00270D7F" w:rsidRDefault="00270D7F" w:rsidP="0033737B">
            <w:r>
              <w:t>High-Voltage Direct Current</w:t>
            </w:r>
          </w:p>
        </w:tc>
      </w:tr>
      <w:tr w:rsidR="00270D7F" w14:paraId="5CA649F4" w14:textId="77777777" w:rsidTr="00D23D0F">
        <w:tc>
          <w:tcPr>
            <w:tcW w:w="2448" w:type="dxa"/>
            <w:shd w:val="clear" w:color="auto" w:fill="auto"/>
          </w:tcPr>
          <w:p w14:paraId="4F946CD9" w14:textId="77777777" w:rsidR="00270D7F" w:rsidRPr="00D23D0F" w:rsidRDefault="00270D7F" w:rsidP="0033737B">
            <w:pPr>
              <w:rPr>
                <w:b/>
              </w:rPr>
            </w:pPr>
          </w:p>
        </w:tc>
        <w:tc>
          <w:tcPr>
            <w:tcW w:w="7128" w:type="dxa"/>
            <w:shd w:val="clear" w:color="auto" w:fill="auto"/>
          </w:tcPr>
          <w:p w14:paraId="0C20AD55" w14:textId="77777777" w:rsidR="00270D7F" w:rsidRPr="00D723BF" w:rsidRDefault="00270D7F" w:rsidP="0033737B"/>
        </w:tc>
      </w:tr>
      <w:tr w:rsidR="00270D7F" w14:paraId="631F4413" w14:textId="77777777" w:rsidTr="00D23D0F">
        <w:tc>
          <w:tcPr>
            <w:tcW w:w="2448" w:type="dxa"/>
            <w:shd w:val="clear" w:color="auto" w:fill="auto"/>
          </w:tcPr>
          <w:p w14:paraId="726FF8B1" w14:textId="77777777" w:rsidR="00270D7F" w:rsidRPr="00D23D0F" w:rsidRDefault="00270D7F" w:rsidP="0033737B">
            <w:pPr>
              <w:rPr>
                <w:b/>
              </w:rPr>
            </w:pPr>
            <w:r w:rsidRPr="00D23D0F">
              <w:rPr>
                <w:b/>
              </w:rPr>
              <w:t>Non-EIM</w:t>
            </w:r>
            <w:r>
              <w:rPr>
                <w:b/>
              </w:rPr>
              <w:t xml:space="preserve"> Entity</w:t>
            </w:r>
            <w:r w:rsidRPr="00D23D0F">
              <w:rPr>
                <w:b/>
              </w:rPr>
              <w:t xml:space="preserve"> BAA</w:t>
            </w:r>
          </w:p>
        </w:tc>
        <w:tc>
          <w:tcPr>
            <w:tcW w:w="7128" w:type="dxa"/>
            <w:shd w:val="clear" w:color="auto" w:fill="auto"/>
          </w:tcPr>
          <w:p w14:paraId="4CA4A373" w14:textId="77777777" w:rsidR="00270D7F" w:rsidRPr="00095C4F" w:rsidRDefault="00270D7F" w:rsidP="0033737B">
            <w:r w:rsidRPr="00095C4F">
              <w:t>The Balancing Authority Area of Entity that is not participating in the Energy Imbalance Market</w:t>
            </w:r>
          </w:p>
        </w:tc>
      </w:tr>
      <w:tr w:rsidR="00270D7F" w14:paraId="4FE37392" w14:textId="77777777" w:rsidTr="00D23D0F">
        <w:tc>
          <w:tcPr>
            <w:tcW w:w="2448" w:type="dxa"/>
            <w:shd w:val="clear" w:color="auto" w:fill="auto"/>
          </w:tcPr>
          <w:p w14:paraId="418369D0" w14:textId="77777777" w:rsidR="00270D7F" w:rsidRPr="00D23D0F" w:rsidRDefault="00270D7F" w:rsidP="0033737B">
            <w:pPr>
              <w:rPr>
                <w:b/>
              </w:rPr>
            </w:pPr>
            <w:r>
              <w:rPr>
                <w:b/>
              </w:rPr>
              <w:t>NSI</w:t>
            </w:r>
          </w:p>
        </w:tc>
        <w:tc>
          <w:tcPr>
            <w:tcW w:w="7128" w:type="dxa"/>
            <w:shd w:val="clear" w:color="auto" w:fill="auto"/>
          </w:tcPr>
          <w:p w14:paraId="697F3364" w14:textId="77777777" w:rsidR="00270D7F" w:rsidRPr="00095C4F" w:rsidRDefault="00270D7F" w:rsidP="0033737B">
            <w:r>
              <w:t>Net Scheduled Interchange</w:t>
            </w:r>
          </w:p>
        </w:tc>
      </w:tr>
      <w:tr w:rsidR="00270D7F" w14:paraId="2EFA5212" w14:textId="77777777" w:rsidTr="00D23D0F">
        <w:tc>
          <w:tcPr>
            <w:tcW w:w="2448" w:type="dxa"/>
            <w:shd w:val="clear" w:color="auto" w:fill="auto"/>
          </w:tcPr>
          <w:p w14:paraId="63D5859F" w14:textId="77777777" w:rsidR="00270D7F" w:rsidRPr="00D23D0F" w:rsidRDefault="00270D7F" w:rsidP="0033737B">
            <w:pPr>
              <w:rPr>
                <w:b/>
              </w:rPr>
            </w:pPr>
            <w:r>
              <w:rPr>
                <w:b/>
              </w:rPr>
              <w:t>OCO</w:t>
            </w:r>
          </w:p>
        </w:tc>
        <w:tc>
          <w:tcPr>
            <w:tcW w:w="7128" w:type="dxa"/>
            <w:shd w:val="clear" w:color="auto" w:fill="auto"/>
          </w:tcPr>
          <w:p w14:paraId="11741FF2" w14:textId="77777777" w:rsidR="00270D7F" w:rsidRPr="00095C4F" w:rsidRDefault="00270D7F" w:rsidP="0033737B">
            <w:r>
              <w:t>Outage Coordination Office</w:t>
            </w:r>
          </w:p>
        </w:tc>
      </w:tr>
      <w:tr w:rsidR="00270D7F" w14:paraId="214D7FA1" w14:textId="77777777" w:rsidTr="00D23D0F">
        <w:tc>
          <w:tcPr>
            <w:tcW w:w="2448" w:type="dxa"/>
            <w:shd w:val="clear" w:color="auto" w:fill="auto"/>
          </w:tcPr>
          <w:p w14:paraId="542B3722" w14:textId="77777777" w:rsidR="00270D7F" w:rsidRPr="00190C1B" w:rsidRDefault="00270D7F" w:rsidP="0033737B">
            <w:pPr>
              <w:rPr>
                <w:b/>
                <w:highlight w:val="yellow"/>
              </w:rPr>
            </w:pPr>
            <w:r w:rsidRPr="006C649B" w:rsidDel="00B53E8D">
              <w:rPr>
                <w:b/>
              </w:rPr>
              <w:t>OMS</w:t>
            </w:r>
          </w:p>
        </w:tc>
        <w:tc>
          <w:tcPr>
            <w:tcW w:w="7128" w:type="dxa"/>
            <w:shd w:val="clear" w:color="auto" w:fill="auto"/>
          </w:tcPr>
          <w:p w14:paraId="18EEEED7" w14:textId="32C03FC9" w:rsidR="00270D7F" w:rsidRPr="00095C4F" w:rsidRDefault="00B722C6" w:rsidP="0033737B">
            <w:r>
              <w:t>o</w:t>
            </w:r>
            <w:r w:rsidR="00270D7F" w:rsidDel="00B53E8D">
              <w:t xml:space="preserve">utage </w:t>
            </w:r>
            <w:r>
              <w:t>m</w:t>
            </w:r>
            <w:r w:rsidR="00270D7F" w:rsidDel="00B53E8D">
              <w:t xml:space="preserve">anagement </w:t>
            </w:r>
            <w:r>
              <w:t>s</w:t>
            </w:r>
            <w:r w:rsidR="00270D7F" w:rsidDel="00B53E8D">
              <w:t>ystem</w:t>
            </w:r>
          </w:p>
        </w:tc>
      </w:tr>
      <w:tr w:rsidR="00270D7F" w14:paraId="05452CD3" w14:textId="77777777" w:rsidTr="00D23D0F">
        <w:tc>
          <w:tcPr>
            <w:tcW w:w="2448" w:type="dxa"/>
            <w:shd w:val="clear" w:color="auto" w:fill="auto"/>
          </w:tcPr>
          <w:p w14:paraId="35260EF1" w14:textId="77777777" w:rsidR="00270D7F" w:rsidRPr="00190C1B" w:rsidRDefault="00270D7F" w:rsidP="0033737B">
            <w:pPr>
              <w:rPr>
                <w:b/>
                <w:highlight w:val="yellow"/>
              </w:rPr>
            </w:pPr>
            <w:r w:rsidRPr="001A5070">
              <w:rPr>
                <w:b/>
              </w:rPr>
              <w:t>PSE</w:t>
            </w:r>
          </w:p>
        </w:tc>
        <w:tc>
          <w:tcPr>
            <w:tcW w:w="7128" w:type="dxa"/>
            <w:shd w:val="clear" w:color="auto" w:fill="auto"/>
          </w:tcPr>
          <w:p w14:paraId="10180A05" w14:textId="2FDF3559" w:rsidR="00270D7F" w:rsidRPr="00095C4F" w:rsidRDefault="00994496" w:rsidP="0033737B">
            <w:r>
              <w:t>Purchas</w:t>
            </w:r>
            <w:r w:rsidDel="00C51A2E">
              <w:t>i</w:t>
            </w:r>
            <w:r>
              <w:t>ng</w:t>
            </w:r>
            <w:r w:rsidR="00270D7F">
              <w:t xml:space="preserve"> Selling Entity</w:t>
            </w:r>
          </w:p>
        </w:tc>
      </w:tr>
      <w:tr w:rsidR="00270D7F" w14:paraId="05949DBD" w14:textId="77777777" w:rsidTr="00D23D0F">
        <w:tc>
          <w:tcPr>
            <w:tcW w:w="2448" w:type="dxa"/>
            <w:shd w:val="clear" w:color="auto" w:fill="auto"/>
          </w:tcPr>
          <w:p w14:paraId="49D5474F" w14:textId="77777777" w:rsidR="00270D7F" w:rsidRPr="00190C1B" w:rsidRDefault="00270D7F" w:rsidP="0033737B">
            <w:pPr>
              <w:rPr>
                <w:b/>
                <w:highlight w:val="yellow"/>
              </w:rPr>
            </w:pPr>
            <w:r w:rsidRPr="009762A8">
              <w:rPr>
                <w:b/>
              </w:rPr>
              <w:t>RDT</w:t>
            </w:r>
          </w:p>
        </w:tc>
        <w:tc>
          <w:tcPr>
            <w:tcW w:w="7128" w:type="dxa"/>
            <w:shd w:val="clear" w:color="auto" w:fill="auto"/>
          </w:tcPr>
          <w:p w14:paraId="161D856F" w14:textId="77777777" w:rsidR="00270D7F" w:rsidRPr="00095C4F" w:rsidRDefault="00270D7F" w:rsidP="0033737B">
            <w:r>
              <w:t>Resource Data Template</w:t>
            </w:r>
          </w:p>
        </w:tc>
      </w:tr>
      <w:tr w:rsidR="00270D7F" w14:paraId="1C49BD12" w14:textId="77777777" w:rsidTr="00D23D0F">
        <w:tc>
          <w:tcPr>
            <w:tcW w:w="2448" w:type="dxa"/>
            <w:shd w:val="clear" w:color="auto" w:fill="auto"/>
          </w:tcPr>
          <w:p w14:paraId="317407CB" w14:textId="77777777" w:rsidR="00270D7F" w:rsidRPr="00D23D0F" w:rsidRDefault="00270D7F" w:rsidP="0033737B">
            <w:pPr>
              <w:rPr>
                <w:b/>
              </w:rPr>
            </w:pPr>
            <w:r>
              <w:rPr>
                <w:b/>
              </w:rPr>
              <w:t>RTM</w:t>
            </w:r>
          </w:p>
        </w:tc>
        <w:tc>
          <w:tcPr>
            <w:tcW w:w="7128" w:type="dxa"/>
            <w:shd w:val="clear" w:color="auto" w:fill="auto"/>
          </w:tcPr>
          <w:p w14:paraId="4B5BD00F" w14:textId="77777777" w:rsidR="00270D7F" w:rsidRPr="00095C4F" w:rsidRDefault="00270D7F" w:rsidP="0033737B">
            <w:r>
              <w:t>Real-Time Market</w:t>
            </w:r>
          </w:p>
        </w:tc>
      </w:tr>
      <w:tr w:rsidR="00270D7F" w14:paraId="56900F93" w14:textId="77777777" w:rsidTr="00D23D0F">
        <w:tc>
          <w:tcPr>
            <w:tcW w:w="2448" w:type="dxa"/>
            <w:shd w:val="clear" w:color="auto" w:fill="auto"/>
          </w:tcPr>
          <w:p w14:paraId="53E72B69" w14:textId="77777777" w:rsidR="00270D7F" w:rsidRPr="001A5070" w:rsidRDefault="00270D7F" w:rsidP="0033737B">
            <w:pPr>
              <w:rPr>
                <w:b/>
              </w:rPr>
            </w:pPr>
            <w:r w:rsidRPr="001A5070">
              <w:rPr>
                <w:b/>
              </w:rPr>
              <w:t>WECC RC</w:t>
            </w:r>
          </w:p>
        </w:tc>
        <w:tc>
          <w:tcPr>
            <w:tcW w:w="7128" w:type="dxa"/>
            <w:shd w:val="clear" w:color="auto" w:fill="auto"/>
          </w:tcPr>
          <w:p w14:paraId="66794D1C" w14:textId="77777777" w:rsidR="00270D7F" w:rsidRDefault="00270D7F" w:rsidP="0033737B">
            <w:r>
              <w:t>Western Electricity Coordinating Council Reliability Coordinator</w:t>
            </w:r>
          </w:p>
        </w:tc>
      </w:tr>
    </w:tbl>
    <w:p w14:paraId="6FB26386" w14:textId="77777777" w:rsidR="0033737B" w:rsidRDefault="0033737B" w:rsidP="0033737B"/>
    <w:p w14:paraId="29A105D1" w14:textId="77777777" w:rsidR="009D4F0E" w:rsidRDefault="009D4F0E" w:rsidP="0033737B"/>
    <w:p w14:paraId="2168D967" w14:textId="77777777" w:rsidR="00D723BF" w:rsidRDefault="00D723BF" w:rsidP="00C33762">
      <w:pPr>
        <w:pStyle w:val="Heading2"/>
      </w:pPr>
      <w:bookmarkStart w:id="2288" w:name="_Toc389662619"/>
      <w:bookmarkStart w:id="2289" w:name="_Toc390946313"/>
      <w:bookmarkStart w:id="2290" w:name="_Toc391969878"/>
      <w:bookmarkStart w:id="2291" w:name="_Toc20384155"/>
      <w:r>
        <w:t>Definitions</w:t>
      </w:r>
      <w:bookmarkEnd w:id="2288"/>
      <w:bookmarkEnd w:id="2289"/>
      <w:bookmarkEnd w:id="2290"/>
      <w:bookmarkEnd w:id="2291"/>
    </w:p>
    <w:p w14:paraId="4E68F9EB" w14:textId="77777777" w:rsidR="00D723BF" w:rsidRDefault="00D723BF" w:rsidP="00D723BF">
      <w:r>
        <w:t>In this section you will find terms and definitions that are used in the CAISO EIM BPM.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3"/>
        <w:gridCol w:w="6937"/>
      </w:tblGrid>
      <w:tr w:rsidR="00D723BF" w14:paraId="46B0708C" w14:textId="77777777" w:rsidTr="00D23D0F">
        <w:trPr>
          <w:cantSplit/>
          <w:tblHeader/>
        </w:trPr>
        <w:tc>
          <w:tcPr>
            <w:tcW w:w="2448" w:type="dxa"/>
            <w:shd w:val="clear" w:color="auto" w:fill="BFBFBF"/>
          </w:tcPr>
          <w:p w14:paraId="2C487A5F" w14:textId="77777777" w:rsidR="00D723BF" w:rsidRPr="00D23D0F" w:rsidRDefault="00D723BF" w:rsidP="00D23D0F">
            <w:pPr>
              <w:jc w:val="center"/>
              <w:rPr>
                <w:b/>
              </w:rPr>
            </w:pPr>
            <w:r w:rsidRPr="00D23D0F">
              <w:rPr>
                <w:b/>
              </w:rPr>
              <w:t>Term</w:t>
            </w:r>
          </w:p>
        </w:tc>
        <w:tc>
          <w:tcPr>
            <w:tcW w:w="7128" w:type="dxa"/>
            <w:shd w:val="clear" w:color="auto" w:fill="BFBFBF"/>
          </w:tcPr>
          <w:p w14:paraId="738B6BB8" w14:textId="77777777" w:rsidR="00D723BF" w:rsidRPr="00D23D0F" w:rsidRDefault="00D723BF" w:rsidP="00D23D0F">
            <w:pPr>
              <w:jc w:val="center"/>
              <w:rPr>
                <w:b/>
              </w:rPr>
            </w:pPr>
            <w:r w:rsidRPr="00D23D0F">
              <w:rPr>
                <w:b/>
              </w:rPr>
              <w:t>Definition</w:t>
            </w:r>
          </w:p>
        </w:tc>
      </w:tr>
      <w:tr w:rsidR="00C076F3" w14:paraId="4CECFBD2" w14:textId="77777777" w:rsidTr="00D23D0F">
        <w:trPr>
          <w:trHeight w:val="1115"/>
        </w:trPr>
        <w:tc>
          <w:tcPr>
            <w:tcW w:w="2448" w:type="dxa"/>
            <w:shd w:val="clear" w:color="auto" w:fill="auto"/>
          </w:tcPr>
          <w:p w14:paraId="79DA8AB1" w14:textId="77777777" w:rsidR="00C076F3" w:rsidRPr="00D23D0F" w:rsidRDefault="00C076F3" w:rsidP="00D723BF">
            <w:pPr>
              <w:rPr>
                <w:b/>
              </w:rPr>
            </w:pPr>
            <w:r w:rsidRPr="00D23D0F">
              <w:rPr>
                <w:b/>
              </w:rPr>
              <w:t>Base Schedule</w:t>
            </w:r>
          </w:p>
        </w:tc>
        <w:tc>
          <w:tcPr>
            <w:tcW w:w="7128" w:type="dxa"/>
            <w:shd w:val="clear" w:color="auto" w:fill="auto"/>
          </w:tcPr>
          <w:p w14:paraId="50078E5A" w14:textId="77777777" w:rsidR="00C076F3" w:rsidRDefault="00BB16D7" w:rsidP="00D723BF">
            <w:r>
              <w:t xml:space="preserve">A </w:t>
            </w:r>
            <w:r w:rsidR="00C076F3" w:rsidRPr="00416BF8">
              <w:t>forward energy schedule, with hourly granularity, that is the baseline to measure deviations for set</w:t>
            </w:r>
            <w:r w:rsidR="000B6D3C">
              <w:t>tlement through the EIM.  Base S</w:t>
            </w:r>
            <w:r w:rsidR="00C076F3" w:rsidRPr="00416BF8">
              <w:t>chedules include the hourly forecasts of load, hourly generation schedules</w:t>
            </w:r>
            <w:r w:rsidR="00D107C6">
              <w:t>,</w:t>
            </w:r>
            <w:r w:rsidR="00C076F3" w:rsidRPr="00416BF8">
              <w:t xml:space="preserve"> and hourly interchange schedules.</w:t>
            </w:r>
          </w:p>
        </w:tc>
      </w:tr>
      <w:tr w:rsidR="00C076F3" w14:paraId="7153CBA3" w14:textId="77777777" w:rsidTr="00D23D0F">
        <w:tc>
          <w:tcPr>
            <w:tcW w:w="2448" w:type="dxa"/>
            <w:shd w:val="clear" w:color="auto" w:fill="auto"/>
          </w:tcPr>
          <w:p w14:paraId="3A857B0F" w14:textId="77777777" w:rsidR="00C076F3" w:rsidRPr="00D23D0F" w:rsidRDefault="00C076F3" w:rsidP="00D23D0F">
            <w:pPr>
              <w:rPr>
                <w:b/>
              </w:rPr>
            </w:pPr>
            <w:r w:rsidRPr="00D23D0F">
              <w:rPr>
                <w:b/>
              </w:rPr>
              <w:t>EIM Entity</w:t>
            </w:r>
          </w:p>
        </w:tc>
        <w:tc>
          <w:tcPr>
            <w:tcW w:w="7128" w:type="dxa"/>
            <w:shd w:val="clear" w:color="auto" w:fill="auto"/>
          </w:tcPr>
          <w:p w14:paraId="2DCECB23" w14:textId="77777777" w:rsidR="00C076F3" w:rsidRDefault="005819D4" w:rsidP="00D723BF">
            <w:r>
              <w:t>A Balancing Authority that represents one or more EIM Transmission Service Providers and that enters into a</w:t>
            </w:r>
            <w:r w:rsidR="001B06BF">
              <w:t xml:space="preserve">n EIM Entity Agreement with </w:t>
            </w:r>
            <w:r>
              <w:t xml:space="preserve">CAISO to enable the operation of the </w:t>
            </w:r>
            <w:r w:rsidR="00FC30E3">
              <w:t>Real-Time</w:t>
            </w:r>
            <w:r>
              <w:t xml:space="preserve"> Market in its Balancing Authority Area (BAA).  </w:t>
            </w:r>
          </w:p>
        </w:tc>
      </w:tr>
      <w:tr w:rsidR="00C076F3" w14:paraId="52DE7101" w14:textId="77777777" w:rsidTr="00D23D0F">
        <w:tc>
          <w:tcPr>
            <w:tcW w:w="2448" w:type="dxa"/>
            <w:shd w:val="clear" w:color="auto" w:fill="auto"/>
          </w:tcPr>
          <w:p w14:paraId="36B828D2" w14:textId="77777777" w:rsidR="00C076F3" w:rsidRPr="00D23D0F" w:rsidRDefault="00C076F3" w:rsidP="00D23D0F">
            <w:pPr>
              <w:rPr>
                <w:b/>
              </w:rPr>
            </w:pPr>
            <w:r w:rsidRPr="00D23D0F">
              <w:rPr>
                <w:b/>
              </w:rPr>
              <w:t>EIM Entity Scheduling Coordinator</w:t>
            </w:r>
          </w:p>
        </w:tc>
        <w:tc>
          <w:tcPr>
            <w:tcW w:w="7128" w:type="dxa"/>
            <w:shd w:val="clear" w:color="auto" w:fill="auto"/>
          </w:tcPr>
          <w:p w14:paraId="5202DCD3" w14:textId="77777777" w:rsidR="00C076F3" w:rsidRDefault="0052515C" w:rsidP="00D723BF">
            <w:r>
              <w:t xml:space="preserve">The EIM Entity or a third party designated by the EIM </w:t>
            </w:r>
            <w:r w:rsidR="001B06BF">
              <w:t xml:space="preserve">Entity that is certified by </w:t>
            </w:r>
            <w:r>
              <w:t xml:space="preserve">CAISO and that enters into an EIM Entity Scheduling Coordinator Agreement, under which it is a Scheduling Coordinator and a Market Participant and is responsible for meeting the requirements specified in Section 29 on behalf of the EIM Entity.  </w:t>
            </w:r>
          </w:p>
        </w:tc>
      </w:tr>
      <w:tr w:rsidR="00914FDE" w14:paraId="15A9F3ED" w14:textId="77777777" w:rsidTr="00D23D0F">
        <w:trPr>
          <w:trHeight w:val="1520"/>
        </w:trPr>
        <w:tc>
          <w:tcPr>
            <w:tcW w:w="2448" w:type="dxa"/>
            <w:shd w:val="clear" w:color="auto" w:fill="auto"/>
          </w:tcPr>
          <w:p w14:paraId="3AA211D9" w14:textId="77777777" w:rsidR="00914FDE" w:rsidRPr="00D23D0F" w:rsidRDefault="00914FDE" w:rsidP="00D23D0F">
            <w:pPr>
              <w:rPr>
                <w:b/>
              </w:rPr>
            </w:pPr>
            <w:r>
              <w:rPr>
                <w:b/>
              </w:rPr>
              <w:t>EIM BAA</w:t>
            </w:r>
          </w:p>
        </w:tc>
        <w:tc>
          <w:tcPr>
            <w:tcW w:w="7128" w:type="dxa"/>
            <w:shd w:val="clear" w:color="auto" w:fill="auto"/>
          </w:tcPr>
          <w:p w14:paraId="76938D8B" w14:textId="77777777" w:rsidR="00914FDE" w:rsidRDefault="00C57135" w:rsidP="00D723BF">
            <w:r>
              <w:t xml:space="preserve"> I</w:t>
            </w:r>
            <w:r w:rsidR="00DF02D8">
              <w:t>n</w:t>
            </w:r>
            <w:r>
              <w:t xml:space="preserve">dividual EIM BAA, include </w:t>
            </w:r>
            <w:r w:rsidR="0058562B">
              <w:t>CA</w:t>
            </w:r>
            <w:r>
              <w:t>ISO</w:t>
            </w:r>
          </w:p>
        </w:tc>
      </w:tr>
      <w:tr w:rsidR="00914FDE" w14:paraId="4B76FC3C" w14:textId="77777777" w:rsidTr="00D23D0F">
        <w:trPr>
          <w:trHeight w:val="1520"/>
        </w:trPr>
        <w:tc>
          <w:tcPr>
            <w:tcW w:w="2448" w:type="dxa"/>
            <w:shd w:val="clear" w:color="auto" w:fill="auto"/>
          </w:tcPr>
          <w:p w14:paraId="33FF8A43" w14:textId="77777777" w:rsidR="00914FDE" w:rsidRDefault="00914FDE" w:rsidP="00C57135">
            <w:pPr>
              <w:rPr>
                <w:b/>
              </w:rPr>
            </w:pPr>
            <w:r>
              <w:rPr>
                <w:b/>
              </w:rPr>
              <w:t xml:space="preserve">EIM </w:t>
            </w:r>
            <w:r w:rsidR="00C57135">
              <w:rPr>
                <w:b/>
              </w:rPr>
              <w:t>footprint</w:t>
            </w:r>
          </w:p>
        </w:tc>
        <w:tc>
          <w:tcPr>
            <w:tcW w:w="7128" w:type="dxa"/>
            <w:shd w:val="clear" w:color="auto" w:fill="auto"/>
          </w:tcPr>
          <w:p w14:paraId="6D680AE6" w14:textId="145BDE1C" w:rsidR="00914FDE" w:rsidRDefault="00DF02D8" w:rsidP="00C57135">
            <w:r>
              <w:t>I</w:t>
            </w:r>
            <w:r w:rsidR="00C57135">
              <w:t>nclude</w:t>
            </w:r>
            <w:r>
              <w:t>s</w:t>
            </w:r>
            <w:r w:rsidR="00C57135">
              <w:t xml:space="preserve"> all EIM BAAs and </w:t>
            </w:r>
            <w:r w:rsidR="0058562B">
              <w:t>CA</w:t>
            </w:r>
            <w:r w:rsidR="00C57135">
              <w:t>ISO</w:t>
            </w:r>
          </w:p>
        </w:tc>
      </w:tr>
      <w:tr w:rsidR="00C076F3" w14:paraId="09594665" w14:textId="77777777" w:rsidTr="00D23D0F">
        <w:trPr>
          <w:trHeight w:val="1520"/>
        </w:trPr>
        <w:tc>
          <w:tcPr>
            <w:tcW w:w="2448" w:type="dxa"/>
            <w:shd w:val="clear" w:color="auto" w:fill="auto"/>
          </w:tcPr>
          <w:p w14:paraId="2EB76C2E" w14:textId="77777777" w:rsidR="00C076F3" w:rsidRPr="00D23D0F" w:rsidRDefault="00C076F3" w:rsidP="00D23D0F">
            <w:pPr>
              <w:rPr>
                <w:b/>
              </w:rPr>
            </w:pPr>
            <w:r w:rsidRPr="00D23D0F">
              <w:rPr>
                <w:b/>
              </w:rPr>
              <w:t>EIM Net Imbalance Interchange</w:t>
            </w:r>
          </w:p>
        </w:tc>
        <w:tc>
          <w:tcPr>
            <w:tcW w:w="7128" w:type="dxa"/>
            <w:shd w:val="clear" w:color="auto" w:fill="auto"/>
          </w:tcPr>
          <w:p w14:paraId="4DBDE725" w14:textId="77777777" w:rsidR="00C076F3" w:rsidRPr="00D23D0F" w:rsidRDefault="00C076F3" w:rsidP="00D723BF">
            <w:pPr>
              <w:rPr>
                <w:b/>
              </w:rPr>
            </w:pPr>
            <w:r>
              <w:t>T</w:t>
            </w:r>
            <w:r w:rsidRPr="00416BF8">
              <w:t xml:space="preserve">he net energy transfer of real time between an EIM Entity BAA and the </w:t>
            </w:r>
            <w:r w:rsidR="006276DD">
              <w:t>CA</w:t>
            </w:r>
            <w:r w:rsidRPr="00416BF8">
              <w:t>ISO BAA or between EIM Entity BAAs as a result of EIM market optimization. It is calculated after the EIM market optimizatio</w:t>
            </w:r>
            <w:r w:rsidRPr="004E5DE0">
              <w:t>n,</w:t>
            </w:r>
            <w:r>
              <w:rPr>
                <w:color w:val="FF0000"/>
              </w:rPr>
              <w:t xml:space="preserve"> </w:t>
            </w:r>
            <w:r w:rsidR="000B6D3C">
              <w:t>excluding Base S</w:t>
            </w:r>
            <w:r w:rsidRPr="00D04CE6">
              <w:t>chedule.</w:t>
            </w:r>
            <w:r w:rsidRPr="00416BF8">
              <w:t xml:space="preserve"> </w:t>
            </w:r>
            <w:r w:rsidRPr="00D23D0F">
              <w:rPr>
                <w:b/>
              </w:rPr>
              <w:t>EIM</w:t>
            </w:r>
            <w:r w:rsidRPr="00416BF8">
              <w:t xml:space="preserve"> </w:t>
            </w:r>
            <w:r w:rsidR="00373419">
              <w:rPr>
                <w:b/>
              </w:rPr>
              <w:t>T</w:t>
            </w:r>
            <w:r w:rsidRPr="00D23D0F">
              <w:rPr>
                <w:b/>
              </w:rPr>
              <w:t xml:space="preserve">ransfer out </w:t>
            </w:r>
            <w:r w:rsidRPr="00416BF8">
              <w:t>is the net imbalance energy export from the EIM</w:t>
            </w:r>
            <w:r w:rsidR="00204D20">
              <w:t xml:space="preserve"> Entity</w:t>
            </w:r>
            <w:r w:rsidRPr="00416BF8">
              <w:t xml:space="preserve"> BAA</w:t>
            </w:r>
            <w:r w:rsidRPr="00D23D0F">
              <w:rPr>
                <w:b/>
              </w:rPr>
              <w:t>. EIM</w:t>
            </w:r>
            <w:r w:rsidRPr="00416BF8">
              <w:t xml:space="preserve"> </w:t>
            </w:r>
            <w:r w:rsidR="00373419">
              <w:rPr>
                <w:b/>
              </w:rPr>
              <w:t>T</w:t>
            </w:r>
            <w:r w:rsidRPr="00D23D0F">
              <w:rPr>
                <w:b/>
              </w:rPr>
              <w:t xml:space="preserve">ransfer in </w:t>
            </w:r>
            <w:r w:rsidRPr="00416BF8">
              <w:t xml:space="preserve">is the net imbalance energy import to the EIM </w:t>
            </w:r>
            <w:r w:rsidR="00204D20">
              <w:t xml:space="preserve">Entity </w:t>
            </w:r>
            <w:r w:rsidRPr="00416BF8">
              <w:t>BAA</w:t>
            </w:r>
            <w:r w:rsidRPr="00D23D0F">
              <w:rPr>
                <w:b/>
              </w:rPr>
              <w:t>.</w:t>
            </w:r>
          </w:p>
        </w:tc>
      </w:tr>
      <w:tr w:rsidR="00C076F3" w14:paraId="23A2B23E" w14:textId="77777777" w:rsidTr="00D23D0F">
        <w:tc>
          <w:tcPr>
            <w:tcW w:w="2448" w:type="dxa"/>
            <w:shd w:val="clear" w:color="auto" w:fill="auto"/>
          </w:tcPr>
          <w:p w14:paraId="40EE3CE6" w14:textId="77777777" w:rsidR="00C076F3" w:rsidRDefault="00C076F3" w:rsidP="00D23D0F">
            <w:r w:rsidRPr="00D23D0F">
              <w:rPr>
                <w:b/>
                <w:bCs/>
              </w:rPr>
              <w:t>EIM Participating Resource</w:t>
            </w:r>
          </w:p>
        </w:tc>
        <w:tc>
          <w:tcPr>
            <w:tcW w:w="7128" w:type="dxa"/>
            <w:shd w:val="clear" w:color="auto" w:fill="auto"/>
          </w:tcPr>
          <w:p w14:paraId="0EA323D7" w14:textId="77777777" w:rsidR="00C076F3" w:rsidRDefault="0052515C" w:rsidP="00F20C97">
            <w:r>
              <w:t xml:space="preserve">An owner of, operator of, or seller of Energy from an EIM Resource that elects to participate in the </w:t>
            </w:r>
            <w:r w:rsidR="00FC30E3">
              <w:t>Real-Time</w:t>
            </w:r>
            <w:r w:rsidR="007553F5">
              <w:t xml:space="preserve"> Market and enters into an</w:t>
            </w:r>
            <w:r>
              <w:t xml:space="preserve"> EIM Participating Resource Agreement, under which it is responsible for meeting the requirements specified in Section 29</w:t>
            </w:r>
            <w:r w:rsidR="004E5DE0">
              <w:t xml:space="preserve"> of the Tariff</w:t>
            </w:r>
            <w:r>
              <w:t xml:space="preserve">. </w:t>
            </w:r>
          </w:p>
        </w:tc>
      </w:tr>
      <w:tr w:rsidR="00C076F3" w14:paraId="457B4AE3" w14:textId="77777777" w:rsidTr="00D23D0F">
        <w:tc>
          <w:tcPr>
            <w:tcW w:w="2448" w:type="dxa"/>
            <w:shd w:val="clear" w:color="auto" w:fill="auto"/>
          </w:tcPr>
          <w:p w14:paraId="339CC4C6" w14:textId="77777777" w:rsidR="00C076F3" w:rsidRDefault="00C076F3" w:rsidP="00D23D0F">
            <w:r w:rsidRPr="00D23D0F">
              <w:rPr>
                <w:b/>
                <w:bCs/>
              </w:rPr>
              <w:t>EIM Participating Resource Scheduling Coordinator</w:t>
            </w:r>
          </w:p>
        </w:tc>
        <w:tc>
          <w:tcPr>
            <w:tcW w:w="7128" w:type="dxa"/>
            <w:shd w:val="clear" w:color="auto" w:fill="auto"/>
          </w:tcPr>
          <w:p w14:paraId="2035A803" w14:textId="77777777" w:rsidR="00C076F3" w:rsidRDefault="0052515C" w:rsidP="00D723BF">
            <w:r>
              <w:t xml:space="preserve">The EIM Participating Resource, or a third-party designated by the EIM Participating Resource, that is certified by CAISO and enters into an EIM Participating Resource Scheduling Coordinator Agreement, under which it is a Scheduling Coordinator and is responsible for meeting the requirements specified in Section 29 </w:t>
            </w:r>
            <w:r w:rsidR="004E5DE0">
              <w:t xml:space="preserve">of the Tariff </w:t>
            </w:r>
            <w:r>
              <w:t xml:space="preserve">on behalf of the resource.  </w:t>
            </w:r>
          </w:p>
        </w:tc>
      </w:tr>
      <w:tr w:rsidR="00C076F3" w14:paraId="7A27D913" w14:textId="77777777" w:rsidTr="00D23D0F">
        <w:tc>
          <w:tcPr>
            <w:tcW w:w="2448" w:type="dxa"/>
            <w:shd w:val="clear" w:color="auto" w:fill="auto"/>
          </w:tcPr>
          <w:p w14:paraId="25F4D177" w14:textId="77777777" w:rsidR="00C076F3" w:rsidRPr="00D23D0F" w:rsidRDefault="00C076F3" w:rsidP="00D723BF">
            <w:pPr>
              <w:rPr>
                <w:b/>
              </w:rPr>
            </w:pPr>
            <w:r w:rsidRPr="00D23D0F">
              <w:rPr>
                <w:b/>
              </w:rPr>
              <w:t>EIM Transfer</w:t>
            </w:r>
          </w:p>
        </w:tc>
        <w:tc>
          <w:tcPr>
            <w:tcW w:w="7128" w:type="dxa"/>
            <w:shd w:val="clear" w:color="auto" w:fill="auto"/>
          </w:tcPr>
          <w:p w14:paraId="3C148465" w14:textId="77777777" w:rsidR="00C076F3" w:rsidRDefault="004E5DE0" w:rsidP="00D723BF">
            <w:r>
              <w:t xml:space="preserve">The transfer of Energy in Real </w:t>
            </w:r>
            <w:r w:rsidR="0052515C">
              <w:t>Time between an EIM Entity Balancing Authority Area and the CAISO Balancing Authority Area or between EIM Entity Balancing Aut</w:t>
            </w:r>
            <w:r>
              <w:t>hority Areas using</w:t>
            </w:r>
            <w:r w:rsidR="0052515C">
              <w:t xml:space="preserve"> transmission capacity made available to the </w:t>
            </w:r>
            <w:r w:rsidR="00FC30E3">
              <w:t>Real-Time</w:t>
            </w:r>
            <w:r w:rsidR="0052515C">
              <w:t xml:space="preserve"> Market through the Energy Imbalance Market. </w:t>
            </w:r>
          </w:p>
        </w:tc>
      </w:tr>
      <w:tr w:rsidR="00C076F3" w14:paraId="04ABFEAA" w14:textId="77777777" w:rsidTr="009D4F0E">
        <w:trPr>
          <w:cantSplit/>
        </w:trPr>
        <w:tc>
          <w:tcPr>
            <w:tcW w:w="2448" w:type="dxa"/>
            <w:shd w:val="clear" w:color="auto" w:fill="auto"/>
          </w:tcPr>
          <w:p w14:paraId="65BFAB8E" w14:textId="77777777" w:rsidR="00C076F3" w:rsidRPr="00D23D0F" w:rsidRDefault="00C076F3" w:rsidP="00D23D0F">
            <w:pPr>
              <w:rPr>
                <w:b/>
              </w:rPr>
            </w:pPr>
            <w:r w:rsidRPr="00D23D0F">
              <w:rPr>
                <w:b/>
              </w:rPr>
              <w:t>Energy Imbalance Market (EIM)</w:t>
            </w:r>
          </w:p>
        </w:tc>
        <w:tc>
          <w:tcPr>
            <w:tcW w:w="7128" w:type="dxa"/>
            <w:shd w:val="clear" w:color="auto" w:fill="auto"/>
          </w:tcPr>
          <w:p w14:paraId="052557F5" w14:textId="77777777" w:rsidR="00C076F3" w:rsidRPr="00D723BF" w:rsidRDefault="005819D4" w:rsidP="00D723BF">
            <w:r>
              <w:t>The rules and procedur</w:t>
            </w:r>
            <w:r w:rsidR="009D507A">
              <w:t xml:space="preserve">es in </w:t>
            </w:r>
            <w:r w:rsidR="004E5DE0">
              <w:t xml:space="preserve">Tariff </w:t>
            </w:r>
            <w:r w:rsidR="009D507A">
              <w:t xml:space="preserve">Section 29 governing </w:t>
            </w:r>
            <w:r>
              <w:t xml:space="preserve">CAISO’s operation of the </w:t>
            </w:r>
            <w:r w:rsidR="00FC30E3">
              <w:t>Real-Time</w:t>
            </w:r>
            <w:r>
              <w:t xml:space="preserve"> Market in Balancing Authority Areas outside of the CAISO Balancing Authority Area and the participation of EIM Market Participants in the </w:t>
            </w:r>
            <w:r w:rsidR="00FC30E3">
              <w:t>Real-Time</w:t>
            </w:r>
            <w:r>
              <w:t xml:space="preserve"> Market.  </w:t>
            </w:r>
          </w:p>
        </w:tc>
      </w:tr>
      <w:tr w:rsidR="00C076F3" w14:paraId="6E11EC8C" w14:textId="77777777" w:rsidTr="00D23D0F">
        <w:tc>
          <w:tcPr>
            <w:tcW w:w="2448" w:type="dxa"/>
            <w:shd w:val="clear" w:color="auto" w:fill="auto"/>
          </w:tcPr>
          <w:p w14:paraId="55557D20" w14:textId="236494B7" w:rsidR="00C076F3" w:rsidRPr="007F4F6B" w:rsidRDefault="00C076F3" w:rsidP="00D23D0F">
            <w:pPr>
              <w:rPr>
                <w:b/>
              </w:rPr>
            </w:pPr>
          </w:p>
        </w:tc>
        <w:tc>
          <w:tcPr>
            <w:tcW w:w="7128" w:type="dxa"/>
            <w:shd w:val="clear" w:color="auto" w:fill="auto"/>
          </w:tcPr>
          <w:p w14:paraId="4BAE0566" w14:textId="64AA0154" w:rsidR="00C076F3" w:rsidRPr="005449BA" w:rsidRDefault="00C076F3" w:rsidP="00D723BF"/>
        </w:tc>
      </w:tr>
      <w:tr w:rsidR="00C076F3" w14:paraId="50E5E3E0" w14:textId="77777777" w:rsidTr="00C076F3">
        <w:tc>
          <w:tcPr>
            <w:tcW w:w="2448" w:type="dxa"/>
            <w:shd w:val="clear" w:color="auto" w:fill="auto"/>
          </w:tcPr>
          <w:p w14:paraId="40ACB68A" w14:textId="77777777" w:rsidR="00C076F3" w:rsidRPr="00D23D0F" w:rsidRDefault="00C076F3" w:rsidP="00D723BF">
            <w:pPr>
              <w:rPr>
                <w:b/>
              </w:rPr>
            </w:pPr>
            <w:r w:rsidRPr="00D23D0F">
              <w:rPr>
                <w:b/>
              </w:rPr>
              <w:t>Non-Participating Loads</w:t>
            </w:r>
          </w:p>
        </w:tc>
        <w:tc>
          <w:tcPr>
            <w:tcW w:w="7128" w:type="dxa"/>
            <w:shd w:val="clear" w:color="auto" w:fill="auto"/>
          </w:tcPr>
          <w:p w14:paraId="3CE39364" w14:textId="77777777" w:rsidR="00C076F3" w:rsidRPr="00F87F52" w:rsidRDefault="00C076F3" w:rsidP="00F87F52">
            <w:r w:rsidRPr="00F87F52">
              <w:t>The EIM Entity SC shall receive the settlement for the non-participating load</w:t>
            </w:r>
            <w:r w:rsidR="009A4783">
              <w:t xml:space="preserve">.  </w:t>
            </w:r>
            <w:r w:rsidR="001A7FEF">
              <w:t>CAISO will s</w:t>
            </w:r>
            <w:r w:rsidRPr="00F87F52">
              <w:t>ettle EIM non-participating load UIE as the algebraic difference between the hourly</w:t>
            </w:r>
            <w:r w:rsidR="000B6D3C">
              <w:t xml:space="preserve"> meter data and the calculated Base S</w:t>
            </w:r>
            <w:r w:rsidRPr="00F87F52">
              <w:t>chedule</w:t>
            </w:r>
            <w:r w:rsidR="00FC30E3">
              <w:t xml:space="preserve"> at the applicable hourly Real-Time</w:t>
            </w:r>
            <w:r w:rsidRPr="00F87F52">
              <w:t xml:space="preserve"> LAP price</w:t>
            </w:r>
            <w:r w:rsidR="001A7FEF">
              <w:t xml:space="preserve"> using v</w:t>
            </w:r>
            <w:r w:rsidR="00C33986" w:rsidRPr="00F87F52">
              <w:t>olumetric</w:t>
            </w:r>
            <w:r w:rsidR="004E5DE0">
              <w:t xml:space="preserve"> weighted average LMP of 15-minute and 5-</w:t>
            </w:r>
            <w:r w:rsidRPr="00F87F52">
              <w:t>minute markets in that hour for the relevant LAP. T</w:t>
            </w:r>
            <w:r w:rsidR="00A479AD">
              <w:t>he weights in the calculation are as follows</w:t>
            </w:r>
            <w:r w:rsidRPr="00F87F52">
              <w:t>:</w:t>
            </w:r>
          </w:p>
          <w:p w14:paraId="019A3335" w14:textId="77777777" w:rsidR="00C076F3" w:rsidRPr="00F87F52" w:rsidRDefault="004E5DE0" w:rsidP="00F87F52">
            <w:r>
              <w:t>For the 15-</w:t>
            </w:r>
            <w:r w:rsidR="00C076F3" w:rsidRPr="00F87F52">
              <w:t xml:space="preserve">minute LMP, </w:t>
            </w:r>
            <w:r>
              <w:t>it is the difference between 15-</w:t>
            </w:r>
            <w:r w:rsidR="00C076F3" w:rsidRPr="00F87F52">
              <w:t xml:space="preserve">minute demand forecast and the demand forecast </w:t>
            </w:r>
            <w:r>
              <w:t xml:space="preserve">that </w:t>
            </w:r>
            <w:r w:rsidR="00C076F3" w:rsidRPr="00F87F52">
              <w:t>was used to calculated base load a</w:t>
            </w:r>
            <w:r>
              <w:t>t T-40 (Load + Loss). For the 5-</w:t>
            </w:r>
            <w:r w:rsidR="00C076F3" w:rsidRPr="00F87F52">
              <w:t>minute LMP,</w:t>
            </w:r>
            <w:r>
              <w:t xml:space="preserve"> it is the difference between 5-minute and 15-</w:t>
            </w:r>
            <w:r w:rsidR="00C076F3" w:rsidRPr="00F87F52">
              <w:t>minute demand forecast. The LMP is bounded by Max/Min LMP over the hour:</w:t>
            </w:r>
          </w:p>
          <w:p w14:paraId="13AB1D7F" w14:textId="77777777" w:rsidR="00C076F3" w:rsidRPr="00F87F52" w:rsidRDefault="00C076F3" w:rsidP="00F87F52">
            <w:r w:rsidRPr="00F87F52">
              <w:t xml:space="preserve">For Hourly LMP , is the sum of (15-minute LMP * 15-minute demand forecast deviation from the demand forecast that was used to </w:t>
            </w:r>
            <w:r w:rsidR="004E5DE0">
              <w:t>calculate the base load at T-40</w:t>
            </w:r>
            <w:r w:rsidRPr="00F87F52">
              <w:t xml:space="preserve">) over four 15-minute intervals + Sum of (5-minute LMP * 5-minute demand forecast  deviation from </w:t>
            </w:r>
            <w:r w:rsidR="004E5DE0">
              <w:t xml:space="preserve">the 15-minute demand forecast) </w:t>
            </w:r>
            <w:r w:rsidRPr="00F87F52">
              <w:t xml:space="preserve">over twelve 5-minute intervals   </w:t>
            </w:r>
          </w:p>
          <w:p w14:paraId="26974F2E" w14:textId="77777777" w:rsidR="00C076F3" w:rsidRPr="00F87F52" w:rsidRDefault="00C076F3" w:rsidP="00F87F52">
            <w:r w:rsidRPr="00F87F52">
              <w:t>divided by</w:t>
            </w:r>
          </w:p>
          <w:p w14:paraId="15C565FA" w14:textId="77777777" w:rsidR="00C076F3" w:rsidRDefault="004E5DE0" w:rsidP="00F87F52">
            <w:r>
              <w:t>The sum of [</w:t>
            </w:r>
            <w:r w:rsidR="00C076F3" w:rsidRPr="00F87F52">
              <w:t>15-minute demand forecast deviation from the demand forecast that was used to calculate base load at T-40   o</w:t>
            </w:r>
            <w:r>
              <w:t>ver four 15-minute intervals + the s</w:t>
            </w:r>
            <w:r w:rsidR="00C076F3" w:rsidRPr="00F87F52">
              <w:t>um of (5-minute demand forecast deviation from the 15-minute demand forecast) over twelve 5-minut</w:t>
            </w:r>
            <w:r>
              <w:t>e intervals</w:t>
            </w:r>
            <w:r w:rsidR="00C076F3" w:rsidRPr="00F87F52">
              <w:t>]</w:t>
            </w:r>
          </w:p>
        </w:tc>
      </w:tr>
      <w:tr w:rsidR="00270D7F" w14:paraId="0745333E" w14:textId="77777777" w:rsidTr="00D23D0F">
        <w:tc>
          <w:tcPr>
            <w:tcW w:w="2448" w:type="dxa"/>
            <w:shd w:val="clear" w:color="auto" w:fill="auto"/>
          </w:tcPr>
          <w:p w14:paraId="1E63E57A" w14:textId="77777777" w:rsidR="00270D7F" w:rsidRPr="00D23D0F" w:rsidRDefault="00270D7F" w:rsidP="00D723BF">
            <w:pPr>
              <w:rPr>
                <w:b/>
              </w:rPr>
            </w:pPr>
            <w:r w:rsidRPr="00D23D0F">
              <w:rPr>
                <w:b/>
              </w:rPr>
              <w:t>Non-Participating Resource</w:t>
            </w:r>
          </w:p>
        </w:tc>
        <w:tc>
          <w:tcPr>
            <w:tcW w:w="7128" w:type="dxa"/>
            <w:shd w:val="clear" w:color="auto" w:fill="auto"/>
          </w:tcPr>
          <w:p w14:paraId="79673410" w14:textId="77777777" w:rsidR="00270D7F" w:rsidRDefault="00270D7F" w:rsidP="00D723BF">
            <w:r w:rsidRPr="00F87F52">
              <w:t>A resource located within an EIM Entity that chooses not to make its resource available for dispatchin</w:t>
            </w:r>
            <w:r>
              <w:t>g in the Real-Time Market. The Entity Scheduling C</w:t>
            </w:r>
            <w:r w:rsidRPr="00F87F52">
              <w:t>oordinator must ensure that these resources are accounted</w:t>
            </w:r>
            <w:r>
              <w:t xml:space="preserve"> for when determining balanced Base S</w:t>
            </w:r>
            <w:r w:rsidRPr="00F87F52">
              <w:t>chedules.</w:t>
            </w:r>
          </w:p>
        </w:tc>
      </w:tr>
      <w:tr w:rsidR="00270D7F" w14:paraId="514DF9ED" w14:textId="77777777" w:rsidTr="00D23D0F">
        <w:tc>
          <w:tcPr>
            <w:tcW w:w="2448" w:type="dxa"/>
            <w:shd w:val="clear" w:color="auto" w:fill="auto"/>
          </w:tcPr>
          <w:p w14:paraId="04CB7485" w14:textId="77777777" w:rsidR="00270D7F" w:rsidRPr="00190C1B" w:rsidRDefault="00270D7F" w:rsidP="00D723BF">
            <w:pPr>
              <w:rPr>
                <w:b/>
                <w:highlight w:val="yellow"/>
              </w:rPr>
            </w:pPr>
            <w:r w:rsidRPr="0028031A">
              <w:rPr>
                <w:b/>
              </w:rPr>
              <w:t>NSI Forecast</w:t>
            </w:r>
          </w:p>
        </w:tc>
        <w:tc>
          <w:tcPr>
            <w:tcW w:w="7128" w:type="dxa"/>
            <w:shd w:val="clear" w:color="auto" w:fill="auto"/>
          </w:tcPr>
          <w:p w14:paraId="0C41BF21" w14:textId="77777777" w:rsidR="00270D7F" w:rsidRPr="00F87F52" w:rsidRDefault="00270D7F" w:rsidP="00D723BF">
            <w:r>
              <w:t>Net-Scheduled Interchange Forecast</w:t>
            </w:r>
          </w:p>
        </w:tc>
      </w:tr>
      <w:tr w:rsidR="00270D7F" w14:paraId="71909696" w14:textId="77777777" w:rsidTr="0052515C">
        <w:tc>
          <w:tcPr>
            <w:tcW w:w="2448" w:type="dxa"/>
            <w:tcBorders>
              <w:top w:val="single" w:sz="4" w:space="0" w:color="auto"/>
              <w:left w:val="single" w:sz="4" w:space="0" w:color="auto"/>
              <w:bottom w:val="single" w:sz="4" w:space="0" w:color="auto"/>
              <w:right w:val="single" w:sz="4" w:space="0" w:color="auto"/>
            </w:tcBorders>
            <w:hideMark/>
          </w:tcPr>
          <w:p w14:paraId="3779E7FE" w14:textId="77777777" w:rsidR="00270D7F" w:rsidRPr="003D2EC1" w:rsidRDefault="00270D7F">
            <w:pPr>
              <w:rPr>
                <w:b/>
              </w:rPr>
            </w:pPr>
            <w:r w:rsidRPr="003D2EC1">
              <w:rPr>
                <w:b/>
              </w:rPr>
              <w:t xml:space="preserve">Operating Day </w:t>
            </w:r>
          </w:p>
        </w:tc>
        <w:tc>
          <w:tcPr>
            <w:tcW w:w="7128" w:type="dxa"/>
            <w:tcBorders>
              <w:top w:val="single" w:sz="4" w:space="0" w:color="auto"/>
              <w:left w:val="single" w:sz="4" w:space="0" w:color="auto"/>
              <w:bottom w:val="single" w:sz="4" w:space="0" w:color="auto"/>
              <w:right w:val="single" w:sz="4" w:space="0" w:color="auto"/>
            </w:tcBorders>
          </w:tcPr>
          <w:p w14:paraId="5AC5CE84" w14:textId="77777777" w:rsidR="00270D7F" w:rsidRPr="003D2EC1" w:rsidRDefault="00270D7F" w:rsidP="003D2EC1">
            <w:pPr>
              <w:widowControl w:val="0"/>
              <w:rPr>
                <w:rFonts w:cs="Arial"/>
              </w:rPr>
            </w:pPr>
            <w:r>
              <w:rPr>
                <w:rFonts w:cs="Arial"/>
                <w:color w:val="000000"/>
              </w:rPr>
              <w:t>The day when the Real-Time Market runs and Energy is supplied to Load.</w:t>
            </w:r>
          </w:p>
        </w:tc>
      </w:tr>
      <w:tr w:rsidR="00270D7F" w14:paraId="776ECDC5" w14:textId="77777777" w:rsidTr="00D23D0F">
        <w:tc>
          <w:tcPr>
            <w:tcW w:w="2448" w:type="dxa"/>
            <w:shd w:val="clear" w:color="auto" w:fill="auto"/>
          </w:tcPr>
          <w:p w14:paraId="52EDE344" w14:textId="77777777" w:rsidR="00270D7F" w:rsidRPr="00D23D0F" w:rsidRDefault="00270D7F" w:rsidP="00D723BF">
            <w:pPr>
              <w:rPr>
                <w:b/>
              </w:rPr>
            </w:pPr>
            <w:r w:rsidRPr="00D23D0F">
              <w:rPr>
                <w:b/>
              </w:rPr>
              <w:t>Participating Resource</w:t>
            </w:r>
          </w:p>
        </w:tc>
        <w:tc>
          <w:tcPr>
            <w:tcW w:w="7128" w:type="dxa"/>
            <w:shd w:val="clear" w:color="auto" w:fill="auto"/>
          </w:tcPr>
          <w:p w14:paraId="0B347B67" w14:textId="6901CCFA" w:rsidR="00270D7F" w:rsidRDefault="00270D7F" w:rsidP="002462E5">
            <w:r>
              <w:t xml:space="preserve">A resource located within an EIM Entity that elects to participate in the EIM.  Through their Participating Resource Scheduling Coordinator, these resources submit bids to the </w:t>
            </w:r>
            <w:r w:rsidR="002462E5">
              <w:t>CAISO</w:t>
            </w:r>
            <w:r>
              <w:t xml:space="preserve"> which convey their availability in the Real-Time Market.  </w:t>
            </w:r>
          </w:p>
        </w:tc>
      </w:tr>
      <w:tr w:rsidR="00270D7F" w14:paraId="45AEE1DE" w14:textId="77777777" w:rsidTr="00D23D0F">
        <w:tc>
          <w:tcPr>
            <w:tcW w:w="2448" w:type="dxa"/>
            <w:shd w:val="clear" w:color="auto" w:fill="auto"/>
          </w:tcPr>
          <w:p w14:paraId="70D8F6F9" w14:textId="77777777" w:rsidR="00270D7F" w:rsidRPr="00D23D0F" w:rsidRDefault="00270D7F" w:rsidP="00D723BF">
            <w:pPr>
              <w:rPr>
                <w:b/>
              </w:rPr>
            </w:pPr>
            <w:r w:rsidRPr="00D23D0F">
              <w:rPr>
                <w:b/>
              </w:rPr>
              <w:t>Participating Resource Scheduling Coordinator</w:t>
            </w:r>
          </w:p>
        </w:tc>
        <w:tc>
          <w:tcPr>
            <w:tcW w:w="7128" w:type="dxa"/>
            <w:shd w:val="clear" w:color="auto" w:fill="auto"/>
          </w:tcPr>
          <w:p w14:paraId="4E87AAC3" w14:textId="77777777" w:rsidR="00270D7F" w:rsidRDefault="00270D7F" w:rsidP="00D723BF">
            <w:r>
              <w:t xml:space="preserve">An entity certified by CAISO that submits economic bids and is responsible for financial settlements for one or more Participating Resources.  </w:t>
            </w:r>
          </w:p>
        </w:tc>
      </w:tr>
      <w:tr w:rsidR="00270D7F" w14:paraId="00A076B1" w14:textId="77777777" w:rsidTr="00D23D0F">
        <w:tc>
          <w:tcPr>
            <w:tcW w:w="2448" w:type="dxa"/>
            <w:shd w:val="clear" w:color="auto" w:fill="auto"/>
          </w:tcPr>
          <w:p w14:paraId="611BD21F" w14:textId="77777777" w:rsidR="00270D7F" w:rsidRPr="00D23D0F" w:rsidRDefault="00270D7F" w:rsidP="00D723BF">
            <w:pPr>
              <w:rPr>
                <w:b/>
              </w:rPr>
            </w:pPr>
            <w:r w:rsidRPr="00D23D0F">
              <w:rPr>
                <w:b/>
              </w:rPr>
              <w:t xml:space="preserve">Resource Plan  </w:t>
            </w:r>
          </w:p>
        </w:tc>
        <w:tc>
          <w:tcPr>
            <w:tcW w:w="7128" w:type="dxa"/>
            <w:shd w:val="clear" w:color="auto" w:fill="auto"/>
          </w:tcPr>
          <w:p w14:paraId="0358CC40" w14:textId="77777777" w:rsidR="00270D7F" w:rsidRDefault="00270D7F" w:rsidP="00CE0F93">
            <w:r w:rsidRPr="00416BF8">
              <w:t>Hourly resourc</w:t>
            </w:r>
            <w:r>
              <w:t xml:space="preserve">e components </w:t>
            </w:r>
            <w:r w:rsidDel="00CE0F93">
              <w:t xml:space="preserve">must </w:t>
            </w:r>
            <w:r>
              <w:t xml:space="preserve">may cover </w:t>
            </w:r>
            <w:r w:rsidDel="00CE0F93">
              <w:t xml:space="preserve">a </w:t>
            </w:r>
            <w:r>
              <w:t>up to seven-</w:t>
            </w:r>
            <w:r w:rsidRPr="00416BF8">
              <w:t xml:space="preserve">day horizon beginning with </w:t>
            </w:r>
            <w:r>
              <w:t xml:space="preserve">the </w:t>
            </w:r>
            <w:r w:rsidRPr="00DA34CC">
              <w:rPr>
                <w:rFonts w:cs="Arial"/>
              </w:rPr>
              <w:t xml:space="preserve">Operating Day, </w:t>
            </w:r>
            <w:r w:rsidRPr="00FA595A">
              <w:rPr>
                <w:rFonts w:cs="Arial"/>
              </w:rPr>
              <w:t>and must cover at least five hours.</w:t>
            </w:r>
            <w:r w:rsidRPr="00DA34CC" w:rsidDel="00CE0F93">
              <w:rPr>
                <w:rFonts w:cs="Arial"/>
              </w:rPr>
              <w:t>.</w:t>
            </w:r>
            <w:r w:rsidRPr="00DA34CC">
              <w:t xml:space="preserve"> The Resource Plan consists of a combination of load Base Schedules</w:t>
            </w:r>
            <w:r>
              <w:t>, generation Base Schedules, interchange Base S</w:t>
            </w:r>
            <w:r w:rsidRPr="00416BF8">
              <w:t xml:space="preserve">chedules, ancillary services plans of the EIM </w:t>
            </w:r>
            <w:r w:rsidRPr="00DA34CC">
              <w:rPr>
                <w:rFonts w:cs="Arial"/>
              </w:rPr>
              <w:t xml:space="preserve">Entity, </w:t>
            </w:r>
            <w:r w:rsidRPr="00FA595A">
              <w:rPr>
                <w:rFonts w:cs="Arial"/>
              </w:rPr>
              <w:t xml:space="preserve">transmission available for EIM Transfers, </w:t>
            </w:r>
            <w:r w:rsidRPr="00DA34CC">
              <w:rPr>
                <w:rFonts w:cs="Arial"/>
              </w:rPr>
              <w:t>and the bid range voluntarily submitted by EIM Participatin</w:t>
            </w:r>
            <w:r>
              <w:t>g Resources. Also, if an EIM Entity Scheduling C</w:t>
            </w:r>
            <w:r w:rsidRPr="00416BF8">
              <w:t>oordinator is not using CAISO demand forecast, then it incl</w:t>
            </w:r>
            <w:r>
              <w:t>udes demand forecast. Resource P</w:t>
            </w:r>
            <w:r w:rsidRPr="00416BF8">
              <w:t>lans balance demand and supply and are used in the resource sufficiency evaluation.</w:t>
            </w:r>
          </w:p>
        </w:tc>
      </w:tr>
      <w:tr w:rsidR="00270D7F" w14:paraId="4B5D53EC" w14:textId="77777777" w:rsidTr="00C076F3">
        <w:trPr>
          <w:cantSplit/>
        </w:trPr>
        <w:tc>
          <w:tcPr>
            <w:tcW w:w="2448" w:type="dxa"/>
            <w:shd w:val="clear" w:color="auto" w:fill="auto"/>
          </w:tcPr>
          <w:p w14:paraId="26F603B3" w14:textId="77777777" w:rsidR="00270D7F" w:rsidRPr="00D23D0F" w:rsidRDefault="00270D7F" w:rsidP="00D723BF">
            <w:pPr>
              <w:rPr>
                <w:b/>
              </w:rPr>
            </w:pPr>
            <w:r w:rsidRPr="00D23D0F">
              <w:rPr>
                <w:b/>
              </w:rPr>
              <w:t>System Resource</w:t>
            </w:r>
          </w:p>
        </w:tc>
        <w:tc>
          <w:tcPr>
            <w:tcW w:w="7128" w:type="dxa"/>
            <w:shd w:val="clear" w:color="auto" w:fill="auto"/>
          </w:tcPr>
          <w:p w14:paraId="46F8A1A0" w14:textId="77777777" w:rsidR="00270D7F" w:rsidRDefault="00270D7F" w:rsidP="00D723BF">
            <w:r>
              <w:t xml:space="preserve">A group of resources, single resource, or a portion of a resource located outside of the CAISO Balancing Authority Area, or an allocated portion of a Balancing Authority Area’s portfolio of generating resources </w:t>
            </w:r>
            <w:r>
              <w:rPr>
                <w:rFonts w:cs="Arial"/>
                <w:color w:val="000000"/>
              </w:rPr>
              <w:t>that are either a static Interchange Schedule or directly responsive to that Balancing Authority Area’s Automatic Generation Control (AGC) capable of providing Energy and/or Ancillary Services to the CAISO Balancing Authority Area, provided that if the System Resource is providing Regulation to CAISO it is directly responsive to AGC</w:t>
            </w:r>
            <w:r>
              <w:t>.</w:t>
            </w:r>
          </w:p>
        </w:tc>
      </w:tr>
      <w:tr w:rsidR="00322B45" w14:paraId="7664DD4E" w14:textId="77777777" w:rsidTr="00C076F3">
        <w:trPr>
          <w:cantSplit/>
        </w:trPr>
        <w:tc>
          <w:tcPr>
            <w:tcW w:w="2448" w:type="dxa"/>
            <w:shd w:val="clear" w:color="auto" w:fill="auto"/>
          </w:tcPr>
          <w:p w14:paraId="4EAFDBBF" w14:textId="46CE57F4" w:rsidR="00322B45" w:rsidRPr="00322B45" w:rsidRDefault="00322B45" w:rsidP="00322B45">
            <w:pPr>
              <w:rPr>
                <w:b/>
              </w:rPr>
            </w:pPr>
            <w:r w:rsidRPr="00322B45">
              <w:rPr>
                <w:b/>
              </w:rPr>
              <w:t>EIM Reserves to Meet NERC/WECC Contingency Reserves Requirements</w:t>
            </w:r>
          </w:p>
          <w:p w14:paraId="4A6965B3" w14:textId="6DA24F81" w:rsidR="00322B45" w:rsidRPr="00D23D0F" w:rsidRDefault="00322B45" w:rsidP="00322B45">
            <w:pPr>
              <w:rPr>
                <w:b/>
              </w:rPr>
            </w:pPr>
          </w:p>
        </w:tc>
        <w:tc>
          <w:tcPr>
            <w:tcW w:w="7128" w:type="dxa"/>
            <w:shd w:val="clear" w:color="auto" w:fill="auto"/>
          </w:tcPr>
          <w:p w14:paraId="486F7193" w14:textId="7351A3C3" w:rsidR="00322B45" w:rsidRDefault="00322B45">
            <w:r w:rsidRPr="00877DDB">
              <w:t>Any capacity that an EIM Entity Scheduling Coordinator has designated, in the EIM Resource Plan, as</w:t>
            </w:r>
            <w:r>
              <w:t xml:space="preserve"> </w:t>
            </w:r>
            <w:r w:rsidRPr="00877DDB">
              <w:t>necessary to meet its NERC/WECC contingency reserves requirements in the applicable Trading Hour</w:t>
            </w:r>
            <w:r>
              <w:t xml:space="preserve"> </w:t>
            </w:r>
            <w:r w:rsidRPr="00877DDB">
              <w:t>and which does not overlap with capacity designated in other parts of the EIM Resource Plan specified in</w:t>
            </w:r>
            <w:r>
              <w:t xml:space="preserve"> </w:t>
            </w:r>
            <w:r w:rsidRPr="00877DDB">
              <w:t>Section 29.34(e)(3)</w:t>
            </w:r>
            <w:r>
              <w:t xml:space="preserve"> of the CAISO Tariff</w:t>
            </w:r>
            <w:r w:rsidRPr="00877DDB">
              <w:t>.</w:t>
            </w:r>
          </w:p>
        </w:tc>
      </w:tr>
      <w:tr w:rsidR="00322B45" w14:paraId="47BCFE87" w14:textId="77777777" w:rsidTr="00C076F3">
        <w:trPr>
          <w:cantSplit/>
        </w:trPr>
        <w:tc>
          <w:tcPr>
            <w:tcW w:w="2448" w:type="dxa"/>
            <w:shd w:val="clear" w:color="auto" w:fill="auto"/>
          </w:tcPr>
          <w:p w14:paraId="6241B286" w14:textId="4BBA4460" w:rsidR="00E520E4" w:rsidRPr="00E520E4" w:rsidRDefault="00E520E4" w:rsidP="00E520E4">
            <w:pPr>
              <w:rPr>
                <w:b/>
              </w:rPr>
            </w:pPr>
            <w:r w:rsidRPr="00E520E4">
              <w:rPr>
                <w:b/>
              </w:rPr>
              <w:t>EIM Downward Available Balancing Capacity</w:t>
            </w:r>
          </w:p>
          <w:p w14:paraId="0F19379A" w14:textId="623B6825" w:rsidR="00322B45" w:rsidRPr="00322B45" w:rsidRDefault="00322B45" w:rsidP="00E520E4">
            <w:pPr>
              <w:rPr>
                <w:b/>
              </w:rPr>
            </w:pPr>
          </w:p>
        </w:tc>
        <w:tc>
          <w:tcPr>
            <w:tcW w:w="7128" w:type="dxa"/>
            <w:shd w:val="clear" w:color="auto" w:fill="auto"/>
          </w:tcPr>
          <w:p w14:paraId="5576C052" w14:textId="74D911EE" w:rsidR="00322B45" w:rsidRPr="00322B45" w:rsidRDefault="00E520E4">
            <w:r w:rsidRPr="00877DDB">
              <w:t>Any downward capacity from an EIM Participating Resources or a non-participating resource that an EIM</w:t>
            </w:r>
            <w:r>
              <w:t xml:space="preserve"> </w:t>
            </w:r>
            <w:r w:rsidRPr="00877DDB">
              <w:t>Entity Scheduling Coordinator has identified in the EIM Resource Plan as available to address power</w:t>
            </w:r>
            <w:r>
              <w:t xml:space="preserve"> </w:t>
            </w:r>
            <w:r w:rsidRPr="00877DDB">
              <w:t>balance and transmission constraint violations in the EIM Balancing Authority Area.</w:t>
            </w:r>
          </w:p>
        </w:tc>
      </w:tr>
      <w:tr w:rsidR="00E520E4" w14:paraId="269933C0" w14:textId="77777777" w:rsidTr="00C076F3">
        <w:trPr>
          <w:cantSplit/>
        </w:trPr>
        <w:tc>
          <w:tcPr>
            <w:tcW w:w="2448" w:type="dxa"/>
            <w:shd w:val="clear" w:color="auto" w:fill="auto"/>
          </w:tcPr>
          <w:p w14:paraId="03A45C0A" w14:textId="4EFBF4AD" w:rsidR="00E520E4" w:rsidRPr="00E520E4" w:rsidRDefault="00E520E4" w:rsidP="00E520E4">
            <w:pPr>
              <w:rPr>
                <w:b/>
              </w:rPr>
            </w:pPr>
            <w:r w:rsidRPr="00E520E4">
              <w:rPr>
                <w:b/>
              </w:rPr>
              <w:t>EIM Upward Available Balancing Capacity</w:t>
            </w:r>
          </w:p>
          <w:p w14:paraId="7D438C1C" w14:textId="6761EAE5" w:rsidR="00E520E4" w:rsidRPr="00E520E4" w:rsidRDefault="00E520E4" w:rsidP="00E520E4">
            <w:pPr>
              <w:rPr>
                <w:b/>
              </w:rPr>
            </w:pPr>
          </w:p>
        </w:tc>
        <w:tc>
          <w:tcPr>
            <w:tcW w:w="7128" w:type="dxa"/>
            <w:shd w:val="clear" w:color="auto" w:fill="auto"/>
          </w:tcPr>
          <w:p w14:paraId="2362F68D" w14:textId="67F3BF7A" w:rsidR="00E520E4" w:rsidRPr="00E520E4" w:rsidRDefault="00E520E4">
            <w:r w:rsidRPr="00877DDB">
              <w:t>Any upward capacity from an EIM Participating Resources or a non-participating resource that an EIM Entity Scheduling Coordinator has identified in the EIM Resource Plan as available to address power balance and transmission violations in the EIM Balancing Authority Area.</w:t>
            </w:r>
          </w:p>
        </w:tc>
      </w:tr>
    </w:tbl>
    <w:p w14:paraId="56697055" w14:textId="77777777" w:rsidR="00B40FF6" w:rsidRDefault="00B40FF6" w:rsidP="00B40FF6">
      <w:pPr>
        <w:pStyle w:val="Heading1"/>
        <w:numPr>
          <w:ilvl w:val="0"/>
          <w:numId w:val="0"/>
        </w:numPr>
      </w:pPr>
      <w:bookmarkStart w:id="2292" w:name="_Appendix_A"/>
      <w:bookmarkEnd w:id="2292"/>
    </w:p>
    <w:p w14:paraId="2607406D" w14:textId="77777777" w:rsidR="00B40FF6" w:rsidRDefault="00B40FF6" w:rsidP="00B40FF6">
      <w:pPr>
        <w:pStyle w:val="ParaText"/>
        <w:rPr>
          <w:kern w:val="28"/>
          <w:sz w:val="34"/>
        </w:rPr>
      </w:pPr>
      <w:r>
        <w:br w:type="page"/>
      </w:r>
    </w:p>
    <w:p w14:paraId="7F3F5D60" w14:textId="77777777" w:rsidR="00DB1797" w:rsidRDefault="00DB1797" w:rsidP="00B40FF6">
      <w:pPr>
        <w:pStyle w:val="Heading1"/>
        <w:numPr>
          <w:ilvl w:val="0"/>
          <w:numId w:val="0"/>
        </w:numPr>
        <w:rPr>
          <w:rFonts w:eastAsia="Calibri"/>
        </w:rPr>
      </w:pPr>
      <w:bookmarkStart w:id="2293" w:name="_Toc20384156"/>
      <w:r>
        <w:t xml:space="preserve">Appendix A: </w:t>
      </w:r>
      <w:r>
        <w:rPr>
          <w:rFonts w:eastAsia="Calibri"/>
        </w:rPr>
        <w:t>Mathematical Formulation for EIM Transfer</w:t>
      </w:r>
      <w:bookmarkEnd w:id="2293"/>
    </w:p>
    <w:p w14:paraId="3CEE2C87" w14:textId="77777777" w:rsidR="00DB1797" w:rsidRPr="005C7F90" w:rsidRDefault="00DB1797" w:rsidP="00877DDB">
      <w:pPr>
        <w:pStyle w:val="BPM"/>
      </w:pPr>
      <w:r w:rsidRPr="005C7F90">
        <w:t>Energy Transfer Scheduling</w:t>
      </w:r>
      <w:r>
        <w:t xml:space="preserve"> </w:t>
      </w:r>
      <w:r w:rsidRPr="005C7F90">
        <w:t>in</w:t>
      </w:r>
      <w:r>
        <w:t xml:space="preserve"> </w:t>
      </w:r>
      <w:r w:rsidRPr="005C7F90">
        <w:t>Energy Imbalance Market</w:t>
      </w:r>
    </w:p>
    <w:p w14:paraId="182F0C3D" w14:textId="77777777" w:rsidR="00DB1797" w:rsidRDefault="00DB1797" w:rsidP="00F57D97">
      <w:pPr>
        <w:pStyle w:val="Heading5"/>
      </w:pPr>
      <w:r>
        <w:t>Introduction</w:t>
      </w:r>
    </w:p>
    <w:p w14:paraId="5FF547CA" w14:textId="77777777" w:rsidR="00DB1797" w:rsidRPr="00F57D97" w:rsidRDefault="00DB1797" w:rsidP="00877DDB">
      <w:pPr>
        <w:pStyle w:val="BPM"/>
      </w:pPr>
      <w:r w:rsidRPr="00F57D97">
        <w:t>This technical paper describes the calculation of Energy Transfer schedules between Balancing Authority Areas (BAAs) in the Energy Imbalance Market (EIM) Area from the optimal EIM Transfer calculated for each BAA in the EIM Area by the Real-Time Unit Commitment (RTUC) and the Real-Time Dispatch (RTD) applications. The methodology in this document is general to account an arbitrary network configuration of EIM and non-EIM BAAs in the Full Network Model (FNM), such as the example shown below:</w:t>
      </w:r>
    </w:p>
    <w:p w14:paraId="5FD00319" w14:textId="77777777" w:rsidR="00DB1797" w:rsidRPr="00F57D97" w:rsidRDefault="00DB1797" w:rsidP="000B754E">
      <w:pPr>
        <w:pStyle w:val="Figure"/>
        <w:rPr>
          <w:rFonts w:ascii="Arial" w:hAnsi="Arial" w:cs="Arial"/>
        </w:rPr>
      </w:pPr>
      <w:r w:rsidRPr="0066107F">
        <w:rPr>
          <w:rFonts w:ascii="Arial" w:hAnsi="Arial" w:cs="Arial"/>
          <w:noProof/>
        </w:rPr>
        <mc:AlternateContent>
          <mc:Choice Requires="wpc">
            <w:drawing>
              <wp:inline distT="0" distB="0" distL="0" distR="0" wp14:anchorId="71744E0D" wp14:editId="15E34B7A">
                <wp:extent cx="5943600" cy="4314825"/>
                <wp:effectExtent l="0" t="0" r="0"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466725" y="198142"/>
                            <a:ext cx="1280160" cy="914400"/>
                          </a:xfrm>
                          <a:prstGeom prst="ellipse">
                            <a:avLst/>
                          </a:prstGeom>
                          <a:solidFill>
                            <a:schemeClr val="tx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ACB66" w14:textId="77777777" w:rsidR="00F55122" w:rsidRPr="00955824" w:rsidRDefault="00F55122" w:rsidP="000B754E">
                              <w:pPr>
                                <w:jc w:val="center"/>
                                <w:rPr>
                                  <w:b/>
                                  <w:color w:val="000000" w:themeColor="text1"/>
                                </w:rPr>
                              </w:pPr>
                              <w:r>
                                <w:rPr>
                                  <w:b/>
                                  <w:color w:val="000000" w:themeColor="text1"/>
                                </w:rPr>
                                <w:t>Non-EIM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466725" y="1674495"/>
                            <a:ext cx="1280160" cy="914400"/>
                          </a:xfrm>
                          <a:prstGeom prst="ellipse">
                            <a:avLst/>
                          </a:prstGeom>
                          <a:solidFill>
                            <a:schemeClr val="accent3">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31AE4" w14:textId="77777777" w:rsidR="00F55122" w:rsidRPr="00A17DC0" w:rsidRDefault="00F55122" w:rsidP="000B754E">
                              <w:pPr>
                                <w:jc w:val="center"/>
                                <w:rPr>
                                  <w:b/>
                                  <w:color w:val="000000" w:themeColor="text1"/>
                                </w:rPr>
                              </w:pPr>
                              <w:r>
                                <w:rPr>
                                  <w:b/>
                                  <w:color w:val="000000" w:themeColor="text1"/>
                                </w:rPr>
                                <w:t>CISO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295525" y="198142"/>
                            <a:ext cx="1280160" cy="914400"/>
                          </a:xfrm>
                          <a:prstGeom prst="ellipse">
                            <a:avLst/>
                          </a:prstGeom>
                          <a:solidFill>
                            <a:schemeClr val="accent6">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B12B3" w14:textId="77777777" w:rsidR="00F55122" w:rsidRPr="00955824" w:rsidRDefault="00F55122" w:rsidP="000B754E">
                              <w:pPr>
                                <w:jc w:val="center"/>
                                <w:rPr>
                                  <w:b/>
                                  <w:color w:val="000000" w:themeColor="text1"/>
                                </w:rPr>
                              </w:pPr>
                              <w:r>
                                <w:rPr>
                                  <w:b/>
                                  <w:color w:val="000000" w:themeColor="text1"/>
                                </w:rPr>
                                <w:t>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9" idx="6"/>
                          <a:endCxn id="41" idx="2"/>
                        </wps:cNvCnPr>
                        <wps:spPr>
                          <a:xfrm>
                            <a:off x="1746885" y="655342"/>
                            <a:ext cx="548640"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9" idx="4"/>
                          <a:endCxn id="40" idx="0"/>
                        </wps:cNvCnPr>
                        <wps:spPr>
                          <a:xfrm>
                            <a:off x="1106805" y="1112542"/>
                            <a:ext cx="0" cy="561953"/>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4124325" y="198142"/>
                            <a:ext cx="1280160" cy="914400"/>
                          </a:xfrm>
                          <a:prstGeom prst="ellipse">
                            <a:avLst/>
                          </a:prstGeom>
                          <a:solidFill>
                            <a:schemeClr val="accent6">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A291" w14:textId="77777777" w:rsidR="00F55122" w:rsidRPr="00955824" w:rsidRDefault="00F55122" w:rsidP="000B754E">
                              <w:pPr>
                                <w:jc w:val="center"/>
                                <w:rPr>
                                  <w:b/>
                                  <w:color w:val="000000" w:themeColor="text1"/>
                                </w:rPr>
                              </w:pPr>
                              <w:r>
                                <w:rPr>
                                  <w:b/>
                                  <w:color w:val="000000" w:themeColor="text1"/>
                                </w:rPr>
                                <w:t>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41" idx="6"/>
                          <a:endCxn id="44" idx="2"/>
                        </wps:cNvCnPr>
                        <wps:spPr>
                          <a:xfrm>
                            <a:off x="3575685" y="655342"/>
                            <a:ext cx="548640"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6" name="Oval 46"/>
                        <wps:cNvSpPr/>
                        <wps:spPr>
                          <a:xfrm>
                            <a:off x="2295525" y="1674495"/>
                            <a:ext cx="1280160" cy="914400"/>
                          </a:xfrm>
                          <a:prstGeom prst="ellipse">
                            <a:avLst/>
                          </a:prstGeom>
                          <a:solidFill>
                            <a:schemeClr val="accent6">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93343" w14:textId="77777777" w:rsidR="00F55122" w:rsidRPr="00955824" w:rsidRDefault="00F55122" w:rsidP="000B754E">
                              <w:pPr>
                                <w:jc w:val="center"/>
                                <w:rPr>
                                  <w:b/>
                                  <w:color w:val="000000" w:themeColor="text1"/>
                                </w:rPr>
                              </w:pPr>
                              <w:r>
                                <w:rPr>
                                  <w:b/>
                                  <w:color w:val="000000" w:themeColor="text1"/>
                                </w:rPr>
                                <w:t>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0" idx="6"/>
                          <a:endCxn id="46" idx="2"/>
                        </wps:cNvCnPr>
                        <wps:spPr>
                          <a:xfrm>
                            <a:off x="1746885" y="2131695"/>
                            <a:ext cx="548640"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4" idx="3"/>
                          <a:endCxn id="46" idx="7"/>
                        </wps:cNvCnPr>
                        <wps:spPr>
                          <a:xfrm flipH="1">
                            <a:off x="3388210" y="978631"/>
                            <a:ext cx="923590" cy="829775"/>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4124325" y="1674495"/>
                            <a:ext cx="1280160" cy="914400"/>
                          </a:xfrm>
                          <a:prstGeom prst="ellipse">
                            <a:avLst/>
                          </a:prstGeom>
                          <a:solidFill>
                            <a:schemeClr val="tx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6AA21" w14:textId="77777777" w:rsidR="00F55122" w:rsidRPr="00955824" w:rsidRDefault="00F55122" w:rsidP="000B754E">
                              <w:pPr>
                                <w:jc w:val="center"/>
                                <w:rPr>
                                  <w:b/>
                                  <w:color w:val="000000" w:themeColor="text1"/>
                                </w:rPr>
                              </w:pPr>
                              <w:r>
                                <w:rPr>
                                  <w:b/>
                                  <w:color w:val="000000" w:themeColor="text1"/>
                                </w:rPr>
                                <w:t>Non-EIM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4" idx="4"/>
                          <a:endCxn id="49" idx="0"/>
                        </wps:cNvCnPr>
                        <wps:spPr>
                          <a:xfrm>
                            <a:off x="4764405" y="1112542"/>
                            <a:ext cx="0" cy="561953"/>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6" idx="6"/>
                          <a:endCxn id="49" idx="2"/>
                        </wps:cNvCnPr>
                        <wps:spPr>
                          <a:xfrm>
                            <a:off x="3575685" y="2131695"/>
                            <a:ext cx="548640"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Oval 52"/>
                        <wps:cNvSpPr/>
                        <wps:spPr>
                          <a:xfrm>
                            <a:off x="466725" y="3129915"/>
                            <a:ext cx="1280160" cy="914400"/>
                          </a:xfrm>
                          <a:prstGeom prst="ellipse">
                            <a:avLst/>
                          </a:prstGeom>
                          <a:solidFill>
                            <a:schemeClr val="tx2">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48524" w14:textId="77777777" w:rsidR="00F55122" w:rsidRPr="00955824" w:rsidRDefault="00F55122" w:rsidP="000B754E">
                              <w:pPr>
                                <w:jc w:val="center"/>
                                <w:rPr>
                                  <w:b/>
                                  <w:color w:val="000000" w:themeColor="text1"/>
                                </w:rPr>
                              </w:pPr>
                              <w:r>
                                <w:rPr>
                                  <w:b/>
                                  <w:color w:val="000000" w:themeColor="text1"/>
                                </w:rPr>
                                <w:t>Non-EIM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2295525" y="3129915"/>
                            <a:ext cx="1280160" cy="914400"/>
                          </a:xfrm>
                          <a:prstGeom prst="ellipse">
                            <a:avLst/>
                          </a:prstGeom>
                          <a:solidFill>
                            <a:schemeClr val="accent6">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9B374" w14:textId="77777777" w:rsidR="00F55122" w:rsidRPr="00955824" w:rsidRDefault="00F55122" w:rsidP="000B754E">
                              <w:pPr>
                                <w:jc w:val="center"/>
                                <w:rPr>
                                  <w:b/>
                                  <w:color w:val="000000" w:themeColor="text1"/>
                                </w:rPr>
                              </w:pPr>
                              <w:r>
                                <w:rPr>
                                  <w:b/>
                                  <w:color w:val="000000" w:themeColor="text1"/>
                                </w:rPr>
                                <w:t>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52" idx="6"/>
                          <a:endCxn id="53" idx="2"/>
                        </wps:cNvCnPr>
                        <wps:spPr>
                          <a:xfrm>
                            <a:off x="1746885" y="3587115"/>
                            <a:ext cx="548640"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40" idx="4"/>
                          <a:endCxn id="52" idx="0"/>
                        </wps:cNvCnPr>
                        <wps:spPr>
                          <a:xfrm>
                            <a:off x="1106805" y="2588895"/>
                            <a:ext cx="0" cy="54102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3575685" y="1112542"/>
                            <a:ext cx="736116" cy="643868"/>
                          </a:xfrm>
                          <a:prstGeom prst="straightConnector1">
                            <a:avLst/>
                          </a:prstGeom>
                          <a:ln w="38100">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3657600" y="548640"/>
                            <a:ext cx="365760" cy="0"/>
                          </a:xfrm>
                          <a:prstGeom prst="straightConnector1">
                            <a:avLst/>
                          </a:prstGeom>
                          <a:ln w="38100">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wpg:cNvPr id="58" name="Group 58"/>
                        <wpg:cNvGrpSpPr/>
                        <wpg:grpSpPr>
                          <a:xfrm>
                            <a:off x="1188720" y="731520"/>
                            <a:ext cx="1005840" cy="842010"/>
                            <a:chOff x="1188720" y="731520"/>
                            <a:chExt cx="1005840" cy="842010"/>
                          </a:xfrm>
                        </wpg:grpSpPr>
                        <wps:wsp>
                          <wps:cNvPr id="59" name="Straight Arrow Connector 59"/>
                          <wps:cNvCnPr/>
                          <wps:spPr>
                            <a:xfrm>
                              <a:off x="1188720" y="1390650"/>
                              <a:ext cx="0" cy="18288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1920240" y="731520"/>
                              <a:ext cx="274320" cy="0"/>
                            </a:xfrm>
                            <a:prstGeom prst="straightConnector1">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1188720" y="731520"/>
                              <a:ext cx="731520" cy="6591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wpg:wgp>
                        <wpg:cNvPr id="62" name="Group 62"/>
                        <wpg:cNvGrpSpPr/>
                        <wpg:grpSpPr>
                          <a:xfrm>
                            <a:off x="1188720" y="2651760"/>
                            <a:ext cx="1005840" cy="842010"/>
                            <a:chOff x="1188720" y="2651760"/>
                            <a:chExt cx="1005840" cy="842010"/>
                          </a:xfrm>
                        </wpg:grpSpPr>
                        <wps:wsp>
                          <wps:cNvPr id="63" name="Straight Arrow Connector 63"/>
                          <wps:cNvCnPr/>
                          <wps:spPr>
                            <a:xfrm flipV="1">
                              <a:off x="1188720" y="2651760"/>
                              <a:ext cx="0" cy="18288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flipV="1">
                              <a:off x="1920240" y="3493770"/>
                              <a:ext cx="274320" cy="0"/>
                            </a:xfrm>
                            <a:prstGeom prst="straightConnector1">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flipV="1">
                              <a:off x="1188720" y="2834640"/>
                              <a:ext cx="731520" cy="6591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66" name="Straight Arrow Connector 66"/>
                        <wps:cNvCnPr/>
                        <wps:spPr>
                          <a:xfrm flipH="1">
                            <a:off x="1828800" y="2213610"/>
                            <a:ext cx="365760" cy="0"/>
                          </a:xfrm>
                          <a:prstGeom prst="straightConnector1">
                            <a:avLst/>
                          </a:prstGeom>
                          <a:ln w="38100">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wpg:cNvPr id="67" name="Group 67"/>
                        <wpg:cNvGrpSpPr/>
                        <wpg:grpSpPr>
                          <a:xfrm flipH="1" flipV="1">
                            <a:off x="3657600" y="1207770"/>
                            <a:ext cx="1005840" cy="842010"/>
                            <a:chOff x="1188720" y="731520"/>
                            <a:chExt cx="1005840" cy="842010"/>
                          </a:xfrm>
                        </wpg:grpSpPr>
                        <wps:wsp>
                          <wps:cNvPr id="68" name="Straight Arrow Connector 68"/>
                          <wps:cNvCnPr/>
                          <wps:spPr>
                            <a:xfrm>
                              <a:off x="1188720" y="1390650"/>
                              <a:ext cx="0" cy="18288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1920240" y="731520"/>
                              <a:ext cx="274320" cy="0"/>
                            </a:xfrm>
                            <a:prstGeom prst="straightConnector1">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1188720" y="731520"/>
                              <a:ext cx="731520" cy="6591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71" name="Straight Arrow Connector 71"/>
                        <wps:cNvCnPr>
                          <a:stCxn id="46" idx="4"/>
                          <a:endCxn id="53" idx="0"/>
                        </wps:cNvCnPr>
                        <wps:spPr>
                          <a:xfrm>
                            <a:off x="2935605" y="2588895"/>
                            <a:ext cx="0" cy="54102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V="1">
                            <a:off x="3017520" y="2651760"/>
                            <a:ext cx="0" cy="391160"/>
                          </a:xfrm>
                          <a:prstGeom prst="straightConnector1">
                            <a:avLst/>
                          </a:prstGeom>
                          <a:ln w="38100">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Oval 73"/>
                        <wps:cNvSpPr/>
                        <wps:spPr>
                          <a:xfrm>
                            <a:off x="4124325" y="3129915"/>
                            <a:ext cx="1280160" cy="914400"/>
                          </a:xfrm>
                          <a:prstGeom prst="ellipse">
                            <a:avLst/>
                          </a:prstGeom>
                          <a:solidFill>
                            <a:schemeClr val="accent6">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FEE7C" w14:textId="77777777" w:rsidR="00F55122" w:rsidRPr="00955824" w:rsidRDefault="00F55122" w:rsidP="000B754E">
                              <w:pPr>
                                <w:jc w:val="center"/>
                                <w:rPr>
                                  <w:b/>
                                  <w:color w:val="000000" w:themeColor="text1"/>
                                </w:rPr>
                              </w:pPr>
                              <w:r>
                                <w:rPr>
                                  <w:b/>
                                  <w:color w:val="000000" w:themeColor="text1"/>
                                </w:rPr>
                                <w:t>EIM BAA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a:stCxn id="49" idx="4"/>
                          <a:endCxn id="73" idx="0"/>
                        </wps:cNvCnPr>
                        <wps:spPr>
                          <a:xfrm>
                            <a:off x="4764405" y="2588895"/>
                            <a:ext cx="0" cy="54102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wpg:cNvPr id="75" name="Group 75"/>
                        <wpg:cNvGrpSpPr/>
                        <wpg:grpSpPr>
                          <a:xfrm flipH="1">
                            <a:off x="3657600" y="2194560"/>
                            <a:ext cx="1005840" cy="842010"/>
                            <a:chOff x="1188720" y="731520"/>
                            <a:chExt cx="1005840" cy="842010"/>
                          </a:xfrm>
                        </wpg:grpSpPr>
                        <wps:wsp>
                          <wps:cNvPr id="76" name="Straight Arrow Connector 76"/>
                          <wps:cNvCnPr/>
                          <wps:spPr>
                            <a:xfrm>
                              <a:off x="1188720" y="1390650"/>
                              <a:ext cx="0" cy="18288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1920240" y="731520"/>
                              <a:ext cx="274320" cy="0"/>
                            </a:xfrm>
                            <a:prstGeom prst="straightConnector1">
                              <a:avLst/>
                            </a:prstGeom>
                            <a:ln w="38100">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a:off x="1188720" y="731520"/>
                              <a:ext cx="731520" cy="65913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1744E0D" id="Canvas 121" o:spid="_x0000_s1055" editas="canvas" style="width:468pt;height:339.75pt;mso-position-horizontal-relative:char;mso-position-vertical-relative:line" coordsize="59436,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">
                <v:shape id="_x0000_s1056" type="#_x0000_t75" style="position:absolute;width:59436;height:43148;visibility:visible;mso-wrap-style:square">
                  <v:fill o:detectmouseclick="t"/>
                  <v:path o:connecttype="none"/>
                </v:shape>
                <v:oval id="Oval 39" o:spid="_x0000_s1057" style="position:absolute;left:4667;top:1981;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" fillcolor="#c6d9f1 [671]" strokecolor="black [3213]" strokeweight="1.5pt">
                  <v:textbox>
                    <w:txbxContent>
                      <w:p w14:paraId="388ACB66" w14:textId="77777777" w:rsidR="00F55122" w:rsidRPr="00955824" w:rsidRDefault="00F55122" w:rsidP="000B754E">
                        <w:pPr>
                          <w:jc w:val="center"/>
                          <w:rPr>
                            <w:b/>
                            <w:color w:val="000000" w:themeColor="text1"/>
                          </w:rPr>
                        </w:pPr>
                        <w:r>
                          <w:rPr>
                            <w:b/>
                            <w:color w:val="000000" w:themeColor="text1"/>
                          </w:rPr>
                          <w:t>Non-EIM BAA</w:t>
                        </w:r>
                      </w:p>
                    </w:txbxContent>
                  </v:textbox>
                </v:oval>
                <v:oval id="Oval 40" o:spid="_x0000_s1058" style="position:absolute;left:4667;top:16744;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" fillcolor="#d6e3bc [1302]" strokecolor="black [3213]" strokeweight="1.5pt">
                  <v:textbox>
                    <w:txbxContent>
                      <w:p w14:paraId="70F31AE4" w14:textId="77777777" w:rsidR="00F55122" w:rsidRPr="00A17DC0" w:rsidRDefault="00F55122" w:rsidP="000B754E">
                        <w:pPr>
                          <w:jc w:val="center"/>
                          <w:rPr>
                            <w:b/>
                            <w:color w:val="000000" w:themeColor="text1"/>
                          </w:rPr>
                        </w:pPr>
                        <w:r>
                          <w:rPr>
                            <w:b/>
                            <w:color w:val="000000" w:themeColor="text1"/>
                          </w:rPr>
                          <w:t>CISO</w:t>
                        </w:r>
                      </w:p>
                    </w:txbxContent>
                  </v:textbox>
                </v:oval>
                <v:oval id="Oval 41" o:spid="_x0000_s1059" style="position:absolute;left:22955;top:1981;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" fillcolor="#fbd4b4 [1305]" strokecolor="black [3213]" strokeweight="1.5pt">
                  <v:textbox>
                    <w:txbxContent>
                      <w:p w14:paraId="076B12B3" w14:textId="77777777" w:rsidR="00F55122" w:rsidRPr="00955824" w:rsidRDefault="00F55122" w:rsidP="000B754E">
                        <w:pPr>
                          <w:jc w:val="center"/>
                          <w:rPr>
                            <w:b/>
                            <w:color w:val="000000" w:themeColor="text1"/>
                          </w:rPr>
                        </w:pPr>
                        <w:r>
                          <w:rPr>
                            <w:b/>
                            <w:color w:val="000000" w:themeColor="text1"/>
                          </w:rPr>
                          <w:t>EIM BAA</w:t>
                        </w:r>
                      </w:p>
                    </w:txbxContent>
                  </v:textbox>
                </v:oval>
                <v:shape id="Straight Arrow Connector 42" o:spid="_x0000_s1060" type="#_x0000_t32" style="position:absolute;left:17468;top:6553;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" strokecolor="black [3213]" strokeweight="1pt">
                  <v:stroke startarrow="block" endarrow="block"/>
                </v:shape>
                <v:shape id="Straight Arrow Connector 43" o:spid="_x0000_s1061" type="#_x0000_t32" style="position:absolute;left:11068;top:11125;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" strokecolor="black [3213]" strokeweight="1pt">
                  <v:stroke startarrow="block" endarrow="block"/>
                </v:shape>
                <v:oval id="Oval 44" o:spid="_x0000_s1062" style="position:absolute;left:41243;top:1981;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" fillcolor="#fbd4b4 [1305]" strokecolor="black [3213]" strokeweight="1.5pt">
                  <v:textbox>
                    <w:txbxContent>
                      <w:p w14:paraId="22AFA291" w14:textId="77777777" w:rsidR="00F55122" w:rsidRPr="00955824" w:rsidRDefault="00F55122" w:rsidP="000B754E">
                        <w:pPr>
                          <w:jc w:val="center"/>
                          <w:rPr>
                            <w:b/>
                            <w:color w:val="000000" w:themeColor="text1"/>
                          </w:rPr>
                        </w:pPr>
                        <w:r>
                          <w:rPr>
                            <w:b/>
                            <w:color w:val="000000" w:themeColor="text1"/>
                          </w:rPr>
                          <w:t>EIM BAA</w:t>
                        </w:r>
                      </w:p>
                    </w:txbxContent>
                  </v:textbox>
                </v:oval>
                <v:shape id="Straight Arrow Connector 45" o:spid="_x0000_s1063" type="#_x0000_t32" style="position:absolute;left:35756;top:6553;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" strokecolor="black [3213]" strokeweight="1pt">
                  <v:stroke startarrow="block" endarrow="block"/>
                </v:shape>
                <v:oval id="Oval 46" o:spid="_x0000_s1064" style="position:absolute;left:22955;top:16744;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" fillcolor="#fbd4b4 [1305]" strokecolor="black [3213]" strokeweight="1.5pt">
                  <v:textbox>
                    <w:txbxContent>
                      <w:p w14:paraId="57493343" w14:textId="77777777" w:rsidR="00F55122" w:rsidRPr="00955824" w:rsidRDefault="00F55122" w:rsidP="000B754E">
                        <w:pPr>
                          <w:jc w:val="center"/>
                          <w:rPr>
                            <w:b/>
                            <w:color w:val="000000" w:themeColor="text1"/>
                          </w:rPr>
                        </w:pPr>
                        <w:r>
                          <w:rPr>
                            <w:b/>
                            <w:color w:val="000000" w:themeColor="text1"/>
                          </w:rPr>
                          <w:t>EIM BAA</w:t>
                        </w:r>
                      </w:p>
                    </w:txbxContent>
                  </v:textbox>
                </v:oval>
                <v:shape id="Straight Arrow Connector 47" o:spid="_x0000_s1065" type="#_x0000_t32" style="position:absolute;left:17468;top:21316;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" strokecolor="black [3213]" strokeweight="1pt">
                  <v:stroke startarrow="block" endarrow="block"/>
                </v:shape>
                <v:shape id="Straight Arrow Connector 48" o:spid="_x0000_s1066" type="#_x0000_t32" style="position:absolute;left:33882;top:9786;width:9236;height:8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" strokecolor="black [3213]" strokeweight="1pt">
                  <v:stroke startarrow="block" endarrow="block"/>
                </v:shape>
                <v:oval id="Oval 49" o:spid="_x0000_s1067" style="position:absolute;left:41243;top:16744;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" fillcolor="#c6d9f1 [671]" strokecolor="black [3213]" strokeweight="1.5pt">
                  <v:textbox>
                    <w:txbxContent>
                      <w:p w14:paraId="7956AA21" w14:textId="77777777" w:rsidR="00F55122" w:rsidRPr="00955824" w:rsidRDefault="00F55122" w:rsidP="000B754E">
                        <w:pPr>
                          <w:jc w:val="center"/>
                          <w:rPr>
                            <w:b/>
                            <w:color w:val="000000" w:themeColor="text1"/>
                          </w:rPr>
                        </w:pPr>
                        <w:r>
                          <w:rPr>
                            <w:b/>
                            <w:color w:val="000000" w:themeColor="text1"/>
                          </w:rPr>
                          <w:t>Non-EIM BAA</w:t>
                        </w:r>
                      </w:p>
                    </w:txbxContent>
                  </v:textbox>
                </v:oval>
                <v:shape id="Straight Arrow Connector 50" o:spid="_x0000_s1068" type="#_x0000_t32" style="position:absolute;left:47644;top:11125;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" strokecolor="black [3213]" strokeweight="1pt">
                  <v:stroke startarrow="block" endarrow="block"/>
                </v:shape>
                <v:shape id="Straight Arrow Connector 51" o:spid="_x0000_s1069" type="#_x0000_t32" style="position:absolute;left:35756;top:21316;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" strokecolor="black [3213]" strokeweight="1pt">
                  <v:stroke startarrow="block" endarrow="block"/>
                </v:shape>
                <v:oval id="Oval 52" o:spid="_x0000_s1070" style="position:absolute;left:4667;top:31299;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" fillcolor="#c6d9f1 [671]" strokecolor="black [3213]" strokeweight="1.5pt">
                  <v:textbox>
                    <w:txbxContent>
                      <w:p w14:paraId="2F048524" w14:textId="77777777" w:rsidR="00F55122" w:rsidRPr="00955824" w:rsidRDefault="00F55122" w:rsidP="000B754E">
                        <w:pPr>
                          <w:jc w:val="center"/>
                          <w:rPr>
                            <w:b/>
                            <w:color w:val="000000" w:themeColor="text1"/>
                          </w:rPr>
                        </w:pPr>
                        <w:r>
                          <w:rPr>
                            <w:b/>
                            <w:color w:val="000000" w:themeColor="text1"/>
                          </w:rPr>
                          <w:t>Non-EIM BAA</w:t>
                        </w:r>
                      </w:p>
                    </w:txbxContent>
                  </v:textbox>
                </v:oval>
                <v:oval id="Oval 53" o:spid="_x0000_s1071" style="position:absolute;left:22955;top:31299;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" fillcolor="#fbd4b4 [1305]" strokecolor="black [3213]" strokeweight="1.5pt">
                  <v:textbox>
                    <w:txbxContent>
                      <w:p w14:paraId="1FB9B374" w14:textId="77777777" w:rsidR="00F55122" w:rsidRPr="00955824" w:rsidRDefault="00F55122" w:rsidP="000B754E">
                        <w:pPr>
                          <w:jc w:val="center"/>
                          <w:rPr>
                            <w:b/>
                            <w:color w:val="000000" w:themeColor="text1"/>
                          </w:rPr>
                        </w:pPr>
                        <w:r>
                          <w:rPr>
                            <w:b/>
                            <w:color w:val="000000" w:themeColor="text1"/>
                          </w:rPr>
                          <w:t>EIM BAA</w:t>
                        </w:r>
                      </w:p>
                    </w:txbxContent>
                  </v:textbox>
                </v:oval>
                <v:shape id="Straight Arrow Connector 54" o:spid="_x0000_s1072" type="#_x0000_t32" style="position:absolute;left:17468;top:35871;width:5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" strokecolor="black [3213]" strokeweight="1pt">
                  <v:stroke startarrow="block" endarrow="block"/>
                </v:shape>
                <v:shape id="Straight Arrow Connector 55" o:spid="_x0000_s1073" type="#_x0000_t32" style="position:absolute;left:11068;top:25888;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" strokecolor="black [3213]" strokeweight="1pt">
                  <v:stroke startarrow="block" endarrow="block"/>
                </v:shape>
                <v:shape id="Straight Arrow Connector 56" o:spid="_x0000_s1074" type="#_x0000_t32" style="position:absolute;left:35756;top:11125;width:7362;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" strokecolor="red" strokeweight="3pt">
                  <v:stroke startarrow="block" endarrow="block"/>
                </v:shape>
                <v:shape id="Straight Arrow Connector 57" o:spid="_x0000_s1075" type="#_x0000_t32" style="position:absolute;left:36576;top:5486;width:36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" strokecolor="red" strokeweight="3pt">
                  <v:stroke startarrow="block" endarrow="block"/>
                </v:shape>
                <v:group id="Group 58" o:spid="_x0000_s1076" style="position:absolute;left:11887;top:7315;width:10058;height:8420" coordorigin="11887,7315" coordsize="10058,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Straight Arrow Connector 59" o:spid="_x0000_s1077" type="#_x0000_t32" style="position:absolute;left:11887;top:13906;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" strokecolor="red" strokeweight="3pt">
                    <v:stroke endarrow="block"/>
                  </v:shape>
                  <v:shape id="Straight Arrow Connector 60" o:spid="_x0000_s1078" type="#_x0000_t32" style="position:absolute;left:19202;top:7315;width:2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" strokecolor="red" strokeweight="3pt">
                    <v:stroke startarrow="block"/>
                  </v:shape>
                  <v:line id="Straight Connector 61" o:spid="_x0000_s1079" style="position:absolute;flip:x;visibility:visible;mso-wrap-style:square" from="11887,7315" to="19202,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" strokecolor="red" strokeweight="3pt"/>
                </v:group>
                <v:group id="Group 62" o:spid="_x0000_s1080" style="position:absolute;left:11887;top:26517;width:10058;height:8420" coordorigin="11887,26517" coordsize="10058,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traight Arrow Connector 63" o:spid="_x0000_s1081" type="#_x0000_t32" style="position:absolute;left:11887;top:26517;width:0;height:1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" strokecolor="red" strokeweight="3pt">
                    <v:stroke endarrow="block"/>
                  </v:shape>
                  <v:shape id="Straight Arrow Connector 64" o:spid="_x0000_s1082" type="#_x0000_t32" style="position:absolute;left:19202;top:34937;width:274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" strokecolor="red" strokeweight="3pt">
                    <v:stroke startarrow="block"/>
                  </v:shape>
                  <v:line id="Straight Connector 65" o:spid="_x0000_s1083" style="position:absolute;flip:x y;visibility:visible;mso-wrap-style:square" from="11887,28346" to="19202,3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" strokecolor="red" strokeweight="3pt"/>
                </v:group>
                <v:shape id="Straight Arrow Connector 66" o:spid="_x0000_s1084" type="#_x0000_t32" style="position:absolute;left:18288;top:22136;width:36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" strokecolor="red" strokeweight="3pt">
                  <v:stroke startarrow="block" endarrow="block"/>
                </v:shape>
                <v:group id="Group 67" o:spid="_x0000_s1085" style="position:absolute;left:36576;top:12077;width:10058;height:8420;flip:x y" coordorigin="11887,7315" coordsize="10058,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">
                  <v:shape id="Straight Arrow Connector 68" o:spid="_x0000_s1086" type="#_x0000_t32" style="position:absolute;left:11887;top:13906;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" strokecolor="red" strokeweight="3pt">
                    <v:stroke endarrow="block"/>
                  </v:shape>
                  <v:shape id="Straight Arrow Connector 69" o:spid="_x0000_s1087" type="#_x0000_t32" style="position:absolute;left:19202;top:7315;width:2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" strokecolor="red" strokeweight="3pt">
                    <v:stroke startarrow="block"/>
                  </v:shape>
                  <v:line id="Straight Connector 70" o:spid="_x0000_s1088" style="position:absolute;flip:x;visibility:visible;mso-wrap-style:square" from="11887,7315" to="19202,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" strokecolor="red" strokeweight="3pt"/>
                </v:group>
                <v:shape id="Straight Arrow Connector 71" o:spid="_x0000_s1089" type="#_x0000_t32" style="position:absolute;left:29356;top:25888;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" strokecolor="black [3213]" strokeweight="1pt">
                  <v:stroke startarrow="block" endarrow="block"/>
                </v:shape>
                <v:shape id="Straight Arrow Connector 72" o:spid="_x0000_s1090" type="#_x0000_t32" style="position:absolute;left:30175;top:26517;width:0;height:3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" strokecolor="red" strokeweight="3pt">
                  <v:stroke startarrow="block" endarrow="block"/>
                </v:shape>
                <v:oval id="Oval 73" o:spid="_x0000_s1091" style="position:absolute;left:41243;top:31299;width:128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" fillcolor="#fbd4b4 [1305]" strokecolor="black [3213]" strokeweight="1.5pt">
                  <v:textbox>
                    <w:txbxContent>
                      <w:p w14:paraId="7D9FEE7C" w14:textId="77777777" w:rsidR="00F55122" w:rsidRPr="00955824" w:rsidRDefault="00F55122" w:rsidP="000B754E">
                        <w:pPr>
                          <w:jc w:val="center"/>
                          <w:rPr>
                            <w:b/>
                            <w:color w:val="000000" w:themeColor="text1"/>
                          </w:rPr>
                        </w:pPr>
                        <w:r>
                          <w:rPr>
                            <w:b/>
                            <w:color w:val="000000" w:themeColor="text1"/>
                          </w:rPr>
                          <w:t>EIM BAA</w:t>
                        </w:r>
                      </w:p>
                    </w:txbxContent>
                  </v:textbox>
                </v:oval>
                <v:shape id="Straight Arrow Connector 74" o:spid="_x0000_s1092" type="#_x0000_t32" style="position:absolute;left:47644;top:25888;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" strokecolor="black [3213]" strokeweight="1pt">
                  <v:stroke startarrow="block" endarrow="block"/>
                </v:shape>
                <v:group id="Group 75" o:spid="_x0000_s1093" style="position:absolute;left:36576;top:21945;width:10058;height:8420;flip:x" coordorigin="11887,7315" coordsize="10058,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">
                  <v:shape id="Straight Arrow Connector 76" o:spid="_x0000_s1094" type="#_x0000_t32" style="position:absolute;left:11887;top:13906;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" strokecolor="red" strokeweight="3pt">
                    <v:stroke endarrow="block"/>
                  </v:shape>
                  <v:shape id="Straight Arrow Connector 118" o:spid="_x0000_s1095" type="#_x0000_t32" style="position:absolute;left:19202;top:7315;width:2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" strokecolor="red" strokeweight="3pt">
                    <v:stroke startarrow="block"/>
                  </v:shape>
                  <v:line id="Straight Connector 120" o:spid="_x0000_s1096" style="position:absolute;flip:x;visibility:visible;mso-wrap-style:square" from="11887,7315" to="19202,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" strokecolor="red" strokeweight="3pt"/>
                </v:group>
                <w10:anchorlock/>
              </v:group>
            </w:pict>
          </mc:Fallback>
        </mc:AlternateContent>
      </w:r>
    </w:p>
    <w:p w14:paraId="4A13B371" w14:textId="77777777" w:rsidR="00DB1797" w:rsidRPr="00F57D97" w:rsidRDefault="00DB1797" w:rsidP="00877DDB">
      <w:pPr>
        <w:pStyle w:val="BPM"/>
      </w:pPr>
      <w:r w:rsidRPr="00F57D97">
        <w:t>EIM BAAs may be interconnected with the CISO directly, through another EIM BAA, through a Non-EIM BAA, or a combination thereof. The EIM Entity for an EIM BAA may have made available transmission rights on a direct interconnection with the CISO, on a direct interconnection with another EIM BAA, or on an indirect interconnection with the CISO or another EIM BAA through one or more non-EIM BAAs. The red arrows in the example above illustrate such transmission rights. These transmission rights are essential to the EIM Transfers for each BAA in the EIM Area as they both allow and constrain the optimal exchange of imbalance energy among the BAAs in the EIM Area.</w:t>
      </w:r>
    </w:p>
    <w:p w14:paraId="70D7DC53" w14:textId="77777777" w:rsidR="00DB1797" w:rsidRPr="00F57D97" w:rsidRDefault="00DB1797" w:rsidP="00877DDB">
      <w:pPr>
        <w:pStyle w:val="BPM"/>
      </w:pPr>
      <w:r w:rsidRPr="00F57D97">
        <w:t>The EIM Transfer is an algebraic quantity (positive for export and negative for import) for the net energy exchange between a given BAA and the remaining BAAs in the EIM Area. The problem at hand is to determine the Energy Transfer schedules among the EIM BAAs and the CISO from the optimal EIM Transfers of the BAAs in the EIM Area using the available transmission rights without violating them. These Energy Transfer schedules can then be tagged to the relevant interties among the BAAs.</w:t>
      </w:r>
    </w:p>
    <w:p w14:paraId="242C5A09" w14:textId="77777777" w:rsidR="00225179" w:rsidRDefault="00225179" w:rsidP="000B754E">
      <w:pPr>
        <w:pStyle w:val="Paragraph"/>
      </w:pPr>
    </w:p>
    <w:p w14:paraId="5486C4BD" w14:textId="77777777" w:rsidR="00DB1797" w:rsidRDefault="00DB1797" w:rsidP="00F57D97">
      <w:pPr>
        <w:pStyle w:val="Heading5"/>
      </w:pPr>
      <w:r>
        <w:t>Energy Transfer System Resources</w:t>
      </w:r>
    </w:p>
    <w:p w14:paraId="51366CB6" w14:textId="77777777" w:rsidR="00DB1797" w:rsidRPr="00F57D97" w:rsidRDefault="00DB1797" w:rsidP="00877DDB">
      <w:pPr>
        <w:pStyle w:val="BPM"/>
      </w:pPr>
      <w:r w:rsidRPr="00F57D97">
        <w:t>Although not necessary for implementation, it is convenient to define dedicated System Resources in each EIM BAA to anchor the Energy Transfer schedules from that BAA to other BAAs in the EIM Area for tracking, tagging, and settlement. These Energy Transfer System Resources (ETSRs) are defined as aggregate resources at the EIM BAA Default Generation Aggregation Point (DGAP), which is an aggregation of all supply resources in the BAA. Each ETSR is defined as either an import or an export resource, and it is associated with an EIM intertie with another EIM BAA, or a CISO intertie with the CISO. The associated intertie is one where the EIM Entity for the relevant EIM BAA has made transmission rights available for scheduling Energy Transfers from/to the other EIM BAA or the CISO.</w:t>
      </w:r>
    </w:p>
    <w:p w14:paraId="2FF56B18" w14:textId="77777777" w:rsidR="00DB1797" w:rsidRPr="00F57D97" w:rsidRDefault="00DB1797" w:rsidP="00877DDB">
      <w:pPr>
        <w:pStyle w:val="BPM"/>
      </w:pPr>
      <w:r w:rsidRPr="00F57D97">
        <w:t>At least two ETSRs must be defined in a BAA for each Energy Transfer schedule with another BAA in the EIM Area: one for import, and the other for export. An aggregate intertie may be used if there are multiple interties under the transmission rights that are made available. It may be necessary to define ETSRs for each intertie separately if the transmission rights are different for each one of them. It may also be necessary to define multiple ETSRs for each Transmission Service Provider (TSP) whose transmission rights are made available. Finally, it may be necessary to define different ETSRs for static 15min Energy Transfer schedules and dynamic 5min Energy Transfer schedules. The applicable transmission right limits can then be modeled as upper operating limits on the corresponding ETSRs.</w:t>
      </w:r>
    </w:p>
    <w:p w14:paraId="751A3D8D" w14:textId="77777777" w:rsidR="00DB1797" w:rsidRPr="00F57D97" w:rsidRDefault="00DB1797" w:rsidP="00877DDB">
      <w:pPr>
        <w:pStyle w:val="BPM"/>
      </w:pPr>
      <w:r w:rsidRPr="00F57D97">
        <w:t>For Energy Transfer schedules between BAAs in the EIM Area, the relevant ETSRs in these BAAs must be associated in import-export pairs since an Energy Transfer schedule between the BAAs is an import to one and an export to the other.</w:t>
      </w:r>
    </w:p>
    <w:p w14:paraId="0AB82F28" w14:textId="77777777" w:rsidR="00F57D97" w:rsidRDefault="00F57D97" w:rsidP="000B754E">
      <w:pPr>
        <w:pStyle w:val="Paragraph"/>
      </w:pPr>
    </w:p>
    <w:p w14:paraId="56F5B86B" w14:textId="77777777" w:rsidR="002815A0" w:rsidRDefault="002815A0" w:rsidP="00B96223">
      <w:pPr>
        <w:pStyle w:val="Heading5"/>
      </w:pPr>
      <w:r>
        <w:t>Notation</w:t>
      </w:r>
    </w:p>
    <w:p w14:paraId="2BB0C520" w14:textId="77777777" w:rsidR="002815A0" w:rsidRDefault="002815A0" w:rsidP="002815A0">
      <w:pPr>
        <w:pStyle w:val="Paragraph"/>
      </w:pPr>
      <w:r>
        <w:t>The following mathematical notation is used in this paper: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8314"/>
      </w:tblGrid>
      <w:tr w:rsidR="002815A0" w14:paraId="78F09D56" w14:textId="77777777" w:rsidTr="00CF1AB9">
        <w:trPr>
          <w:cantSplit/>
        </w:trPr>
        <w:tc>
          <w:tcPr>
            <w:tcW w:w="0" w:type="auto"/>
          </w:tcPr>
          <w:p w14:paraId="378737D0" w14:textId="77777777" w:rsidR="002815A0" w:rsidRPr="003D6191" w:rsidRDefault="002815A0" w:rsidP="00CF1AB9">
            <w:pPr>
              <w:pStyle w:val="Paragraph"/>
              <w:jc w:val="left"/>
              <w:rPr>
                <w:i/>
              </w:rPr>
            </w:pPr>
            <w:r>
              <w:rPr>
                <w:i/>
              </w:rPr>
              <w:t>i</w:t>
            </w:r>
          </w:p>
        </w:tc>
        <w:tc>
          <w:tcPr>
            <w:tcW w:w="0" w:type="auto"/>
          </w:tcPr>
          <w:p w14:paraId="59750293" w14:textId="77777777" w:rsidR="002815A0" w:rsidRDefault="002815A0" w:rsidP="00CF1AB9">
            <w:pPr>
              <w:pStyle w:val="Paragraph"/>
              <w:jc w:val="left"/>
            </w:pPr>
            <w:r>
              <w:t>Node index.</w:t>
            </w:r>
          </w:p>
        </w:tc>
      </w:tr>
      <w:tr w:rsidR="002815A0" w14:paraId="64A1393A" w14:textId="77777777" w:rsidTr="00CF1AB9">
        <w:trPr>
          <w:cantSplit/>
        </w:trPr>
        <w:tc>
          <w:tcPr>
            <w:tcW w:w="0" w:type="auto"/>
          </w:tcPr>
          <w:p w14:paraId="41D0E793" w14:textId="77777777" w:rsidR="002815A0" w:rsidRPr="00E86E57" w:rsidRDefault="002815A0" w:rsidP="00CF1AB9">
            <w:pPr>
              <w:pStyle w:val="Paragraph"/>
              <w:jc w:val="left"/>
              <w:rPr>
                <w:i/>
              </w:rPr>
            </w:pPr>
            <w:r>
              <w:rPr>
                <w:i/>
              </w:rPr>
              <w:t>j</w:t>
            </w:r>
            <w:r>
              <w:t xml:space="preserve">, </w:t>
            </w:r>
            <w:r>
              <w:rPr>
                <w:i/>
              </w:rPr>
              <w:t>k</w:t>
            </w:r>
          </w:p>
        </w:tc>
        <w:tc>
          <w:tcPr>
            <w:tcW w:w="0" w:type="auto"/>
          </w:tcPr>
          <w:p w14:paraId="0650CBA5" w14:textId="77777777" w:rsidR="002815A0" w:rsidRDefault="002815A0" w:rsidP="00CF1AB9">
            <w:pPr>
              <w:pStyle w:val="Paragraph"/>
              <w:jc w:val="left"/>
            </w:pPr>
            <w:r>
              <w:t>BAA indexes; zero (0) is used for the CISO.</w:t>
            </w:r>
          </w:p>
        </w:tc>
      </w:tr>
      <w:tr w:rsidR="002815A0" w14:paraId="0C31445E" w14:textId="77777777" w:rsidTr="00CF1AB9">
        <w:trPr>
          <w:cantSplit/>
        </w:trPr>
        <w:tc>
          <w:tcPr>
            <w:tcW w:w="0" w:type="auto"/>
          </w:tcPr>
          <w:p w14:paraId="181D606E" w14:textId="77777777" w:rsidR="002815A0" w:rsidRDefault="002815A0" w:rsidP="00CF1AB9">
            <w:pPr>
              <w:pStyle w:val="Paragraph"/>
              <w:jc w:val="left"/>
              <w:rPr>
                <w:i/>
              </w:rPr>
            </w:pPr>
            <w:r>
              <w:rPr>
                <w:i/>
              </w:rPr>
              <w:t>l</w:t>
            </w:r>
          </w:p>
        </w:tc>
        <w:tc>
          <w:tcPr>
            <w:tcW w:w="0" w:type="auto"/>
          </w:tcPr>
          <w:p w14:paraId="3A092731" w14:textId="77777777" w:rsidR="002815A0" w:rsidRDefault="002815A0" w:rsidP="00CF1AB9">
            <w:pPr>
              <w:pStyle w:val="Paragraph"/>
              <w:jc w:val="left"/>
            </w:pPr>
            <w:r>
              <w:t>Intertie or Energy Transfer schedule index; in the latter case, it is the corresponding ETSR index (ETSR pair for Energy Transfers between BAAs in the EIM Area).</w:t>
            </w:r>
          </w:p>
        </w:tc>
      </w:tr>
      <w:tr w:rsidR="002815A0" w14:paraId="021AA91C" w14:textId="77777777" w:rsidTr="00CF1AB9">
        <w:trPr>
          <w:cantSplit/>
        </w:trPr>
        <w:tc>
          <w:tcPr>
            <w:tcW w:w="0" w:type="auto"/>
          </w:tcPr>
          <w:p w14:paraId="59187B26" w14:textId="77777777" w:rsidR="002815A0" w:rsidRPr="00F7649B" w:rsidRDefault="007818F5" w:rsidP="00CF1AB9">
            <w:pPr>
              <w:pStyle w:val="Paragraph"/>
              <w:jc w:val="left"/>
            </w:pPr>
            <m:oMathPara>
              <m:oMathParaPr>
                <m:jc m:val="left"/>
              </m:oMathParaPr>
              <m:oMath>
                <m:acc>
                  <m:accPr>
                    <m:chr m:val="̅"/>
                    <m:ctrlPr>
                      <w:rPr>
                        <w:rFonts w:ascii="Cambria Math" w:hAnsi="Cambria Math"/>
                        <w:i/>
                      </w:rPr>
                    </m:ctrlPr>
                  </m:accPr>
                  <m:e/>
                </m:acc>
              </m:oMath>
            </m:oMathPara>
          </w:p>
        </w:tc>
        <w:tc>
          <w:tcPr>
            <w:tcW w:w="0" w:type="auto"/>
          </w:tcPr>
          <w:p w14:paraId="1B395911" w14:textId="77777777" w:rsidR="002815A0" w:rsidRDefault="002815A0" w:rsidP="00CF1AB9">
            <w:pPr>
              <w:pStyle w:val="Paragraph"/>
              <w:jc w:val="left"/>
            </w:pPr>
            <w:r>
              <w:t>Accent denoting base schedule (RUC schedule for the ISO BAA).</w:t>
            </w:r>
          </w:p>
        </w:tc>
      </w:tr>
      <w:tr w:rsidR="002815A0" w14:paraId="02DB3939" w14:textId="77777777" w:rsidTr="00CF1AB9">
        <w:trPr>
          <w:cantSplit/>
        </w:trPr>
        <w:tc>
          <w:tcPr>
            <w:tcW w:w="0" w:type="auto"/>
          </w:tcPr>
          <w:p w14:paraId="53D65908" w14:textId="77777777" w:rsidR="002815A0" w:rsidRPr="00F7649B" w:rsidRDefault="007818F5" w:rsidP="00CF1AB9">
            <w:pPr>
              <w:pStyle w:val="Paragraph"/>
              <w:jc w:val="left"/>
            </w:pPr>
            <m:oMathPara>
              <m:oMathParaPr>
                <m:jc m:val="left"/>
              </m:oMathParaPr>
              <m:oMath>
                <m:acc>
                  <m:accPr>
                    <m:ctrlPr>
                      <w:rPr>
                        <w:rFonts w:ascii="Cambria Math" w:hAnsi="Cambria Math"/>
                        <w:i/>
                      </w:rPr>
                    </m:ctrlPr>
                  </m:accPr>
                  <m:e/>
                </m:acc>
              </m:oMath>
            </m:oMathPara>
          </w:p>
        </w:tc>
        <w:tc>
          <w:tcPr>
            <w:tcW w:w="0" w:type="auto"/>
          </w:tcPr>
          <w:p w14:paraId="61227B26" w14:textId="77777777" w:rsidR="002815A0" w:rsidRDefault="002815A0" w:rsidP="00CF1AB9">
            <w:pPr>
              <w:pStyle w:val="Paragraph"/>
              <w:jc w:val="left"/>
            </w:pPr>
            <w:r>
              <w:t>Accent denoting gross tagged or forecasted interchange schedule between non-EIM BAAs.</w:t>
            </w:r>
          </w:p>
        </w:tc>
      </w:tr>
      <w:tr w:rsidR="002815A0" w14:paraId="7D9B6BF8" w14:textId="77777777" w:rsidTr="00CF1AB9">
        <w:trPr>
          <w:cantSplit/>
        </w:trPr>
        <w:tc>
          <w:tcPr>
            <w:tcW w:w="0" w:type="auto"/>
          </w:tcPr>
          <w:p w14:paraId="2F2F0012" w14:textId="77777777" w:rsidR="002815A0" w:rsidRPr="00F7649B" w:rsidRDefault="007818F5" w:rsidP="00CF1AB9">
            <w:pPr>
              <w:pStyle w:val="Paragraph"/>
              <w:jc w:val="left"/>
            </w:pPr>
            <m:oMathPara>
              <m:oMathParaPr>
                <m:jc m:val="left"/>
              </m:oMathParaPr>
              <m:oMath>
                <m:acc>
                  <m:accPr>
                    <m:chr m:val="̃"/>
                    <m:ctrlPr>
                      <w:rPr>
                        <w:rFonts w:ascii="Cambria Math" w:hAnsi="Cambria Math"/>
                        <w:i/>
                      </w:rPr>
                    </m:ctrlPr>
                  </m:accPr>
                  <m:e/>
                </m:acc>
              </m:oMath>
            </m:oMathPara>
          </w:p>
        </w:tc>
        <w:tc>
          <w:tcPr>
            <w:tcW w:w="0" w:type="auto"/>
          </w:tcPr>
          <w:p w14:paraId="39228D81" w14:textId="77777777" w:rsidR="002815A0" w:rsidRDefault="002815A0" w:rsidP="00CF1AB9">
            <w:pPr>
              <w:pStyle w:val="Paragraph"/>
              <w:jc w:val="left"/>
            </w:pPr>
            <w:r>
              <w:t>Accent denoting initial values from the last AC Power Flow (ACPF) solution.</w:t>
            </w:r>
          </w:p>
        </w:tc>
      </w:tr>
      <w:tr w:rsidR="002815A0" w14:paraId="58979D8B" w14:textId="77777777" w:rsidTr="00CF1AB9">
        <w:trPr>
          <w:cantSplit/>
        </w:trPr>
        <w:tc>
          <w:tcPr>
            <w:tcW w:w="0" w:type="auto"/>
          </w:tcPr>
          <w:p w14:paraId="4E8A0EB1" w14:textId="77777777" w:rsidR="002815A0" w:rsidRPr="00F7649B" w:rsidRDefault="002815A0" w:rsidP="00CF1AB9">
            <w:pPr>
              <w:pStyle w:val="Paragraph"/>
              <w:jc w:val="left"/>
            </w:pPr>
            <w:r>
              <w:sym w:font="Symbol" w:char="F044"/>
            </w:r>
          </w:p>
        </w:tc>
        <w:tc>
          <w:tcPr>
            <w:tcW w:w="0" w:type="auto"/>
          </w:tcPr>
          <w:p w14:paraId="2162710C" w14:textId="77777777" w:rsidR="002815A0" w:rsidRDefault="002815A0" w:rsidP="00CF1AB9">
            <w:pPr>
              <w:pStyle w:val="Paragraph"/>
              <w:jc w:val="left"/>
            </w:pPr>
            <w:r>
              <w:t>Denotes incremental values from the last ACPF solution.</w:t>
            </w:r>
          </w:p>
        </w:tc>
      </w:tr>
      <w:tr w:rsidR="002815A0" w14:paraId="730608FE" w14:textId="77777777" w:rsidTr="00CF1AB9">
        <w:trPr>
          <w:cantSplit/>
        </w:trPr>
        <w:tc>
          <w:tcPr>
            <w:tcW w:w="0" w:type="auto"/>
          </w:tcPr>
          <w:p w14:paraId="4B83C293" w14:textId="77777777" w:rsidR="002815A0" w:rsidRPr="00430730" w:rsidRDefault="002815A0" w:rsidP="00CF1AB9">
            <w:pPr>
              <w:pStyle w:val="Paragraph"/>
              <w:jc w:val="left"/>
            </w:pPr>
            <w:r w:rsidRPr="00430730">
              <w:sym w:font="Symbol" w:char="F022"/>
            </w:r>
          </w:p>
        </w:tc>
        <w:tc>
          <w:tcPr>
            <w:tcW w:w="0" w:type="auto"/>
          </w:tcPr>
          <w:p w14:paraId="18CC5C85" w14:textId="77777777" w:rsidR="002815A0" w:rsidRDefault="002815A0" w:rsidP="00CF1AB9">
            <w:pPr>
              <w:pStyle w:val="Paragraph"/>
              <w:jc w:val="left"/>
            </w:pPr>
            <w:r>
              <w:t>For all…</w:t>
            </w:r>
          </w:p>
        </w:tc>
      </w:tr>
      <w:tr w:rsidR="002815A0" w14:paraId="5F54CB54" w14:textId="77777777" w:rsidTr="00CF1AB9">
        <w:trPr>
          <w:cantSplit/>
        </w:trPr>
        <w:tc>
          <w:tcPr>
            <w:tcW w:w="0" w:type="auto"/>
          </w:tcPr>
          <w:p w14:paraId="4993FEB2" w14:textId="77777777" w:rsidR="002815A0" w:rsidRDefault="002815A0" w:rsidP="00CF1AB9">
            <w:pPr>
              <w:pStyle w:val="Paragraph"/>
              <w:jc w:val="left"/>
            </w:pPr>
            <w:r>
              <w:sym w:font="Symbol" w:char="F0CE"/>
            </w:r>
          </w:p>
        </w:tc>
        <w:tc>
          <w:tcPr>
            <w:tcW w:w="0" w:type="auto"/>
          </w:tcPr>
          <w:p w14:paraId="4D9EC768" w14:textId="77777777" w:rsidR="002815A0" w:rsidRDefault="002815A0" w:rsidP="00CF1AB9">
            <w:pPr>
              <w:pStyle w:val="Paragraph"/>
              <w:jc w:val="left"/>
            </w:pPr>
            <w:r>
              <w:t>Member of…</w:t>
            </w:r>
          </w:p>
        </w:tc>
      </w:tr>
      <w:tr w:rsidR="002815A0" w14:paraId="0927F5ED" w14:textId="77777777" w:rsidTr="00CF1AB9">
        <w:trPr>
          <w:cantSplit/>
        </w:trPr>
        <w:tc>
          <w:tcPr>
            <w:tcW w:w="0" w:type="auto"/>
          </w:tcPr>
          <w:p w14:paraId="53093A98" w14:textId="77777777" w:rsidR="002815A0" w:rsidRDefault="002815A0" w:rsidP="00CF1AB9">
            <w:pPr>
              <w:pStyle w:val="Paragraph"/>
              <w:jc w:val="left"/>
            </w:pPr>
            <w:r>
              <w:sym w:font="Symbol" w:char="F0D9"/>
            </w:r>
          </w:p>
        </w:tc>
        <w:tc>
          <w:tcPr>
            <w:tcW w:w="0" w:type="auto"/>
          </w:tcPr>
          <w:p w14:paraId="2419B455" w14:textId="77777777" w:rsidR="002815A0" w:rsidRDefault="002815A0" w:rsidP="00CF1AB9">
            <w:pPr>
              <w:pStyle w:val="Paragraph"/>
              <w:jc w:val="left"/>
            </w:pPr>
            <w:r>
              <w:t>…and…</w:t>
            </w:r>
          </w:p>
        </w:tc>
      </w:tr>
      <w:tr w:rsidR="002815A0" w14:paraId="3268D438" w14:textId="77777777" w:rsidTr="00CF1AB9">
        <w:trPr>
          <w:cantSplit/>
        </w:trPr>
        <w:tc>
          <w:tcPr>
            <w:tcW w:w="0" w:type="auto"/>
          </w:tcPr>
          <w:p w14:paraId="5D123ECA" w14:textId="77777777" w:rsidR="002815A0" w:rsidRDefault="002815A0" w:rsidP="00CF1AB9">
            <w:pPr>
              <w:pStyle w:val="Paragraph"/>
              <w:jc w:val="left"/>
              <w:rPr>
                <w:i/>
              </w:rPr>
            </w:pPr>
            <w:r>
              <w:rPr>
                <w:i/>
              </w:rPr>
              <w:t>EIM</w:t>
            </w:r>
          </w:p>
        </w:tc>
        <w:tc>
          <w:tcPr>
            <w:tcW w:w="0" w:type="auto"/>
          </w:tcPr>
          <w:p w14:paraId="1FFFC658" w14:textId="77777777" w:rsidR="002815A0" w:rsidRDefault="002815A0" w:rsidP="00CF1AB9">
            <w:pPr>
              <w:pStyle w:val="Paragraph"/>
              <w:jc w:val="left"/>
            </w:pPr>
            <w:r>
              <w:t>The set of CISO and all EIM BAAs.</w:t>
            </w:r>
          </w:p>
        </w:tc>
      </w:tr>
      <w:tr w:rsidR="002815A0" w14:paraId="28D7FA7B" w14:textId="77777777" w:rsidTr="00CF1AB9">
        <w:trPr>
          <w:cantSplit/>
        </w:trPr>
        <w:tc>
          <w:tcPr>
            <w:tcW w:w="0" w:type="auto"/>
          </w:tcPr>
          <w:p w14:paraId="7AA22F4C" w14:textId="77777777" w:rsidR="002815A0" w:rsidRPr="00275705" w:rsidRDefault="002815A0" w:rsidP="00CF1AB9">
            <w:pPr>
              <w:pStyle w:val="Paragraph"/>
              <w:jc w:val="left"/>
              <w:rPr>
                <w:i/>
                <w:vertAlign w:val="subscript"/>
              </w:rPr>
            </w:pPr>
            <w:r>
              <w:rPr>
                <w:i/>
              </w:rPr>
              <w:t>BAA</w:t>
            </w:r>
            <w:r>
              <w:rPr>
                <w:i/>
                <w:vertAlign w:val="subscript"/>
              </w:rPr>
              <w:t>j</w:t>
            </w:r>
          </w:p>
        </w:tc>
        <w:tc>
          <w:tcPr>
            <w:tcW w:w="0" w:type="auto"/>
          </w:tcPr>
          <w:p w14:paraId="3AFD7756" w14:textId="77777777" w:rsidR="002815A0" w:rsidRDefault="002815A0" w:rsidP="00CF1AB9">
            <w:pPr>
              <w:pStyle w:val="Paragraph"/>
              <w:jc w:val="left"/>
            </w:pPr>
            <w:r>
              <w:t xml:space="preserve">The set of nodes in BAA </w:t>
            </w:r>
            <w:r>
              <w:rPr>
                <w:i/>
              </w:rPr>
              <w:t>j</w:t>
            </w:r>
            <w:r>
              <w:t>.</w:t>
            </w:r>
          </w:p>
        </w:tc>
      </w:tr>
      <w:tr w:rsidR="002815A0" w14:paraId="3B0E8280" w14:textId="77777777" w:rsidTr="00CF1AB9">
        <w:trPr>
          <w:cantSplit/>
        </w:trPr>
        <w:tc>
          <w:tcPr>
            <w:tcW w:w="0" w:type="auto"/>
          </w:tcPr>
          <w:p w14:paraId="00B10B2B" w14:textId="77777777" w:rsidR="002815A0" w:rsidRDefault="002815A0" w:rsidP="00CF1AB9">
            <w:pPr>
              <w:pStyle w:val="Paragraph"/>
              <w:jc w:val="left"/>
              <w:rPr>
                <w:i/>
              </w:rPr>
            </w:pPr>
            <w:r>
              <w:rPr>
                <w:i/>
              </w:rPr>
              <w:t>G</w:t>
            </w:r>
            <w:r>
              <w:rPr>
                <w:i/>
                <w:vertAlign w:val="subscript"/>
              </w:rPr>
              <w:t>i</w:t>
            </w:r>
          </w:p>
        </w:tc>
        <w:tc>
          <w:tcPr>
            <w:tcW w:w="0" w:type="auto"/>
          </w:tcPr>
          <w:p w14:paraId="230612DE" w14:textId="77777777" w:rsidR="002815A0" w:rsidRPr="00F7649B" w:rsidRDefault="002815A0" w:rsidP="00CF1AB9">
            <w:pPr>
              <w:pStyle w:val="Paragraph"/>
              <w:jc w:val="left"/>
            </w:pPr>
            <w:r>
              <w:t xml:space="preserve">The generation at node </w:t>
            </w:r>
            <w:r>
              <w:rPr>
                <w:i/>
              </w:rPr>
              <w:t>i</w:t>
            </w:r>
            <w:r>
              <w:t>.</w:t>
            </w:r>
          </w:p>
        </w:tc>
      </w:tr>
      <w:tr w:rsidR="002815A0" w14:paraId="43364564" w14:textId="77777777" w:rsidTr="00CF1AB9">
        <w:trPr>
          <w:cantSplit/>
        </w:trPr>
        <w:tc>
          <w:tcPr>
            <w:tcW w:w="0" w:type="auto"/>
          </w:tcPr>
          <w:p w14:paraId="36B14227" w14:textId="77777777" w:rsidR="002815A0" w:rsidRDefault="002815A0" w:rsidP="00CF1AB9">
            <w:pPr>
              <w:pStyle w:val="Paragraph"/>
              <w:jc w:val="left"/>
              <w:rPr>
                <w:i/>
              </w:rPr>
            </w:pPr>
            <w:r>
              <w:rPr>
                <w:i/>
              </w:rPr>
              <w:t>L</w:t>
            </w:r>
            <w:r>
              <w:rPr>
                <w:i/>
                <w:vertAlign w:val="subscript"/>
              </w:rPr>
              <w:t>i</w:t>
            </w:r>
          </w:p>
        </w:tc>
        <w:tc>
          <w:tcPr>
            <w:tcW w:w="0" w:type="auto"/>
          </w:tcPr>
          <w:p w14:paraId="4943A5A3" w14:textId="77777777" w:rsidR="002815A0" w:rsidRPr="00F7649B" w:rsidRDefault="002815A0" w:rsidP="00CF1AB9">
            <w:pPr>
              <w:pStyle w:val="Paragraph"/>
              <w:jc w:val="left"/>
            </w:pPr>
            <w:r>
              <w:t xml:space="preserve">The load at node </w:t>
            </w:r>
            <w:r>
              <w:rPr>
                <w:i/>
              </w:rPr>
              <w:t>i</w:t>
            </w:r>
            <w:r>
              <w:t>.</w:t>
            </w:r>
          </w:p>
        </w:tc>
      </w:tr>
      <w:tr w:rsidR="002815A0" w14:paraId="28A107F8" w14:textId="77777777" w:rsidTr="00CF1AB9">
        <w:trPr>
          <w:cantSplit/>
        </w:trPr>
        <w:tc>
          <w:tcPr>
            <w:tcW w:w="0" w:type="auto"/>
          </w:tcPr>
          <w:p w14:paraId="1410EBBE" w14:textId="77777777" w:rsidR="002815A0" w:rsidRPr="001A7D38" w:rsidRDefault="002815A0" w:rsidP="00CF1AB9">
            <w:pPr>
              <w:pStyle w:val="Paragraph"/>
              <w:jc w:val="left"/>
              <w:rPr>
                <w:i/>
              </w:rPr>
            </w:pPr>
            <w:r>
              <w:rPr>
                <w:i/>
              </w:rPr>
              <w:t>I</w:t>
            </w:r>
            <w:r>
              <w:rPr>
                <w:i/>
                <w:vertAlign w:val="subscript"/>
              </w:rPr>
              <w:t>j</w:t>
            </w:r>
            <w:r>
              <w:rPr>
                <w:vertAlign w:val="subscript"/>
              </w:rPr>
              <w:t>,</w:t>
            </w:r>
            <w:r>
              <w:rPr>
                <w:i/>
                <w:vertAlign w:val="subscript"/>
              </w:rPr>
              <w:t>k,l</w:t>
            </w:r>
          </w:p>
        </w:tc>
        <w:tc>
          <w:tcPr>
            <w:tcW w:w="0" w:type="auto"/>
          </w:tcPr>
          <w:p w14:paraId="68308667" w14:textId="77777777" w:rsidR="002815A0" w:rsidRPr="00F7649B" w:rsidRDefault="002815A0" w:rsidP="00CF1AB9">
            <w:pPr>
              <w:pStyle w:val="Paragraph"/>
              <w:jc w:val="left"/>
            </w:pPr>
            <w:r>
              <w:t xml:space="preserve">The import schedule </w:t>
            </w:r>
            <w:r>
              <w:rPr>
                <w:i/>
              </w:rPr>
              <w:t>l</w:t>
            </w:r>
            <w:r>
              <w:t xml:space="preserve"> into EIM BAA </w:t>
            </w:r>
            <w:r>
              <w:rPr>
                <w:i/>
              </w:rPr>
              <w:t>j</w:t>
            </w:r>
            <w:r>
              <w:t xml:space="preserve"> from BAA </w:t>
            </w:r>
            <w:r>
              <w:rPr>
                <w:i/>
              </w:rPr>
              <w:t>k</w:t>
            </w:r>
            <w:r>
              <w:t>.</w:t>
            </w:r>
          </w:p>
        </w:tc>
      </w:tr>
      <w:tr w:rsidR="002815A0" w14:paraId="255D7D1C" w14:textId="77777777" w:rsidTr="00CF1AB9">
        <w:trPr>
          <w:cantSplit/>
        </w:trPr>
        <w:tc>
          <w:tcPr>
            <w:tcW w:w="0" w:type="auto"/>
          </w:tcPr>
          <w:p w14:paraId="44BB73CF" w14:textId="77777777" w:rsidR="002815A0" w:rsidRDefault="002815A0" w:rsidP="00CF1AB9">
            <w:pPr>
              <w:pStyle w:val="Paragraph"/>
              <w:jc w:val="left"/>
              <w:rPr>
                <w:i/>
              </w:rPr>
            </w:pPr>
            <w:r>
              <w:rPr>
                <w:i/>
              </w:rPr>
              <w:t>E</w:t>
            </w:r>
            <w:r>
              <w:rPr>
                <w:i/>
                <w:vertAlign w:val="subscript"/>
              </w:rPr>
              <w:t>j</w:t>
            </w:r>
            <w:r>
              <w:rPr>
                <w:vertAlign w:val="subscript"/>
              </w:rPr>
              <w:t>,</w:t>
            </w:r>
            <w:r>
              <w:rPr>
                <w:i/>
                <w:vertAlign w:val="subscript"/>
              </w:rPr>
              <w:t>k,l</w:t>
            </w:r>
          </w:p>
        </w:tc>
        <w:tc>
          <w:tcPr>
            <w:tcW w:w="0" w:type="auto"/>
          </w:tcPr>
          <w:p w14:paraId="6656A74F" w14:textId="77777777" w:rsidR="002815A0" w:rsidRPr="00F7649B" w:rsidRDefault="002815A0" w:rsidP="00CF1AB9">
            <w:pPr>
              <w:pStyle w:val="Paragraph"/>
              <w:jc w:val="left"/>
            </w:pPr>
            <w:r>
              <w:t xml:space="preserve">The export schedule </w:t>
            </w:r>
            <w:r>
              <w:rPr>
                <w:i/>
              </w:rPr>
              <w:t>l</w:t>
            </w:r>
            <w:r>
              <w:t xml:space="preserve"> from EIM BAA </w:t>
            </w:r>
            <w:r>
              <w:rPr>
                <w:i/>
              </w:rPr>
              <w:t>j</w:t>
            </w:r>
            <w:r>
              <w:t xml:space="preserve"> to BAA </w:t>
            </w:r>
            <w:r>
              <w:rPr>
                <w:i/>
              </w:rPr>
              <w:t>k</w:t>
            </w:r>
            <w:r>
              <w:t>.</w:t>
            </w:r>
          </w:p>
        </w:tc>
      </w:tr>
      <w:tr w:rsidR="002815A0" w14:paraId="30CE3023" w14:textId="77777777" w:rsidTr="00CF1AB9">
        <w:trPr>
          <w:cantSplit/>
        </w:trPr>
        <w:tc>
          <w:tcPr>
            <w:tcW w:w="0" w:type="auto"/>
          </w:tcPr>
          <w:p w14:paraId="0E9554DF" w14:textId="77777777" w:rsidR="002815A0" w:rsidRPr="00F7649B" w:rsidRDefault="002815A0" w:rsidP="00CF1AB9">
            <w:pPr>
              <w:pStyle w:val="Paragraph"/>
              <w:jc w:val="left"/>
              <w:rPr>
                <w:i/>
                <w:vertAlign w:val="subscript"/>
              </w:rPr>
            </w:pPr>
            <w:r>
              <w:rPr>
                <w:i/>
              </w:rPr>
              <w:t>D</w:t>
            </w:r>
            <w:r>
              <w:rPr>
                <w:i/>
                <w:vertAlign w:val="subscript"/>
              </w:rPr>
              <w:t>j</w:t>
            </w:r>
          </w:p>
        </w:tc>
        <w:tc>
          <w:tcPr>
            <w:tcW w:w="0" w:type="auto"/>
          </w:tcPr>
          <w:p w14:paraId="11E59D3F" w14:textId="77777777" w:rsidR="002815A0" w:rsidRDefault="002815A0" w:rsidP="00CF1AB9">
            <w:pPr>
              <w:pStyle w:val="Paragraph"/>
              <w:jc w:val="left"/>
            </w:pPr>
            <w:r>
              <w:t xml:space="preserve">The demand (load plus losses) forecast in BAA </w:t>
            </w:r>
            <w:r>
              <w:rPr>
                <w:i/>
              </w:rPr>
              <w:t>j</w:t>
            </w:r>
            <w:r>
              <w:t>.</w:t>
            </w:r>
          </w:p>
        </w:tc>
      </w:tr>
      <w:tr w:rsidR="002815A0" w14:paraId="17535E12" w14:textId="77777777" w:rsidTr="00CF1AB9">
        <w:trPr>
          <w:cantSplit/>
        </w:trPr>
        <w:tc>
          <w:tcPr>
            <w:tcW w:w="0" w:type="auto"/>
          </w:tcPr>
          <w:p w14:paraId="711975AB" w14:textId="77777777" w:rsidR="002815A0" w:rsidRPr="00F7649B" w:rsidRDefault="002815A0" w:rsidP="00CF1AB9">
            <w:pPr>
              <w:pStyle w:val="Paragraph"/>
              <w:jc w:val="left"/>
              <w:rPr>
                <w:i/>
                <w:vertAlign w:val="subscript"/>
              </w:rPr>
            </w:pPr>
            <w:r>
              <w:rPr>
                <w:i/>
              </w:rPr>
              <w:t>Loss</w:t>
            </w:r>
            <w:r>
              <w:rPr>
                <w:i/>
                <w:vertAlign w:val="subscript"/>
              </w:rPr>
              <w:t>j</w:t>
            </w:r>
          </w:p>
        </w:tc>
        <w:tc>
          <w:tcPr>
            <w:tcW w:w="0" w:type="auto"/>
          </w:tcPr>
          <w:p w14:paraId="78C421D8" w14:textId="77777777" w:rsidR="002815A0" w:rsidRDefault="002815A0" w:rsidP="00CF1AB9">
            <w:pPr>
              <w:pStyle w:val="Paragraph"/>
              <w:jc w:val="left"/>
            </w:pPr>
            <w:r>
              <w:t xml:space="preserve">The transmission loss in BAA </w:t>
            </w:r>
            <w:r>
              <w:rPr>
                <w:i/>
              </w:rPr>
              <w:t>j</w:t>
            </w:r>
            <w:r>
              <w:t>.</w:t>
            </w:r>
          </w:p>
        </w:tc>
      </w:tr>
      <w:tr w:rsidR="002815A0" w14:paraId="6100D67D" w14:textId="77777777" w:rsidTr="00CF1AB9">
        <w:trPr>
          <w:cantSplit/>
        </w:trPr>
        <w:tc>
          <w:tcPr>
            <w:tcW w:w="0" w:type="auto"/>
          </w:tcPr>
          <w:p w14:paraId="744CA317" w14:textId="77777777" w:rsidR="002815A0" w:rsidRPr="00F7649B" w:rsidRDefault="002815A0" w:rsidP="00CF1AB9">
            <w:pPr>
              <w:pStyle w:val="Paragraph"/>
              <w:jc w:val="left"/>
              <w:rPr>
                <w:i/>
                <w:vertAlign w:val="subscript"/>
              </w:rPr>
            </w:pPr>
            <w:r>
              <w:rPr>
                <w:i/>
              </w:rPr>
              <w:t>LPF</w:t>
            </w:r>
            <w:r>
              <w:rPr>
                <w:i/>
                <w:vertAlign w:val="subscript"/>
              </w:rPr>
              <w:t>i</w:t>
            </w:r>
          </w:p>
        </w:tc>
        <w:tc>
          <w:tcPr>
            <w:tcW w:w="0" w:type="auto"/>
          </w:tcPr>
          <w:p w14:paraId="3B199F4B" w14:textId="77777777" w:rsidR="002815A0" w:rsidRDefault="002815A0" w:rsidP="00CF1AB9">
            <w:pPr>
              <w:pStyle w:val="Paragraph"/>
              <w:jc w:val="left"/>
            </w:pPr>
            <w:r>
              <w:t xml:space="preserve">The loss penalty factor at node </w:t>
            </w:r>
            <w:r>
              <w:rPr>
                <w:i/>
              </w:rPr>
              <w:t>i</w:t>
            </w:r>
            <w:r>
              <w:t>.</w:t>
            </w:r>
          </w:p>
        </w:tc>
      </w:tr>
      <w:tr w:rsidR="002815A0" w14:paraId="0F65A460" w14:textId="77777777" w:rsidTr="00CF1AB9">
        <w:trPr>
          <w:cantSplit/>
        </w:trPr>
        <w:tc>
          <w:tcPr>
            <w:tcW w:w="0" w:type="auto"/>
          </w:tcPr>
          <w:p w14:paraId="783155DE" w14:textId="77777777" w:rsidR="002815A0" w:rsidRPr="00F7649B" w:rsidRDefault="002815A0" w:rsidP="00CF1AB9">
            <w:pPr>
              <w:pStyle w:val="Paragraph"/>
              <w:jc w:val="left"/>
              <w:rPr>
                <w:i/>
                <w:vertAlign w:val="subscript"/>
              </w:rPr>
            </w:pPr>
            <w:r>
              <w:rPr>
                <w:i/>
              </w:rPr>
              <w:t>LPF</w:t>
            </w:r>
            <w:r>
              <w:rPr>
                <w:i/>
                <w:vertAlign w:val="subscript"/>
              </w:rPr>
              <w:t>j,k,l</w:t>
            </w:r>
          </w:p>
        </w:tc>
        <w:tc>
          <w:tcPr>
            <w:tcW w:w="0" w:type="auto"/>
          </w:tcPr>
          <w:p w14:paraId="17B82B66" w14:textId="77777777" w:rsidR="002815A0" w:rsidRDefault="002815A0" w:rsidP="00CF1AB9">
            <w:pPr>
              <w:pStyle w:val="Paragraph"/>
              <w:jc w:val="left"/>
            </w:pPr>
            <w:r>
              <w:t xml:space="preserve">The loss penalty factor at the Scheduling Point for intertie schedule </w:t>
            </w:r>
            <w:r w:rsidRPr="00551B0F">
              <w:rPr>
                <w:i/>
              </w:rPr>
              <w:t>l</w:t>
            </w:r>
            <w:r>
              <w:t xml:space="preserve"> between BAA </w:t>
            </w:r>
            <w:r>
              <w:rPr>
                <w:i/>
              </w:rPr>
              <w:t>j</w:t>
            </w:r>
            <w:r>
              <w:t xml:space="preserve"> in the EIM Area and non-EIM BAA </w:t>
            </w:r>
            <w:r>
              <w:rPr>
                <w:i/>
              </w:rPr>
              <w:t>k</w:t>
            </w:r>
            <w:r>
              <w:t>.</w:t>
            </w:r>
          </w:p>
        </w:tc>
      </w:tr>
      <w:tr w:rsidR="002815A0" w14:paraId="1AF07D2F" w14:textId="77777777" w:rsidTr="00CF1AB9">
        <w:trPr>
          <w:cantSplit/>
        </w:trPr>
        <w:tc>
          <w:tcPr>
            <w:tcW w:w="0" w:type="auto"/>
          </w:tcPr>
          <w:p w14:paraId="495FB2D1" w14:textId="77777777" w:rsidR="002815A0" w:rsidRPr="00F7649B" w:rsidRDefault="002815A0" w:rsidP="00CF1AB9">
            <w:pPr>
              <w:pStyle w:val="Paragraph"/>
              <w:jc w:val="left"/>
              <w:rPr>
                <w:i/>
                <w:vertAlign w:val="subscript"/>
              </w:rPr>
            </w:pPr>
            <w:r>
              <w:rPr>
                <w:i/>
              </w:rPr>
              <w:t>NSI</w:t>
            </w:r>
            <w:r>
              <w:rPr>
                <w:i/>
                <w:vertAlign w:val="subscript"/>
              </w:rPr>
              <w:t>j</w:t>
            </w:r>
          </w:p>
        </w:tc>
        <w:tc>
          <w:tcPr>
            <w:tcW w:w="0" w:type="auto"/>
          </w:tcPr>
          <w:p w14:paraId="775BE1C0" w14:textId="77777777" w:rsidR="002815A0" w:rsidRDefault="002815A0" w:rsidP="00CF1AB9">
            <w:pPr>
              <w:pStyle w:val="Paragraph"/>
              <w:jc w:val="left"/>
            </w:pPr>
            <w:r>
              <w:t xml:space="preserve">The Net Scheduled Interchange of BAA </w:t>
            </w:r>
            <w:r>
              <w:rPr>
                <w:i/>
              </w:rPr>
              <w:t>j</w:t>
            </w:r>
            <w:r>
              <w:t>; positive for export and negative for import.</w:t>
            </w:r>
          </w:p>
        </w:tc>
      </w:tr>
      <w:tr w:rsidR="002815A0" w14:paraId="00E31E8A" w14:textId="77777777" w:rsidTr="00CF1AB9">
        <w:trPr>
          <w:cantSplit/>
        </w:trPr>
        <w:tc>
          <w:tcPr>
            <w:tcW w:w="0" w:type="auto"/>
          </w:tcPr>
          <w:p w14:paraId="16FF466C" w14:textId="77777777" w:rsidR="002815A0" w:rsidRDefault="002815A0" w:rsidP="00CF1AB9">
            <w:pPr>
              <w:pStyle w:val="Paragraph"/>
              <w:jc w:val="left"/>
              <w:rPr>
                <w:i/>
              </w:rPr>
            </w:pPr>
            <w:r>
              <w:rPr>
                <w:i/>
              </w:rPr>
              <w:t>T</w:t>
            </w:r>
            <w:r>
              <w:rPr>
                <w:i/>
                <w:vertAlign w:val="subscript"/>
              </w:rPr>
              <w:t>j</w:t>
            </w:r>
          </w:p>
        </w:tc>
        <w:tc>
          <w:tcPr>
            <w:tcW w:w="0" w:type="auto"/>
          </w:tcPr>
          <w:p w14:paraId="5A3D689C" w14:textId="77777777" w:rsidR="002815A0" w:rsidRDefault="002815A0" w:rsidP="00CF1AB9">
            <w:pPr>
              <w:pStyle w:val="Paragraph"/>
              <w:jc w:val="left"/>
            </w:pPr>
            <w:r>
              <w:t xml:space="preserve">The EIM Transfer of EIM BAA </w:t>
            </w:r>
            <w:r>
              <w:rPr>
                <w:i/>
              </w:rPr>
              <w:t>j</w:t>
            </w:r>
            <w:r>
              <w:t>; positive for export and negative for import.</w:t>
            </w:r>
          </w:p>
        </w:tc>
      </w:tr>
      <w:tr w:rsidR="002815A0" w14:paraId="3C08D77F" w14:textId="77777777" w:rsidTr="00CF1AB9">
        <w:trPr>
          <w:cantSplit/>
        </w:trPr>
        <w:tc>
          <w:tcPr>
            <w:tcW w:w="0" w:type="auto"/>
          </w:tcPr>
          <w:p w14:paraId="24173CE5" w14:textId="77777777" w:rsidR="002815A0" w:rsidRDefault="002815A0" w:rsidP="00CF1AB9">
            <w:pPr>
              <w:pStyle w:val="Paragraph"/>
              <w:jc w:val="left"/>
              <w:rPr>
                <w:i/>
              </w:rPr>
            </w:pPr>
            <w:r>
              <w:rPr>
                <w:i/>
              </w:rPr>
              <w:t>IT</w:t>
            </w:r>
            <w:r>
              <w:rPr>
                <w:i/>
                <w:vertAlign w:val="subscript"/>
              </w:rPr>
              <w:t>j</w:t>
            </w:r>
            <w:r>
              <w:rPr>
                <w:vertAlign w:val="subscript"/>
              </w:rPr>
              <w:t>,</w:t>
            </w:r>
            <w:r>
              <w:rPr>
                <w:i/>
                <w:vertAlign w:val="subscript"/>
              </w:rPr>
              <w:t>k,l</w:t>
            </w:r>
          </w:p>
        </w:tc>
        <w:tc>
          <w:tcPr>
            <w:tcW w:w="0" w:type="auto"/>
          </w:tcPr>
          <w:p w14:paraId="2A87EFD7" w14:textId="77777777" w:rsidR="002815A0" w:rsidRDefault="002815A0" w:rsidP="00CF1AB9">
            <w:pPr>
              <w:pStyle w:val="Paragraph"/>
              <w:jc w:val="left"/>
            </w:pPr>
            <w:r>
              <w:t xml:space="preserve">The import Energy Transfer schedule </w:t>
            </w:r>
            <w:r>
              <w:rPr>
                <w:i/>
              </w:rPr>
              <w:t>l</w:t>
            </w:r>
            <w:r>
              <w:t xml:space="preserve"> of EIM BAA </w:t>
            </w:r>
            <w:r>
              <w:rPr>
                <w:i/>
              </w:rPr>
              <w:t>j</w:t>
            </w:r>
            <w:r>
              <w:t xml:space="preserve"> from BAA </w:t>
            </w:r>
            <w:r>
              <w:rPr>
                <w:i/>
              </w:rPr>
              <w:t>k</w:t>
            </w:r>
            <w:r>
              <w:t xml:space="preserve"> in the EIM Area.</w:t>
            </w:r>
          </w:p>
        </w:tc>
      </w:tr>
      <w:tr w:rsidR="002815A0" w14:paraId="70ABF7DD" w14:textId="77777777" w:rsidTr="00CF1AB9">
        <w:trPr>
          <w:cantSplit/>
        </w:trPr>
        <w:tc>
          <w:tcPr>
            <w:tcW w:w="0" w:type="auto"/>
          </w:tcPr>
          <w:p w14:paraId="3A3FF0CD" w14:textId="77777777" w:rsidR="002815A0" w:rsidRDefault="002815A0" w:rsidP="00CF1AB9">
            <w:pPr>
              <w:pStyle w:val="Paragraph"/>
              <w:jc w:val="left"/>
              <w:rPr>
                <w:i/>
              </w:rPr>
            </w:pPr>
            <w:r>
              <w:rPr>
                <w:i/>
              </w:rPr>
              <w:t>ET</w:t>
            </w:r>
            <w:r>
              <w:rPr>
                <w:i/>
                <w:vertAlign w:val="subscript"/>
              </w:rPr>
              <w:t>j</w:t>
            </w:r>
            <w:r>
              <w:rPr>
                <w:vertAlign w:val="subscript"/>
              </w:rPr>
              <w:t>,</w:t>
            </w:r>
            <w:r>
              <w:rPr>
                <w:i/>
                <w:vertAlign w:val="subscript"/>
              </w:rPr>
              <w:t>k,l</w:t>
            </w:r>
          </w:p>
        </w:tc>
        <w:tc>
          <w:tcPr>
            <w:tcW w:w="0" w:type="auto"/>
          </w:tcPr>
          <w:p w14:paraId="4205B98C" w14:textId="77777777" w:rsidR="002815A0" w:rsidRDefault="002815A0" w:rsidP="00CF1AB9">
            <w:pPr>
              <w:pStyle w:val="Paragraph"/>
              <w:jc w:val="left"/>
            </w:pPr>
            <w:r>
              <w:t xml:space="preserve">The export Energy Transfer schedule </w:t>
            </w:r>
            <w:r>
              <w:rPr>
                <w:i/>
              </w:rPr>
              <w:t>l</w:t>
            </w:r>
            <w:r>
              <w:t xml:space="preserve"> of EIM BAA </w:t>
            </w:r>
            <w:r>
              <w:rPr>
                <w:i/>
              </w:rPr>
              <w:t>j</w:t>
            </w:r>
            <w:r>
              <w:t xml:space="preserve"> to BAA </w:t>
            </w:r>
            <w:r>
              <w:rPr>
                <w:i/>
              </w:rPr>
              <w:t>k</w:t>
            </w:r>
            <w:r>
              <w:t xml:space="preserve"> in the EIM Area.</w:t>
            </w:r>
          </w:p>
        </w:tc>
      </w:tr>
      <w:tr w:rsidR="002815A0" w14:paraId="42B3B3D7" w14:textId="77777777" w:rsidTr="00CF1AB9">
        <w:trPr>
          <w:cantSplit/>
        </w:trPr>
        <w:tc>
          <w:tcPr>
            <w:tcW w:w="0" w:type="auto"/>
          </w:tcPr>
          <w:p w14:paraId="1050C87B" w14:textId="77777777" w:rsidR="002815A0" w:rsidRDefault="002815A0" w:rsidP="00CF1AB9">
            <w:pPr>
              <w:pStyle w:val="Paragraph"/>
              <w:jc w:val="left"/>
              <w:rPr>
                <w:i/>
              </w:rPr>
            </w:pPr>
            <w:r>
              <w:rPr>
                <w:i/>
              </w:rPr>
              <w:t>IT</w:t>
            </w:r>
            <w:r w:rsidRPr="00882385">
              <w:rPr>
                <w:i/>
                <w:vertAlign w:val="subscript"/>
              </w:rPr>
              <w:t>MAX</w:t>
            </w:r>
            <w:r>
              <w:rPr>
                <w:i/>
                <w:vertAlign w:val="subscript"/>
              </w:rPr>
              <w:t>j</w:t>
            </w:r>
            <w:r>
              <w:rPr>
                <w:vertAlign w:val="subscript"/>
              </w:rPr>
              <w:t>,</w:t>
            </w:r>
            <w:r>
              <w:rPr>
                <w:i/>
                <w:vertAlign w:val="subscript"/>
              </w:rPr>
              <w:t>k,l</w:t>
            </w:r>
          </w:p>
        </w:tc>
        <w:tc>
          <w:tcPr>
            <w:tcW w:w="0" w:type="auto"/>
          </w:tcPr>
          <w:p w14:paraId="0627DF71" w14:textId="77777777" w:rsidR="002815A0" w:rsidRDefault="002815A0" w:rsidP="00CF1AB9">
            <w:pPr>
              <w:pStyle w:val="Paragraph"/>
              <w:jc w:val="left"/>
            </w:pPr>
            <w:r>
              <w:t xml:space="preserve">The applicable limit of the import Energy Transfer schedule </w:t>
            </w:r>
            <w:r>
              <w:rPr>
                <w:i/>
              </w:rPr>
              <w:t>l</w:t>
            </w:r>
            <w:r>
              <w:t xml:space="preserve"> of EIM BAA </w:t>
            </w:r>
            <w:r>
              <w:rPr>
                <w:i/>
              </w:rPr>
              <w:t>j</w:t>
            </w:r>
            <w:r>
              <w:t xml:space="preserve"> from BAA </w:t>
            </w:r>
            <w:r>
              <w:rPr>
                <w:i/>
              </w:rPr>
              <w:t>k</w:t>
            </w:r>
            <w:r>
              <w:t xml:space="preserve"> in the EIM Area.</w:t>
            </w:r>
          </w:p>
        </w:tc>
      </w:tr>
      <w:tr w:rsidR="002815A0" w14:paraId="3535C5F8" w14:textId="77777777" w:rsidTr="00CF1AB9">
        <w:trPr>
          <w:cantSplit/>
        </w:trPr>
        <w:tc>
          <w:tcPr>
            <w:tcW w:w="0" w:type="auto"/>
          </w:tcPr>
          <w:p w14:paraId="03070505" w14:textId="77777777" w:rsidR="002815A0" w:rsidRDefault="002815A0" w:rsidP="00CF1AB9">
            <w:pPr>
              <w:pStyle w:val="Paragraph"/>
              <w:jc w:val="left"/>
              <w:rPr>
                <w:i/>
              </w:rPr>
            </w:pPr>
            <w:r>
              <w:rPr>
                <w:i/>
              </w:rPr>
              <w:t>ET</w:t>
            </w:r>
            <w:r w:rsidRPr="00882385">
              <w:rPr>
                <w:i/>
                <w:vertAlign w:val="subscript"/>
              </w:rPr>
              <w:t>MAX</w:t>
            </w:r>
            <w:r>
              <w:rPr>
                <w:i/>
                <w:vertAlign w:val="subscript"/>
              </w:rPr>
              <w:t>j</w:t>
            </w:r>
            <w:r>
              <w:rPr>
                <w:vertAlign w:val="subscript"/>
              </w:rPr>
              <w:t>,</w:t>
            </w:r>
            <w:r>
              <w:rPr>
                <w:i/>
                <w:vertAlign w:val="subscript"/>
              </w:rPr>
              <w:t>k,l</w:t>
            </w:r>
          </w:p>
        </w:tc>
        <w:tc>
          <w:tcPr>
            <w:tcW w:w="0" w:type="auto"/>
          </w:tcPr>
          <w:p w14:paraId="3F582FFD" w14:textId="77777777" w:rsidR="002815A0" w:rsidRDefault="002815A0" w:rsidP="00CF1AB9">
            <w:pPr>
              <w:pStyle w:val="Paragraph"/>
              <w:jc w:val="left"/>
            </w:pPr>
            <w:r>
              <w:t xml:space="preserve">The applicable limit of the export Energy Transfer schedule </w:t>
            </w:r>
            <w:r>
              <w:rPr>
                <w:i/>
              </w:rPr>
              <w:t>l</w:t>
            </w:r>
            <w:r>
              <w:t xml:space="preserve"> of EIM BAA </w:t>
            </w:r>
            <w:r>
              <w:rPr>
                <w:i/>
              </w:rPr>
              <w:t>j</w:t>
            </w:r>
            <w:r>
              <w:t xml:space="preserve"> to BAA </w:t>
            </w:r>
            <w:r>
              <w:rPr>
                <w:i/>
              </w:rPr>
              <w:t>k</w:t>
            </w:r>
            <w:r>
              <w:t xml:space="preserve"> in the EIM Area.</w:t>
            </w:r>
          </w:p>
        </w:tc>
      </w:tr>
      <w:tr w:rsidR="002815A0" w14:paraId="4BEB3C5D" w14:textId="77777777" w:rsidTr="00CF1AB9">
        <w:trPr>
          <w:cantSplit/>
        </w:trPr>
        <w:tc>
          <w:tcPr>
            <w:tcW w:w="0" w:type="auto"/>
          </w:tcPr>
          <w:p w14:paraId="6AF88964" w14:textId="77777777" w:rsidR="002815A0" w:rsidRDefault="002815A0" w:rsidP="00CF1AB9">
            <w:pPr>
              <w:pStyle w:val="Paragraph"/>
              <w:jc w:val="left"/>
              <w:rPr>
                <w:i/>
              </w:rPr>
            </w:pPr>
            <w:r>
              <w:rPr>
                <w:i/>
              </w:rPr>
              <w:t>IT</w:t>
            </w:r>
            <w:r>
              <w:rPr>
                <w:i/>
                <w:vertAlign w:val="subscript"/>
              </w:rPr>
              <w:t>TRj</w:t>
            </w:r>
            <w:r>
              <w:rPr>
                <w:vertAlign w:val="subscript"/>
              </w:rPr>
              <w:t>,</w:t>
            </w:r>
            <w:r>
              <w:rPr>
                <w:i/>
                <w:vertAlign w:val="subscript"/>
              </w:rPr>
              <w:t>k,l</w:t>
            </w:r>
          </w:p>
        </w:tc>
        <w:tc>
          <w:tcPr>
            <w:tcW w:w="0" w:type="auto"/>
          </w:tcPr>
          <w:p w14:paraId="5BBBBA69" w14:textId="77777777" w:rsidR="002815A0" w:rsidRDefault="002815A0" w:rsidP="00CF1AB9">
            <w:pPr>
              <w:pStyle w:val="Paragraph"/>
              <w:jc w:val="left"/>
            </w:pPr>
            <w:r>
              <w:t xml:space="preserve">The transmission right for the import Energy Transfer schedule </w:t>
            </w:r>
            <w:r>
              <w:rPr>
                <w:i/>
              </w:rPr>
              <w:t>l</w:t>
            </w:r>
            <w:r>
              <w:t xml:space="preserve"> of EIM BAA </w:t>
            </w:r>
            <w:r>
              <w:rPr>
                <w:i/>
              </w:rPr>
              <w:t>j</w:t>
            </w:r>
            <w:r>
              <w:t xml:space="preserve"> from BAA </w:t>
            </w:r>
            <w:r>
              <w:rPr>
                <w:i/>
              </w:rPr>
              <w:t>k</w:t>
            </w:r>
            <w:r>
              <w:t xml:space="preserve"> in the EIM Area.</w:t>
            </w:r>
          </w:p>
        </w:tc>
      </w:tr>
      <w:tr w:rsidR="002815A0" w14:paraId="4ECB1AAD" w14:textId="77777777" w:rsidTr="00CF1AB9">
        <w:trPr>
          <w:cantSplit/>
        </w:trPr>
        <w:tc>
          <w:tcPr>
            <w:tcW w:w="0" w:type="auto"/>
          </w:tcPr>
          <w:p w14:paraId="1A779D0B" w14:textId="77777777" w:rsidR="002815A0" w:rsidRDefault="002815A0" w:rsidP="00CF1AB9">
            <w:pPr>
              <w:pStyle w:val="Paragraph"/>
              <w:jc w:val="left"/>
              <w:rPr>
                <w:i/>
              </w:rPr>
            </w:pPr>
            <w:r>
              <w:rPr>
                <w:i/>
              </w:rPr>
              <w:t>ET</w:t>
            </w:r>
            <w:r>
              <w:rPr>
                <w:i/>
                <w:vertAlign w:val="subscript"/>
              </w:rPr>
              <w:t>TRj</w:t>
            </w:r>
            <w:r>
              <w:rPr>
                <w:vertAlign w:val="subscript"/>
              </w:rPr>
              <w:t>,</w:t>
            </w:r>
            <w:r>
              <w:rPr>
                <w:i/>
                <w:vertAlign w:val="subscript"/>
              </w:rPr>
              <w:t>k,l</w:t>
            </w:r>
          </w:p>
        </w:tc>
        <w:tc>
          <w:tcPr>
            <w:tcW w:w="0" w:type="auto"/>
          </w:tcPr>
          <w:p w14:paraId="79D07FFE" w14:textId="77777777" w:rsidR="002815A0" w:rsidRDefault="002815A0" w:rsidP="00CF1AB9">
            <w:pPr>
              <w:pStyle w:val="Paragraph"/>
              <w:jc w:val="left"/>
            </w:pPr>
            <w:r>
              <w:t xml:space="preserve">The transmission right of the export Energy Transfer schedule </w:t>
            </w:r>
            <w:r>
              <w:rPr>
                <w:i/>
              </w:rPr>
              <w:t>l</w:t>
            </w:r>
            <w:r>
              <w:t xml:space="preserve"> of EIM BAA </w:t>
            </w:r>
            <w:r>
              <w:rPr>
                <w:i/>
              </w:rPr>
              <w:t>j</w:t>
            </w:r>
            <w:r>
              <w:t xml:space="preserve"> to BAA </w:t>
            </w:r>
            <w:r>
              <w:rPr>
                <w:i/>
              </w:rPr>
              <w:t>k</w:t>
            </w:r>
            <w:r>
              <w:t xml:space="preserve"> in the EIM Area.</w:t>
            </w:r>
          </w:p>
        </w:tc>
      </w:tr>
      <w:tr w:rsidR="002815A0" w14:paraId="023ED9DF" w14:textId="77777777" w:rsidTr="00CF1AB9">
        <w:trPr>
          <w:cantSplit/>
        </w:trPr>
        <w:tc>
          <w:tcPr>
            <w:tcW w:w="0" w:type="auto"/>
          </w:tcPr>
          <w:p w14:paraId="60CB2BCC" w14:textId="77777777" w:rsidR="002815A0" w:rsidRDefault="002815A0" w:rsidP="00CF1AB9">
            <w:pPr>
              <w:pStyle w:val="Paragraph"/>
              <w:jc w:val="left"/>
              <w:rPr>
                <w:i/>
              </w:rPr>
            </w:pPr>
            <w:r>
              <w:rPr>
                <w:i/>
              </w:rPr>
              <w:t>IT</w:t>
            </w:r>
            <w:r>
              <w:rPr>
                <w:i/>
                <w:vertAlign w:val="subscript"/>
              </w:rPr>
              <w:t>MAX15j</w:t>
            </w:r>
            <w:r>
              <w:rPr>
                <w:vertAlign w:val="subscript"/>
              </w:rPr>
              <w:t>,</w:t>
            </w:r>
            <w:r>
              <w:rPr>
                <w:i/>
                <w:vertAlign w:val="subscript"/>
              </w:rPr>
              <w:t>k,l</w:t>
            </w:r>
          </w:p>
        </w:tc>
        <w:tc>
          <w:tcPr>
            <w:tcW w:w="0" w:type="auto"/>
          </w:tcPr>
          <w:p w14:paraId="6D5C1FDA" w14:textId="77777777" w:rsidR="002815A0" w:rsidRDefault="002815A0" w:rsidP="00CF1AB9">
            <w:pPr>
              <w:pStyle w:val="Paragraph"/>
              <w:jc w:val="left"/>
            </w:pPr>
            <w:r>
              <w:t xml:space="preserve">The static limit for the import Energy Transfer schedule </w:t>
            </w:r>
            <w:r>
              <w:rPr>
                <w:i/>
              </w:rPr>
              <w:t>l</w:t>
            </w:r>
            <w:r>
              <w:t xml:space="preserve"> of EIM BAA </w:t>
            </w:r>
            <w:r>
              <w:rPr>
                <w:i/>
              </w:rPr>
              <w:t>j</w:t>
            </w:r>
            <w:r>
              <w:t xml:space="preserve"> from BAA </w:t>
            </w:r>
            <w:r>
              <w:rPr>
                <w:i/>
              </w:rPr>
              <w:t>k</w:t>
            </w:r>
            <w:r>
              <w:t xml:space="preserve"> in the EIM Area.</w:t>
            </w:r>
          </w:p>
        </w:tc>
      </w:tr>
      <w:tr w:rsidR="002815A0" w14:paraId="38523CEE" w14:textId="77777777" w:rsidTr="00CF1AB9">
        <w:trPr>
          <w:cantSplit/>
        </w:trPr>
        <w:tc>
          <w:tcPr>
            <w:tcW w:w="0" w:type="auto"/>
          </w:tcPr>
          <w:p w14:paraId="4038F43D" w14:textId="77777777" w:rsidR="002815A0" w:rsidRDefault="002815A0" w:rsidP="00CF1AB9">
            <w:pPr>
              <w:pStyle w:val="Paragraph"/>
              <w:jc w:val="left"/>
              <w:rPr>
                <w:i/>
              </w:rPr>
            </w:pPr>
            <w:r>
              <w:rPr>
                <w:i/>
              </w:rPr>
              <w:t>ET</w:t>
            </w:r>
            <w:r>
              <w:rPr>
                <w:i/>
                <w:vertAlign w:val="subscript"/>
              </w:rPr>
              <w:t>MAX15j</w:t>
            </w:r>
            <w:r>
              <w:rPr>
                <w:vertAlign w:val="subscript"/>
              </w:rPr>
              <w:t>,</w:t>
            </w:r>
            <w:r>
              <w:rPr>
                <w:i/>
                <w:vertAlign w:val="subscript"/>
              </w:rPr>
              <w:t>k,l</w:t>
            </w:r>
          </w:p>
        </w:tc>
        <w:tc>
          <w:tcPr>
            <w:tcW w:w="0" w:type="auto"/>
          </w:tcPr>
          <w:p w14:paraId="63FE92CA" w14:textId="77777777" w:rsidR="002815A0" w:rsidRDefault="002815A0" w:rsidP="00CF1AB9">
            <w:pPr>
              <w:pStyle w:val="Paragraph"/>
              <w:jc w:val="left"/>
            </w:pPr>
            <w:r>
              <w:t xml:space="preserve">The static limit of the export Energy Transfer schedule </w:t>
            </w:r>
            <w:r>
              <w:rPr>
                <w:i/>
              </w:rPr>
              <w:t>l</w:t>
            </w:r>
            <w:r>
              <w:t xml:space="preserve"> of EIM BAA </w:t>
            </w:r>
            <w:r>
              <w:rPr>
                <w:i/>
              </w:rPr>
              <w:t>j</w:t>
            </w:r>
            <w:r>
              <w:t xml:space="preserve"> to BAA </w:t>
            </w:r>
            <w:r>
              <w:rPr>
                <w:i/>
              </w:rPr>
              <w:t>k</w:t>
            </w:r>
            <w:r>
              <w:t xml:space="preserve"> in the EIM Area.</w:t>
            </w:r>
          </w:p>
        </w:tc>
      </w:tr>
      <w:tr w:rsidR="002815A0" w14:paraId="295DF70B" w14:textId="77777777" w:rsidTr="00CF1AB9">
        <w:trPr>
          <w:cantSplit/>
        </w:trPr>
        <w:tc>
          <w:tcPr>
            <w:tcW w:w="0" w:type="auto"/>
          </w:tcPr>
          <w:p w14:paraId="45F83F5E" w14:textId="77777777" w:rsidR="002815A0" w:rsidRDefault="002815A0" w:rsidP="00CF1AB9">
            <w:pPr>
              <w:pStyle w:val="Paragraph"/>
              <w:jc w:val="left"/>
              <w:rPr>
                <w:i/>
              </w:rPr>
            </w:pPr>
            <w:r>
              <w:rPr>
                <w:i/>
              </w:rPr>
              <w:t>IT</w:t>
            </w:r>
            <w:r>
              <w:rPr>
                <w:i/>
                <w:vertAlign w:val="subscript"/>
              </w:rPr>
              <w:t>MAX5j</w:t>
            </w:r>
            <w:r>
              <w:rPr>
                <w:vertAlign w:val="subscript"/>
              </w:rPr>
              <w:t>,</w:t>
            </w:r>
            <w:r>
              <w:rPr>
                <w:i/>
                <w:vertAlign w:val="subscript"/>
              </w:rPr>
              <w:t>k,l</w:t>
            </w:r>
          </w:p>
        </w:tc>
        <w:tc>
          <w:tcPr>
            <w:tcW w:w="0" w:type="auto"/>
          </w:tcPr>
          <w:p w14:paraId="5FA3C8DF" w14:textId="77777777" w:rsidR="002815A0" w:rsidRDefault="002815A0" w:rsidP="00CF1AB9">
            <w:pPr>
              <w:pStyle w:val="Paragraph"/>
              <w:jc w:val="left"/>
            </w:pPr>
            <w:r>
              <w:t xml:space="preserve">The dynamic incremental limit for the import Energy Transfer schedule </w:t>
            </w:r>
            <w:r>
              <w:rPr>
                <w:i/>
              </w:rPr>
              <w:t>l</w:t>
            </w:r>
            <w:r>
              <w:t xml:space="preserve"> of EIM BAA </w:t>
            </w:r>
            <w:r>
              <w:rPr>
                <w:i/>
              </w:rPr>
              <w:t>j</w:t>
            </w:r>
            <w:r>
              <w:t xml:space="preserve"> from BAA </w:t>
            </w:r>
            <w:r>
              <w:rPr>
                <w:i/>
              </w:rPr>
              <w:t>k</w:t>
            </w:r>
            <w:r>
              <w:t xml:space="preserve"> in the EIM Area.</w:t>
            </w:r>
          </w:p>
        </w:tc>
      </w:tr>
      <w:tr w:rsidR="002815A0" w14:paraId="3645C76F" w14:textId="77777777" w:rsidTr="00CF1AB9">
        <w:trPr>
          <w:cantSplit/>
        </w:trPr>
        <w:tc>
          <w:tcPr>
            <w:tcW w:w="0" w:type="auto"/>
          </w:tcPr>
          <w:p w14:paraId="14DB2748" w14:textId="77777777" w:rsidR="002815A0" w:rsidRDefault="002815A0" w:rsidP="00CF1AB9">
            <w:pPr>
              <w:pStyle w:val="Paragraph"/>
              <w:jc w:val="left"/>
              <w:rPr>
                <w:i/>
              </w:rPr>
            </w:pPr>
            <w:r>
              <w:rPr>
                <w:i/>
              </w:rPr>
              <w:t>ET</w:t>
            </w:r>
            <w:r>
              <w:rPr>
                <w:i/>
                <w:vertAlign w:val="subscript"/>
              </w:rPr>
              <w:t>MAX5j</w:t>
            </w:r>
            <w:r>
              <w:rPr>
                <w:vertAlign w:val="subscript"/>
              </w:rPr>
              <w:t>,</w:t>
            </w:r>
            <w:r>
              <w:rPr>
                <w:i/>
                <w:vertAlign w:val="subscript"/>
              </w:rPr>
              <w:t>k,l</w:t>
            </w:r>
          </w:p>
        </w:tc>
        <w:tc>
          <w:tcPr>
            <w:tcW w:w="0" w:type="auto"/>
          </w:tcPr>
          <w:p w14:paraId="367EB72B" w14:textId="77777777" w:rsidR="002815A0" w:rsidRDefault="002815A0" w:rsidP="00CF1AB9">
            <w:pPr>
              <w:pStyle w:val="Paragraph"/>
              <w:jc w:val="left"/>
            </w:pPr>
            <w:r>
              <w:t xml:space="preserve">The dynamic incremental limit of the export Energy Transfer schedule </w:t>
            </w:r>
            <w:r>
              <w:rPr>
                <w:i/>
              </w:rPr>
              <w:t>l</w:t>
            </w:r>
            <w:r>
              <w:t xml:space="preserve"> of EIM BAA </w:t>
            </w:r>
            <w:r>
              <w:rPr>
                <w:i/>
              </w:rPr>
              <w:t>j</w:t>
            </w:r>
            <w:r>
              <w:t xml:space="preserve"> to BAA </w:t>
            </w:r>
            <w:r>
              <w:rPr>
                <w:i/>
              </w:rPr>
              <w:t>k</w:t>
            </w:r>
            <w:r>
              <w:t xml:space="preserve"> in the EIM Area.</w:t>
            </w:r>
          </w:p>
        </w:tc>
      </w:tr>
      <w:tr w:rsidR="002815A0" w14:paraId="2EB85E8B" w14:textId="77777777" w:rsidTr="00CF1AB9">
        <w:trPr>
          <w:cantSplit/>
        </w:trPr>
        <w:tc>
          <w:tcPr>
            <w:tcW w:w="0" w:type="auto"/>
          </w:tcPr>
          <w:p w14:paraId="2E00CCDC" w14:textId="77777777" w:rsidR="002815A0" w:rsidRDefault="002815A0" w:rsidP="00CF1AB9">
            <w:pPr>
              <w:pStyle w:val="Paragraph"/>
              <w:jc w:val="left"/>
              <w:rPr>
                <w:i/>
              </w:rPr>
            </w:pPr>
            <w:r>
              <w:rPr>
                <w:i/>
              </w:rPr>
              <w:t>C</w:t>
            </w:r>
            <w:r>
              <w:rPr>
                <w:i/>
                <w:vertAlign w:val="subscript"/>
              </w:rPr>
              <w:t>j</w:t>
            </w:r>
            <w:r>
              <w:rPr>
                <w:vertAlign w:val="subscript"/>
              </w:rPr>
              <w:t>,</w:t>
            </w:r>
            <w:r>
              <w:rPr>
                <w:i/>
                <w:vertAlign w:val="subscript"/>
              </w:rPr>
              <w:t>k</w:t>
            </w:r>
          </w:p>
        </w:tc>
        <w:tc>
          <w:tcPr>
            <w:tcW w:w="0" w:type="auto"/>
          </w:tcPr>
          <w:p w14:paraId="6FBFDE19" w14:textId="77777777" w:rsidR="002815A0" w:rsidRDefault="002815A0" w:rsidP="00CF1AB9">
            <w:pPr>
              <w:pStyle w:val="Paragraph"/>
              <w:jc w:val="left"/>
            </w:pPr>
            <w:r>
              <w:t xml:space="preserve">The transmission cost of the Energy Transfer schedules of EIM BAA </w:t>
            </w:r>
            <w:r>
              <w:rPr>
                <w:i/>
              </w:rPr>
              <w:t>j</w:t>
            </w:r>
            <w:r>
              <w:t xml:space="preserve"> from/to BAA </w:t>
            </w:r>
            <w:r>
              <w:rPr>
                <w:i/>
              </w:rPr>
              <w:t>k</w:t>
            </w:r>
            <w:r>
              <w:t xml:space="preserve"> in the EIM Area.</w:t>
            </w:r>
          </w:p>
        </w:tc>
      </w:tr>
      <w:tr w:rsidR="00F57D97" w14:paraId="7B8575AA" w14:textId="77777777" w:rsidTr="00CF1AB9">
        <w:trPr>
          <w:cantSplit/>
        </w:trPr>
        <w:tc>
          <w:tcPr>
            <w:tcW w:w="0" w:type="auto"/>
          </w:tcPr>
          <w:p w14:paraId="720FBEE7" w14:textId="77777777" w:rsidR="00F57D97" w:rsidRDefault="00F57D97" w:rsidP="00CF1AB9">
            <w:pPr>
              <w:pStyle w:val="Paragraph"/>
              <w:jc w:val="left"/>
              <w:rPr>
                <w:i/>
              </w:rPr>
            </w:pPr>
          </w:p>
        </w:tc>
        <w:tc>
          <w:tcPr>
            <w:tcW w:w="0" w:type="auto"/>
          </w:tcPr>
          <w:p w14:paraId="611B9DE6" w14:textId="77777777" w:rsidR="00F57D97" w:rsidRDefault="00F57D97" w:rsidP="00CF1AB9">
            <w:pPr>
              <w:pStyle w:val="Paragraph"/>
              <w:jc w:val="left"/>
            </w:pPr>
          </w:p>
        </w:tc>
      </w:tr>
    </w:tbl>
    <w:p w14:paraId="49FFF74A" w14:textId="77777777" w:rsidR="002815A0" w:rsidRDefault="002815A0" w:rsidP="00B96223">
      <w:pPr>
        <w:pStyle w:val="Heading5"/>
      </w:pPr>
      <w:r>
        <w:t>Mathematical Formulation</w:t>
      </w:r>
    </w:p>
    <w:p w14:paraId="7BBEA786" w14:textId="77777777" w:rsidR="002815A0" w:rsidRPr="00F57D97" w:rsidRDefault="002815A0" w:rsidP="00877DDB">
      <w:pPr>
        <w:pStyle w:val="BPM"/>
      </w:pPr>
      <w:r w:rsidRPr="00F57D97">
        <w:t>This section describes the relevant calculations and mathematical formulae.</w:t>
      </w:r>
    </w:p>
    <w:p w14:paraId="5C2DB11F" w14:textId="77777777" w:rsidR="00F57D97" w:rsidRDefault="00F57D97" w:rsidP="00B96223">
      <w:pPr>
        <w:pStyle w:val="Heading6"/>
      </w:pPr>
    </w:p>
    <w:p w14:paraId="5FF0CC66" w14:textId="77777777" w:rsidR="002815A0" w:rsidRPr="000D137E" w:rsidRDefault="002815A0" w:rsidP="00B96223">
      <w:pPr>
        <w:pStyle w:val="Heading6"/>
      </w:pPr>
      <w:r>
        <w:t>Base Schedules</w:t>
      </w:r>
    </w:p>
    <w:p w14:paraId="33DE529A" w14:textId="77777777" w:rsidR="002815A0" w:rsidRDefault="002815A0" w:rsidP="00877DDB">
      <w:pPr>
        <w:pStyle w:val="BPM"/>
      </w:pPr>
      <w:r>
        <w:t>The base Energy Transfer schedules between EIM BAAs are submitted along with the generation and intertie base schedules ahead of the market run. The base Energy Transfer schedules between EIM BAAs and the CISO are the corresponding intertie schedules from the Residual Unit Commitment (RUC)</w:t>
      </w:r>
      <w:r>
        <w:rPr>
          <w:rStyle w:val="FootnoteReference"/>
        </w:rPr>
        <w:footnoteReference w:id="4"/>
      </w:r>
      <w:r>
        <w:t xml:space="preserve"> and need not be submitted since they are known:</w:t>
      </w:r>
    </w:p>
    <w:p w14:paraId="7313A6D9" w14:textId="77777777" w:rsidR="002815A0" w:rsidRDefault="007818F5">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IT</m:t>
                            </m:r>
                          </m:e>
                        </m:acc>
                      </m:e>
                      <m:sub>
                        <m:r>
                          <w:rPr>
                            <w:rFonts w:ascii="Cambria Math" w:hAnsi="Cambria Math"/>
                          </w:rPr>
                          <m:t>j,0,l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0,j,l</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ET</m:t>
                            </m:r>
                          </m:e>
                        </m:acc>
                      </m:e>
                      <m:sub>
                        <m:r>
                          <w:rPr>
                            <w:rFonts w:ascii="Cambria Math" w:hAnsi="Cambria Math"/>
                          </w:rPr>
                          <m:t>j,0,l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0,j,l</m:t>
                        </m:r>
                      </m:sub>
                    </m:sSub>
                  </m:e>
                </m:mr>
              </m:m>
            </m:e>
          </m:d>
          <m:r>
            <w:rPr>
              <w:rFonts w:ascii="Cambria Math" w:hAnsi="Cambria Math"/>
            </w:rPr>
            <m:t xml:space="preserve">  ∀j∈EIM∧j&gt;0</m:t>
          </m:r>
        </m:oMath>
      </m:oMathPara>
    </w:p>
    <w:p w14:paraId="53F4C8EB" w14:textId="77777777" w:rsidR="002815A0" w:rsidRDefault="002815A0" w:rsidP="00877DDB">
      <w:pPr>
        <w:pStyle w:val="BPM"/>
      </w:pPr>
      <w:r>
        <w:t>The base Energy Transfer schedules between EIM BAAs on the same intertie must be matching:</w:t>
      </w:r>
    </w:p>
    <w:p w14:paraId="70CCC366"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IT</m:t>
                  </m:r>
                </m:e>
              </m:acc>
            </m:e>
            <m:sub>
              <m:r>
                <w:rPr>
                  <w:rFonts w:ascii="Cambria Math" w:hAnsi="Cambria Math"/>
                </w:rPr>
                <m:t>j,k,l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ET</m:t>
                  </m:r>
                </m:e>
              </m:acc>
            </m:e>
            <m:sub>
              <m:r>
                <w:rPr>
                  <w:rFonts w:ascii="Cambria Math" w:hAnsi="Cambria Math"/>
                </w:rPr>
                <m:t>k,j,l</m:t>
              </m:r>
            </m:sub>
          </m:sSub>
          <m:r>
            <w:rPr>
              <w:rFonts w:ascii="Cambria Math" w:hAnsi="Cambria Math"/>
            </w:rPr>
            <m:t xml:space="preserve">  ∀j,k∈EIM∧j≠k∧j,k&gt;0</m:t>
          </m:r>
        </m:oMath>
      </m:oMathPara>
    </w:p>
    <w:p w14:paraId="7A710CB3" w14:textId="6990C82A" w:rsidR="002815A0" w:rsidRDefault="002815A0" w:rsidP="00877DDB">
      <w:pPr>
        <w:pStyle w:val="BPM"/>
      </w:pPr>
      <w:r>
        <w:t>The base Energy Transfer schedules on a given intertie between two BAAs are submitted only for the ETSRs of one BAA, whereas the base Energy Transfer schedules for their ETSR counterparts of the other BAA are set to match. An ETSR attribute in the Master File is used to designate the ETSRs for which base Energy Transfer schedules are submitted and used for tagging, as explained in §</w:t>
      </w:r>
      <w:r w:rsidR="002957E6">
        <w:t>11.1.5</w:t>
      </w:r>
      <w:r>
        <w:t>.</w:t>
      </w:r>
    </w:p>
    <w:p w14:paraId="5E01178D" w14:textId="77777777" w:rsidR="002815A0" w:rsidRDefault="002815A0" w:rsidP="00877DDB">
      <w:pPr>
        <w:pStyle w:val="BPM"/>
      </w:pPr>
      <w:r>
        <w:t>It is assumed that the base Energy Transfer schedules are feasible:</w:t>
      </w:r>
    </w:p>
    <w:p w14:paraId="6AF1650C" w14:textId="77777777" w:rsidR="002815A0" w:rsidRDefault="007818F5">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IT</m:t>
                            </m:r>
                          </m:e>
                        </m:acc>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MAXj,k,l</m:t>
                        </m:r>
                      </m:sub>
                    </m:sSub>
                  </m:e>
                </m:mr>
                <m:mr>
                  <m:e>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ET</m:t>
                            </m:r>
                          </m:e>
                        </m:acc>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MAXj,k,l</m:t>
                        </m:r>
                      </m:sub>
                    </m:sSub>
                  </m:e>
                </m:mr>
              </m:m>
            </m:e>
          </m:d>
          <m:r>
            <w:rPr>
              <w:rFonts w:ascii="Cambria Math" w:hAnsi="Cambria Math"/>
            </w:rPr>
            <m:t xml:space="preserve">  ∀j,k∈EIM∧j≠k∧j&gt;0</m:t>
          </m:r>
        </m:oMath>
      </m:oMathPara>
    </w:p>
    <w:p w14:paraId="49BE5B9E" w14:textId="77777777" w:rsidR="002815A0" w:rsidRDefault="002815A0" w:rsidP="00877DDB">
      <w:pPr>
        <w:pStyle w:val="BPM"/>
      </w:pPr>
      <w:r>
        <w:t>For efficiency, there should not be both an import and an export base Energy Transfer schedule on a given intertie; at least one of them ought to be zero.</w:t>
      </w:r>
    </w:p>
    <w:p w14:paraId="26CDA9B8" w14:textId="77777777" w:rsidR="002815A0" w:rsidRDefault="002815A0" w:rsidP="00877DDB">
      <w:pPr>
        <w:pStyle w:val="BPM"/>
      </w:pPr>
      <w:r>
        <w:t>The base EIM Transfer for each EIM BAA is the net of all base Energy Transfer schedules:</w:t>
      </w:r>
    </w:p>
    <w:p w14:paraId="3AF4D235" w14:textId="77777777" w:rsidR="002815A0" w:rsidRPr="00726F7E"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k∈EIM</m:t>
                    </m:r>
                  </m:e>
                </m:mr>
                <m:mr>
                  <m:e>
                    <m:r>
                      <w:rPr>
                        <w:rFonts w:ascii="Cambria Math" w:hAnsi="Cambria Math"/>
                      </w:rPr>
                      <m:t>k≠j</m:t>
                    </m:r>
                  </m:e>
                </m:mr>
              </m:m>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ET</m:t>
                              </m:r>
                            </m:e>
                          </m:acc>
                        </m:e>
                        <m:sub>
                          <m:r>
                            <w:rPr>
                              <w:rFonts w:ascii="Cambria Math" w:hAnsi="Cambria Math"/>
                            </w:rPr>
                            <m:t>j,k,l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IT</m:t>
                              </m:r>
                            </m:e>
                          </m:acc>
                        </m:e>
                        <m:sub>
                          <m:r>
                            <w:rPr>
                              <w:rFonts w:ascii="Cambria Math" w:hAnsi="Cambria Math"/>
                            </w:rPr>
                            <m:t>j,k,l</m:t>
                          </m:r>
                        </m:sub>
                      </m:sSub>
                    </m:e>
                  </m:d>
                </m:e>
              </m:nary>
            </m:e>
          </m:nary>
          <m:r>
            <w:rPr>
              <w:rFonts w:ascii="Cambria Math" w:hAnsi="Cambria Math"/>
            </w:rPr>
            <m:t xml:space="preserve">  ∀j∈EIM∧j&gt;0</m:t>
          </m:r>
        </m:oMath>
      </m:oMathPara>
    </w:p>
    <w:p w14:paraId="5D311757" w14:textId="77777777" w:rsidR="002815A0" w:rsidRDefault="002815A0" w:rsidP="00877DDB">
      <w:pPr>
        <w:pStyle w:val="BPM"/>
      </w:pPr>
      <w:r>
        <w:t>The base EIM Transfer for the CISO is simply the negative sum of the base EIM Transfers of all EIM BAAs:</w:t>
      </w:r>
      <w:r w:rsidRPr="001E6D71">
        <w:rPr>
          <w:vertAlign w:val="superscript"/>
        </w:rPr>
        <w:t>1</w:t>
      </w:r>
    </w:p>
    <w:p w14:paraId="3F594783" w14:textId="77777777" w:rsidR="002815A0" w:rsidRPr="00726F7E"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j∈EIM</m:t>
                    </m:r>
                  </m:e>
                </m:mr>
                <m:mr>
                  <m:e>
                    <m:r>
                      <w:rPr>
                        <w:rFonts w:ascii="Cambria Math" w:hAnsi="Cambria Math"/>
                      </w:rPr>
                      <m:t>j&gt;0</m:t>
                    </m:r>
                  </m:e>
                </m:mr>
              </m:m>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e>
          </m:nary>
        </m:oMath>
      </m:oMathPara>
    </w:p>
    <w:p w14:paraId="5F193D70" w14:textId="77777777" w:rsidR="002815A0" w:rsidRDefault="002815A0" w:rsidP="00877DDB">
      <w:pPr>
        <w:pStyle w:val="BPM"/>
      </w:pPr>
      <w:r>
        <w:t>The base NSI</w:t>
      </w:r>
      <w:r w:rsidRPr="00726F7E">
        <w:t xml:space="preserve"> </w:t>
      </w:r>
      <w:r>
        <w:t>for each EIM BAA is the net of the EIM Transfer and the submitted base intertie schedules with non-EIM BAAs:</w:t>
      </w:r>
    </w:p>
    <w:p w14:paraId="6656CB26"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k∉EIM</m:t>
              </m:r>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j,k,l</m:t>
                          </m:r>
                        </m:sub>
                      </m:sSub>
                    </m:e>
                  </m:d>
                </m:e>
              </m:nary>
            </m:e>
          </m:nary>
          <m:r>
            <w:rPr>
              <w:rFonts w:ascii="Cambria Math" w:hAnsi="Cambria Math"/>
            </w:rPr>
            <m:t xml:space="preserve">  ∀j∈EIM∧j&gt;0</m:t>
          </m:r>
        </m:oMath>
      </m:oMathPara>
    </w:p>
    <w:p w14:paraId="2ABC6C5D" w14:textId="77777777" w:rsidR="002815A0" w:rsidRDefault="002815A0" w:rsidP="00877DDB">
      <w:pPr>
        <w:pStyle w:val="BPM"/>
      </w:pPr>
      <w:r>
        <w:t>The base demand in each EIM BAA is derived to achieve power balance with the submitted base generation schedules and the base NSI:</w:t>
      </w:r>
    </w:p>
    <w:p w14:paraId="1995F36B"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r>
            <w:rPr>
              <w:rFonts w:ascii="Cambria Math" w:hAnsi="Cambria Math"/>
            </w:rPr>
            <m:t xml:space="preserve">  ∀j∈EIM∧j&gt;0</m:t>
          </m:r>
        </m:oMath>
      </m:oMathPara>
    </w:p>
    <w:p w14:paraId="28A81C3A" w14:textId="77777777" w:rsidR="002815A0" w:rsidRDefault="002815A0" w:rsidP="00877DDB">
      <w:pPr>
        <w:pStyle w:val="BPM"/>
      </w:pPr>
      <w:r>
        <w:t>The base load in each EIM BAA is obtained initially by reducing the base demand with an assumed initial transmission loss and then distributing it to the load nodes in the BAA using Load Distribution Factors (LDFs); the base load is then adjusted to absorb the loss error by an AC Power Flow (ACPF) using distributed load slack and Area Interchange Control (AIC) to maintain the base NSI:</w:t>
      </w:r>
    </w:p>
    <w:p w14:paraId="544F9411"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Loss</m:t>
                  </m:r>
                </m:e>
              </m:acc>
            </m:e>
            <m:sub>
              <m:r>
                <w:rPr>
                  <w:rFonts w:ascii="Cambria Math" w:hAnsi="Cambria Math"/>
                </w:rPr>
                <m:t>j</m:t>
              </m:r>
            </m:sub>
          </m:sSub>
          <m:r>
            <w:rPr>
              <w:rFonts w:ascii="Cambria Math" w:hAnsi="Cambria Math"/>
            </w:rPr>
            <m:t xml:space="preserve">  ∀j∈EIM∧j&gt;0</m:t>
          </m:r>
        </m:oMath>
      </m:oMathPara>
    </w:p>
    <w:p w14:paraId="0BF03675" w14:textId="77777777" w:rsidR="002815A0" w:rsidRDefault="002815A0" w:rsidP="00877DDB">
      <w:pPr>
        <w:pStyle w:val="BPM"/>
      </w:pPr>
      <w:r>
        <w:t>The base generation and load for the CISO are initialized at the RUC schedules; the CISO base load is also adjusted in the ACPF to account for generation and transmission outages occurred after RUC, and to absorb loss error as the CISO base NSI is maintained.</w:t>
      </w:r>
    </w:p>
    <w:p w14:paraId="1965D7A9" w14:textId="77777777" w:rsidR="002815A0" w:rsidRDefault="002815A0" w:rsidP="00877DDB">
      <w:pPr>
        <w:pStyle w:val="BPM"/>
      </w:pPr>
      <w:r>
        <w:t>The base load for EIM BAAs is significant because it is used as a reference for imbalance energy settlement; however, the base load for the CISO is not important since for the CISO the reference for imbalance energy settlement is the day-ahead schedules from the Integrated Forward Market (IFM); nevertheless, it is used in the ACPF to balance the CISO, and the FNM overall, for calculating the power flows on EIM BAA transmission branches to identify any transmission limit violations for the feasibility test.</w:t>
      </w:r>
    </w:p>
    <w:p w14:paraId="730F27DD" w14:textId="77777777" w:rsidR="002815A0" w:rsidRDefault="002815A0" w:rsidP="00877DDB">
      <w:pPr>
        <w:pStyle w:val="BPM"/>
      </w:pPr>
      <w:r>
        <w:t>For the same reason, base schedules are also calculated for non-EIM BAAs to model unscheduled loop flow through the EIM Area. The approach for the non-EIM BAA base schedules is somewhat different because they are not submitted; instead, the demand forecast and the tagged or forecasted interchange schedules with other non-EIM BAAs are used to supplement the information available for the EIM BAAs and the CISO. Specifically, the base NSI for non-EIM BAAs is derived as follows:</w:t>
      </w:r>
    </w:p>
    <w:p w14:paraId="27792F57"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k∉EIM</m:t>
                    </m:r>
                  </m:e>
                </m:mr>
                <m:mr>
                  <m:e>
                    <m:r>
                      <w:rPr>
                        <w:rFonts w:ascii="Cambria Math" w:hAnsi="Cambria Math"/>
                      </w:rPr>
                      <m:t>k≠j</m:t>
                    </m:r>
                  </m:e>
                </m:mr>
              </m:m>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j,k,l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j,k,l</m:t>
                          </m:r>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k∈EIM</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k,j,l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k,j,l</m:t>
                      </m:r>
                    </m:sub>
                  </m:sSub>
                </m:e>
              </m:d>
            </m:e>
          </m:nary>
          <m:r>
            <w:rPr>
              <w:rFonts w:ascii="Cambria Math" w:hAnsi="Cambria Math"/>
            </w:rPr>
            <m:t xml:space="preserve">  ∀j∉EIM</m:t>
          </m:r>
        </m:oMath>
      </m:oMathPara>
    </w:p>
    <w:p w14:paraId="6F19DF5D" w14:textId="77777777" w:rsidR="002815A0" w:rsidRDefault="002815A0" w:rsidP="00877DDB">
      <w:pPr>
        <w:pStyle w:val="BPM"/>
      </w:pPr>
      <w:r>
        <w:t>The base generation in each non-EIM BAA is derived as the sum of the demand forecast</w:t>
      </w:r>
      <w:r w:rsidRPr="006828A6">
        <w:t xml:space="preserve"> </w:t>
      </w:r>
      <w:r>
        <w:t>and the base NSI, and it is distributed to the generating resources in the BAA using Generation Distribution Factors (GDFs), renormalized for generation outages:</w:t>
      </w:r>
    </w:p>
    <w:p w14:paraId="4E9AECEB" w14:textId="77777777" w:rsidR="002815A0" w:rsidRDefault="007818F5">
      <w:pPr>
        <w:pStyle w:val="Equation"/>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r>
            <w:rPr>
              <w:rFonts w:ascii="Cambria Math" w:hAnsi="Cambria Math"/>
            </w:rPr>
            <m:t xml:space="preserve">  ∀j∉EIM</m:t>
          </m:r>
        </m:oMath>
      </m:oMathPara>
    </w:p>
    <w:p w14:paraId="287FD036" w14:textId="77777777" w:rsidR="002815A0" w:rsidRDefault="002815A0" w:rsidP="00877DDB">
      <w:pPr>
        <w:pStyle w:val="BPM"/>
      </w:pPr>
      <w:r>
        <w:t>The base load in each non-EIM BAA is calculated similarly to the base load in EIM BAAs.</w:t>
      </w:r>
    </w:p>
    <w:p w14:paraId="4A635D1E" w14:textId="77777777" w:rsidR="002815A0" w:rsidRDefault="002815A0" w:rsidP="00877DDB">
      <w:pPr>
        <w:pStyle w:val="BPM"/>
      </w:pPr>
      <w:r>
        <w:t>The base NSI for the CISO is simply the negative sum of the base NSIs of all BAAs in the FNM:</w:t>
      </w:r>
    </w:p>
    <w:p w14:paraId="60F815E6" w14:textId="77777777" w:rsidR="002815A0" w:rsidRDefault="007818F5">
      <w:pPr>
        <w:pStyle w:val="Equatio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j&gt;0</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e>
          </m:nary>
        </m:oMath>
      </m:oMathPara>
    </w:p>
    <w:p w14:paraId="286CF5C4" w14:textId="77777777" w:rsidR="002815A0" w:rsidRDefault="002815A0" w:rsidP="00F60F2C">
      <w:pPr>
        <w:pStyle w:val="Heading6"/>
      </w:pPr>
      <w:r>
        <w:t>Optimal NSI and EIM Transfers</w:t>
      </w:r>
    </w:p>
    <w:p w14:paraId="771D388A" w14:textId="77777777" w:rsidR="002815A0" w:rsidRDefault="002815A0" w:rsidP="00877DDB">
      <w:pPr>
        <w:pStyle w:val="BPM"/>
      </w:pPr>
      <w:r>
        <w:t>The optimal NSI for each BAA in the EIM Area, as calculated by RTUC and RTD, is the result of the optimal dispatch of resources within the BAA:</w:t>
      </w:r>
    </w:p>
    <w:p w14:paraId="370F0C41" w14:textId="77777777" w:rsidR="002815A0" w:rsidRPr="00A56EF7" w:rsidRDefault="007818F5">
      <w:pPr>
        <w:pStyle w:val="Equation"/>
      </w:pPr>
      <m:oMathPara>
        <m:oMathParaPr>
          <m:jc m:val="center"/>
        </m:oMathParaPr>
        <m:oMath>
          <m:sSub>
            <m:sSubPr>
              <m:ctrlPr>
                <w:rPr>
                  <w:rFonts w:ascii="Cambria Math" w:hAnsi="Cambria Math"/>
                  <w:i/>
                </w:rPr>
              </m:ctrlPr>
            </m:sSubPr>
            <m:e>
              <m:r>
                <w:rPr>
                  <w:rFonts w:ascii="Cambria Math" w:hAnsi="Cambria Math"/>
                </w:rPr>
                <m:t>NSI</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d>
                <m:dPr>
                  <m:ctrlPr>
                    <w:rPr>
                      <w:rFonts w:ascii="Cambria Math" w:hAnsi="Cambria Math" w:cs="Calibri"/>
                    </w:rPr>
                  </m:ctrlPr>
                </m:dPr>
                <m:e>
                  <m:sSub>
                    <m:sSubPr>
                      <m:ctrlPr>
                        <w:rPr>
                          <w:rFonts w:ascii="Cambria Math" w:hAnsi="Cambria Math" w:cs="Calibri"/>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cs="Calibri"/>
                        </w:rPr>
                      </m:ctrlPr>
                    </m:sSubPr>
                    <m:e>
                      <m:r>
                        <w:rPr>
                          <w:rFonts w:ascii="Cambria Math" w:hAnsi="Cambria Math"/>
                        </w:rPr>
                        <m:t>L</m:t>
                      </m:r>
                    </m:e>
                    <m:sub>
                      <m:r>
                        <w:rPr>
                          <w:rFonts w:ascii="Cambria Math" w:hAnsi="Cambria Math"/>
                        </w:rPr>
                        <m:t>i</m:t>
                      </m:r>
                    </m:sub>
                  </m:sSub>
                </m:e>
              </m:d>
            </m:e>
          </m:nary>
          <m:r>
            <m:rPr>
              <m:sty m:val="p"/>
            </m:rPr>
            <w:rPr>
              <w:rFonts w:ascii="Cambria Math" w:hAnsi="Cambria Math"/>
            </w:rPr>
            <m:t>-</m:t>
          </m:r>
          <m:sSub>
            <m:sSubPr>
              <m:ctrlPr>
                <w:rPr>
                  <w:rFonts w:ascii="Cambria Math" w:hAnsi="Cambria Math"/>
                  <w:i/>
                </w:rPr>
              </m:ctrlPr>
            </m:sSubPr>
            <m:e>
              <m:r>
                <w:rPr>
                  <w:rFonts w:ascii="Cambria Math" w:hAnsi="Cambria Math"/>
                </w:rPr>
                <m:t>Loss</m:t>
              </m:r>
            </m:e>
            <m:sub>
              <m:r>
                <w:rPr>
                  <w:rFonts w:ascii="Cambria Math" w:hAnsi="Cambria Math"/>
                </w:rPr>
                <m:t>j</m:t>
              </m:r>
            </m:sub>
          </m:sSub>
          <m:r>
            <w:rPr>
              <w:rFonts w:ascii="Cambria Math" w:hAnsi="Cambria Math"/>
            </w:rPr>
            <m:t xml:space="preserve">  ∀j∈EIM∧j&gt;0</m:t>
          </m:r>
        </m:oMath>
      </m:oMathPara>
    </w:p>
    <w:p w14:paraId="5755F8D9" w14:textId="77777777" w:rsidR="002815A0" w:rsidRPr="00A56EF7" w:rsidRDefault="002815A0" w:rsidP="00877DDB">
      <w:pPr>
        <w:pStyle w:val="BPM"/>
      </w:pPr>
      <w:r>
        <w:t>Linearizing from the previous ACPF solution:</w:t>
      </w:r>
    </w:p>
    <w:p w14:paraId="18387181" w14:textId="77777777" w:rsidR="002815A0" w:rsidRPr="00A56EF7" w:rsidRDefault="007818F5">
      <w:pPr>
        <w:pStyle w:val="Equation"/>
      </w:pPr>
      <m:oMathPara>
        <m:oMathParaPr>
          <m:jc m:val="center"/>
        </m:oMathParaPr>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NSI</m:t>
                        </m:r>
                      </m:e>
                      <m:sub>
                        <m:r>
                          <w:rPr>
                            <w:rFonts w:ascii="Cambria Math" w:hAnsi="Cambria Math"/>
                          </w:rPr>
                          <m:t>j</m:t>
                        </m:r>
                      </m:sub>
                    </m:sSub>
                    <m:r>
                      <m:rPr>
                        <m:sty m:val="p"/>
                      </m:rPr>
                      <w:rPr>
                        <w:rFonts w:ascii="Cambria Math" w:hAnsi="Cambria Math"/>
                      </w:rPr>
                      <m:t>=</m:t>
                    </m:r>
                    <m:sSub>
                      <m:sSubPr>
                        <m:ctrlPr>
                          <w:rPr>
                            <w:rFonts w:ascii="Cambria Math" w:hAnsi="Cambria Math" w:cs="Calibri"/>
                          </w:rPr>
                        </m:ctrlPr>
                      </m:sSubPr>
                      <m:e>
                        <m:acc>
                          <m:accPr>
                            <m:chr m:val="̃"/>
                            <m:ctrlPr>
                              <w:rPr>
                                <w:rFonts w:ascii="Cambria Math" w:hAnsi="Cambria Math" w:cs="Calibri"/>
                              </w:rPr>
                            </m:ctrlPr>
                          </m:accPr>
                          <m:e>
                            <m:r>
                              <w:rPr>
                                <w:rFonts w:ascii="Cambria Math" w:hAnsi="Cambria Math"/>
                              </w:rPr>
                              <m:t>NSI</m:t>
                            </m:r>
                          </m:e>
                        </m:acc>
                      </m:e>
                      <m:sub>
                        <m:r>
                          <w:rPr>
                            <w:rFonts w:ascii="Cambria Math" w:hAnsi="Cambria Math" w:cs="Calibri"/>
                          </w:rPr>
                          <m:t>j</m:t>
                        </m:r>
                      </m:sub>
                    </m:sSub>
                    <m:r>
                      <m:rPr>
                        <m:sty m:val="p"/>
                      </m:rPr>
                      <w:rPr>
                        <w:rFonts w:ascii="Cambria Math" w:hAnsi="Cambria Math"/>
                      </w:rPr>
                      <m:t>+∆</m:t>
                    </m:r>
                    <m:sSub>
                      <m:sSubPr>
                        <m:ctrlPr>
                          <w:rPr>
                            <w:rFonts w:ascii="Cambria Math" w:hAnsi="Cambria Math"/>
                            <w:i/>
                          </w:rPr>
                        </m:ctrlPr>
                      </m:sSubPr>
                      <m:e>
                        <m:r>
                          <w:rPr>
                            <w:rFonts w:ascii="Cambria Math" w:hAnsi="Cambria Math"/>
                          </w:rPr>
                          <m:t>NSI</m:t>
                        </m:r>
                      </m:e>
                      <m:sub>
                        <m:r>
                          <w:rPr>
                            <w:rFonts w:ascii="Cambria Math" w:hAnsi="Cambria Math"/>
                          </w:rPr>
                          <m:t>j</m:t>
                        </m:r>
                      </m:sub>
                    </m:sSub>
                  </m:e>
                </m:mr>
                <m:mr>
                  <m:e>
                    <m:sSub>
                      <m:sSubPr>
                        <m:ctrlPr>
                          <w:rPr>
                            <w:rFonts w:ascii="Cambria Math" w:hAnsi="Cambria Math" w:cs="Calibri"/>
                          </w:rPr>
                        </m:ctrlPr>
                      </m:sSubPr>
                      <m:e>
                        <m:acc>
                          <m:accPr>
                            <m:chr m:val="̃"/>
                            <m:ctrlPr>
                              <w:rPr>
                                <w:rFonts w:ascii="Cambria Math" w:hAnsi="Cambria Math" w:cs="Calibri"/>
                              </w:rPr>
                            </m:ctrlPr>
                          </m:accPr>
                          <m:e>
                            <m:r>
                              <w:rPr>
                                <w:rFonts w:ascii="Cambria Math" w:hAnsi="Cambria Math"/>
                              </w:rPr>
                              <m:t>NSI</m:t>
                            </m:r>
                          </m:e>
                        </m:acc>
                      </m:e>
                      <m:sub>
                        <m:r>
                          <w:rPr>
                            <w:rFonts w:ascii="Cambria Math" w:hAnsi="Cambria Math" w:cs="Calibri"/>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d>
                          <m:dPr>
                            <m:ctrlPr>
                              <w:rPr>
                                <w:rFonts w:ascii="Cambria Math" w:hAnsi="Cambria Math" w:cs="Calibri"/>
                              </w:rPr>
                            </m:ctrlPr>
                          </m:dPr>
                          <m:e>
                            <m:sSub>
                              <m:sSubPr>
                                <m:ctrlPr>
                                  <w:rPr>
                                    <w:rFonts w:ascii="Cambria Math" w:hAnsi="Cambria Math" w:cs="Calibri"/>
                                  </w:rPr>
                                </m:ctrlPr>
                              </m:sSubPr>
                              <m:e>
                                <m:acc>
                                  <m:accPr>
                                    <m:chr m:val="̃"/>
                                    <m:ctrlPr>
                                      <w:rPr>
                                        <w:rFonts w:ascii="Cambria Math" w:hAnsi="Cambria Math"/>
                                        <w:i/>
                                      </w:rPr>
                                    </m:ctrlPr>
                                  </m:accPr>
                                  <m:e>
                                    <m:r>
                                      <w:rPr>
                                        <w:rFonts w:ascii="Cambria Math" w:hAnsi="Cambria Math"/>
                                      </w:rPr>
                                      <m:t>G</m:t>
                                    </m:r>
                                  </m:e>
                                </m:acc>
                              </m:e>
                              <m:sub>
                                <m:r>
                                  <w:rPr>
                                    <w:rFonts w:ascii="Cambria Math" w:hAnsi="Cambria Math"/>
                                  </w:rPr>
                                  <m:t>i</m:t>
                                </m:r>
                              </m:sub>
                            </m:sSub>
                            <m:r>
                              <m:rPr>
                                <m:sty m:val="p"/>
                              </m:rPr>
                              <w:rPr>
                                <w:rFonts w:ascii="Cambria Math" w:hAnsi="Cambria Math"/>
                              </w:rPr>
                              <m:t>-</m:t>
                            </m:r>
                            <m:sSub>
                              <m:sSubPr>
                                <m:ctrlPr>
                                  <w:rPr>
                                    <w:rFonts w:ascii="Cambria Math" w:hAnsi="Cambria Math" w:cs="Calibri"/>
                                  </w:rPr>
                                </m:ctrlPr>
                              </m:sSubPr>
                              <m:e>
                                <m:acc>
                                  <m:accPr>
                                    <m:chr m:val="̃"/>
                                    <m:ctrlPr>
                                      <w:rPr>
                                        <w:rFonts w:ascii="Cambria Math" w:hAnsi="Cambria Math"/>
                                        <w:i/>
                                      </w:rPr>
                                    </m:ctrlPr>
                                  </m:accPr>
                                  <m:e>
                                    <m:r>
                                      <w:rPr>
                                        <w:rFonts w:ascii="Cambria Math" w:hAnsi="Cambria Math"/>
                                      </w:rPr>
                                      <m:t>L</m:t>
                                    </m:r>
                                  </m:e>
                                </m:acc>
                              </m:e>
                              <m:sub>
                                <m:r>
                                  <w:rPr>
                                    <w:rFonts w:ascii="Cambria Math" w:hAnsi="Cambria Math"/>
                                  </w:rPr>
                                  <m:t>i</m:t>
                                </m:r>
                              </m:sub>
                            </m:sSub>
                          </m:e>
                        </m:d>
                      </m:e>
                    </m:nary>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Loss</m:t>
                            </m:r>
                          </m:e>
                        </m:acc>
                      </m:e>
                      <m:sub>
                        <m:r>
                          <w:rPr>
                            <w:rFonts w:ascii="Cambria Math" w:hAnsi="Cambria Math"/>
                          </w:rPr>
                          <m:t>j</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NSI</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f>
                          <m:fPr>
                            <m:ctrlPr>
                              <w:rPr>
                                <w:rFonts w:ascii="Cambria Math" w:hAnsi="Cambria Math" w:cs="Calibri"/>
                              </w:rPr>
                            </m:ctrlPr>
                          </m:fPr>
                          <m:num>
                            <m:d>
                              <m:dPr>
                                <m:ctrlPr>
                                  <w:rPr>
                                    <w:rFonts w:ascii="Cambria Math" w:hAnsi="Cambria Math" w:cs="Calibri"/>
                                  </w:rPr>
                                </m:ctrlPr>
                              </m:dPr>
                              <m:e>
                                <m:r>
                                  <m:rPr>
                                    <m:sty m:val="p"/>
                                  </m:rPr>
                                  <w:rPr>
                                    <w:rFonts w:ascii="Cambria Math" w:hAnsi="Cambria Math"/>
                                  </w:rPr>
                                  <m:t>∆</m:t>
                                </m:r>
                                <m:sSub>
                                  <m:sSubPr>
                                    <m:ctrlPr>
                                      <w:rPr>
                                        <w:rFonts w:ascii="Cambria Math" w:hAnsi="Cambria Math" w:cs="Calibri"/>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cs="Calibri"/>
                                      </w:rPr>
                                    </m:ctrlPr>
                                  </m:sSubPr>
                                  <m:e>
                                    <m:r>
                                      <w:rPr>
                                        <w:rFonts w:ascii="Cambria Math" w:hAnsi="Cambria Math"/>
                                      </w:rPr>
                                      <m:t>L</m:t>
                                    </m:r>
                                  </m:e>
                                  <m:sub>
                                    <m:r>
                                      <w:rPr>
                                        <w:rFonts w:ascii="Cambria Math" w:hAnsi="Cambria Math"/>
                                      </w:rPr>
                                      <m:t>i</m:t>
                                    </m:r>
                                  </m:sub>
                                </m:sSub>
                              </m:e>
                            </m:d>
                          </m:num>
                          <m:den>
                            <m:sSub>
                              <m:sSubPr>
                                <m:ctrlPr>
                                  <w:rPr>
                                    <w:rFonts w:ascii="Cambria Math" w:hAnsi="Cambria Math" w:cs="Calibri"/>
                                  </w:rPr>
                                </m:ctrlPr>
                              </m:sSubPr>
                              <m:e>
                                <m:r>
                                  <w:rPr>
                                    <w:rFonts w:ascii="Cambria Math" w:hAnsi="Cambria Math"/>
                                  </w:rPr>
                                  <m:t>LPF</m:t>
                                </m:r>
                              </m:e>
                              <m:sub>
                                <m:r>
                                  <w:rPr>
                                    <w:rFonts w:ascii="Cambria Math" w:hAnsi="Cambria Math"/>
                                  </w:rPr>
                                  <m:t>i</m:t>
                                </m:r>
                              </m:sub>
                            </m:sSub>
                          </m:den>
                        </m:f>
                      </m:e>
                    </m:nary>
                  </m:e>
                </m:mr>
              </m:m>
            </m:e>
          </m:d>
          <m:r>
            <w:rPr>
              <w:rFonts w:ascii="Cambria Math" w:hAnsi="Cambria Math"/>
            </w:rPr>
            <m:t xml:space="preserve"> ∀j∈EIM</m:t>
          </m:r>
        </m:oMath>
      </m:oMathPara>
    </w:p>
    <w:p w14:paraId="48671F14" w14:textId="77777777" w:rsidR="002815A0" w:rsidRDefault="002815A0" w:rsidP="00877DDB">
      <w:pPr>
        <w:pStyle w:val="BPM"/>
      </w:pPr>
      <w:r>
        <w:t>Where the optimal changes in generation and load are adjusted for marginal losses. Note that the load is not dispatched unless there is an outage or it is a dispatchable load, e.g., a hydro pump.</w:t>
      </w:r>
    </w:p>
    <w:p w14:paraId="37202B77" w14:textId="77777777" w:rsidR="002815A0" w:rsidRDefault="002815A0" w:rsidP="00877DDB">
      <w:pPr>
        <w:pStyle w:val="BPM"/>
      </w:pPr>
      <w:r>
        <w:t>The optimal EIM Transfer</w:t>
      </w:r>
      <w:r w:rsidRPr="005A13DF">
        <w:t xml:space="preserve"> </w:t>
      </w:r>
      <w:r>
        <w:t>for each EIM BAA is derived from the optimal NSI by subtracting the next export interchange with non-EIM BAAs:</w:t>
      </w:r>
    </w:p>
    <w:p w14:paraId="68304EF7" w14:textId="77777777" w:rsidR="002815A0" w:rsidRPr="00607FAC" w:rsidRDefault="007818F5">
      <w:pPr>
        <w:pStyle w:val="Equation"/>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NSI</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k∉EIM</m:t>
              </m:r>
            </m:sub>
            <m:sup/>
            <m:e>
              <m:nary>
                <m:naryPr>
                  <m:chr m:val="∑"/>
                  <m:limLoc m:val="undOvr"/>
                  <m:supHide m:val="1"/>
                  <m:ctrlPr>
                    <w:rPr>
                      <w:rFonts w:ascii="Cambria Math" w:hAnsi="Cambria Math" w:cs="Calibri"/>
                    </w:rPr>
                  </m:ctrlPr>
                </m:naryPr>
                <m:sub>
                  <m:r>
                    <w:rPr>
                      <w:rFonts w:ascii="Cambria Math" w:hAnsi="Cambria Math" w:cs="Calibri"/>
                    </w:rPr>
                    <m:t>l</m:t>
                  </m:r>
                </m:sub>
                <m:sup/>
                <m:e>
                  <m:d>
                    <m:dPr>
                      <m:ctrlPr>
                        <w:rPr>
                          <w:rFonts w:ascii="Cambria Math" w:hAnsi="Cambria Math" w:cs="Calibri"/>
                        </w:rPr>
                      </m:ctrlPr>
                    </m:dPr>
                    <m:e>
                      <m:sSub>
                        <m:sSubPr>
                          <m:ctrlPr>
                            <w:rPr>
                              <w:rFonts w:ascii="Cambria Math" w:hAnsi="Cambria Math" w:cs="Calibri"/>
                            </w:rPr>
                          </m:ctrlPr>
                        </m:sSubPr>
                        <m:e>
                          <m:r>
                            <w:rPr>
                              <w:rFonts w:ascii="Cambria Math" w:hAnsi="Cambria Math"/>
                            </w:rPr>
                            <m:t>E</m:t>
                          </m:r>
                        </m:e>
                        <m:sub>
                          <m:r>
                            <w:rPr>
                              <w:rFonts w:ascii="Cambria Math" w:hAnsi="Cambria Math"/>
                            </w:rPr>
                            <m:t>j,k,l</m:t>
                          </m:r>
                        </m:sub>
                      </m:sSub>
                      <m:r>
                        <m:rPr>
                          <m:sty m:val="p"/>
                        </m:rPr>
                        <w:rPr>
                          <w:rFonts w:ascii="Cambria Math" w:hAnsi="Cambria Math"/>
                        </w:rPr>
                        <m:t>-</m:t>
                      </m:r>
                      <m:sSub>
                        <m:sSubPr>
                          <m:ctrlPr>
                            <w:rPr>
                              <w:rFonts w:ascii="Cambria Math" w:hAnsi="Cambria Math" w:cs="Calibri"/>
                            </w:rPr>
                          </m:ctrlPr>
                        </m:sSubPr>
                        <m:e>
                          <m:r>
                            <w:rPr>
                              <w:rFonts w:ascii="Cambria Math" w:hAnsi="Cambria Math"/>
                            </w:rPr>
                            <m:t>I</m:t>
                          </m:r>
                        </m:e>
                        <m:sub>
                          <m:r>
                            <w:rPr>
                              <w:rFonts w:ascii="Cambria Math" w:hAnsi="Cambria Math"/>
                            </w:rPr>
                            <m:t>j,k,l</m:t>
                          </m:r>
                        </m:sub>
                      </m:sSub>
                    </m:e>
                  </m:d>
                </m:e>
              </m:nary>
            </m:e>
          </m:nary>
          <m:r>
            <w:rPr>
              <w:rFonts w:ascii="Cambria Math" w:hAnsi="Cambria Math"/>
            </w:rPr>
            <m:t xml:space="preserve">  ∀j∈EIM∧j&gt;0</m:t>
          </m:r>
        </m:oMath>
      </m:oMathPara>
    </w:p>
    <w:p w14:paraId="205258A9" w14:textId="77777777" w:rsidR="002815A0" w:rsidRPr="00A56EF7" w:rsidRDefault="002815A0" w:rsidP="00877DDB">
      <w:pPr>
        <w:pStyle w:val="BPM"/>
      </w:pPr>
      <w:r>
        <w:t>Linearizing from the previous ACPF solution:</w:t>
      </w:r>
    </w:p>
    <w:p w14:paraId="122019B3" w14:textId="77777777" w:rsidR="002815A0" w:rsidRPr="00A56EF7" w:rsidRDefault="007818F5">
      <w:pPr>
        <w:pStyle w:val="Equation"/>
      </w:pPr>
      <m:oMathPara>
        <m:oMathParaPr>
          <m:jc m:val="center"/>
        </m:oMathParaPr>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cs="Calibri"/>
                          </w:rPr>
                        </m:ctrlPr>
                      </m:sSubPr>
                      <m:e>
                        <m:acc>
                          <m:accPr>
                            <m:chr m:val="̃"/>
                            <m:ctrlPr>
                              <w:rPr>
                                <w:rFonts w:ascii="Cambria Math" w:hAnsi="Cambria Math" w:cs="Calibri"/>
                              </w:rPr>
                            </m:ctrlPr>
                          </m:accPr>
                          <m:e>
                            <m:r>
                              <w:rPr>
                                <w:rFonts w:ascii="Cambria Math" w:hAnsi="Cambria Math"/>
                              </w:rPr>
                              <m:t>T</m:t>
                            </m:r>
                          </m:e>
                        </m:acc>
                      </m:e>
                      <m:sub>
                        <m:r>
                          <w:rPr>
                            <w:rFonts w:ascii="Cambria Math" w:hAnsi="Cambria Math" w:cs="Calibri"/>
                          </w:rPr>
                          <m:t>j</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mr>
                <m:mr>
                  <m:e>
                    <m:sSub>
                      <m:sSubPr>
                        <m:ctrlPr>
                          <w:rPr>
                            <w:rFonts w:ascii="Cambria Math" w:hAnsi="Cambria Math" w:cs="Calibri"/>
                          </w:rPr>
                        </m:ctrlPr>
                      </m:sSubPr>
                      <m:e>
                        <m:acc>
                          <m:accPr>
                            <m:chr m:val="̃"/>
                            <m:ctrlPr>
                              <w:rPr>
                                <w:rFonts w:ascii="Cambria Math" w:hAnsi="Cambria Math" w:cs="Calibri"/>
                              </w:rPr>
                            </m:ctrlPr>
                          </m:accPr>
                          <m:e>
                            <m:r>
                              <w:rPr>
                                <w:rFonts w:ascii="Cambria Math" w:hAnsi="Cambria Math"/>
                              </w:rPr>
                              <m:t>T</m:t>
                            </m:r>
                          </m:e>
                        </m:acc>
                      </m:e>
                      <m:sub>
                        <m:r>
                          <w:rPr>
                            <w:rFonts w:ascii="Cambria Math" w:hAnsi="Cambria Math" w:cs="Calibri"/>
                          </w:rPr>
                          <m:t>j</m:t>
                        </m:r>
                      </m:sub>
                    </m:sSub>
                    <m:r>
                      <m:rPr>
                        <m:sty m:val="p"/>
                      </m:rPr>
                      <w:rPr>
                        <w:rFonts w:ascii="Cambria Math" w:hAnsi="Cambria Math"/>
                      </w:rPr>
                      <m:t>=</m:t>
                    </m:r>
                    <m:sSub>
                      <m:sSubPr>
                        <m:ctrlPr>
                          <w:rPr>
                            <w:rFonts w:ascii="Cambria Math" w:hAnsi="Cambria Math" w:cs="Calibri"/>
                          </w:rPr>
                        </m:ctrlPr>
                      </m:sSubPr>
                      <m:e>
                        <m:acc>
                          <m:accPr>
                            <m:chr m:val="̃"/>
                            <m:ctrlPr>
                              <w:rPr>
                                <w:rFonts w:ascii="Cambria Math" w:hAnsi="Cambria Math" w:cs="Calibri"/>
                              </w:rPr>
                            </m:ctrlPr>
                          </m:accPr>
                          <m:e>
                            <m:r>
                              <w:rPr>
                                <w:rFonts w:ascii="Cambria Math" w:hAnsi="Cambria Math"/>
                              </w:rPr>
                              <m:t>NSI</m:t>
                            </m:r>
                          </m:e>
                        </m:acc>
                      </m:e>
                      <m:sub>
                        <m:r>
                          <w:rPr>
                            <w:rFonts w:ascii="Cambria Math" w:hAnsi="Cambria Math" w:cs="Calibri"/>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k∉EIM</m:t>
                        </m:r>
                      </m:sub>
                      <m:sup/>
                      <m:e>
                        <m:nary>
                          <m:naryPr>
                            <m:chr m:val="∑"/>
                            <m:limLoc m:val="undOvr"/>
                            <m:supHide m:val="1"/>
                            <m:ctrlPr>
                              <w:rPr>
                                <w:rFonts w:ascii="Cambria Math" w:hAnsi="Cambria Math" w:cs="Calibri"/>
                              </w:rPr>
                            </m:ctrlPr>
                          </m:naryPr>
                          <m:sub>
                            <m:r>
                              <w:rPr>
                                <w:rFonts w:ascii="Cambria Math" w:hAnsi="Cambria Math" w:cs="Calibri"/>
                              </w:rPr>
                              <m:t>l</m:t>
                            </m:r>
                          </m:sub>
                          <m:sup/>
                          <m:e>
                            <m:d>
                              <m:dPr>
                                <m:ctrlPr>
                                  <w:rPr>
                                    <w:rFonts w:ascii="Cambria Math" w:hAnsi="Cambria Math" w:cs="Calibri"/>
                                  </w:rPr>
                                </m:ctrlPr>
                              </m:dPr>
                              <m:e>
                                <m:sSub>
                                  <m:sSubPr>
                                    <m:ctrlPr>
                                      <w:rPr>
                                        <w:rFonts w:ascii="Cambria Math" w:hAnsi="Cambria Math" w:cs="Calibri"/>
                                      </w:rPr>
                                    </m:ctrlPr>
                                  </m:sSubPr>
                                  <m:e>
                                    <m:acc>
                                      <m:accPr>
                                        <m:chr m:val="̃"/>
                                        <m:ctrlPr>
                                          <w:rPr>
                                            <w:rFonts w:ascii="Cambria Math" w:hAnsi="Cambria Math"/>
                                            <w:i/>
                                          </w:rPr>
                                        </m:ctrlPr>
                                      </m:accPr>
                                      <m:e>
                                        <m:r>
                                          <w:rPr>
                                            <w:rFonts w:ascii="Cambria Math" w:hAnsi="Cambria Math"/>
                                          </w:rPr>
                                          <m:t>E</m:t>
                                        </m:r>
                                      </m:e>
                                    </m:acc>
                                  </m:e>
                                  <m:sub>
                                    <m:r>
                                      <w:rPr>
                                        <w:rFonts w:ascii="Cambria Math" w:hAnsi="Cambria Math"/>
                                      </w:rPr>
                                      <m:t>j,k,l</m:t>
                                    </m:r>
                                  </m:sub>
                                </m:sSub>
                                <m:r>
                                  <m:rPr>
                                    <m:sty m:val="p"/>
                                  </m:rPr>
                                  <w:rPr>
                                    <w:rFonts w:ascii="Cambria Math" w:hAnsi="Cambria Math"/>
                                  </w:rPr>
                                  <m:t>-</m:t>
                                </m:r>
                                <m:sSub>
                                  <m:sSubPr>
                                    <m:ctrlPr>
                                      <w:rPr>
                                        <w:rFonts w:ascii="Cambria Math" w:hAnsi="Cambria Math" w:cs="Calibri"/>
                                      </w:rPr>
                                    </m:ctrlPr>
                                  </m:sSubPr>
                                  <m:e>
                                    <m:acc>
                                      <m:accPr>
                                        <m:chr m:val="̃"/>
                                        <m:ctrlPr>
                                          <w:rPr>
                                            <w:rFonts w:ascii="Cambria Math" w:hAnsi="Cambria Math"/>
                                            <w:i/>
                                          </w:rPr>
                                        </m:ctrlPr>
                                      </m:accPr>
                                      <m:e>
                                        <m:r>
                                          <w:rPr>
                                            <w:rFonts w:ascii="Cambria Math" w:hAnsi="Cambria Math"/>
                                          </w:rPr>
                                          <m:t>I</m:t>
                                        </m:r>
                                      </m:e>
                                    </m:acc>
                                  </m:e>
                                  <m:sub>
                                    <m:r>
                                      <w:rPr>
                                        <w:rFonts w:ascii="Cambria Math" w:hAnsi="Cambria Math"/>
                                      </w:rPr>
                                      <m:t>j,k,l</m:t>
                                    </m:r>
                                  </m:sub>
                                </m:sSub>
                              </m:e>
                            </m:d>
                          </m:e>
                        </m:nary>
                      </m:e>
                    </m:nary>
                  </m:e>
                </m:mr>
                <m:mr>
                  <m:e>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f>
                          <m:fPr>
                            <m:ctrlPr>
                              <w:rPr>
                                <w:rFonts w:ascii="Cambria Math" w:hAnsi="Cambria Math" w:cs="Calibri"/>
                              </w:rPr>
                            </m:ctrlPr>
                          </m:fPr>
                          <m:num>
                            <m:d>
                              <m:dPr>
                                <m:ctrlPr>
                                  <w:rPr>
                                    <w:rFonts w:ascii="Cambria Math" w:hAnsi="Cambria Math" w:cs="Calibri"/>
                                  </w:rPr>
                                </m:ctrlPr>
                              </m:dPr>
                              <m:e>
                                <m:r>
                                  <m:rPr>
                                    <m:sty m:val="p"/>
                                  </m:rPr>
                                  <w:rPr>
                                    <w:rFonts w:ascii="Cambria Math" w:hAnsi="Cambria Math"/>
                                  </w:rPr>
                                  <m:t>∆</m:t>
                                </m:r>
                                <m:sSub>
                                  <m:sSubPr>
                                    <m:ctrlPr>
                                      <w:rPr>
                                        <w:rFonts w:ascii="Cambria Math" w:hAnsi="Cambria Math" w:cs="Calibri"/>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cs="Calibri"/>
                                      </w:rPr>
                                    </m:ctrlPr>
                                  </m:sSubPr>
                                  <m:e>
                                    <m:r>
                                      <w:rPr>
                                        <w:rFonts w:ascii="Cambria Math" w:hAnsi="Cambria Math"/>
                                      </w:rPr>
                                      <m:t>L</m:t>
                                    </m:r>
                                  </m:e>
                                  <m:sub>
                                    <m:r>
                                      <w:rPr>
                                        <w:rFonts w:ascii="Cambria Math" w:hAnsi="Cambria Math"/>
                                      </w:rPr>
                                      <m:t>i</m:t>
                                    </m:r>
                                  </m:sub>
                                </m:sSub>
                              </m:e>
                            </m:d>
                          </m:num>
                          <m:den>
                            <m:sSub>
                              <m:sSubPr>
                                <m:ctrlPr>
                                  <w:rPr>
                                    <w:rFonts w:ascii="Cambria Math" w:hAnsi="Cambria Math" w:cs="Calibri"/>
                                  </w:rPr>
                                </m:ctrlPr>
                              </m:sSubPr>
                              <m:e>
                                <m:r>
                                  <w:rPr>
                                    <w:rFonts w:ascii="Cambria Math" w:hAnsi="Cambria Math"/>
                                  </w:rPr>
                                  <m:t>LPF</m:t>
                                </m:r>
                              </m:e>
                              <m:sub>
                                <m:r>
                                  <w:rPr>
                                    <w:rFonts w:ascii="Cambria Math" w:hAnsi="Cambria Math"/>
                                  </w:rPr>
                                  <m:t>i</m:t>
                                </m:r>
                              </m:sub>
                            </m:sSub>
                          </m:den>
                        </m:f>
                      </m:e>
                    </m:nary>
                    <m:r>
                      <m:rPr>
                        <m:sty m:val="p"/>
                      </m:rP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k∉EIM</m:t>
                        </m:r>
                      </m:sub>
                      <m:sup/>
                      <m:e>
                        <m:nary>
                          <m:naryPr>
                            <m:chr m:val="∑"/>
                            <m:limLoc m:val="undOvr"/>
                            <m:supHide m:val="1"/>
                            <m:ctrlPr>
                              <w:rPr>
                                <w:rFonts w:ascii="Cambria Math" w:hAnsi="Cambria Math" w:cs="Calibri"/>
                              </w:rPr>
                            </m:ctrlPr>
                          </m:naryPr>
                          <m:sub>
                            <m:r>
                              <w:rPr>
                                <w:rFonts w:ascii="Cambria Math" w:hAnsi="Cambria Math" w:cs="Calibri"/>
                              </w:rPr>
                              <m:t>l</m:t>
                            </m:r>
                          </m:sub>
                          <m:sup/>
                          <m:e>
                            <m:f>
                              <m:fPr>
                                <m:ctrlPr>
                                  <w:rPr>
                                    <w:rFonts w:ascii="Cambria Math" w:hAnsi="Cambria Math" w:cs="Calibri"/>
                                  </w:rPr>
                                </m:ctrlPr>
                              </m:fPr>
                              <m:num>
                                <m:d>
                                  <m:dPr>
                                    <m:ctrlPr>
                                      <w:rPr>
                                        <w:rFonts w:ascii="Cambria Math" w:hAnsi="Cambria Math" w:cs="Calibri"/>
                                      </w:rPr>
                                    </m:ctrlPr>
                                  </m:dPr>
                                  <m:e>
                                    <m:r>
                                      <m:rPr>
                                        <m:sty m:val="p"/>
                                      </m:rPr>
                                      <w:rPr>
                                        <w:rFonts w:ascii="Cambria Math" w:hAnsi="Cambria Math"/>
                                      </w:rPr>
                                      <m:t>∆</m:t>
                                    </m:r>
                                    <m:sSub>
                                      <m:sSubPr>
                                        <m:ctrlPr>
                                          <w:rPr>
                                            <w:rFonts w:ascii="Cambria Math" w:hAnsi="Cambria Math" w:cs="Calibri"/>
                                          </w:rPr>
                                        </m:ctrlPr>
                                      </m:sSubPr>
                                      <m:e>
                                        <m:r>
                                          <w:rPr>
                                            <w:rFonts w:ascii="Cambria Math" w:hAnsi="Cambria Math"/>
                                          </w:rPr>
                                          <m:t>E</m:t>
                                        </m:r>
                                      </m:e>
                                      <m:sub>
                                        <m:r>
                                          <w:rPr>
                                            <w:rFonts w:ascii="Cambria Math" w:hAnsi="Cambria Math"/>
                                          </w:rPr>
                                          <m:t>j,k,l</m:t>
                                        </m:r>
                                      </m:sub>
                                    </m:sSub>
                                    <m:r>
                                      <m:rPr>
                                        <m:sty m:val="p"/>
                                      </m:rPr>
                                      <w:rPr>
                                        <w:rFonts w:ascii="Cambria Math" w:hAnsi="Cambria Math"/>
                                      </w:rPr>
                                      <m:t>-∆</m:t>
                                    </m:r>
                                    <m:sSub>
                                      <m:sSubPr>
                                        <m:ctrlPr>
                                          <w:rPr>
                                            <w:rFonts w:ascii="Cambria Math" w:hAnsi="Cambria Math" w:cs="Calibri"/>
                                          </w:rPr>
                                        </m:ctrlPr>
                                      </m:sSubPr>
                                      <m:e>
                                        <m:r>
                                          <w:rPr>
                                            <w:rFonts w:ascii="Cambria Math" w:hAnsi="Cambria Math"/>
                                          </w:rPr>
                                          <m:t>I</m:t>
                                        </m:r>
                                      </m:e>
                                      <m:sub>
                                        <m:r>
                                          <w:rPr>
                                            <w:rFonts w:ascii="Cambria Math" w:hAnsi="Cambria Math"/>
                                          </w:rPr>
                                          <m:t>j,k,l</m:t>
                                        </m:r>
                                      </m:sub>
                                    </m:sSub>
                                  </m:e>
                                </m:d>
                              </m:num>
                              <m:den>
                                <m:sSub>
                                  <m:sSubPr>
                                    <m:ctrlPr>
                                      <w:rPr>
                                        <w:rFonts w:ascii="Cambria Math" w:hAnsi="Cambria Math" w:cs="Calibri"/>
                                      </w:rPr>
                                    </m:ctrlPr>
                                  </m:sSubPr>
                                  <m:e>
                                    <m:r>
                                      <w:rPr>
                                        <w:rFonts w:ascii="Cambria Math" w:hAnsi="Cambria Math"/>
                                      </w:rPr>
                                      <m:t>LPF</m:t>
                                    </m:r>
                                  </m:e>
                                  <m:sub>
                                    <m:r>
                                      <w:rPr>
                                        <w:rFonts w:ascii="Cambria Math" w:hAnsi="Cambria Math"/>
                                      </w:rPr>
                                      <m:t>j,k,l</m:t>
                                    </m:r>
                                  </m:sub>
                                </m:sSub>
                              </m:den>
                            </m:f>
                          </m:e>
                        </m:nary>
                      </m:e>
                    </m:nary>
                  </m:e>
                </m:mr>
              </m:m>
            </m:e>
          </m:d>
          <m:r>
            <w:rPr>
              <w:rFonts w:ascii="Cambria Math" w:hAnsi="Cambria Math"/>
            </w:rPr>
            <m:t xml:space="preserve"> ∀j∈EIM∧j&gt;0</m:t>
          </m:r>
        </m:oMath>
      </m:oMathPara>
    </w:p>
    <w:p w14:paraId="74869462" w14:textId="77777777" w:rsidR="002815A0" w:rsidRDefault="002815A0" w:rsidP="00877DDB">
      <w:pPr>
        <w:pStyle w:val="BPM"/>
      </w:pPr>
      <w:r>
        <w:t>Note that marginal loss contributions from network branches external to the EIM Area are ignored in the Loss Penalty Factors; consequently, the effect of intertie schedules between non-EIM BAAs and BAAs in the EIM Area on the EIM Area losses is the same as if the energy was generated or consumed at the EIM Area boundary.</w:t>
      </w:r>
    </w:p>
    <w:p w14:paraId="69F761D2" w14:textId="77777777" w:rsidR="002815A0" w:rsidRDefault="002815A0" w:rsidP="00877DDB">
      <w:pPr>
        <w:pStyle w:val="BPM"/>
      </w:pPr>
      <w:r>
        <w:t>The optimal EIM Transfer for the CISO is simply the negative sum of the optimal EIM Transfers of all EIM BAAs:</w:t>
      </w:r>
    </w:p>
    <w:p w14:paraId="5270969F" w14:textId="77777777" w:rsidR="002815A0" w:rsidRPr="00726F7E" w:rsidRDefault="007818F5">
      <w:pPr>
        <w:pStyle w:val="Equation"/>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j∈EIM</m:t>
                    </m:r>
                  </m:e>
                </m:mr>
                <m:mr>
                  <m:e>
                    <m:r>
                      <w:rPr>
                        <w:rFonts w:ascii="Cambria Math" w:hAnsi="Cambria Math"/>
                      </w:rPr>
                      <m:t>j&gt;0</m:t>
                    </m:r>
                  </m:e>
                </m:mr>
              </m:m>
            </m:sub>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m:oMathPara>
    </w:p>
    <w:p w14:paraId="444F29BA" w14:textId="77777777" w:rsidR="002815A0" w:rsidRDefault="002815A0" w:rsidP="00877DDB">
      <w:pPr>
        <w:pStyle w:val="BPM"/>
      </w:pPr>
      <w:r>
        <w:t>The aggregate interchange dispatch</w:t>
      </w:r>
      <w:r w:rsidRPr="00607FAC">
        <w:t xml:space="preserve"> </w:t>
      </w:r>
      <w:r>
        <w:t>at non-EIM BAA Scheduling Points/Hubs determines the NSI deviation (from the base NSI) of non-EIM BAAs and it is distributed to the generating resources</w:t>
      </w:r>
      <w:r w:rsidRPr="00C81B79">
        <w:t xml:space="preserve"> </w:t>
      </w:r>
      <w:r>
        <w:t>of the relevant Generation Aggregation Point (GAP) using the applicable GDFs:</w:t>
      </w:r>
    </w:p>
    <w:p w14:paraId="2C00A7DA" w14:textId="77777777" w:rsidR="002815A0" w:rsidRDefault="007818F5">
      <w:pPr>
        <w:pStyle w:val="Equation"/>
      </w:pPr>
      <m:oMathPara>
        <m:oMath>
          <m:sSub>
            <m:sSubPr>
              <m:ctrlPr>
                <w:rPr>
                  <w:rFonts w:ascii="Cambria Math" w:hAnsi="Cambria Math"/>
                  <w:i/>
                </w:rPr>
              </m:ctrlPr>
            </m:sSubPr>
            <m:e>
              <m:r>
                <w:rPr>
                  <w:rFonts w:ascii="Cambria Math" w:hAnsi="Cambria Math"/>
                </w:rPr>
                <m:t>NSI</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NSI</m:t>
                  </m:r>
                </m:e>
              </m:acc>
            </m:e>
            <m:sub>
              <m:r>
                <w:rPr>
                  <w:rFonts w:ascii="Cambria Math" w:hAnsi="Cambria Math"/>
                </w:rPr>
                <m:t>j</m:t>
              </m:r>
            </m:sub>
          </m:sSub>
          <m:r>
            <w:rPr>
              <w:rFonts w:ascii="Cambria Math" w:hAnsi="Cambria Math"/>
            </w:rPr>
            <m:t>=-</m:t>
          </m:r>
          <m:nary>
            <m:naryPr>
              <m:chr m:val="∑"/>
              <m:limLoc m:val="undOvr"/>
              <m:supHide m:val="1"/>
              <m:ctrlPr>
                <w:rPr>
                  <w:rFonts w:ascii="Cambria Math" w:hAnsi="Cambria Math" w:cs="Calibri"/>
                </w:rPr>
              </m:ctrlPr>
            </m:naryPr>
            <m:sub>
              <m:r>
                <w:rPr>
                  <w:rFonts w:ascii="Cambria Math" w:hAnsi="Cambria Math"/>
                </w:rPr>
                <m:t>k∈EIM</m:t>
              </m:r>
            </m:sub>
            <m:sup/>
            <m:e>
              <m:nary>
                <m:naryPr>
                  <m:chr m:val="∑"/>
                  <m:limLoc m:val="undOvr"/>
                  <m:supHide m:val="1"/>
                  <m:ctrlPr>
                    <w:rPr>
                      <w:rFonts w:ascii="Cambria Math" w:hAnsi="Cambria Math" w:cs="Calibri"/>
                    </w:rPr>
                  </m:ctrlPr>
                </m:naryPr>
                <m:sub>
                  <m:r>
                    <w:rPr>
                      <w:rFonts w:ascii="Cambria Math" w:hAnsi="Cambria Math" w:cs="Calibri"/>
                    </w:rPr>
                    <m:t>l</m:t>
                  </m:r>
                </m:sub>
                <m:sup/>
                <m:e>
                  <m:d>
                    <m:dPr>
                      <m:ctrlPr>
                        <w:rPr>
                          <w:rFonts w:ascii="Cambria Math" w:hAnsi="Cambria Math" w:cs="Calibri"/>
                        </w:rPr>
                      </m:ctrlPr>
                    </m:dPr>
                    <m:e>
                      <m:r>
                        <m:rPr>
                          <m:sty m:val="p"/>
                        </m:rPr>
                        <w:rPr>
                          <w:rFonts w:ascii="Cambria Math" w:hAnsi="Cambria Math"/>
                        </w:rPr>
                        <m:t>∆</m:t>
                      </m:r>
                      <m:sSub>
                        <m:sSubPr>
                          <m:ctrlPr>
                            <w:rPr>
                              <w:rFonts w:ascii="Cambria Math" w:hAnsi="Cambria Math" w:cs="Calibri"/>
                            </w:rPr>
                          </m:ctrlPr>
                        </m:sSubPr>
                        <m:e>
                          <m:r>
                            <w:rPr>
                              <w:rFonts w:ascii="Cambria Math" w:hAnsi="Cambria Math"/>
                            </w:rPr>
                            <m:t>E</m:t>
                          </m:r>
                        </m:e>
                        <m:sub>
                          <m:r>
                            <w:rPr>
                              <w:rFonts w:ascii="Cambria Math" w:hAnsi="Cambria Math"/>
                            </w:rPr>
                            <m:t>k,j,l</m:t>
                          </m:r>
                        </m:sub>
                      </m:sSub>
                      <m:r>
                        <m:rPr>
                          <m:sty m:val="p"/>
                        </m:rPr>
                        <w:rPr>
                          <w:rFonts w:ascii="Cambria Math" w:hAnsi="Cambria Math"/>
                        </w:rPr>
                        <m:t>-∆</m:t>
                      </m:r>
                      <m:sSub>
                        <m:sSubPr>
                          <m:ctrlPr>
                            <w:rPr>
                              <w:rFonts w:ascii="Cambria Math" w:hAnsi="Cambria Math" w:cs="Calibri"/>
                            </w:rPr>
                          </m:ctrlPr>
                        </m:sSubPr>
                        <m:e>
                          <m:r>
                            <w:rPr>
                              <w:rFonts w:ascii="Cambria Math" w:hAnsi="Cambria Math"/>
                            </w:rPr>
                            <m:t>I</m:t>
                          </m:r>
                        </m:e>
                        <m:sub>
                          <m:r>
                            <w:rPr>
                              <w:rFonts w:ascii="Cambria Math" w:hAnsi="Cambria Math"/>
                            </w:rPr>
                            <m:t>k,j,l</m:t>
                          </m:r>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BAA</m:t>
                  </m:r>
                </m:e>
                <m:sub>
                  <m:r>
                    <w:rPr>
                      <w:rFonts w:ascii="Cambria Math" w:hAnsi="Cambria Math"/>
                    </w:rPr>
                    <m:t>j</m:t>
                  </m:r>
                </m:sub>
              </m:sSub>
            </m:sub>
            <m:sup/>
            <m:e>
              <m:d>
                <m:dPr>
                  <m:ctrlPr>
                    <w:rPr>
                      <w:rFonts w:ascii="Cambria Math" w:hAnsi="Cambria Math"/>
                      <w:i/>
                    </w:rPr>
                  </m:ctrlPr>
                </m:dPr>
                <m:e>
                  <m:sSub>
                    <m:sSubPr>
                      <m:ctrlPr>
                        <w:rPr>
                          <w:rFonts w:ascii="Cambria Math" w:hAnsi="Cambria Math" w:cs="Calibri"/>
                        </w:rPr>
                      </m:ctrlPr>
                    </m:sSubPr>
                    <m:e>
                      <m:r>
                        <w:rPr>
                          <w:rFonts w:ascii="Cambria Math" w:hAnsi="Cambria Math"/>
                        </w:rPr>
                        <m:t>G</m:t>
                      </m:r>
                    </m:e>
                    <m:sub>
                      <m:r>
                        <w:rPr>
                          <w:rFonts w:ascii="Cambria Math" w:hAnsi="Cambria Math"/>
                        </w:rPr>
                        <m:t>i</m:t>
                      </m:r>
                    </m:sub>
                  </m:sSub>
                  <m:r>
                    <w:rPr>
                      <w:rFonts w:ascii="Cambria Math" w:hAnsi="Cambria Math" w:cs="Calibri"/>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m:t>
                      </m:r>
                    </m:sub>
                  </m:sSub>
                </m:e>
              </m:d>
            </m:e>
          </m:nary>
          <m:r>
            <w:rPr>
              <w:rFonts w:ascii="Cambria Math" w:hAnsi="Cambria Math"/>
            </w:rPr>
            <m:t xml:space="preserve">  ∀j∉EIM</m:t>
          </m:r>
        </m:oMath>
      </m:oMathPara>
    </w:p>
    <w:p w14:paraId="30342386" w14:textId="77777777" w:rsidR="002815A0" w:rsidRDefault="002815A0" w:rsidP="00877DDB">
      <w:pPr>
        <w:pStyle w:val="BPM"/>
      </w:pPr>
      <w:r>
        <w:t>The NSI is maintained for each BAA in the ACPF by adjusting the load using distributed load slack and AIC. Therefore, the NSI, EIM Transfer, and generation for EIM BAAs in the ACPF solution are always equal to the optimal solution in the last iteration.</w:t>
      </w:r>
    </w:p>
    <w:p w14:paraId="5B43908A" w14:textId="77777777" w:rsidR="00713C13" w:rsidRDefault="00713C13">
      <w:pPr>
        <w:pStyle w:val="Paragraph"/>
      </w:pPr>
    </w:p>
    <w:p w14:paraId="4A0CD533" w14:textId="77777777" w:rsidR="002815A0" w:rsidRDefault="002815A0" w:rsidP="00F60F2C">
      <w:pPr>
        <w:pStyle w:val="Heading6"/>
      </w:pPr>
      <w:r>
        <w:t>Energy Transfer Schedules</w:t>
      </w:r>
    </w:p>
    <w:p w14:paraId="695BE1E9" w14:textId="77777777" w:rsidR="002815A0" w:rsidRDefault="002815A0" w:rsidP="00877DDB">
      <w:pPr>
        <w:pStyle w:val="BPM"/>
      </w:pPr>
      <w:r>
        <w:t>The EIM Transfer for each EIM BAA is distributed optimally to the applicable Energy Transfer Schedules:</w:t>
      </w:r>
    </w:p>
    <w:p w14:paraId="04F6A66D" w14:textId="77777777" w:rsidR="002815A0" w:rsidRPr="00DC1056" w:rsidRDefault="007818F5">
      <w:pPr>
        <w:pStyle w:val="Equation"/>
      </w:pPr>
      <m:oMathPara>
        <m:oMath>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k∈EIM</m:t>
                    </m:r>
                  </m:e>
                </m:mr>
                <m:mr>
                  <m:e>
                    <m:r>
                      <w:rPr>
                        <w:rFonts w:ascii="Cambria Math" w:hAnsi="Cambria Math"/>
                      </w:rPr>
                      <m:t>k≠j</m:t>
                    </m:r>
                  </m:e>
                </m:mr>
              </m:m>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ET</m:t>
                              </m:r>
                            </m:e>
                            <m:sub>
                              <m:r>
                                <w:rPr>
                                  <w:rFonts w:ascii="Cambria Math" w:hAnsi="Cambria Math"/>
                                </w:rPr>
                                <m:t>j,k,l</m:t>
                              </m:r>
                            </m:sub>
                          </m:sSub>
                          <m:r>
                            <w:rPr>
                              <w:rFonts w:ascii="Cambria Math" w:hAnsi="Cambria Math"/>
                            </w:rPr>
                            <m:t>-IT</m:t>
                          </m:r>
                        </m:e>
                        <m:sub>
                          <m:r>
                            <w:rPr>
                              <w:rFonts w:ascii="Cambria Math" w:hAnsi="Cambria Math"/>
                            </w:rPr>
                            <m:t>j,k,l</m:t>
                          </m:r>
                        </m:sub>
                      </m:sSub>
                    </m:e>
                  </m:d>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∀j∈EIM∧j&gt;0</m:t>
          </m:r>
        </m:oMath>
      </m:oMathPara>
    </w:p>
    <w:p w14:paraId="055B63F7" w14:textId="77777777" w:rsidR="002815A0" w:rsidRPr="00DC1056" w:rsidRDefault="002815A0" w:rsidP="00877DDB">
      <w:pPr>
        <w:pStyle w:val="BPM"/>
      </w:pPr>
      <w:r>
        <w:t>Where:</w:t>
      </w:r>
    </w:p>
    <w:p w14:paraId="1E16AF55" w14:textId="77777777" w:rsidR="002815A0" w:rsidRDefault="007818F5">
      <w:pPr>
        <w:pStyle w:val="Equation"/>
      </w:pPr>
      <m:oMathPara>
        <m:oMath>
          <m:sSub>
            <m:sSubPr>
              <m:ctrlPr>
                <w:rPr>
                  <w:rFonts w:ascii="Cambria Math" w:hAnsi="Cambria Math"/>
                  <w:i/>
                </w:rPr>
              </m:ctrlPr>
            </m:sSubPr>
            <m:e>
              <m:r>
                <w:rPr>
                  <w:rFonts w:ascii="Cambria Math" w:hAnsi="Cambria Math"/>
                </w:rPr>
                <m:t>IT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k,j,l</m:t>
              </m:r>
            </m:sub>
          </m:sSub>
          <m:r>
            <w:rPr>
              <w:rFonts w:ascii="Cambria Math" w:hAnsi="Cambria Math"/>
            </w:rPr>
            <m:t xml:space="preserve">  ∀j,k∈EIM∧j≠k∧j,k&gt;0</m:t>
          </m:r>
        </m:oMath>
      </m:oMathPara>
    </w:p>
    <w:p w14:paraId="675116FC" w14:textId="77777777" w:rsidR="002815A0" w:rsidRDefault="002815A0" w:rsidP="00877DDB">
      <w:pPr>
        <w:pStyle w:val="BPM"/>
      </w:pPr>
      <w:r>
        <w:t>Without violating the applicable transmission right limits:</w:t>
      </w:r>
    </w:p>
    <w:p w14:paraId="2CEBA9D9" w14:textId="77777777" w:rsidR="002815A0" w:rsidRPr="00DC1056" w:rsidRDefault="007818F5">
      <w:pPr>
        <w:pStyle w:val="Equation"/>
      </w:pPr>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0≤</m:t>
                    </m:r>
                    <m:sSub>
                      <m:sSubPr>
                        <m:ctrlPr>
                          <w:rPr>
                            <w:rFonts w:ascii="Cambria Math" w:hAnsi="Cambria Math"/>
                            <w:i/>
                          </w:rPr>
                        </m:ctrlPr>
                      </m:sSubPr>
                      <m:e>
                        <m:r>
                          <w:rPr>
                            <w:rFonts w:ascii="Cambria Math" w:hAnsi="Cambria Math"/>
                          </w:rPr>
                          <m:t>IT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MAXj,k,l</m:t>
                        </m:r>
                      </m:sub>
                    </m:sSub>
                  </m:e>
                </m:mr>
                <m:mr>
                  <m:e>
                    <m:r>
                      <w:rPr>
                        <w:rFonts w:ascii="Cambria Math" w:hAnsi="Cambria Math"/>
                      </w:rPr>
                      <m:t>0≤</m:t>
                    </m:r>
                    <m:sSub>
                      <m:sSubPr>
                        <m:ctrlPr>
                          <w:rPr>
                            <w:rFonts w:ascii="Cambria Math" w:hAnsi="Cambria Math"/>
                            <w:i/>
                          </w:rPr>
                        </m:ctrlPr>
                      </m:sSubPr>
                      <m:e>
                        <m:r>
                          <w:rPr>
                            <w:rFonts w:ascii="Cambria Math" w:hAnsi="Cambria Math"/>
                          </w:rPr>
                          <m:t>ET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MAXj,k,l</m:t>
                        </m:r>
                      </m:sub>
                    </m:sSub>
                  </m:e>
                </m:mr>
              </m:m>
            </m:e>
          </m:d>
          <m:r>
            <w:rPr>
              <w:rFonts w:ascii="Cambria Math" w:hAnsi="Cambria Math"/>
            </w:rPr>
            <m:t xml:space="preserve">  ∀j,k∈EIM∧j≠k∧j&gt;0</m:t>
          </m:r>
        </m:oMath>
      </m:oMathPara>
    </w:p>
    <w:p w14:paraId="67DFBDAD" w14:textId="77777777" w:rsidR="002815A0" w:rsidRDefault="002815A0" w:rsidP="00877DDB">
      <w:pPr>
        <w:pStyle w:val="BPM"/>
      </w:pPr>
      <w:r>
        <w:t>For efficiency, there should not be both an import and an export Energy Transfer schedule on a given intertie; at least one of them should be zero.</w:t>
      </w:r>
    </w:p>
    <w:p w14:paraId="0D7C7981" w14:textId="77777777" w:rsidR="002815A0" w:rsidRPr="00DC1056" w:rsidRDefault="002815A0" w:rsidP="00877DDB">
      <w:pPr>
        <w:pStyle w:val="BPM"/>
      </w:pPr>
      <w:r>
        <w:t>It is assumed that the transmission limits are symmetric:</w:t>
      </w:r>
    </w:p>
    <w:p w14:paraId="7B4E13AA" w14:textId="77777777" w:rsidR="002815A0" w:rsidRDefault="007818F5">
      <w:pPr>
        <w:pStyle w:val="Equation"/>
      </w:pPr>
      <m:oMathPara>
        <m:oMath>
          <m:sSub>
            <m:sSubPr>
              <m:ctrlPr>
                <w:rPr>
                  <w:rFonts w:ascii="Cambria Math" w:hAnsi="Cambria Math"/>
                  <w:i/>
                </w:rPr>
              </m:ctrlPr>
            </m:sSubPr>
            <m:e>
              <m:r>
                <w:rPr>
                  <w:rFonts w:ascii="Cambria Math" w:hAnsi="Cambria Math"/>
                </w:rPr>
                <m:t>IT</m:t>
              </m:r>
            </m:e>
            <m:sub>
              <m:r>
                <w:rPr>
                  <w:rFonts w:ascii="Cambria Math" w:hAnsi="Cambria Math"/>
                </w:rPr>
                <m:t>MAXj,k,l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MAXk,j,l</m:t>
              </m:r>
            </m:sub>
          </m:sSub>
          <m:r>
            <w:rPr>
              <w:rFonts w:ascii="Cambria Math" w:hAnsi="Cambria Math"/>
            </w:rPr>
            <m:t xml:space="preserve">  ∀j,k∈EIM∧j≠k∧j,k&gt;0</m:t>
          </m:r>
        </m:oMath>
      </m:oMathPara>
    </w:p>
    <w:p w14:paraId="7D555DBC" w14:textId="77777777" w:rsidR="002815A0" w:rsidRDefault="002815A0" w:rsidP="00877DDB">
      <w:pPr>
        <w:pStyle w:val="BPM"/>
      </w:pPr>
      <w:r>
        <w:t xml:space="preserve">To clarify, Energy Transfer schedules are variables in the market optimization calculated optimally subject to the above constraints. The base Energy Transfer schedule is included in the optimal Energy Transfer schedule; in other words, the optimal Energy Transfer schedule on any given intertie may completely back down a base Energy Transfer schedule and the energy transfer may reverse, resulting in efficient use of interconnecting transmission capacity. </w:t>
      </w:r>
    </w:p>
    <w:p w14:paraId="4EF9F499" w14:textId="15074BFC" w:rsidR="002815A0" w:rsidRDefault="002815A0" w:rsidP="00877DDB">
      <w:pPr>
        <w:pStyle w:val="BPM"/>
      </w:pPr>
      <w:r>
        <w:t>To reduce the problem dimensionality and potential degeneracy, for Energy Transfer schedules between two BAAs on a given intertie, only the ETSRs of one BAA are included in the problem formulation; their ETSR counterparts of the other BAA can be eliminated. An ETSR attribute in the Master File is used to designate the ETSRs that are optimized and used for tagging, as explained in §</w:t>
      </w:r>
      <w:r w:rsidR="002957E6">
        <w:t>11.1.5</w:t>
      </w:r>
      <w:r>
        <w:t>.</w:t>
      </w:r>
    </w:p>
    <w:p w14:paraId="15BE0A4F" w14:textId="77777777" w:rsidR="00EE2BF7" w:rsidRDefault="00EE2BF7" w:rsidP="005F7ABA">
      <w:pPr>
        <w:pStyle w:val="BPM"/>
      </w:pPr>
      <w:r>
        <w:t>Note: When calculating ETSR schedules where one of the associated BAAs is the ISO BAA, the EIM Entity/Entities should not submit pre-hour or after-the-fact interchange schedules.  As these are tags with the ISO BAA, the CAISO will use the tag to determine the scheduled quantities needed.</w:t>
      </w:r>
    </w:p>
    <w:p w14:paraId="662982CC" w14:textId="77777777" w:rsidR="002815A0" w:rsidRDefault="002815A0" w:rsidP="00F60F2C">
      <w:pPr>
        <w:pStyle w:val="Heading6"/>
      </w:pPr>
      <w:r>
        <w:t>Energy Transfer Schedule Limits</w:t>
      </w:r>
    </w:p>
    <w:p w14:paraId="618BB78E" w14:textId="77777777" w:rsidR="002815A0" w:rsidRPr="00EA7E69" w:rsidRDefault="002815A0" w:rsidP="00877DDB">
      <w:pPr>
        <w:pStyle w:val="BPM"/>
      </w:pPr>
      <w:r>
        <w:t>Normally, Energy Transfer schedules are dynamic and the same ETSRs and transmission limits are used in both RTUC and RTD. However, if some Energy Transfer schedules must be differentiated between RTUC and RTD, static ETSRs will be used for the 15min Energy Transfer schedules in RTUC and dynamic ETSRs will be used for the incremental 5min Energy Transfer schedules in RTD. In this case, the base Energy Transfer schedule is included in the 15min Energy Transfer schedule, and the transmission limit for the 5min Energy Transfer schedule is zero in RTUC and incremental (from the optimal 15min Energy Transfer schedule) in RTD. For a uniform treatment of all ETSRs to simplify implementation, the applicable Energy Transfer schedule limits in RTUC and RTD can be derived from the transmission right, static limit, and incremental dynamic limit, as follows:</w:t>
      </w:r>
    </w:p>
    <w:p w14:paraId="480DAE8F" w14:textId="77777777" w:rsidR="002815A0" w:rsidRPr="00EA7E69" w:rsidRDefault="002815A0">
      <w:pPr>
        <w:pStyle w:val="Equation"/>
      </w:pPr>
      <m:oMathPara>
        <m:oMath>
          <m:r>
            <m:rPr>
              <m:nor/>
            </m:rPr>
            <w:rPr>
              <w:rFonts w:ascii="Cambria Math" w:hAnsi="Cambria Math"/>
            </w:rPr>
            <m:t xml:space="preserve">RTUC: </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IT</m:t>
                        </m:r>
                      </m:e>
                      <m:sub>
                        <m:r>
                          <w:rPr>
                            <w:rFonts w:ascii="Cambria Math" w:hAnsi="Cambria Math"/>
                          </w:rPr>
                          <m:t>MAXj,k,l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IT</m:t>
                                </m:r>
                              </m:e>
                              <m:sub>
                                <m:r>
                                  <w:rPr>
                                    <w:rFonts w:ascii="Cambria Math" w:hAnsi="Cambria Math"/>
                                  </w:rPr>
                                  <m:t>TRj,k,l</m:t>
                                </m:r>
                              </m:sub>
                            </m:sSub>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MAX15j,k,l</m:t>
                                </m:r>
                              </m:sub>
                            </m:sSub>
                          </m:e>
                        </m:d>
                      </m:e>
                    </m:func>
                  </m:e>
                </m:mr>
                <m:mr>
                  <m:e>
                    <m:sSub>
                      <m:sSubPr>
                        <m:ctrlPr>
                          <w:rPr>
                            <w:rFonts w:ascii="Cambria Math" w:hAnsi="Cambria Math"/>
                            <w:i/>
                          </w:rPr>
                        </m:ctrlPr>
                      </m:sSubPr>
                      <m:e>
                        <m:r>
                          <w:rPr>
                            <w:rFonts w:ascii="Cambria Math" w:hAnsi="Cambria Math"/>
                          </w:rPr>
                          <m:t>ET</m:t>
                        </m:r>
                      </m:e>
                      <m:sub>
                        <m:r>
                          <w:rPr>
                            <w:rFonts w:ascii="Cambria Math" w:hAnsi="Cambria Math"/>
                          </w:rPr>
                          <m:t>MAXj,k,l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TRj,k,l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MAX15j,k,l</m:t>
                                </m:r>
                              </m:sub>
                            </m:sSub>
                          </m:e>
                        </m:d>
                      </m:e>
                    </m:func>
                  </m:e>
                </m:mr>
              </m:m>
            </m:e>
          </m:d>
          <m:r>
            <w:rPr>
              <w:rFonts w:ascii="Cambria Math" w:hAnsi="Cambria Math"/>
            </w:rPr>
            <m:t xml:space="preserve"> ∀j,k∈EIM∧j≠k∧j&gt;0</m:t>
          </m:r>
          <m:r>
            <m:rPr>
              <m:sty m:val="p"/>
            </m:rPr>
            <w:rPr>
              <w:rFonts w:ascii="Cambria Math" w:hAnsi="Cambria Math"/>
            </w:rPr>
            <w:br/>
          </m:r>
        </m:oMath>
        <m:oMath>
          <m:r>
            <m:rPr>
              <m:nor/>
            </m:rPr>
            <w:rPr>
              <w:rFonts w:ascii="Cambria Math" w:hAnsi="Cambria Math"/>
            </w:rPr>
            <m:t xml:space="preserve">RTD: </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IT</m:t>
                        </m:r>
                      </m:e>
                      <m:sub>
                        <m:r>
                          <w:rPr>
                            <w:rFonts w:ascii="Cambria Math" w:hAnsi="Cambria Math"/>
                          </w:rPr>
                          <m:t>MAXj,k,l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IT</m:t>
                                </m:r>
                              </m:e>
                              <m:sub>
                                <m:r>
                                  <w:rPr>
                                    <w:rFonts w:ascii="Cambria Math" w:hAnsi="Cambria Math"/>
                                  </w:rPr>
                                  <m:t>TRj,k,l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IT</m:t>
                                    </m:r>
                                  </m:e>
                                  <m:sub>
                                    <m:r>
                                      <w:rPr>
                                        <w:rFonts w:ascii="Cambria Math" w:hAnsi="Cambria Math"/>
                                      </w:rPr>
                                      <m:t>j,k,l</m:t>
                                    </m:r>
                                  </m:sub>
                                </m:sSub>
                                <m:r>
                                  <w:rPr>
                                    <w:rFonts w:ascii="Cambria Math" w:hAnsi="Cambria Math"/>
                                  </w:rPr>
                                  <m:t>+IT</m:t>
                                </m:r>
                              </m:e>
                              <m:sub>
                                <m:r>
                                  <w:rPr>
                                    <w:rFonts w:ascii="Cambria Math" w:hAnsi="Cambria Math"/>
                                  </w:rPr>
                                  <m:t>MAX5j,k,l</m:t>
                                </m:r>
                              </m:sub>
                            </m:sSub>
                          </m:e>
                        </m:d>
                      </m:e>
                    </m:func>
                  </m:e>
                </m:mr>
                <m:mr>
                  <m:e>
                    <m:sSub>
                      <m:sSubPr>
                        <m:ctrlPr>
                          <w:rPr>
                            <w:rFonts w:ascii="Cambria Math" w:hAnsi="Cambria Math"/>
                            <w:i/>
                          </w:rPr>
                        </m:ctrlPr>
                      </m:sSubPr>
                      <m:e>
                        <m:r>
                          <w:rPr>
                            <w:rFonts w:ascii="Cambria Math" w:hAnsi="Cambria Math"/>
                          </w:rPr>
                          <m:t>ET</m:t>
                        </m:r>
                      </m:e>
                      <m:sub>
                        <m:r>
                          <w:rPr>
                            <w:rFonts w:ascii="Cambria Math" w:hAnsi="Cambria Math"/>
                          </w:rPr>
                          <m:t>MAXj,k,l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TRj,k,l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MAX5j,k,l</m:t>
                                </m:r>
                              </m:sub>
                            </m:sSub>
                          </m:e>
                        </m:d>
                      </m:e>
                    </m:func>
                  </m:e>
                </m:mr>
              </m:m>
            </m:e>
          </m:d>
          <m:r>
            <w:rPr>
              <w:rFonts w:ascii="Cambria Math" w:hAnsi="Cambria Math"/>
            </w:rPr>
            <m:t xml:space="preserve"> ∀j,k∈EIM∧j≠k∧j&gt;0</m:t>
          </m:r>
        </m:oMath>
      </m:oMathPara>
    </w:p>
    <w:p w14:paraId="4FEE73F9" w14:textId="77777777" w:rsidR="002815A0" w:rsidRDefault="002815A0" w:rsidP="00877DDB">
      <w:pPr>
        <w:pStyle w:val="BPM"/>
      </w:pPr>
      <w:r>
        <w:t>Where the Energy Transfer schedules used in the calculation of the applicable Energy Transfer schedule limit in RTD are the optimal 15min Energy Transfer schedules from RTUC. With these generic formulae, the static limit is what is made available from the transmission right in RTUC, and the dynamic limit is additional transmission capacity that can be used in RTD. If there is no distinction between static and dynamic Energy Transfer schedules, both static and dynamic limits should be equal to the transmission right to maximize transmission capacity use across RTUC and RTD.</w:t>
      </w:r>
    </w:p>
    <w:p w14:paraId="09E3F100" w14:textId="466AB2F2" w:rsidR="002815A0" w:rsidRDefault="002815A0" w:rsidP="00877DDB">
      <w:pPr>
        <w:pStyle w:val="BPM"/>
      </w:pPr>
      <w:r>
        <w:t>For Energy Transfer schedules between two BAAs on a given intertie, the Energy Transfer schedule limits are submitted only for the ETSRs of one BAA. The EIM Entity of that BAA is responsible for submitting base Energy Transfer schedules and the associated Energy Transfer schedule limits, as well as for tagging base and optimal Energy transfer schedules between the relevant BAAs. An ETSR attribute in the Master File is used to designate the ETSRs that are used for tagging and for which Energy Transfer schedule limits are submitted, as explained in §</w:t>
      </w:r>
      <w:r w:rsidR="002957E6">
        <w:t>11.1.5</w:t>
      </w:r>
      <w:r>
        <w:t>.</w:t>
      </w:r>
    </w:p>
    <w:p w14:paraId="08A142CD" w14:textId="77777777" w:rsidR="00F57D97" w:rsidRDefault="00F57D97" w:rsidP="00F60F2C">
      <w:pPr>
        <w:pStyle w:val="Heading6"/>
      </w:pPr>
      <w:bookmarkStart w:id="2294" w:name="_Ref409597401"/>
    </w:p>
    <w:p w14:paraId="2D8C75FC" w14:textId="77777777" w:rsidR="002815A0" w:rsidRDefault="002815A0" w:rsidP="00F60F2C">
      <w:pPr>
        <w:pStyle w:val="Heading6"/>
      </w:pPr>
      <w:r>
        <w:t>Energy Transfer Schedule Tags</w:t>
      </w:r>
      <w:bookmarkEnd w:id="2294"/>
    </w:p>
    <w:p w14:paraId="00971147" w14:textId="77777777" w:rsidR="007671EB" w:rsidRPr="001B6889" w:rsidRDefault="002815A0" w:rsidP="00877DDB">
      <w:pPr>
        <w:pStyle w:val="BPM"/>
      </w:pPr>
      <w:r w:rsidRPr="001B6889">
        <w:t xml:space="preserve">The base and optimal Energy Transfer schedules are assigned to the corresponding ETSRs and are tagged </w:t>
      </w:r>
      <w:r w:rsidR="00851C51" w:rsidRPr="001B6889">
        <w:t xml:space="preserve">by the EIM Entity Scheduling Coordinator </w:t>
      </w:r>
      <w:r w:rsidRPr="001B6889">
        <w:t xml:space="preserve">to the associated intertie using the corresponding ETSR identification. </w:t>
      </w:r>
      <w:r w:rsidR="002B4954" w:rsidRPr="001B6889">
        <w:t>The EIM Entity Scheduling Coordinator should obtain a unique identifier to list as the “Purchasing Selling Entity” if at all possible.  If that is not possible, d</w:t>
      </w:r>
      <w:r w:rsidR="00851C51" w:rsidRPr="001B6889">
        <w:t>esignated agents</w:t>
      </w:r>
      <w:r w:rsidR="00B62472" w:rsidRPr="001B6889">
        <w:t>, e.g., the EIM Entity Scheduling Coordinator,</w:t>
      </w:r>
      <w:r w:rsidR="00851C51" w:rsidRPr="001B6889">
        <w:t xml:space="preserve"> may </w:t>
      </w:r>
      <w:r w:rsidR="002719B4" w:rsidRPr="001B6889">
        <w:t xml:space="preserve">list </w:t>
      </w:r>
      <w:r w:rsidR="00851C51" w:rsidRPr="001B6889">
        <w:t xml:space="preserve">the EIM Entity as the “Purchasing </w:t>
      </w:r>
      <w:r w:rsidR="002719B4" w:rsidRPr="001B6889">
        <w:t xml:space="preserve">Selling Entity” on such tags </w:t>
      </w:r>
      <w:r w:rsidR="00B62472" w:rsidRPr="001B6889">
        <w:t xml:space="preserve">for convenience </w:t>
      </w:r>
      <w:r w:rsidR="002719B4" w:rsidRPr="001B6889">
        <w:t xml:space="preserve">provided the EIM Entity </w:t>
      </w:r>
      <w:r w:rsidR="00FF5A89" w:rsidRPr="001B6889">
        <w:t xml:space="preserve">has authorized its agent </w:t>
      </w:r>
      <w:r w:rsidR="002719B4" w:rsidRPr="001B6889">
        <w:t xml:space="preserve">to do so and the tag </w:t>
      </w:r>
      <w:r w:rsidR="00D200FC" w:rsidRPr="001B6889">
        <w:t>identifies th</w:t>
      </w:r>
      <w:r w:rsidR="00FF5A89" w:rsidRPr="001B6889">
        <w:t>at</w:t>
      </w:r>
      <w:r w:rsidR="00D200FC" w:rsidRPr="001B6889">
        <w:t xml:space="preserve"> </w:t>
      </w:r>
      <w:r w:rsidR="002719B4" w:rsidRPr="001B6889">
        <w:t>relationship</w:t>
      </w:r>
      <w:r w:rsidR="00FF5A89" w:rsidRPr="001B6889">
        <w:t xml:space="preserve"> as the basis for doing so</w:t>
      </w:r>
      <w:r w:rsidR="002719B4" w:rsidRPr="001B6889">
        <w:t xml:space="preserve">.  </w:t>
      </w:r>
    </w:p>
    <w:p w14:paraId="3E7E8445" w14:textId="77777777" w:rsidR="002815A0" w:rsidRPr="003D1045" w:rsidRDefault="002815A0" w:rsidP="00877DDB">
      <w:pPr>
        <w:pStyle w:val="BPM"/>
      </w:pPr>
      <w:r w:rsidRPr="001B6889">
        <w:t>For static ETSRs, the tag is a static 15</w:t>
      </w:r>
      <w:r w:rsidR="002B4954" w:rsidRPr="001B6889">
        <w:t>-</w:t>
      </w:r>
      <w:r w:rsidRPr="001B6889">
        <w:t>min</w:t>
      </w:r>
      <w:r w:rsidR="002B4954" w:rsidRPr="001B6889">
        <w:t>ute</w:t>
      </w:r>
      <w:r w:rsidRPr="001B6889">
        <w:t xml:space="preserve"> tag that includes the base Energy Transfer. For dynamic ETSRs, the tag is a dynamic 5</w:t>
      </w:r>
      <w:r w:rsidR="002B4954" w:rsidRPr="001B6889">
        <w:t>-</w:t>
      </w:r>
      <w:r w:rsidRPr="001B6889">
        <w:t>min</w:t>
      </w:r>
      <w:r w:rsidR="002B4954" w:rsidRPr="001B6889">
        <w:t>ute</w:t>
      </w:r>
      <w:r w:rsidRPr="001B6889">
        <w:t xml:space="preserve"> tag; if there is no distinction between static and dynamic Energy Transfers on a given intertie, there is no static tag and the base Energy Transfer schedule is included in the dynamic 5</w:t>
      </w:r>
      <w:r w:rsidR="002B4954" w:rsidRPr="001B6889">
        <w:t>-</w:t>
      </w:r>
      <w:r w:rsidRPr="001B6889">
        <w:t>min</w:t>
      </w:r>
      <w:r w:rsidR="002B4954" w:rsidRPr="001B6889">
        <w:t>ute</w:t>
      </w:r>
      <w:r w:rsidRPr="001B6889">
        <w:t xml:space="preserve"> tag. Because the Energy </w:t>
      </w:r>
      <w:r w:rsidR="00851C51" w:rsidRPr="001B6889">
        <w:t>T</w:t>
      </w:r>
      <w:r w:rsidRPr="001B6889">
        <w:t xml:space="preserve">ransfer schedules between two </w:t>
      </w:r>
      <w:r w:rsidR="00851C51" w:rsidRPr="001B6889">
        <w:t xml:space="preserve">EIM </w:t>
      </w:r>
      <w:r w:rsidRPr="001B6889">
        <w:t xml:space="preserve">BAAs are duplicated as import and export counterparts seen from each </w:t>
      </w:r>
      <w:r w:rsidR="00851C51" w:rsidRPr="001B6889">
        <w:t xml:space="preserve">EIM </w:t>
      </w:r>
      <w:r w:rsidRPr="001B6889">
        <w:t xml:space="preserve">BAA, only the ETSRs of one </w:t>
      </w:r>
      <w:r w:rsidR="00851C51" w:rsidRPr="001B6889">
        <w:t xml:space="preserve">EIM </w:t>
      </w:r>
      <w:r w:rsidRPr="001B6889">
        <w:t xml:space="preserve">BAA will be tagged between the two </w:t>
      </w:r>
      <w:r w:rsidR="00851C51" w:rsidRPr="001B6889">
        <w:t xml:space="preserve">EIM </w:t>
      </w:r>
      <w:r w:rsidRPr="001B6889">
        <w:t>BAAs. An ETSR attribute in the Master File is used to designate the ETSRs that are used for tagging. The same attribute is used to indicate the ETSRs for which base Energy Transfer schedules and limits are submitted, as well as the ones that are included in the problem formulation</w:t>
      </w:r>
      <w:r>
        <w:t>.</w:t>
      </w:r>
    </w:p>
    <w:p w14:paraId="16A51CBE" w14:textId="77777777" w:rsidR="004B5C2B" w:rsidRDefault="004B5C2B" w:rsidP="00F60F2C">
      <w:pPr>
        <w:pStyle w:val="Heading6"/>
      </w:pPr>
    </w:p>
    <w:p w14:paraId="574C6383" w14:textId="77777777" w:rsidR="002815A0" w:rsidRPr="005F0214" w:rsidRDefault="002815A0" w:rsidP="00F60F2C">
      <w:pPr>
        <w:pStyle w:val="Heading6"/>
      </w:pPr>
      <w:r>
        <w:t>Intertie Transmission Cost</w:t>
      </w:r>
    </w:p>
    <w:p w14:paraId="2892852A" w14:textId="77777777" w:rsidR="002815A0" w:rsidRDefault="002815A0" w:rsidP="00877DDB">
      <w:pPr>
        <w:pStyle w:val="BPM"/>
      </w:pPr>
      <w:r>
        <w:t>The distribution of the Energy Transfer for a BAA over the various interties to adjacent BAAs in the EIM Area is not influenced by network impedance or transmission losses, and as such it does not represent actual power flows on these interties; it resembles the classical problem of transferring goods from supply centers to demand centers over a road network. The Energy Transfer schedule limits are scheduling limits and they resemble road throughput capacity. Physical intertie limits need to be enforced separately to constrain actual power flows on the interties, including loop flow contributions from base schedules in non-EIM BAAs.</w:t>
      </w:r>
    </w:p>
    <w:p w14:paraId="180B574E" w14:textId="77777777" w:rsidR="002815A0" w:rsidRDefault="002815A0" w:rsidP="00877DDB">
      <w:pPr>
        <w:pStyle w:val="BPM"/>
      </w:pPr>
      <w:r>
        <w:t>In a problem like that, there is often not a unique solution, particularly if many intertie scheduling limits are not binding, i.e., there may be multiple ways to transfer the goods from the supply centers to the demand centers without violating any road constraints. To obtain a robust and efficient solution without circulating Energy Transfer schedules, a small nominal cost should be included in the objective function for each ETSR, as follows:</w:t>
      </w:r>
    </w:p>
    <w:p w14:paraId="062103E9" w14:textId="77777777" w:rsidR="002815A0" w:rsidRDefault="007818F5">
      <w:pPr>
        <w:pStyle w:val="Equation"/>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j,k∈EIM</m:t>
                            </m:r>
                          </m:e>
                        </m:mr>
                        <m:mr>
                          <m:e>
                            <m:r>
                              <w:rPr>
                                <w:rFonts w:ascii="Cambria Math" w:hAnsi="Cambria Math"/>
                              </w:rPr>
                              <m:t>k≠j</m:t>
                            </m:r>
                            <m:ctrlPr>
                              <w:rPr>
                                <w:rFonts w:ascii="Cambria Math" w:eastAsia="Cambria Math" w:hAnsi="Cambria Math" w:cs="Cambria Math"/>
                                <w:i/>
                              </w:rPr>
                            </m:ctrlPr>
                          </m:e>
                        </m:mr>
                        <m:mr>
                          <m:e>
                            <m:r>
                              <w:rPr>
                                <w:rFonts w:ascii="Cambria Math" w:eastAsia="Cambria Math" w:hAnsi="Cambria Math" w:cs="Cambria Math"/>
                              </w:rPr>
                              <m:t>j&gt;0</m:t>
                            </m:r>
                          </m:e>
                        </m:mr>
                      </m:m>
                    </m:sub>
                    <m:sup/>
                    <m:e>
                      <m:sSub>
                        <m:sSubPr>
                          <m:ctrlPr>
                            <w:rPr>
                              <w:rFonts w:ascii="Cambria Math" w:hAnsi="Cambria Math"/>
                              <w:i/>
                            </w:rPr>
                          </m:ctrlPr>
                        </m:sSubPr>
                        <m:e>
                          <m:r>
                            <w:rPr>
                              <w:rFonts w:ascii="Cambria Math" w:hAnsi="Cambria Math"/>
                            </w:rPr>
                            <m:t>C</m:t>
                          </m:r>
                        </m:e>
                        <m:sub>
                          <m:r>
                            <w:rPr>
                              <w:rFonts w:ascii="Cambria Math" w:hAnsi="Cambria Math"/>
                            </w:rPr>
                            <m:t>j,k</m:t>
                          </m:r>
                        </m:sub>
                      </m:sSub>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j,k,l</m:t>
                                  </m:r>
                                </m:sub>
                              </m:sSub>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j,k,l</m:t>
                                  </m:r>
                                </m:sub>
                              </m:sSub>
                            </m:e>
                          </m:d>
                        </m:e>
                      </m:nary>
                    </m:e>
                  </m:nary>
                </m:e>
              </m:d>
            </m:e>
          </m:func>
        </m:oMath>
      </m:oMathPara>
    </w:p>
    <w:p w14:paraId="3B9FBA71" w14:textId="77777777" w:rsidR="002815A0" w:rsidRDefault="002815A0" w:rsidP="00877DDB">
      <w:pPr>
        <w:pStyle w:val="BPM"/>
      </w:pPr>
      <w:r>
        <w:t>This cost resembles tolls paid on the roads connecting the supply and demand centers. Introducing this cost will also guarantee that Energy Transfer schedules between two BAAs in the EIM Area will always be unidirectional, i.e., either the export or the import will take value, but never both. This cost may ultimately reflect applicable wheeling or transmission access</w:t>
      </w:r>
      <w:r w:rsidRPr="005F0214">
        <w:t xml:space="preserve"> </w:t>
      </w:r>
      <w:r>
        <w:t>fees depending on agreed transmission pricing methods among the BAAs in the EIM Area.</w:t>
      </w:r>
    </w:p>
    <w:p w14:paraId="79C04EC0" w14:textId="77777777" w:rsidR="00823235" w:rsidRDefault="00823235" w:rsidP="00823235">
      <w:pPr>
        <w:pStyle w:val="Heading6"/>
      </w:pPr>
    </w:p>
    <w:p w14:paraId="619A0373" w14:textId="77777777" w:rsidR="002815A0" w:rsidRDefault="002815A0" w:rsidP="00823235">
      <w:pPr>
        <w:pStyle w:val="Heading6"/>
      </w:pPr>
      <w:r>
        <w:t xml:space="preserve">Energy Transfer </w:t>
      </w:r>
      <w:r w:rsidR="00085157">
        <w:rPr>
          <w:rFonts w:cs="Arial"/>
        </w:rPr>
        <w:t>F</w:t>
      </w:r>
      <w:r w:rsidR="00085157" w:rsidRPr="00CA47FC">
        <w:rPr>
          <w:rFonts w:cs="Arial"/>
        </w:rPr>
        <w:t>inancial</w:t>
      </w:r>
      <w:r w:rsidR="00085157" w:rsidRPr="00CA47FC" w:rsidDel="00085157">
        <w:rPr>
          <w:sz w:val="40"/>
        </w:rPr>
        <w:t xml:space="preserve"> </w:t>
      </w:r>
      <w:r>
        <w:t>Value</w:t>
      </w:r>
    </w:p>
    <w:p w14:paraId="6C833B9A" w14:textId="77777777" w:rsidR="002815A0" w:rsidRDefault="002815A0" w:rsidP="00877DDB">
      <w:pPr>
        <w:pStyle w:val="BPM"/>
      </w:pPr>
      <w:r>
        <w:t xml:space="preserve">In calculating real-time neutrality by BAA, </w:t>
      </w:r>
      <w:r w:rsidR="00DA1271">
        <w:t>a</w:t>
      </w:r>
      <w:r>
        <w:t xml:space="preserve"> </w:t>
      </w:r>
      <w:r w:rsidR="00085157">
        <w:rPr>
          <w:rFonts w:cs="Arial"/>
        </w:rPr>
        <w:t>financial</w:t>
      </w:r>
      <w:r w:rsidR="00085157" w:rsidDel="00085157">
        <w:t xml:space="preserve"> </w:t>
      </w:r>
      <w:r>
        <w:t xml:space="preserve">value is required for the Energy Transfer, which must be considered to balance the BAA. Currently, the </w:t>
      </w:r>
      <w:r w:rsidR="00085157">
        <w:rPr>
          <w:rFonts w:cs="Arial"/>
        </w:rPr>
        <w:t>financial</w:t>
      </w:r>
      <w:r w:rsidR="00085157" w:rsidDel="00085157">
        <w:t xml:space="preserve"> </w:t>
      </w:r>
      <w:r>
        <w:t xml:space="preserve">value is determined by pricing the EIM Transfer at the LMP of the metered end of the intertie used for tagging the relevant EIM Transfer schedule. With the introduction of multiple interties (multiple ETSRs) for a given BAA where the Energy Transfer can be optimally distributed based on the presented methodology, a more robust and uniform price </w:t>
      </w:r>
      <w:r w:rsidR="00CA47FC">
        <w:t>is</w:t>
      </w:r>
      <w:r>
        <w:t xml:space="preserve"> the System Marginal Energy Cost (SMEC), which is the same in any location in the network and does not include the marginal cost of losses or congestion. This is a more appropriate price because it is independent from the particular way an Energy Transfer is distributed to Energy Transfer schedules on the various interties.</w:t>
      </w:r>
    </w:p>
    <w:p w14:paraId="01926136" w14:textId="77777777" w:rsidR="00204905" w:rsidRDefault="00204905" w:rsidP="002815A0">
      <w:pPr>
        <w:pStyle w:val="Paragraph"/>
      </w:pPr>
    </w:p>
    <w:p w14:paraId="67A7F535" w14:textId="77777777" w:rsidR="00204905" w:rsidRPr="00823235" w:rsidRDefault="00204905" w:rsidP="002815A0">
      <w:pPr>
        <w:pStyle w:val="Paragraph"/>
        <w:rPr>
          <w:b/>
          <w:sz w:val="32"/>
          <w:szCs w:val="32"/>
        </w:rPr>
      </w:pPr>
      <w:r w:rsidRPr="00823235">
        <w:rPr>
          <w:b/>
          <w:sz w:val="32"/>
          <w:szCs w:val="32"/>
        </w:rPr>
        <w:t>Examples</w:t>
      </w:r>
    </w:p>
    <w:p w14:paraId="3176F2FC" w14:textId="77777777" w:rsidR="00204905" w:rsidRDefault="00204905" w:rsidP="002815A0">
      <w:pPr>
        <w:pStyle w:val="Paragraph"/>
        <w:rPr>
          <w:b/>
        </w:rPr>
      </w:pPr>
    </w:p>
    <w:p w14:paraId="3B546EBC" w14:textId="77777777" w:rsidR="00204905" w:rsidRPr="00823235" w:rsidRDefault="00204905" w:rsidP="00204905">
      <w:pPr>
        <w:jc w:val="center"/>
        <w:rPr>
          <w:b/>
        </w:rPr>
      </w:pPr>
      <w:r w:rsidRPr="00823235">
        <w:rPr>
          <w:b/>
        </w:rPr>
        <w:t xml:space="preserve">EIM Transfer Constraint Congested/Intertie Scheduling Limit Not Congested </w:t>
      </w:r>
    </w:p>
    <w:p w14:paraId="3128FD30" w14:textId="77777777" w:rsidR="00204905" w:rsidRDefault="00204905" w:rsidP="00204905"/>
    <w:p w14:paraId="0C85DA94" w14:textId="77777777" w:rsidR="00204905" w:rsidRDefault="00204905" w:rsidP="00204905">
      <w:r>
        <w:rPr>
          <w:noProof/>
        </w:rPr>
        <mc:AlternateContent>
          <mc:Choice Requires="wps">
            <w:drawing>
              <wp:anchor distT="0" distB="0" distL="114300" distR="114300" simplePos="0" relativeHeight="251658242" behindDoc="0" locked="0" layoutInCell="1" allowOverlap="1" wp14:anchorId="4BD33972" wp14:editId="014FB81D">
                <wp:simplePos x="0" y="0"/>
                <wp:positionH relativeFrom="margin">
                  <wp:align>right</wp:align>
                </wp:positionH>
                <wp:positionV relativeFrom="paragraph">
                  <wp:posOffset>9525</wp:posOffset>
                </wp:positionV>
                <wp:extent cx="2023730" cy="2157573"/>
                <wp:effectExtent l="0" t="0" r="15240" b="14605"/>
                <wp:wrapNone/>
                <wp:docPr id="37" name="Flowchart: Connector 37"/>
                <wp:cNvGraphicFramePr/>
                <a:graphic xmlns:a="http://schemas.openxmlformats.org/drawingml/2006/main">
                  <a:graphicData uri="http://schemas.microsoft.com/office/word/2010/wordprocessingShape">
                    <wps:wsp>
                      <wps:cNvSpPr/>
                      <wps:spPr>
                        <a:xfrm>
                          <a:off x="0" y="0"/>
                          <a:ext cx="2023730" cy="21575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277A5" w14:textId="77777777" w:rsidR="00F55122" w:rsidRDefault="00F55122" w:rsidP="00204905">
                            <w:pPr>
                              <w:jc w:val="center"/>
                            </w:pPr>
                            <w:r>
                              <w:t>EIM1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3397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97" type="#_x0000_t120" style="position:absolute;margin-left:108.15pt;margin-top:.75pt;width:159.35pt;height:169.9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" fillcolor="#4f81bd [3204]" strokecolor="#243f60 [1604]" strokeweight="2pt">
                <v:textbox>
                  <w:txbxContent>
                    <w:p w14:paraId="6E6277A5" w14:textId="77777777" w:rsidR="00F55122" w:rsidRDefault="00F55122" w:rsidP="00204905">
                      <w:pPr>
                        <w:jc w:val="center"/>
                      </w:pPr>
                      <w:r>
                        <w:t>EIM1</w:t>
                      </w:r>
                    </w:p>
                  </w:txbxContent>
                </v:textbox>
                <w10:wrap anchorx="margin"/>
              </v:shape>
            </w:pict>
          </mc:Fallback>
        </mc:AlternateContent>
      </w:r>
      <w:r>
        <w:rPr>
          <w:noProof/>
        </w:rPr>
        <mc:AlternateContent>
          <mc:Choice Requires="wps">
            <w:drawing>
              <wp:anchor distT="0" distB="0" distL="114300" distR="114300" simplePos="0" relativeHeight="251658241" behindDoc="0" locked="0" layoutInCell="1" allowOverlap="1" wp14:anchorId="6A56E103" wp14:editId="22031DF0">
                <wp:simplePos x="0" y="0"/>
                <wp:positionH relativeFrom="margin">
                  <wp:align>left</wp:align>
                </wp:positionH>
                <wp:positionV relativeFrom="paragraph">
                  <wp:posOffset>19949</wp:posOffset>
                </wp:positionV>
                <wp:extent cx="2126750" cy="2137025"/>
                <wp:effectExtent l="0" t="0" r="26035" b="15875"/>
                <wp:wrapNone/>
                <wp:docPr id="38" name="Oval 38"/>
                <wp:cNvGraphicFramePr/>
                <a:graphic xmlns:a="http://schemas.openxmlformats.org/drawingml/2006/main">
                  <a:graphicData uri="http://schemas.microsoft.com/office/word/2010/wordprocessingShape">
                    <wps:wsp>
                      <wps:cNvSpPr/>
                      <wps:spPr>
                        <a:xfrm>
                          <a:off x="0" y="0"/>
                          <a:ext cx="2126750" cy="213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3F154" w14:textId="77777777" w:rsidR="00F55122" w:rsidRDefault="00F55122" w:rsidP="00204905">
                            <w:pPr>
                              <w:jc w:val="center"/>
                            </w:pPr>
                            <w:r>
                              <w:t>CISO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6E103" id="Oval 38" o:spid="_x0000_s1098" style="position:absolute;margin-left:0;margin-top:1.55pt;width:167.45pt;height:168.25pt;z-index:251658241;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" fillcolor="#4f81bd [3204]" strokecolor="#243f60 [1604]" strokeweight="2pt">
                <v:textbox>
                  <w:txbxContent>
                    <w:p w14:paraId="35E3F154" w14:textId="77777777" w:rsidR="00F55122" w:rsidRDefault="00F55122" w:rsidP="00204905">
                      <w:pPr>
                        <w:jc w:val="center"/>
                      </w:pPr>
                      <w:r>
                        <w:t>CISO</w:t>
                      </w:r>
                    </w:p>
                  </w:txbxContent>
                </v:textbox>
                <w10:wrap anchorx="margin"/>
              </v:oval>
            </w:pict>
          </mc:Fallback>
        </mc:AlternateContent>
      </w:r>
    </w:p>
    <w:p w14:paraId="061F25D4" w14:textId="77777777" w:rsidR="00204905" w:rsidRDefault="00204905" w:rsidP="00204905"/>
    <w:p w14:paraId="73FAE31F" w14:textId="77777777" w:rsidR="00204905" w:rsidRDefault="00204905" w:rsidP="00204905"/>
    <w:p w14:paraId="7AE8036F" w14:textId="77777777" w:rsidR="00204905" w:rsidRDefault="00204905" w:rsidP="00204905"/>
    <w:p w14:paraId="31D8BE2C" w14:textId="77777777" w:rsidR="00204905" w:rsidRDefault="00204905" w:rsidP="00204905">
      <w:r>
        <w:rPr>
          <w:noProof/>
        </w:rPr>
        <mc:AlternateContent>
          <mc:Choice Requires="wps">
            <w:drawing>
              <wp:anchor distT="0" distB="0" distL="114300" distR="114300" simplePos="0" relativeHeight="251658243" behindDoc="0" locked="0" layoutInCell="1" allowOverlap="1" wp14:anchorId="6CA04A10" wp14:editId="5C464BC3">
                <wp:simplePos x="0" y="0"/>
                <wp:positionH relativeFrom="margin">
                  <wp:posOffset>1815957</wp:posOffset>
                </wp:positionH>
                <wp:positionV relativeFrom="paragraph">
                  <wp:posOffset>48374</wp:posOffset>
                </wp:positionV>
                <wp:extent cx="1849334" cy="729465"/>
                <wp:effectExtent l="57150" t="38100" r="74930" b="90170"/>
                <wp:wrapNone/>
                <wp:docPr id="77" name="Left Arrow 77"/>
                <wp:cNvGraphicFramePr/>
                <a:graphic xmlns:a="http://schemas.openxmlformats.org/drawingml/2006/main">
                  <a:graphicData uri="http://schemas.microsoft.com/office/word/2010/wordprocessingShape">
                    <wps:wsp>
                      <wps:cNvSpPr/>
                      <wps:spPr>
                        <a:xfrm>
                          <a:off x="0" y="0"/>
                          <a:ext cx="1849334" cy="729465"/>
                        </a:xfrm>
                        <a:prstGeom prst="leftArrow">
                          <a:avLst/>
                        </a:prstGeom>
                      </wps:spPr>
                      <wps:style>
                        <a:lnRef idx="1">
                          <a:schemeClr val="accent2"/>
                        </a:lnRef>
                        <a:fillRef idx="2">
                          <a:schemeClr val="accent2"/>
                        </a:fillRef>
                        <a:effectRef idx="1">
                          <a:schemeClr val="accent2"/>
                        </a:effectRef>
                        <a:fontRef idx="minor">
                          <a:schemeClr val="dk1"/>
                        </a:fontRef>
                      </wps:style>
                      <wps:txbx>
                        <w:txbxContent>
                          <w:p w14:paraId="2241F935" w14:textId="77777777" w:rsidR="00F55122" w:rsidRPr="00F3574D" w:rsidRDefault="00F55122" w:rsidP="00204905">
                            <w:pPr>
                              <w:jc w:val="center"/>
                              <w:rPr>
                                <w:sz w:val="20"/>
                              </w:rPr>
                            </w:pPr>
                            <w:r w:rsidRPr="00F3574D">
                              <w:rPr>
                                <w:sz w:val="20"/>
                              </w:rPr>
                              <w:t>EIM Transfer ATC Limit (100 MW)</w:t>
                            </w:r>
                          </w:p>
                          <w:p w14:paraId="5802227F" w14:textId="77777777" w:rsidR="00F55122" w:rsidRPr="00836232" w:rsidRDefault="00F55122" w:rsidP="00204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04A1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7" o:spid="_x0000_s1099" type="#_x0000_t66" style="position:absolute;margin-left:143pt;margin-top:3.8pt;width:145.6pt;height:57.4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" adj="4260" fillcolor="#dfa7a6 [1621]" strokecolor="#bc4542 [3045]">
                <v:fill color2="#f5e4e4 [501]" rotate="t" angle="180" colors="0 #ffa2a1;22938f #ffbebd;1 #ffe5e5" focus="100%" type="gradient"/>
                <v:shadow on="t" color="black" opacity="24903f" origin=",.5" offset="0,.55556mm"/>
                <v:textbox>
                  <w:txbxContent>
                    <w:p w14:paraId="2241F935" w14:textId="77777777" w:rsidR="00F55122" w:rsidRPr="00F3574D" w:rsidRDefault="00F55122" w:rsidP="00204905">
                      <w:pPr>
                        <w:jc w:val="center"/>
                        <w:rPr>
                          <w:sz w:val="20"/>
                        </w:rPr>
                      </w:pPr>
                      <w:r w:rsidRPr="00F3574D">
                        <w:rPr>
                          <w:sz w:val="20"/>
                        </w:rPr>
                        <w:t>EIM Transfer ATC Limit (100 MW)</w:t>
                      </w:r>
                    </w:p>
                    <w:p w14:paraId="5802227F" w14:textId="77777777" w:rsidR="00F55122" w:rsidRPr="00836232" w:rsidRDefault="00F55122" w:rsidP="00204905">
                      <w:pPr>
                        <w:jc w:val="center"/>
                      </w:pPr>
                    </w:p>
                  </w:txbxContent>
                </v:textbox>
                <w10:wrap anchorx="margin"/>
              </v:shape>
            </w:pict>
          </mc:Fallback>
        </mc:AlternateContent>
      </w:r>
    </w:p>
    <w:p w14:paraId="630479C5" w14:textId="77777777" w:rsidR="00204905" w:rsidRDefault="00204905" w:rsidP="00204905"/>
    <w:p w14:paraId="3DC067F6" w14:textId="77777777" w:rsidR="00204905" w:rsidRDefault="00204905" w:rsidP="00204905"/>
    <w:p w14:paraId="196129B4" w14:textId="77777777" w:rsidR="00204905" w:rsidRDefault="00204905" w:rsidP="00204905"/>
    <w:p w14:paraId="3F898FFE" w14:textId="77777777" w:rsidR="00204905" w:rsidRDefault="00204905" w:rsidP="00204905"/>
    <w:p w14:paraId="1B65E68E" w14:textId="77777777" w:rsidR="00204905" w:rsidRDefault="00204905" w:rsidP="00204905"/>
    <w:p w14:paraId="2F4AA2EA" w14:textId="77777777" w:rsidR="00204905" w:rsidRDefault="00204905" w:rsidP="00204905"/>
    <w:p w14:paraId="5D58AFDE" w14:textId="77777777" w:rsidR="00204905" w:rsidRDefault="00204905" w:rsidP="00204905"/>
    <w:p w14:paraId="2E5FAEB7" w14:textId="77777777" w:rsidR="00204905" w:rsidRDefault="00204905" w:rsidP="00204905"/>
    <w:p w14:paraId="27BE7EDE" w14:textId="77777777" w:rsidR="00204905" w:rsidRPr="00875E26" w:rsidRDefault="00204905" w:rsidP="00877DDB">
      <w:pPr>
        <w:pStyle w:val="BPM"/>
      </w:pPr>
      <w:r w:rsidRPr="00875E26">
        <w:t>In the example presented below, the Real Time Market receives Bids from EIM1 Generator and CISO Generator in order to serve EIM1 Load and CISO Load. The Real Time Market Conditions have determined that there is 100 MWs Available Transmission Capacity between EIM1 and CISO with a</w:t>
      </w:r>
      <w:r>
        <w:t>n</w:t>
      </w:r>
      <w:r w:rsidRPr="00875E26">
        <w:t xml:space="preserve"> EIM Transfer Cost of $0.01.  Based upon these conditions, the Real Time Market has dispatched a Generator in the EIM1 Balancing Authority Area (BAA) to serve 50 MWs of EIM1 Load and 100 MWs of CISO Load. The Real Time Market also dispatched a Generator in the CISO BAA to serve an additional 100 MWs of internal Load. Market Conditions has determined that marginal unit is CISO Generator, the EIM Transfer Constraint is congested, and the Intertie scheduling Limit Constraint is not congested.     </w:t>
      </w:r>
    </w:p>
    <w:p w14:paraId="5215E310" w14:textId="77777777" w:rsidR="00204905" w:rsidRPr="00875E26" w:rsidRDefault="00204905" w:rsidP="00877DDB">
      <w:pPr>
        <w:pStyle w:val="BPM"/>
      </w:pPr>
      <w:r w:rsidRPr="00875E26">
        <w:t xml:space="preserve"> Based upon the above mentioned Market Conditions, Settlement calculations will be as follows:</w:t>
      </w:r>
    </w:p>
    <w:p w14:paraId="2CB4C38A" w14:textId="77777777" w:rsidR="00204905" w:rsidRPr="00875E26" w:rsidRDefault="00204905" w:rsidP="00204905">
      <w:pPr>
        <w:ind w:firstLine="720"/>
      </w:pPr>
    </w:p>
    <w:p w14:paraId="2DBE6019" w14:textId="77777777" w:rsidR="00204905" w:rsidRPr="00875E26" w:rsidRDefault="00204905" w:rsidP="00204905">
      <w:r w:rsidRPr="00875E26">
        <w:t>Bids</w:t>
      </w:r>
    </w:p>
    <w:tbl>
      <w:tblPr>
        <w:tblW w:w="87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gridCol w:w="1739"/>
        <w:gridCol w:w="1739"/>
        <w:gridCol w:w="1713"/>
      </w:tblGrid>
      <w:tr w:rsidR="00204905" w:rsidRPr="00875E26" w14:paraId="386F4AC5" w14:textId="77777777" w:rsidTr="00954C07">
        <w:trPr>
          <w:trHeight w:val="602"/>
        </w:trPr>
        <w:tc>
          <w:tcPr>
            <w:tcW w:w="1662" w:type="dxa"/>
            <w:shd w:val="clear" w:color="auto" w:fill="auto"/>
            <w:noWrap/>
            <w:vAlign w:val="bottom"/>
            <w:hideMark/>
          </w:tcPr>
          <w:p w14:paraId="7B796630" w14:textId="77777777" w:rsidR="00204905" w:rsidRPr="00875E26" w:rsidRDefault="00204905" w:rsidP="00954C07">
            <w:pPr>
              <w:jc w:val="center"/>
              <w:rPr>
                <w:color w:val="000000"/>
              </w:rPr>
            </w:pPr>
            <w:r w:rsidRPr="00875E26">
              <w:rPr>
                <w:color w:val="000000"/>
              </w:rPr>
              <w:t>Resource</w:t>
            </w:r>
          </w:p>
        </w:tc>
        <w:tc>
          <w:tcPr>
            <w:tcW w:w="1892" w:type="dxa"/>
            <w:shd w:val="clear" w:color="auto" w:fill="auto"/>
            <w:noWrap/>
            <w:vAlign w:val="bottom"/>
            <w:hideMark/>
          </w:tcPr>
          <w:p w14:paraId="7B5227BC" w14:textId="77777777" w:rsidR="00204905" w:rsidRPr="00875E26" w:rsidRDefault="00204905" w:rsidP="00954C07">
            <w:pPr>
              <w:jc w:val="center"/>
              <w:rPr>
                <w:color w:val="000000"/>
              </w:rPr>
            </w:pPr>
            <w:r w:rsidRPr="00875E26">
              <w:rPr>
                <w:color w:val="000000"/>
              </w:rPr>
              <w:t>Quantity (MW)</w:t>
            </w:r>
          </w:p>
        </w:tc>
        <w:tc>
          <w:tcPr>
            <w:tcW w:w="1739" w:type="dxa"/>
            <w:shd w:val="clear" w:color="auto" w:fill="auto"/>
            <w:vAlign w:val="bottom"/>
            <w:hideMark/>
          </w:tcPr>
          <w:p w14:paraId="19CB5182" w14:textId="77777777" w:rsidR="00204905" w:rsidRPr="00875E26" w:rsidRDefault="00204905" w:rsidP="00954C07">
            <w:pPr>
              <w:jc w:val="center"/>
              <w:rPr>
                <w:color w:val="000000"/>
              </w:rPr>
            </w:pPr>
            <w:r w:rsidRPr="00875E26">
              <w:rPr>
                <w:color w:val="000000"/>
              </w:rPr>
              <w:t>Energy Bid</w:t>
            </w:r>
            <w:r w:rsidRPr="00875E26">
              <w:rPr>
                <w:color w:val="000000"/>
              </w:rPr>
              <w:br/>
              <w:t>Price ($/MW)</w:t>
            </w:r>
          </w:p>
        </w:tc>
        <w:tc>
          <w:tcPr>
            <w:tcW w:w="1739" w:type="dxa"/>
            <w:shd w:val="clear" w:color="auto" w:fill="auto"/>
            <w:vAlign w:val="bottom"/>
            <w:hideMark/>
          </w:tcPr>
          <w:p w14:paraId="2802A598" w14:textId="77777777" w:rsidR="00204905" w:rsidRPr="00875E26" w:rsidRDefault="00204905" w:rsidP="00954C07">
            <w:pPr>
              <w:jc w:val="center"/>
              <w:rPr>
                <w:color w:val="000000"/>
              </w:rPr>
            </w:pPr>
            <w:r w:rsidRPr="00875E26">
              <w:rPr>
                <w:color w:val="000000"/>
              </w:rPr>
              <w:t>GHG Bid</w:t>
            </w:r>
            <w:r w:rsidRPr="00875E26">
              <w:rPr>
                <w:color w:val="000000"/>
              </w:rPr>
              <w:br/>
              <w:t>Price ($/MW)</w:t>
            </w:r>
          </w:p>
        </w:tc>
        <w:tc>
          <w:tcPr>
            <w:tcW w:w="1713" w:type="dxa"/>
            <w:shd w:val="clear" w:color="auto" w:fill="auto"/>
            <w:vAlign w:val="bottom"/>
            <w:hideMark/>
          </w:tcPr>
          <w:p w14:paraId="089788FF" w14:textId="77777777" w:rsidR="00204905" w:rsidRPr="00875E26" w:rsidRDefault="00204905" w:rsidP="00954C07">
            <w:pPr>
              <w:jc w:val="center"/>
              <w:rPr>
                <w:color w:val="000000"/>
              </w:rPr>
            </w:pPr>
            <w:r w:rsidRPr="00875E26">
              <w:rPr>
                <w:color w:val="000000"/>
              </w:rPr>
              <w:t>All-in Bid</w:t>
            </w:r>
            <w:r w:rsidRPr="00875E26">
              <w:rPr>
                <w:color w:val="000000"/>
              </w:rPr>
              <w:br/>
              <w:t>Price ($/MW)</w:t>
            </w:r>
          </w:p>
        </w:tc>
      </w:tr>
      <w:tr w:rsidR="00204905" w:rsidRPr="00875E26" w14:paraId="2515E1E0" w14:textId="77777777" w:rsidTr="00954C07">
        <w:trPr>
          <w:trHeight w:val="313"/>
        </w:trPr>
        <w:tc>
          <w:tcPr>
            <w:tcW w:w="1662" w:type="dxa"/>
            <w:shd w:val="clear" w:color="auto" w:fill="auto"/>
            <w:noWrap/>
            <w:vAlign w:val="bottom"/>
          </w:tcPr>
          <w:p w14:paraId="209440E2" w14:textId="77777777" w:rsidR="00204905" w:rsidRPr="00875E26" w:rsidRDefault="00204905" w:rsidP="00954C07">
            <w:pPr>
              <w:rPr>
                <w:color w:val="000000"/>
              </w:rPr>
            </w:pPr>
            <w:r w:rsidRPr="00875E26">
              <w:rPr>
                <w:color w:val="000000"/>
              </w:rPr>
              <w:t>EIM1Gen</w:t>
            </w:r>
          </w:p>
        </w:tc>
        <w:tc>
          <w:tcPr>
            <w:tcW w:w="1892" w:type="dxa"/>
            <w:shd w:val="clear" w:color="auto" w:fill="auto"/>
            <w:noWrap/>
            <w:vAlign w:val="bottom"/>
          </w:tcPr>
          <w:p w14:paraId="7289E55B" w14:textId="77777777" w:rsidR="00204905" w:rsidRPr="00875E26" w:rsidRDefault="00204905" w:rsidP="00954C07">
            <w:pPr>
              <w:jc w:val="right"/>
              <w:rPr>
                <w:color w:val="000000"/>
              </w:rPr>
            </w:pPr>
            <w:r w:rsidRPr="00875E26">
              <w:rPr>
                <w:color w:val="000000"/>
              </w:rPr>
              <w:t>200</w:t>
            </w:r>
          </w:p>
        </w:tc>
        <w:tc>
          <w:tcPr>
            <w:tcW w:w="1739" w:type="dxa"/>
            <w:shd w:val="clear" w:color="auto" w:fill="auto"/>
            <w:noWrap/>
            <w:vAlign w:val="bottom"/>
          </w:tcPr>
          <w:p w14:paraId="2F30CA4C" w14:textId="77777777" w:rsidR="00204905" w:rsidRPr="00875E26" w:rsidRDefault="00204905" w:rsidP="00954C07">
            <w:pPr>
              <w:rPr>
                <w:color w:val="000000"/>
              </w:rPr>
            </w:pPr>
            <w:r w:rsidRPr="00875E26">
              <w:rPr>
                <w:color w:val="000000"/>
              </w:rPr>
              <w:t xml:space="preserve"> $         35.00 </w:t>
            </w:r>
          </w:p>
        </w:tc>
        <w:tc>
          <w:tcPr>
            <w:tcW w:w="1739" w:type="dxa"/>
            <w:shd w:val="clear" w:color="auto" w:fill="auto"/>
            <w:noWrap/>
            <w:vAlign w:val="bottom"/>
          </w:tcPr>
          <w:p w14:paraId="7DCD915C" w14:textId="77777777" w:rsidR="00204905" w:rsidRPr="00875E26" w:rsidRDefault="00204905" w:rsidP="00954C07">
            <w:pPr>
              <w:rPr>
                <w:color w:val="000000"/>
              </w:rPr>
            </w:pPr>
            <w:r w:rsidRPr="00875E26">
              <w:rPr>
                <w:color w:val="000000"/>
              </w:rPr>
              <w:t xml:space="preserve"> $              -   </w:t>
            </w:r>
          </w:p>
        </w:tc>
        <w:tc>
          <w:tcPr>
            <w:tcW w:w="1713" w:type="dxa"/>
            <w:shd w:val="clear" w:color="auto" w:fill="auto"/>
            <w:noWrap/>
            <w:vAlign w:val="bottom"/>
          </w:tcPr>
          <w:p w14:paraId="524E68C3" w14:textId="77777777" w:rsidR="00204905" w:rsidRPr="00875E26" w:rsidRDefault="00204905" w:rsidP="00954C07">
            <w:pPr>
              <w:rPr>
                <w:color w:val="000000"/>
              </w:rPr>
            </w:pPr>
            <w:r w:rsidRPr="00875E26">
              <w:rPr>
                <w:color w:val="000000"/>
              </w:rPr>
              <w:t xml:space="preserve"> $         35.00 </w:t>
            </w:r>
          </w:p>
        </w:tc>
      </w:tr>
      <w:tr w:rsidR="00204905" w:rsidRPr="00875E26" w14:paraId="78D0D210" w14:textId="77777777" w:rsidTr="00954C07">
        <w:trPr>
          <w:trHeight w:val="313"/>
        </w:trPr>
        <w:tc>
          <w:tcPr>
            <w:tcW w:w="1662" w:type="dxa"/>
            <w:shd w:val="clear" w:color="auto" w:fill="auto"/>
            <w:noWrap/>
            <w:vAlign w:val="bottom"/>
          </w:tcPr>
          <w:p w14:paraId="53870A77" w14:textId="77777777" w:rsidR="00204905" w:rsidRPr="00875E26" w:rsidRDefault="00204905" w:rsidP="00954C07">
            <w:pPr>
              <w:rPr>
                <w:color w:val="000000"/>
              </w:rPr>
            </w:pPr>
            <w:r w:rsidRPr="00875E26">
              <w:rPr>
                <w:color w:val="000000"/>
              </w:rPr>
              <w:t>CISOGen</w:t>
            </w:r>
          </w:p>
        </w:tc>
        <w:tc>
          <w:tcPr>
            <w:tcW w:w="1892" w:type="dxa"/>
            <w:shd w:val="clear" w:color="auto" w:fill="auto"/>
            <w:noWrap/>
            <w:vAlign w:val="bottom"/>
          </w:tcPr>
          <w:p w14:paraId="7EA96AFE" w14:textId="77777777" w:rsidR="00204905" w:rsidRPr="00875E26" w:rsidRDefault="00204905" w:rsidP="00954C07">
            <w:pPr>
              <w:jc w:val="right"/>
              <w:rPr>
                <w:color w:val="000000"/>
              </w:rPr>
            </w:pPr>
            <w:r w:rsidRPr="00875E26">
              <w:rPr>
                <w:color w:val="000000"/>
              </w:rPr>
              <w:t>300</w:t>
            </w:r>
          </w:p>
        </w:tc>
        <w:tc>
          <w:tcPr>
            <w:tcW w:w="1739" w:type="dxa"/>
            <w:shd w:val="clear" w:color="auto" w:fill="auto"/>
            <w:noWrap/>
            <w:vAlign w:val="bottom"/>
          </w:tcPr>
          <w:p w14:paraId="447A8477" w14:textId="77777777" w:rsidR="00204905" w:rsidRPr="00875E26" w:rsidRDefault="00204905" w:rsidP="00954C07">
            <w:pPr>
              <w:rPr>
                <w:color w:val="000000"/>
              </w:rPr>
            </w:pPr>
            <w:r w:rsidRPr="00875E26">
              <w:rPr>
                <w:color w:val="000000"/>
              </w:rPr>
              <w:t xml:space="preserve"> $         50.00 </w:t>
            </w:r>
          </w:p>
        </w:tc>
        <w:tc>
          <w:tcPr>
            <w:tcW w:w="1739" w:type="dxa"/>
            <w:shd w:val="clear" w:color="auto" w:fill="auto"/>
            <w:noWrap/>
            <w:vAlign w:val="bottom"/>
          </w:tcPr>
          <w:p w14:paraId="2B389C2D" w14:textId="77777777" w:rsidR="00204905" w:rsidRPr="00875E26" w:rsidRDefault="00204905" w:rsidP="00954C07">
            <w:pPr>
              <w:rPr>
                <w:color w:val="000000"/>
              </w:rPr>
            </w:pPr>
            <w:r w:rsidRPr="00875E26">
              <w:rPr>
                <w:color w:val="000000"/>
              </w:rPr>
              <w:t xml:space="preserve"> $              -   </w:t>
            </w:r>
          </w:p>
        </w:tc>
        <w:tc>
          <w:tcPr>
            <w:tcW w:w="1713" w:type="dxa"/>
            <w:shd w:val="clear" w:color="auto" w:fill="auto"/>
            <w:noWrap/>
            <w:vAlign w:val="bottom"/>
          </w:tcPr>
          <w:p w14:paraId="35CC471C" w14:textId="77777777" w:rsidR="00204905" w:rsidRPr="00875E26" w:rsidRDefault="00204905" w:rsidP="00954C07">
            <w:pPr>
              <w:rPr>
                <w:color w:val="000000"/>
              </w:rPr>
            </w:pPr>
            <w:r w:rsidRPr="00875E26">
              <w:rPr>
                <w:color w:val="000000"/>
              </w:rPr>
              <w:t xml:space="preserve"> $         50.00 </w:t>
            </w:r>
          </w:p>
        </w:tc>
      </w:tr>
    </w:tbl>
    <w:p w14:paraId="7E17A84B" w14:textId="77777777" w:rsidR="00204905" w:rsidRPr="00875E26" w:rsidRDefault="00204905" w:rsidP="00204905"/>
    <w:p w14:paraId="6CA04871" w14:textId="77777777" w:rsidR="00204905" w:rsidRPr="00875E26" w:rsidRDefault="00204905" w:rsidP="00204905">
      <w:r w:rsidRPr="00875E26">
        <w:t>Load Forecast</w:t>
      </w:r>
    </w:p>
    <w:tbl>
      <w:tblPr>
        <w:tblW w:w="3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tblGrid>
      <w:tr w:rsidR="00204905" w:rsidRPr="00875E26" w14:paraId="3F8F40B8" w14:textId="77777777" w:rsidTr="00954C07">
        <w:trPr>
          <w:trHeight w:val="341"/>
        </w:trPr>
        <w:tc>
          <w:tcPr>
            <w:tcW w:w="1662" w:type="dxa"/>
            <w:shd w:val="clear" w:color="auto" w:fill="auto"/>
            <w:noWrap/>
            <w:vAlign w:val="bottom"/>
            <w:hideMark/>
          </w:tcPr>
          <w:p w14:paraId="5C08195A" w14:textId="77777777" w:rsidR="00204905" w:rsidRPr="00875E26" w:rsidRDefault="00204905" w:rsidP="00954C07">
            <w:pPr>
              <w:jc w:val="center"/>
              <w:rPr>
                <w:color w:val="000000"/>
              </w:rPr>
            </w:pPr>
            <w:r w:rsidRPr="00875E26">
              <w:rPr>
                <w:color w:val="000000"/>
              </w:rPr>
              <w:t>Resource</w:t>
            </w:r>
          </w:p>
        </w:tc>
        <w:tc>
          <w:tcPr>
            <w:tcW w:w="1892" w:type="dxa"/>
            <w:shd w:val="clear" w:color="auto" w:fill="auto"/>
            <w:noWrap/>
            <w:vAlign w:val="bottom"/>
            <w:hideMark/>
          </w:tcPr>
          <w:p w14:paraId="3DC166BD" w14:textId="77777777" w:rsidR="00204905" w:rsidRPr="00875E26" w:rsidRDefault="00204905" w:rsidP="00954C07">
            <w:pPr>
              <w:jc w:val="center"/>
              <w:rPr>
                <w:color w:val="000000"/>
              </w:rPr>
            </w:pPr>
            <w:r w:rsidRPr="00875E26">
              <w:rPr>
                <w:color w:val="000000"/>
              </w:rPr>
              <w:t>Quantity (MW)</w:t>
            </w:r>
          </w:p>
        </w:tc>
      </w:tr>
      <w:tr w:rsidR="00204905" w:rsidRPr="00875E26" w14:paraId="42EB60EE" w14:textId="77777777" w:rsidTr="00954C07">
        <w:trPr>
          <w:trHeight w:val="313"/>
        </w:trPr>
        <w:tc>
          <w:tcPr>
            <w:tcW w:w="1662" w:type="dxa"/>
            <w:shd w:val="clear" w:color="auto" w:fill="auto"/>
            <w:noWrap/>
            <w:vAlign w:val="bottom"/>
          </w:tcPr>
          <w:p w14:paraId="75B2A76F" w14:textId="77777777" w:rsidR="00204905" w:rsidRPr="00875E26" w:rsidRDefault="00204905" w:rsidP="00954C07">
            <w:pPr>
              <w:rPr>
                <w:color w:val="000000"/>
              </w:rPr>
            </w:pPr>
            <w:r w:rsidRPr="00875E26">
              <w:rPr>
                <w:color w:val="000000"/>
              </w:rPr>
              <w:t>EIM1Load</w:t>
            </w:r>
          </w:p>
        </w:tc>
        <w:tc>
          <w:tcPr>
            <w:tcW w:w="1892" w:type="dxa"/>
            <w:shd w:val="clear" w:color="auto" w:fill="auto"/>
            <w:noWrap/>
            <w:vAlign w:val="bottom"/>
          </w:tcPr>
          <w:p w14:paraId="61CE504C" w14:textId="77777777" w:rsidR="00204905" w:rsidRPr="00875E26" w:rsidRDefault="00204905" w:rsidP="00954C07">
            <w:pPr>
              <w:jc w:val="right"/>
              <w:rPr>
                <w:color w:val="000000"/>
              </w:rPr>
            </w:pPr>
            <w:r w:rsidRPr="00875E26">
              <w:rPr>
                <w:color w:val="000000"/>
              </w:rPr>
              <w:t>50</w:t>
            </w:r>
          </w:p>
        </w:tc>
      </w:tr>
      <w:tr w:rsidR="00204905" w:rsidRPr="00875E26" w14:paraId="0C920B92" w14:textId="77777777" w:rsidTr="00954C07">
        <w:trPr>
          <w:trHeight w:val="313"/>
        </w:trPr>
        <w:tc>
          <w:tcPr>
            <w:tcW w:w="1662" w:type="dxa"/>
            <w:shd w:val="clear" w:color="auto" w:fill="auto"/>
            <w:noWrap/>
            <w:vAlign w:val="bottom"/>
          </w:tcPr>
          <w:p w14:paraId="5AF264D3" w14:textId="77777777" w:rsidR="00204905" w:rsidRPr="00875E26" w:rsidRDefault="00204905" w:rsidP="00954C07">
            <w:pPr>
              <w:rPr>
                <w:color w:val="000000"/>
              </w:rPr>
            </w:pPr>
            <w:r w:rsidRPr="00875E26">
              <w:rPr>
                <w:color w:val="000000"/>
              </w:rPr>
              <w:t>CISOLoad</w:t>
            </w:r>
          </w:p>
        </w:tc>
        <w:tc>
          <w:tcPr>
            <w:tcW w:w="1892" w:type="dxa"/>
            <w:shd w:val="clear" w:color="auto" w:fill="auto"/>
            <w:noWrap/>
            <w:vAlign w:val="bottom"/>
          </w:tcPr>
          <w:p w14:paraId="2012CEBE" w14:textId="77777777" w:rsidR="00204905" w:rsidRPr="00875E26" w:rsidRDefault="00204905" w:rsidP="00954C07">
            <w:pPr>
              <w:jc w:val="right"/>
              <w:rPr>
                <w:color w:val="000000"/>
              </w:rPr>
            </w:pPr>
            <w:r w:rsidRPr="00875E26">
              <w:rPr>
                <w:color w:val="000000"/>
              </w:rPr>
              <w:t>200</w:t>
            </w:r>
          </w:p>
        </w:tc>
      </w:tr>
    </w:tbl>
    <w:p w14:paraId="59D28A86" w14:textId="77777777" w:rsidR="00204905" w:rsidRPr="00875E26" w:rsidRDefault="00204905" w:rsidP="00204905"/>
    <w:p w14:paraId="7D191024" w14:textId="77777777" w:rsidR="00204905" w:rsidRPr="00875E26" w:rsidRDefault="00204905" w:rsidP="00204905">
      <w:r w:rsidRPr="00875E26">
        <w:t>Market Dispatch (RTD)</w:t>
      </w:r>
    </w:p>
    <w:tbl>
      <w:tblPr>
        <w:tblW w:w="5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gridCol w:w="2026"/>
      </w:tblGrid>
      <w:tr w:rsidR="00204905" w:rsidRPr="00875E26" w14:paraId="6FB28353" w14:textId="77777777" w:rsidTr="00954C07">
        <w:trPr>
          <w:trHeight w:val="368"/>
        </w:trPr>
        <w:tc>
          <w:tcPr>
            <w:tcW w:w="1662" w:type="dxa"/>
            <w:shd w:val="clear" w:color="auto" w:fill="auto"/>
            <w:noWrap/>
            <w:vAlign w:val="bottom"/>
            <w:hideMark/>
          </w:tcPr>
          <w:p w14:paraId="458D30A3" w14:textId="77777777" w:rsidR="00204905" w:rsidRPr="00875E26" w:rsidRDefault="00204905" w:rsidP="00954C07">
            <w:pPr>
              <w:jc w:val="center"/>
              <w:rPr>
                <w:color w:val="000000"/>
              </w:rPr>
            </w:pPr>
            <w:r w:rsidRPr="00875E26">
              <w:rPr>
                <w:color w:val="000000"/>
              </w:rPr>
              <w:t>Resource</w:t>
            </w:r>
          </w:p>
        </w:tc>
        <w:tc>
          <w:tcPr>
            <w:tcW w:w="1892" w:type="dxa"/>
            <w:shd w:val="clear" w:color="auto" w:fill="auto"/>
            <w:noWrap/>
            <w:vAlign w:val="bottom"/>
            <w:hideMark/>
          </w:tcPr>
          <w:p w14:paraId="548FA4EC" w14:textId="77777777" w:rsidR="00204905" w:rsidRPr="00875E26" w:rsidRDefault="00204905" w:rsidP="00954C07">
            <w:pPr>
              <w:jc w:val="center"/>
              <w:rPr>
                <w:color w:val="000000"/>
              </w:rPr>
            </w:pPr>
            <w:r w:rsidRPr="00875E26">
              <w:rPr>
                <w:color w:val="000000"/>
              </w:rPr>
              <w:t>Quantity (MW)</w:t>
            </w:r>
          </w:p>
        </w:tc>
        <w:tc>
          <w:tcPr>
            <w:tcW w:w="2026" w:type="dxa"/>
            <w:shd w:val="clear" w:color="auto" w:fill="auto"/>
            <w:vAlign w:val="bottom"/>
            <w:hideMark/>
          </w:tcPr>
          <w:p w14:paraId="25B6C50E" w14:textId="77777777" w:rsidR="00204905" w:rsidRPr="00875E26" w:rsidRDefault="00204905" w:rsidP="00954C07">
            <w:pPr>
              <w:jc w:val="center"/>
              <w:rPr>
                <w:color w:val="000000"/>
              </w:rPr>
            </w:pPr>
            <w:r w:rsidRPr="00875E26">
              <w:rPr>
                <w:color w:val="000000"/>
              </w:rPr>
              <w:t>LMP</w:t>
            </w:r>
          </w:p>
        </w:tc>
      </w:tr>
      <w:tr w:rsidR="00204905" w:rsidRPr="00875E26" w14:paraId="77CC772A" w14:textId="77777777" w:rsidTr="00954C07">
        <w:trPr>
          <w:trHeight w:val="313"/>
        </w:trPr>
        <w:tc>
          <w:tcPr>
            <w:tcW w:w="1662" w:type="dxa"/>
            <w:shd w:val="clear" w:color="auto" w:fill="auto"/>
            <w:noWrap/>
            <w:vAlign w:val="bottom"/>
            <w:hideMark/>
          </w:tcPr>
          <w:p w14:paraId="2E64EDCE" w14:textId="77777777" w:rsidR="00204905" w:rsidRPr="00875E26" w:rsidRDefault="00204905" w:rsidP="00954C07">
            <w:pPr>
              <w:rPr>
                <w:color w:val="000000"/>
              </w:rPr>
            </w:pPr>
            <w:r w:rsidRPr="00875E26">
              <w:rPr>
                <w:color w:val="000000"/>
              </w:rPr>
              <w:t>EIM1Gen</w:t>
            </w:r>
          </w:p>
        </w:tc>
        <w:tc>
          <w:tcPr>
            <w:tcW w:w="1892" w:type="dxa"/>
            <w:shd w:val="clear" w:color="auto" w:fill="auto"/>
            <w:noWrap/>
            <w:vAlign w:val="bottom"/>
            <w:hideMark/>
          </w:tcPr>
          <w:p w14:paraId="7103CBFA" w14:textId="77777777" w:rsidR="00204905" w:rsidRPr="00875E26" w:rsidRDefault="00204905" w:rsidP="00954C07">
            <w:pPr>
              <w:jc w:val="right"/>
              <w:rPr>
                <w:color w:val="000000"/>
              </w:rPr>
            </w:pPr>
            <w:r w:rsidRPr="00875E26">
              <w:rPr>
                <w:color w:val="000000"/>
              </w:rPr>
              <w:t>150</w:t>
            </w:r>
          </w:p>
        </w:tc>
        <w:tc>
          <w:tcPr>
            <w:tcW w:w="2026" w:type="dxa"/>
            <w:shd w:val="clear" w:color="auto" w:fill="auto"/>
            <w:noWrap/>
            <w:vAlign w:val="bottom"/>
            <w:hideMark/>
          </w:tcPr>
          <w:p w14:paraId="39B53559" w14:textId="77777777" w:rsidR="00204905" w:rsidRPr="00875E26" w:rsidRDefault="00204905" w:rsidP="00954C07">
            <w:pPr>
              <w:rPr>
                <w:color w:val="000000"/>
              </w:rPr>
            </w:pPr>
            <w:r w:rsidRPr="00875E26">
              <w:rPr>
                <w:color w:val="000000"/>
              </w:rPr>
              <w:t xml:space="preserve"> $              34.99   </w:t>
            </w:r>
          </w:p>
        </w:tc>
      </w:tr>
      <w:tr w:rsidR="00204905" w:rsidRPr="00875E26" w14:paraId="7A1868CA" w14:textId="77777777" w:rsidTr="00954C07">
        <w:trPr>
          <w:trHeight w:val="313"/>
        </w:trPr>
        <w:tc>
          <w:tcPr>
            <w:tcW w:w="1662" w:type="dxa"/>
            <w:shd w:val="clear" w:color="auto" w:fill="auto"/>
            <w:noWrap/>
            <w:vAlign w:val="bottom"/>
          </w:tcPr>
          <w:p w14:paraId="7A046C4F" w14:textId="77777777" w:rsidR="00204905" w:rsidRPr="00875E26" w:rsidRDefault="00204905" w:rsidP="00954C07">
            <w:pPr>
              <w:rPr>
                <w:color w:val="000000"/>
              </w:rPr>
            </w:pPr>
            <w:r w:rsidRPr="00875E26">
              <w:rPr>
                <w:color w:val="000000"/>
              </w:rPr>
              <w:t>CISOGen</w:t>
            </w:r>
          </w:p>
        </w:tc>
        <w:tc>
          <w:tcPr>
            <w:tcW w:w="1892" w:type="dxa"/>
            <w:shd w:val="clear" w:color="auto" w:fill="auto"/>
            <w:noWrap/>
            <w:vAlign w:val="bottom"/>
          </w:tcPr>
          <w:p w14:paraId="16BBFBD4" w14:textId="77777777" w:rsidR="00204905" w:rsidRPr="00875E26" w:rsidRDefault="00204905" w:rsidP="00954C07">
            <w:pPr>
              <w:jc w:val="right"/>
              <w:rPr>
                <w:color w:val="000000"/>
              </w:rPr>
            </w:pPr>
            <w:r w:rsidRPr="00875E26">
              <w:rPr>
                <w:color w:val="000000"/>
              </w:rPr>
              <w:t>100</w:t>
            </w:r>
          </w:p>
        </w:tc>
        <w:tc>
          <w:tcPr>
            <w:tcW w:w="2026" w:type="dxa"/>
            <w:shd w:val="clear" w:color="auto" w:fill="auto"/>
            <w:noWrap/>
            <w:vAlign w:val="bottom"/>
          </w:tcPr>
          <w:p w14:paraId="44B8A17F" w14:textId="77777777" w:rsidR="00204905" w:rsidRPr="00875E26" w:rsidRDefault="00204905" w:rsidP="00954C07">
            <w:pPr>
              <w:rPr>
                <w:color w:val="000000"/>
              </w:rPr>
            </w:pPr>
            <w:r w:rsidRPr="00875E26">
              <w:rPr>
                <w:color w:val="000000"/>
              </w:rPr>
              <w:t xml:space="preserve"> $              50.00  </w:t>
            </w:r>
          </w:p>
        </w:tc>
      </w:tr>
    </w:tbl>
    <w:p w14:paraId="1578FD8E" w14:textId="77777777" w:rsidR="00204905" w:rsidRPr="00875E26" w:rsidRDefault="00204905" w:rsidP="00204905"/>
    <w:p w14:paraId="5DA3E0EA" w14:textId="77777777" w:rsidR="00204905" w:rsidRDefault="00204905" w:rsidP="00204905">
      <w:r w:rsidRPr="00875E26">
        <w:t xml:space="preserve">  </w:t>
      </w:r>
    </w:p>
    <w:p w14:paraId="72F850EA" w14:textId="77777777" w:rsidR="00204905" w:rsidRDefault="00204905" w:rsidP="00204905"/>
    <w:p w14:paraId="3B450E07" w14:textId="77777777" w:rsidR="00204905" w:rsidRPr="00875E26" w:rsidRDefault="00204905" w:rsidP="00204905"/>
    <w:p w14:paraId="63380778" w14:textId="77777777" w:rsidR="00204905" w:rsidRPr="00875E26" w:rsidRDefault="00204905" w:rsidP="00204905">
      <w:r w:rsidRPr="00875E26">
        <w:t>Location Marginal Pricing (RTD)</w:t>
      </w: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40"/>
        <w:gridCol w:w="1360"/>
        <w:gridCol w:w="1360"/>
        <w:gridCol w:w="1340"/>
        <w:gridCol w:w="1260"/>
      </w:tblGrid>
      <w:tr w:rsidR="00204905" w:rsidRPr="00875E26" w14:paraId="131AEF70" w14:textId="77777777" w:rsidTr="00954C07">
        <w:trPr>
          <w:trHeight w:val="464"/>
        </w:trPr>
        <w:tc>
          <w:tcPr>
            <w:tcW w:w="1440" w:type="dxa"/>
            <w:shd w:val="clear" w:color="auto" w:fill="auto"/>
            <w:noWrap/>
            <w:vAlign w:val="bottom"/>
            <w:hideMark/>
          </w:tcPr>
          <w:p w14:paraId="77837A21" w14:textId="77777777" w:rsidR="00204905" w:rsidRPr="00875E26" w:rsidRDefault="00204905" w:rsidP="00954C07">
            <w:pPr>
              <w:rPr>
                <w:color w:val="000000"/>
              </w:rPr>
            </w:pPr>
            <w:r w:rsidRPr="00875E26">
              <w:rPr>
                <w:color w:val="000000"/>
              </w:rPr>
              <w:t>Location</w:t>
            </w:r>
          </w:p>
        </w:tc>
        <w:tc>
          <w:tcPr>
            <w:tcW w:w="1340" w:type="dxa"/>
            <w:shd w:val="clear" w:color="auto" w:fill="auto"/>
            <w:noWrap/>
            <w:vAlign w:val="bottom"/>
            <w:hideMark/>
          </w:tcPr>
          <w:p w14:paraId="09F147A4" w14:textId="77777777" w:rsidR="00204905" w:rsidRPr="00875E26" w:rsidRDefault="00204905" w:rsidP="00954C07">
            <w:pPr>
              <w:rPr>
                <w:color w:val="000000"/>
              </w:rPr>
            </w:pPr>
            <w:r w:rsidRPr="00875E26">
              <w:rPr>
                <w:color w:val="000000"/>
              </w:rPr>
              <w:t>Energy</w:t>
            </w:r>
          </w:p>
        </w:tc>
        <w:tc>
          <w:tcPr>
            <w:tcW w:w="1360" w:type="dxa"/>
            <w:shd w:val="clear" w:color="auto" w:fill="auto"/>
            <w:noWrap/>
            <w:vAlign w:val="bottom"/>
            <w:hideMark/>
          </w:tcPr>
          <w:p w14:paraId="0856179A" w14:textId="77777777" w:rsidR="00204905" w:rsidRPr="00875E26" w:rsidRDefault="00204905" w:rsidP="00954C07">
            <w:pPr>
              <w:rPr>
                <w:color w:val="000000"/>
              </w:rPr>
            </w:pPr>
            <w:r w:rsidRPr="00875E26">
              <w:rPr>
                <w:color w:val="000000"/>
              </w:rPr>
              <w:t>Congestion*</w:t>
            </w:r>
          </w:p>
        </w:tc>
        <w:tc>
          <w:tcPr>
            <w:tcW w:w="1360" w:type="dxa"/>
            <w:shd w:val="clear" w:color="auto" w:fill="auto"/>
            <w:noWrap/>
            <w:vAlign w:val="bottom"/>
            <w:hideMark/>
          </w:tcPr>
          <w:p w14:paraId="69D42B2F" w14:textId="77777777" w:rsidR="00204905" w:rsidRPr="00875E26" w:rsidRDefault="00204905" w:rsidP="00954C07">
            <w:pPr>
              <w:rPr>
                <w:color w:val="000000"/>
              </w:rPr>
            </w:pPr>
            <w:r w:rsidRPr="00875E26">
              <w:rPr>
                <w:color w:val="000000"/>
              </w:rPr>
              <w:t>Losses</w:t>
            </w:r>
          </w:p>
        </w:tc>
        <w:tc>
          <w:tcPr>
            <w:tcW w:w="1340" w:type="dxa"/>
            <w:shd w:val="clear" w:color="auto" w:fill="auto"/>
            <w:noWrap/>
            <w:vAlign w:val="bottom"/>
            <w:hideMark/>
          </w:tcPr>
          <w:p w14:paraId="0B89ABC7" w14:textId="77777777" w:rsidR="00204905" w:rsidRPr="00875E26" w:rsidRDefault="00204905" w:rsidP="00954C07">
            <w:pPr>
              <w:rPr>
                <w:color w:val="000000"/>
              </w:rPr>
            </w:pPr>
            <w:r w:rsidRPr="00875E26">
              <w:rPr>
                <w:color w:val="000000"/>
              </w:rPr>
              <w:t>GHG</w:t>
            </w:r>
          </w:p>
        </w:tc>
        <w:tc>
          <w:tcPr>
            <w:tcW w:w="1260" w:type="dxa"/>
            <w:shd w:val="clear" w:color="auto" w:fill="auto"/>
            <w:noWrap/>
            <w:vAlign w:val="bottom"/>
            <w:hideMark/>
          </w:tcPr>
          <w:p w14:paraId="3B8FB4E1" w14:textId="77777777" w:rsidR="00204905" w:rsidRPr="00875E26" w:rsidRDefault="00204905" w:rsidP="00954C07">
            <w:pPr>
              <w:rPr>
                <w:color w:val="000000"/>
              </w:rPr>
            </w:pPr>
            <w:r w:rsidRPr="00875E26">
              <w:rPr>
                <w:color w:val="000000"/>
              </w:rPr>
              <w:t>Price</w:t>
            </w:r>
          </w:p>
        </w:tc>
      </w:tr>
      <w:tr w:rsidR="00204905" w:rsidRPr="00875E26" w14:paraId="2FE99ADA" w14:textId="77777777" w:rsidTr="00954C07">
        <w:trPr>
          <w:trHeight w:val="464"/>
        </w:trPr>
        <w:tc>
          <w:tcPr>
            <w:tcW w:w="1440" w:type="dxa"/>
            <w:shd w:val="clear" w:color="auto" w:fill="auto"/>
            <w:noWrap/>
            <w:vAlign w:val="bottom"/>
            <w:hideMark/>
          </w:tcPr>
          <w:p w14:paraId="0B604B0C" w14:textId="77777777" w:rsidR="00204905" w:rsidRPr="00875E26" w:rsidRDefault="00204905" w:rsidP="00954C07">
            <w:pPr>
              <w:rPr>
                <w:color w:val="000000"/>
              </w:rPr>
            </w:pPr>
            <w:r w:rsidRPr="00875E26">
              <w:rPr>
                <w:color w:val="000000"/>
              </w:rPr>
              <w:t>EIM1Gen</w:t>
            </w:r>
          </w:p>
        </w:tc>
        <w:tc>
          <w:tcPr>
            <w:tcW w:w="1340" w:type="dxa"/>
            <w:shd w:val="clear" w:color="auto" w:fill="auto"/>
            <w:noWrap/>
            <w:vAlign w:val="bottom"/>
            <w:hideMark/>
          </w:tcPr>
          <w:p w14:paraId="082BB70C" w14:textId="77777777" w:rsidR="00204905" w:rsidRPr="00875E26" w:rsidRDefault="00204905" w:rsidP="00954C07">
            <w:pPr>
              <w:jc w:val="right"/>
              <w:rPr>
                <w:color w:val="000000"/>
              </w:rPr>
            </w:pPr>
            <w:r w:rsidRPr="00875E26">
              <w:rPr>
                <w:color w:val="000000"/>
              </w:rPr>
              <w:t>50</w:t>
            </w:r>
          </w:p>
        </w:tc>
        <w:tc>
          <w:tcPr>
            <w:tcW w:w="1360" w:type="dxa"/>
            <w:shd w:val="clear" w:color="auto" w:fill="auto"/>
            <w:noWrap/>
            <w:vAlign w:val="bottom"/>
            <w:hideMark/>
          </w:tcPr>
          <w:p w14:paraId="1019F6DE" w14:textId="77777777" w:rsidR="00204905" w:rsidRPr="00875E26" w:rsidRDefault="00204905" w:rsidP="00954C07">
            <w:pPr>
              <w:jc w:val="right"/>
              <w:rPr>
                <w:color w:val="000000"/>
              </w:rPr>
            </w:pPr>
            <w:r w:rsidRPr="00875E26">
              <w:rPr>
                <w:color w:val="000000"/>
              </w:rPr>
              <w:t xml:space="preserve">      (15.01)</w:t>
            </w:r>
          </w:p>
        </w:tc>
        <w:tc>
          <w:tcPr>
            <w:tcW w:w="1360" w:type="dxa"/>
            <w:shd w:val="clear" w:color="auto" w:fill="auto"/>
            <w:noWrap/>
            <w:vAlign w:val="bottom"/>
            <w:hideMark/>
          </w:tcPr>
          <w:p w14:paraId="4F205C45" w14:textId="77777777" w:rsidR="00204905" w:rsidRPr="00875E26" w:rsidRDefault="00204905" w:rsidP="00954C07">
            <w:pPr>
              <w:jc w:val="right"/>
              <w:rPr>
                <w:color w:val="000000"/>
              </w:rPr>
            </w:pPr>
            <w:r w:rsidRPr="00875E26">
              <w:rPr>
                <w:color w:val="000000"/>
              </w:rPr>
              <w:t xml:space="preserve">                -   </w:t>
            </w:r>
          </w:p>
        </w:tc>
        <w:tc>
          <w:tcPr>
            <w:tcW w:w="1340" w:type="dxa"/>
            <w:shd w:val="clear" w:color="auto" w:fill="auto"/>
            <w:noWrap/>
            <w:vAlign w:val="bottom"/>
            <w:hideMark/>
          </w:tcPr>
          <w:p w14:paraId="278090B2" w14:textId="77777777" w:rsidR="00204905" w:rsidRPr="00875E26" w:rsidRDefault="00204905" w:rsidP="00954C07">
            <w:pPr>
              <w:jc w:val="right"/>
              <w:rPr>
                <w:color w:val="000000"/>
              </w:rPr>
            </w:pPr>
            <w:r w:rsidRPr="00875E26">
              <w:rPr>
                <w:color w:val="000000"/>
              </w:rPr>
              <w:t xml:space="preserve">                -   </w:t>
            </w:r>
          </w:p>
        </w:tc>
        <w:tc>
          <w:tcPr>
            <w:tcW w:w="1260" w:type="dxa"/>
            <w:shd w:val="clear" w:color="auto" w:fill="auto"/>
            <w:noWrap/>
            <w:vAlign w:val="bottom"/>
            <w:hideMark/>
          </w:tcPr>
          <w:p w14:paraId="0A3BB709" w14:textId="77777777" w:rsidR="00204905" w:rsidRPr="00875E26" w:rsidRDefault="00204905" w:rsidP="00954C07">
            <w:pPr>
              <w:jc w:val="right"/>
              <w:rPr>
                <w:color w:val="000000"/>
              </w:rPr>
            </w:pPr>
            <w:r w:rsidRPr="00875E26">
              <w:rPr>
                <w:color w:val="000000"/>
              </w:rPr>
              <w:t xml:space="preserve">       34.99 </w:t>
            </w:r>
          </w:p>
        </w:tc>
      </w:tr>
      <w:tr w:rsidR="00204905" w:rsidRPr="00875E26" w14:paraId="14198078" w14:textId="77777777" w:rsidTr="00954C07">
        <w:trPr>
          <w:trHeight w:val="464"/>
        </w:trPr>
        <w:tc>
          <w:tcPr>
            <w:tcW w:w="1440" w:type="dxa"/>
            <w:shd w:val="clear" w:color="auto" w:fill="auto"/>
            <w:noWrap/>
            <w:vAlign w:val="bottom"/>
            <w:hideMark/>
          </w:tcPr>
          <w:p w14:paraId="2FE67B15" w14:textId="77777777" w:rsidR="00204905" w:rsidRPr="00875E26" w:rsidRDefault="00204905" w:rsidP="00954C07">
            <w:pPr>
              <w:rPr>
                <w:color w:val="000000"/>
              </w:rPr>
            </w:pPr>
            <w:r w:rsidRPr="00875E26">
              <w:rPr>
                <w:color w:val="000000"/>
              </w:rPr>
              <w:t>CISOGen</w:t>
            </w:r>
          </w:p>
        </w:tc>
        <w:tc>
          <w:tcPr>
            <w:tcW w:w="1340" w:type="dxa"/>
            <w:shd w:val="clear" w:color="auto" w:fill="auto"/>
            <w:noWrap/>
            <w:vAlign w:val="bottom"/>
            <w:hideMark/>
          </w:tcPr>
          <w:p w14:paraId="380C9EF5" w14:textId="77777777" w:rsidR="00204905" w:rsidRPr="00875E26" w:rsidRDefault="00204905" w:rsidP="00954C07">
            <w:pPr>
              <w:jc w:val="right"/>
              <w:rPr>
                <w:color w:val="000000"/>
              </w:rPr>
            </w:pPr>
            <w:r w:rsidRPr="00875E26">
              <w:rPr>
                <w:color w:val="000000"/>
              </w:rPr>
              <w:t xml:space="preserve">                50 </w:t>
            </w:r>
          </w:p>
        </w:tc>
        <w:tc>
          <w:tcPr>
            <w:tcW w:w="1360" w:type="dxa"/>
            <w:shd w:val="clear" w:color="auto" w:fill="auto"/>
            <w:noWrap/>
            <w:vAlign w:val="bottom"/>
            <w:hideMark/>
          </w:tcPr>
          <w:p w14:paraId="573AFE09" w14:textId="77777777" w:rsidR="00204905" w:rsidRPr="00875E26" w:rsidRDefault="00204905" w:rsidP="00954C07">
            <w:pPr>
              <w:jc w:val="right"/>
              <w:rPr>
                <w:color w:val="000000"/>
              </w:rPr>
            </w:pPr>
            <w:r w:rsidRPr="00875E26">
              <w:rPr>
                <w:color w:val="000000"/>
              </w:rPr>
              <w:t xml:space="preserve">                 -   </w:t>
            </w:r>
          </w:p>
        </w:tc>
        <w:tc>
          <w:tcPr>
            <w:tcW w:w="1360" w:type="dxa"/>
            <w:shd w:val="clear" w:color="auto" w:fill="auto"/>
            <w:noWrap/>
            <w:vAlign w:val="bottom"/>
            <w:hideMark/>
          </w:tcPr>
          <w:p w14:paraId="0D3081BB" w14:textId="77777777" w:rsidR="00204905" w:rsidRPr="00875E26" w:rsidRDefault="00204905" w:rsidP="00954C07">
            <w:pPr>
              <w:jc w:val="right"/>
              <w:rPr>
                <w:color w:val="000000"/>
              </w:rPr>
            </w:pPr>
            <w:r w:rsidRPr="00875E26">
              <w:rPr>
                <w:color w:val="000000"/>
              </w:rPr>
              <w:t xml:space="preserve">                -   </w:t>
            </w:r>
          </w:p>
        </w:tc>
        <w:tc>
          <w:tcPr>
            <w:tcW w:w="1340" w:type="dxa"/>
            <w:shd w:val="clear" w:color="auto" w:fill="auto"/>
            <w:noWrap/>
            <w:vAlign w:val="bottom"/>
            <w:hideMark/>
          </w:tcPr>
          <w:p w14:paraId="18ED89F9" w14:textId="77777777" w:rsidR="00204905" w:rsidRPr="00875E26" w:rsidRDefault="00204905" w:rsidP="00954C07">
            <w:pPr>
              <w:jc w:val="right"/>
              <w:rPr>
                <w:color w:val="000000"/>
              </w:rPr>
            </w:pPr>
            <w:r w:rsidRPr="00875E26">
              <w:rPr>
                <w:color w:val="000000"/>
              </w:rPr>
              <w:t xml:space="preserve">                -   </w:t>
            </w:r>
          </w:p>
        </w:tc>
        <w:tc>
          <w:tcPr>
            <w:tcW w:w="1260" w:type="dxa"/>
            <w:shd w:val="clear" w:color="auto" w:fill="auto"/>
            <w:noWrap/>
            <w:vAlign w:val="bottom"/>
            <w:hideMark/>
          </w:tcPr>
          <w:p w14:paraId="6BD2E148" w14:textId="77777777" w:rsidR="00204905" w:rsidRPr="00875E26" w:rsidRDefault="00204905" w:rsidP="00954C07">
            <w:pPr>
              <w:jc w:val="right"/>
              <w:rPr>
                <w:color w:val="000000"/>
              </w:rPr>
            </w:pPr>
            <w:r w:rsidRPr="00875E26">
              <w:rPr>
                <w:color w:val="000000"/>
              </w:rPr>
              <w:t xml:space="preserve"> 50 </w:t>
            </w:r>
          </w:p>
        </w:tc>
      </w:tr>
      <w:tr w:rsidR="00204905" w:rsidRPr="00875E26" w14:paraId="4C40472E" w14:textId="77777777" w:rsidTr="00954C07">
        <w:trPr>
          <w:trHeight w:val="464"/>
        </w:trPr>
        <w:tc>
          <w:tcPr>
            <w:tcW w:w="1440" w:type="dxa"/>
            <w:shd w:val="clear" w:color="auto" w:fill="auto"/>
            <w:noWrap/>
            <w:vAlign w:val="bottom"/>
            <w:hideMark/>
          </w:tcPr>
          <w:p w14:paraId="31623211" w14:textId="77777777" w:rsidR="00204905" w:rsidRPr="00875E26" w:rsidRDefault="00204905" w:rsidP="00954C07">
            <w:pPr>
              <w:rPr>
                <w:color w:val="000000"/>
              </w:rPr>
            </w:pPr>
            <w:r w:rsidRPr="00875E26">
              <w:rPr>
                <w:color w:val="000000"/>
              </w:rPr>
              <w:t>PACLoad</w:t>
            </w:r>
          </w:p>
        </w:tc>
        <w:tc>
          <w:tcPr>
            <w:tcW w:w="1340" w:type="dxa"/>
            <w:shd w:val="clear" w:color="auto" w:fill="auto"/>
            <w:noWrap/>
            <w:vAlign w:val="bottom"/>
            <w:hideMark/>
          </w:tcPr>
          <w:p w14:paraId="1F27920A" w14:textId="77777777" w:rsidR="00204905" w:rsidRPr="00875E26" w:rsidRDefault="00204905" w:rsidP="00954C07">
            <w:pPr>
              <w:jc w:val="right"/>
              <w:rPr>
                <w:color w:val="000000"/>
              </w:rPr>
            </w:pPr>
            <w:r w:rsidRPr="00875E26">
              <w:rPr>
                <w:color w:val="000000"/>
              </w:rPr>
              <w:t xml:space="preserve">                50 </w:t>
            </w:r>
          </w:p>
        </w:tc>
        <w:tc>
          <w:tcPr>
            <w:tcW w:w="1360" w:type="dxa"/>
            <w:shd w:val="clear" w:color="auto" w:fill="auto"/>
            <w:noWrap/>
            <w:vAlign w:val="bottom"/>
            <w:hideMark/>
          </w:tcPr>
          <w:p w14:paraId="4C1A57A2" w14:textId="77777777" w:rsidR="00204905" w:rsidRPr="00875E26" w:rsidRDefault="00204905" w:rsidP="00954C07">
            <w:pPr>
              <w:jc w:val="right"/>
              <w:rPr>
                <w:color w:val="000000"/>
              </w:rPr>
            </w:pPr>
            <w:r w:rsidRPr="00875E26">
              <w:rPr>
                <w:color w:val="000000"/>
              </w:rPr>
              <w:t xml:space="preserve"> (15.01)</w:t>
            </w:r>
          </w:p>
        </w:tc>
        <w:tc>
          <w:tcPr>
            <w:tcW w:w="1360" w:type="dxa"/>
            <w:shd w:val="clear" w:color="auto" w:fill="auto"/>
            <w:noWrap/>
            <w:vAlign w:val="bottom"/>
            <w:hideMark/>
          </w:tcPr>
          <w:p w14:paraId="29A0BF10" w14:textId="77777777" w:rsidR="00204905" w:rsidRPr="00875E26" w:rsidRDefault="00204905" w:rsidP="00954C07">
            <w:pPr>
              <w:jc w:val="right"/>
              <w:rPr>
                <w:color w:val="000000"/>
              </w:rPr>
            </w:pPr>
            <w:r w:rsidRPr="00875E26">
              <w:rPr>
                <w:color w:val="000000"/>
              </w:rPr>
              <w:t xml:space="preserve">                -   </w:t>
            </w:r>
          </w:p>
        </w:tc>
        <w:tc>
          <w:tcPr>
            <w:tcW w:w="1340" w:type="dxa"/>
            <w:shd w:val="clear" w:color="auto" w:fill="auto"/>
            <w:noWrap/>
            <w:vAlign w:val="bottom"/>
            <w:hideMark/>
          </w:tcPr>
          <w:p w14:paraId="16CEA128" w14:textId="77777777" w:rsidR="00204905" w:rsidRPr="00875E26" w:rsidRDefault="00204905" w:rsidP="00954C07">
            <w:pPr>
              <w:jc w:val="right"/>
              <w:rPr>
                <w:color w:val="000000"/>
              </w:rPr>
            </w:pPr>
            <w:r w:rsidRPr="00875E26">
              <w:rPr>
                <w:color w:val="000000"/>
              </w:rPr>
              <w:t xml:space="preserve">                -   </w:t>
            </w:r>
          </w:p>
        </w:tc>
        <w:tc>
          <w:tcPr>
            <w:tcW w:w="1260" w:type="dxa"/>
            <w:shd w:val="clear" w:color="auto" w:fill="auto"/>
            <w:noWrap/>
            <w:vAlign w:val="bottom"/>
            <w:hideMark/>
          </w:tcPr>
          <w:p w14:paraId="100934EE" w14:textId="77777777" w:rsidR="00204905" w:rsidRPr="00875E26" w:rsidRDefault="00204905" w:rsidP="00954C07">
            <w:pPr>
              <w:jc w:val="right"/>
              <w:rPr>
                <w:color w:val="000000"/>
              </w:rPr>
            </w:pPr>
            <w:r w:rsidRPr="00875E26">
              <w:rPr>
                <w:color w:val="000000"/>
              </w:rPr>
              <w:t xml:space="preserve">        34.99 </w:t>
            </w:r>
          </w:p>
        </w:tc>
      </w:tr>
      <w:tr w:rsidR="00204905" w:rsidRPr="00875E26" w14:paraId="5DD7EEB6" w14:textId="77777777" w:rsidTr="00954C07">
        <w:trPr>
          <w:trHeight w:val="464"/>
        </w:trPr>
        <w:tc>
          <w:tcPr>
            <w:tcW w:w="1440" w:type="dxa"/>
            <w:shd w:val="clear" w:color="auto" w:fill="auto"/>
            <w:noWrap/>
            <w:vAlign w:val="bottom"/>
            <w:hideMark/>
          </w:tcPr>
          <w:p w14:paraId="58F79CCE" w14:textId="77777777" w:rsidR="00204905" w:rsidRPr="00875E26" w:rsidRDefault="00204905" w:rsidP="00954C07">
            <w:pPr>
              <w:rPr>
                <w:color w:val="000000"/>
              </w:rPr>
            </w:pPr>
            <w:r w:rsidRPr="00875E26">
              <w:rPr>
                <w:color w:val="000000"/>
              </w:rPr>
              <w:t>CISOLoad</w:t>
            </w:r>
          </w:p>
        </w:tc>
        <w:tc>
          <w:tcPr>
            <w:tcW w:w="1340" w:type="dxa"/>
            <w:shd w:val="clear" w:color="auto" w:fill="auto"/>
            <w:noWrap/>
            <w:vAlign w:val="bottom"/>
            <w:hideMark/>
          </w:tcPr>
          <w:p w14:paraId="2E4776A9" w14:textId="77777777" w:rsidR="00204905" w:rsidRPr="00875E26" w:rsidRDefault="00204905" w:rsidP="00954C07">
            <w:pPr>
              <w:jc w:val="right"/>
              <w:rPr>
                <w:color w:val="000000"/>
              </w:rPr>
            </w:pPr>
            <w:r w:rsidRPr="00875E26">
              <w:rPr>
                <w:color w:val="000000"/>
              </w:rPr>
              <w:t xml:space="preserve">                50 </w:t>
            </w:r>
          </w:p>
        </w:tc>
        <w:tc>
          <w:tcPr>
            <w:tcW w:w="1360" w:type="dxa"/>
            <w:shd w:val="clear" w:color="auto" w:fill="auto"/>
            <w:noWrap/>
            <w:vAlign w:val="bottom"/>
            <w:hideMark/>
          </w:tcPr>
          <w:p w14:paraId="069FF37C" w14:textId="77777777" w:rsidR="00204905" w:rsidRPr="00875E26" w:rsidRDefault="00204905" w:rsidP="00954C07">
            <w:pPr>
              <w:jc w:val="right"/>
              <w:rPr>
                <w:color w:val="000000"/>
              </w:rPr>
            </w:pPr>
            <w:r w:rsidRPr="00875E26">
              <w:rPr>
                <w:color w:val="000000"/>
              </w:rPr>
              <w:t xml:space="preserve">                 -   </w:t>
            </w:r>
          </w:p>
        </w:tc>
        <w:tc>
          <w:tcPr>
            <w:tcW w:w="1360" w:type="dxa"/>
            <w:shd w:val="clear" w:color="auto" w:fill="auto"/>
            <w:noWrap/>
            <w:vAlign w:val="bottom"/>
            <w:hideMark/>
          </w:tcPr>
          <w:p w14:paraId="414C9777" w14:textId="77777777" w:rsidR="00204905" w:rsidRPr="00875E26" w:rsidRDefault="00204905" w:rsidP="00954C07">
            <w:pPr>
              <w:jc w:val="right"/>
              <w:rPr>
                <w:color w:val="000000"/>
              </w:rPr>
            </w:pPr>
            <w:r w:rsidRPr="00875E26">
              <w:rPr>
                <w:color w:val="000000"/>
              </w:rPr>
              <w:t xml:space="preserve">                -   </w:t>
            </w:r>
          </w:p>
        </w:tc>
        <w:tc>
          <w:tcPr>
            <w:tcW w:w="1340" w:type="dxa"/>
            <w:shd w:val="clear" w:color="auto" w:fill="auto"/>
            <w:noWrap/>
            <w:vAlign w:val="bottom"/>
            <w:hideMark/>
          </w:tcPr>
          <w:p w14:paraId="325B8BA5" w14:textId="77777777" w:rsidR="00204905" w:rsidRPr="00875E26" w:rsidRDefault="00204905" w:rsidP="00954C07">
            <w:pPr>
              <w:jc w:val="right"/>
              <w:rPr>
                <w:color w:val="000000"/>
              </w:rPr>
            </w:pPr>
            <w:r w:rsidRPr="00875E26">
              <w:rPr>
                <w:color w:val="000000"/>
              </w:rPr>
              <w:t xml:space="preserve">                -   </w:t>
            </w:r>
          </w:p>
        </w:tc>
        <w:tc>
          <w:tcPr>
            <w:tcW w:w="1260" w:type="dxa"/>
            <w:shd w:val="clear" w:color="auto" w:fill="auto"/>
            <w:noWrap/>
            <w:vAlign w:val="bottom"/>
            <w:hideMark/>
          </w:tcPr>
          <w:p w14:paraId="7D09037E" w14:textId="77777777" w:rsidR="00204905" w:rsidRPr="00875E26" w:rsidRDefault="00204905" w:rsidP="00954C07">
            <w:pPr>
              <w:jc w:val="right"/>
              <w:rPr>
                <w:color w:val="000000"/>
              </w:rPr>
            </w:pPr>
            <w:r w:rsidRPr="00875E26">
              <w:rPr>
                <w:color w:val="000000"/>
              </w:rPr>
              <w:t xml:space="preserve">          50 </w:t>
            </w:r>
          </w:p>
        </w:tc>
      </w:tr>
      <w:tr w:rsidR="00204905" w:rsidRPr="00875E26" w14:paraId="0442B5C3" w14:textId="77777777" w:rsidTr="00954C07">
        <w:trPr>
          <w:trHeight w:val="464"/>
        </w:trPr>
        <w:tc>
          <w:tcPr>
            <w:tcW w:w="1440" w:type="dxa"/>
            <w:shd w:val="clear" w:color="auto" w:fill="auto"/>
            <w:noWrap/>
            <w:vAlign w:val="bottom"/>
          </w:tcPr>
          <w:p w14:paraId="3FED925C" w14:textId="77777777" w:rsidR="00204905" w:rsidRPr="00875E26" w:rsidRDefault="00204905" w:rsidP="00954C07">
            <w:pPr>
              <w:rPr>
                <w:color w:val="000000"/>
              </w:rPr>
            </w:pPr>
            <w:r w:rsidRPr="00875E26">
              <w:rPr>
                <w:color w:val="000000"/>
              </w:rPr>
              <w:t>EIM Transfer</w:t>
            </w:r>
          </w:p>
        </w:tc>
        <w:tc>
          <w:tcPr>
            <w:tcW w:w="1340" w:type="dxa"/>
            <w:shd w:val="clear" w:color="auto" w:fill="auto"/>
            <w:noWrap/>
            <w:vAlign w:val="bottom"/>
          </w:tcPr>
          <w:p w14:paraId="1814AFE3" w14:textId="77777777" w:rsidR="00204905" w:rsidRPr="00875E26" w:rsidRDefault="00204905" w:rsidP="00954C07">
            <w:pPr>
              <w:jc w:val="right"/>
              <w:rPr>
                <w:color w:val="000000"/>
              </w:rPr>
            </w:pPr>
            <w:r w:rsidRPr="00875E26">
              <w:rPr>
                <w:color w:val="000000"/>
              </w:rPr>
              <w:t xml:space="preserve">                50 </w:t>
            </w:r>
          </w:p>
        </w:tc>
        <w:tc>
          <w:tcPr>
            <w:tcW w:w="1360" w:type="dxa"/>
            <w:shd w:val="clear" w:color="auto" w:fill="auto"/>
            <w:noWrap/>
            <w:vAlign w:val="bottom"/>
          </w:tcPr>
          <w:p w14:paraId="6CAC507C" w14:textId="77777777" w:rsidR="00204905" w:rsidRPr="00875E26" w:rsidRDefault="00204905" w:rsidP="00954C07">
            <w:pPr>
              <w:jc w:val="right"/>
              <w:rPr>
                <w:color w:val="000000"/>
              </w:rPr>
            </w:pPr>
            <w:r w:rsidRPr="00875E26">
              <w:rPr>
                <w:color w:val="000000"/>
              </w:rPr>
              <w:t xml:space="preserve">                 -   </w:t>
            </w:r>
          </w:p>
        </w:tc>
        <w:tc>
          <w:tcPr>
            <w:tcW w:w="1360" w:type="dxa"/>
            <w:shd w:val="clear" w:color="auto" w:fill="auto"/>
            <w:noWrap/>
            <w:vAlign w:val="bottom"/>
          </w:tcPr>
          <w:p w14:paraId="299887A7" w14:textId="77777777" w:rsidR="00204905" w:rsidRPr="00875E26" w:rsidRDefault="00204905" w:rsidP="00954C07">
            <w:pPr>
              <w:jc w:val="right"/>
              <w:rPr>
                <w:color w:val="000000"/>
              </w:rPr>
            </w:pPr>
            <w:r w:rsidRPr="00875E26">
              <w:rPr>
                <w:color w:val="000000"/>
              </w:rPr>
              <w:t xml:space="preserve">                -   </w:t>
            </w:r>
          </w:p>
        </w:tc>
        <w:tc>
          <w:tcPr>
            <w:tcW w:w="1340" w:type="dxa"/>
            <w:shd w:val="clear" w:color="auto" w:fill="auto"/>
            <w:noWrap/>
            <w:vAlign w:val="bottom"/>
          </w:tcPr>
          <w:p w14:paraId="5B98ED01" w14:textId="77777777" w:rsidR="00204905" w:rsidRPr="00875E26" w:rsidRDefault="00204905" w:rsidP="00954C07">
            <w:pPr>
              <w:jc w:val="right"/>
              <w:rPr>
                <w:color w:val="000000"/>
              </w:rPr>
            </w:pPr>
            <w:r w:rsidRPr="00875E26">
              <w:rPr>
                <w:color w:val="000000"/>
              </w:rPr>
              <w:t xml:space="preserve">                -   </w:t>
            </w:r>
          </w:p>
        </w:tc>
        <w:tc>
          <w:tcPr>
            <w:tcW w:w="1260" w:type="dxa"/>
            <w:shd w:val="clear" w:color="auto" w:fill="auto"/>
            <w:noWrap/>
            <w:vAlign w:val="bottom"/>
          </w:tcPr>
          <w:p w14:paraId="14C92951" w14:textId="77777777" w:rsidR="00204905" w:rsidRPr="00875E26" w:rsidRDefault="00204905" w:rsidP="00954C07">
            <w:pPr>
              <w:jc w:val="right"/>
              <w:rPr>
                <w:color w:val="000000"/>
              </w:rPr>
            </w:pPr>
            <w:r w:rsidRPr="00875E26">
              <w:rPr>
                <w:color w:val="000000"/>
              </w:rPr>
              <w:t xml:space="preserve">          50 </w:t>
            </w:r>
          </w:p>
        </w:tc>
      </w:tr>
    </w:tbl>
    <w:p w14:paraId="0E43A933" w14:textId="77777777" w:rsidR="00204905" w:rsidRPr="00875E26" w:rsidRDefault="00204905" w:rsidP="00204905">
      <w:pPr>
        <w:rPr>
          <w:sz w:val="18"/>
        </w:rPr>
      </w:pPr>
      <w:r w:rsidRPr="00875E26">
        <w:rPr>
          <w:sz w:val="18"/>
        </w:rPr>
        <w:t xml:space="preserve">* Congestion is based upon the EIM Constraint ($15) plus Intertie Scheduling Limit ($0) plus the EIM Transfer Costs ($0.01).  </w:t>
      </w:r>
    </w:p>
    <w:p w14:paraId="54BEB536" w14:textId="77777777" w:rsidR="00204905" w:rsidRPr="00875E26" w:rsidRDefault="00204905" w:rsidP="00204905"/>
    <w:p w14:paraId="333AAE7C" w14:textId="77777777" w:rsidR="00204905" w:rsidRPr="00875E26" w:rsidRDefault="00204905" w:rsidP="00204905">
      <w:r w:rsidRPr="00875E26">
        <w:t>Settlement:</w:t>
      </w:r>
    </w:p>
    <w:tbl>
      <w:tblPr>
        <w:tblW w:w="8100" w:type="dxa"/>
        <w:tblInd w:w="-5" w:type="dxa"/>
        <w:tblLook w:val="04A0" w:firstRow="1" w:lastRow="0" w:firstColumn="1" w:lastColumn="0" w:noHBand="0" w:noVBand="1"/>
      </w:tblPr>
      <w:tblGrid>
        <w:gridCol w:w="2140"/>
        <w:gridCol w:w="1182"/>
        <w:gridCol w:w="1088"/>
        <w:gridCol w:w="1572"/>
        <w:gridCol w:w="2118"/>
      </w:tblGrid>
      <w:tr w:rsidR="00204905" w:rsidRPr="00875E26" w14:paraId="43512760"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4AB07" w14:textId="77777777" w:rsidR="00204905" w:rsidRPr="00875E26" w:rsidRDefault="00204905" w:rsidP="00954C07">
            <w:pPr>
              <w:rPr>
                <w:color w:val="000000"/>
              </w:rPr>
            </w:pPr>
            <w:r w:rsidRPr="00875E26">
              <w:rPr>
                <w:color w:val="000000"/>
              </w:rPr>
              <w:t>Charge Code</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7E621F87" w14:textId="77777777" w:rsidR="00204905" w:rsidRPr="00875E26" w:rsidRDefault="00204905" w:rsidP="00954C07">
            <w:pPr>
              <w:rPr>
                <w:color w:val="000000"/>
              </w:rPr>
            </w:pPr>
            <w:r w:rsidRPr="00875E26">
              <w:rPr>
                <w:color w:val="000000"/>
              </w:rPr>
              <w:t>Resource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15608524" w14:textId="77777777" w:rsidR="00204905" w:rsidRPr="00875E26" w:rsidRDefault="00204905" w:rsidP="00954C07">
            <w:pPr>
              <w:rPr>
                <w:color w:val="000000"/>
              </w:rPr>
            </w:pPr>
            <w:r w:rsidRPr="00875E26">
              <w:rPr>
                <w:color w:val="000000"/>
              </w:rPr>
              <w:t>Qty</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14:paraId="32E07CBD" w14:textId="77777777" w:rsidR="00204905" w:rsidRPr="00875E26" w:rsidRDefault="00204905" w:rsidP="00954C07">
            <w:pPr>
              <w:rPr>
                <w:color w:val="000000"/>
              </w:rPr>
            </w:pPr>
            <w:r w:rsidRPr="00875E26">
              <w:rPr>
                <w:color w:val="000000"/>
              </w:rPr>
              <w:t>Price</w:t>
            </w:r>
          </w:p>
        </w:tc>
        <w:tc>
          <w:tcPr>
            <w:tcW w:w="2118" w:type="dxa"/>
            <w:tcBorders>
              <w:top w:val="single" w:sz="4" w:space="0" w:color="auto"/>
              <w:left w:val="nil"/>
              <w:bottom w:val="single" w:sz="4" w:space="0" w:color="auto"/>
              <w:right w:val="single" w:sz="4" w:space="0" w:color="auto"/>
            </w:tcBorders>
            <w:shd w:val="clear" w:color="auto" w:fill="auto"/>
            <w:noWrap/>
            <w:vAlign w:val="bottom"/>
            <w:hideMark/>
          </w:tcPr>
          <w:p w14:paraId="691E1D26" w14:textId="77777777" w:rsidR="00204905" w:rsidRPr="00875E26" w:rsidRDefault="00204905" w:rsidP="00954C07">
            <w:pPr>
              <w:rPr>
                <w:color w:val="000000"/>
              </w:rPr>
            </w:pPr>
            <w:r w:rsidRPr="00875E26">
              <w:rPr>
                <w:color w:val="000000"/>
              </w:rPr>
              <w:t>(Payment)/Charge</w:t>
            </w:r>
          </w:p>
        </w:tc>
      </w:tr>
      <w:tr w:rsidR="00204905" w:rsidRPr="00875E26" w14:paraId="0783A2D9"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B606F49" w14:textId="77777777" w:rsidR="00204905" w:rsidRPr="00875E26" w:rsidRDefault="00204905" w:rsidP="00954C07">
            <w:pPr>
              <w:rPr>
                <w:color w:val="000000"/>
              </w:rPr>
            </w:pPr>
            <w:r w:rsidRPr="00875E26">
              <w:rPr>
                <w:color w:val="000000"/>
              </w:rPr>
              <w:t>CC 64700</w:t>
            </w:r>
          </w:p>
        </w:tc>
        <w:tc>
          <w:tcPr>
            <w:tcW w:w="1182" w:type="dxa"/>
            <w:tcBorders>
              <w:top w:val="nil"/>
              <w:left w:val="nil"/>
              <w:bottom w:val="single" w:sz="4" w:space="0" w:color="auto"/>
              <w:right w:val="single" w:sz="4" w:space="0" w:color="auto"/>
            </w:tcBorders>
            <w:shd w:val="clear" w:color="auto" w:fill="auto"/>
            <w:noWrap/>
            <w:vAlign w:val="bottom"/>
            <w:hideMark/>
          </w:tcPr>
          <w:p w14:paraId="5D99FC17" w14:textId="77777777" w:rsidR="00204905" w:rsidRPr="00875E26" w:rsidRDefault="00204905" w:rsidP="00954C07">
            <w:pPr>
              <w:rPr>
                <w:color w:val="000000"/>
              </w:rPr>
            </w:pPr>
            <w:r w:rsidRPr="00875E26">
              <w:rPr>
                <w:color w:val="000000"/>
              </w:rPr>
              <w:t>EIM1Gen</w:t>
            </w:r>
          </w:p>
        </w:tc>
        <w:tc>
          <w:tcPr>
            <w:tcW w:w="1088" w:type="dxa"/>
            <w:tcBorders>
              <w:top w:val="nil"/>
              <w:left w:val="nil"/>
              <w:bottom w:val="single" w:sz="4" w:space="0" w:color="auto"/>
              <w:right w:val="single" w:sz="4" w:space="0" w:color="auto"/>
            </w:tcBorders>
            <w:shd w:val="clear" w:color="auto" w:fill="auto"/>
            <w:noWrap/>
            <w:vAlign w:val="bottom"/>
            <w:hideMark/>
          </w:tcPr>
          <w:p w14:paraId="7768DD83" w14:textId="77777777" w:rsidR="00204905" w:rsidRPr="00875E26" w:rsidRDefault="00204905" w:rsidP="00954C07">
            <w:pPr>
              <w:jc w:val="right"/>
              <w:rPr>
                <w:color w:val="000000"/>
              </w:rPr>
            </w:pPr>
            <w:r w:rsidRPr="00875E26">
              <w:rPr>
                <w:color w:val="000000"/>
              </w:rPr>
              <w:t>150</w:t>
            </w:r>
          </w:p>
        </w:tc>
        <w:tc>
          <w:tcPr>
            <w:tcW w:w="1572" w:type="dxa"/>
            <w:tcBorders>
              <w:top w:val="nil"/>
              <w:left w:val="nil"/>
              <w:bottom w:val="single" w:sz="4" w:space="0" w:color="auto"/>
              <w:right w:val="single" w:sz="4" w:space="0" w:color="auto"/>
            </w:tcBorders>
            <w:shd w:val="clear" w:color="auto" w:fill="auto"/>
            <w:noWrap/>
            <w:vAlign w:val="bottom"/>
            <w:hideMark/>
          </w:tcPr>
          <w:p w14:paraId="0D06DEA8" w14:textId="77777777" w:rsidR="00204905" w:rsidRPr="00875E26" w:rsidRDefault="00204905" w:rsidP="00954C07">
            <w:pPr>
              <w:rPr>
                <w:color w:val="000000"/>
              </w:rPr>
            </w:pPr>
            <w:r w:rsidRPr="00875E26">
              <w:rPr>
                <w:color w:val="000000"/>
              </w:rPr>
              <w:t xml:space="preserve"> $      34.99 </w:t>
            </w:r>
          </w:p>
        </w:tc>
        <w:tc>
          <w:tcPr>
            <w:tcW w:w="2118" w:type="dxa"/>
            <w:tcBorders>
              <w:top w:val="nil"/>
              <w:left w:val="nil"/>
              <w:bottom w:val="single" w:sz="4" w:space="0" w:color="auto"/>
              <w:right w:val="single" w:sz="4" w:space="0" w:color="auto"/>
            </w:tcBorders>
            <w:shd w:val="clear" w:color="auto" w:fill="auto"/>
            <w:noWrap/>
            <w:vAlign w:val="bottom"/>
            <w:hideMark/>
          </w:tcPr>
          <w:p w14:paraId="5B989471" w14:textId="77777777" w:rsidR="00204905" w:rsidRPr="00875E26" w:rsidRDefault="00204905" w:rsidP="00954C07">
            <w:pPr>
              <w:rPr>
                <w:color w:val="000000"/>
              </w:rPr>
            </w:pPr>
            <w:r w:rsidRPr="00875E26">
              <w:rPr>
                <w:color w:val="000000"/>
              </w:rPr>
              <w:t xml:space="preserve"> $          (5,248.50)</w:t>
            </w:r>
          </w:p>
        </w:tc>
      </w:tr>
      <w:tr w:rsidR="00204905" w:rsidRPr="00875E26" w14:paraId="0B58F7C5"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00B129B" w14:textId="77777777" w:rsidR="00204905" w:rsidRPr="00875E26" w:rsidRDefault="00204905" w:rsidP="00954C07">
            <w:pPr>
              <w:rPr>
                <w:color w:val="000000"/>
              </w:rPr>
            </w:pPr>
            <w:r w:rsidRPr="00875E26">
              <w:rPr>
                <w:color w:val="000000"/>
              </w:rPr>
              <w:t>CC 6470</w:t>
            </w:r>
          </w:p>
        </w:tc>
        <w:tc>
          <w:tcPr>
            <w:tcW w:w="1182" w:type="dxa"/>
            <w:tcBorders>
              <w:top w:val="nil"/>
              <w:left w:val="nil"/>
              <w:bottom w:val="single" w:sz="4" w:space="0" w:color="auto"/>
              <w:right w:val="single" w:sz="4" w:space="0" w:color="auto"/>
            </w:tcBorders>
            <w:shd w:val="clear" w:color="auto" w:fill="auto"/>
            <w:noWrap/>
            <w:vAlign w:val="bottom"/>
            <w:hideMark/>
          </w:tcPr>
          <w:p w14:paraId="23D5B1DB" w14:textId="77777777" w:rsidR="00204905" w:rsidRPr="00875E26" w:rsidRDefault="00204905" w:rsidP="00954C07">
            <w:pPr>
              <w:rPr>
                <w:color w:val="000000"/>
              </w:rPr>
            </w:pPr>
            <w:r w:rsidRPr="00875E26">
              <w:rPr>
                <w:color w:val="000000"/>
              </w:rPr>
              <w:t>CISOGen</w:t>
            </w:r>
          </w:p>
        </w:tc>
        <w:tc>
          <w:tcPr>
            <w:tcW w:w="1088" w:type="dxa"/>
            <w:tcBorders>
              <w:top w:val="nil"/>
              <w:left w:val="nil"/>
              <w:bottom w:val="single" w:sz="4" w:space="0" w:color="auto"/>
              <w:right w:val="single" w:sz="4" w:space="0" w:color="auto"/>
            </w:tcBorders>
            <w:shd w:val="clear" w:color="auto" w:fill="auto"/>
            <w:noWrap/>
            <w:vAlign w:val="bottom"/>
            <w:hideMark/>
          </w:tcPr>
          <w:p w14:paraId="5814E776" w14:textId="77777777" w:rsidR="00204905" w:rsidRPr="00875E26" w:rsidRDefault="00204905" w:rsidP="00954C07">
            <w:pPr>
              <w:jc w:val="right"/>
              <w:rPr>
                <w:color w:val="000000"/>
              </w:rPr>
            </w:pPr>
            <w:r w:rsidRPr="00875E26">
              <w:rPr>
                <w:color w:val="000000"/>
              </w:rPr>
              <w:t>100</w:t>
            </w:r>
          </w:p>
        </w:tc>
        <w:tc>
          <w:tcPr>
            <w:tcW w:w="1572" w:type="dxa"/>
            <w:tcBorders>
              <w:top w:val="nil"/>
              <w:left w:val="nil"/>
              <w:bottom w:val="single" w:sz="4" w:space="0" w:color="auto"/>
              <w:right w:val="single" w:sz="4" w:space="0" w:color="auto"/>
            </w:tcBorders>
            <w:shd w:val="clear" w:color="auto" w:fill="auto"/>
            <w:noWrap/>
            <w:vAlign w:val="bottom"/>
            <w:hideMark/>
          </w:tcPr>
          <w:p w14:paraId="35008FF5" w14:textId="77777777" w:rsidR="00204905" w:rsidRPr="00875E26" w:rsidRDefault="00204905" w:rsidP="00954C07">
            <w:pPr>
              <w:rPr>
                <w:color w:val="000000"/>
              </w:rPr>
            </w:pPr>
            <w:r w:rsidRPr="00875E26">
              <w:rPr>
                <w:color w:val="000000"/>
              </w:rPr>
              <w:t xml:space="preserve"> $      50.00 </w:t>
            </w:r>
          </w:p>
        </w:tc>
        <w:tc>
          <w:tcPr>
            <w:tcW w:w="2118" w:type="dxa"/>
            <w:tcBorders>
              <w:top w:val="nil"/>
              <w:left w:val="nil"/>
              <w:bottom w:val="single" w:sz="4" w:space="0" w:color="auto"/>
              <w:right w:val="single" w:sz="4" w:space="0" w:color="auto"/>
            </w:tcBorders>
            <w:shd w:val="clear" w:color="auto" w:fill="auto"/>
            <w:noWrap/>
            <w:vAlign w:val="bottom"/>
            <w:hideMark/>
          </w:tcPr>
          <w:p w14:paraId="719F67AB" w14:textId="77777777" w:rsidR="00204905" w:rsidRPr="00875E26" w:rsidRDefault="00204905" w:rsidP="00954C07">
            <w:pPr>
              <w:rPr>
                <w:color w:val="000000"/>
              </w:rPr>
            </w:pPr>
            <w:r w:rsidRPr="00875E26">
              <w:rPr>
                <w:color w:val="000000"/>
              </w:rPr>
              <w:t xml:space="preserve"> $          (5,000.00)</w:t>
            </w:r>
          </w:p>
        </w:tc>
      </w:tr>
      <w:tr w:rsidR="00204905" w:rsidRPr="00875E26" w14:paraId="4214D142"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F2602BA" w14:textId="77777777" w:rsidR="00204905" w:rsidRPr="00875E26" w:rsidRDefault="00204905" w:rsidP="00954C07">
            <w:pPr>
              <w:rPr>
                <w:color w:val="000000"/>
              </w:rPr>
            </w:pPr>
            <w:r w:rsidRPr="00875E26">
              <w:rPr>
                <w:color w:val="000000"/>
              </w:rPr>
              <w:t>CC 64750</w:t>
            </w:r>
          </w:p>
        </w:tc>
        <w:tc>
          <w:tcPr>
            <w:tcW w:w="1182" w:type="dxa"/>
            <w:tcBorders>
              <w:top w:val="nil"/>
              <w:left w:val="nil"/>
              <w:bottom w:val="single" w:sz="4" w:space="0" w:color="auto"/>
              <w:right w:val="single" w:sz="4" w:space="0" w:color="auto"/>
            </w:tcBorders>
            <w:shd w:val="clear" w:color="auto" w:fill="auto"/>
            <w:noWrap/>
            <w:vAlign w:val="bottom"/>
            <w:hideMark/>
          </w:tcPr>
          <w:p w14:paraId="20438253" w14:textId="77777777" w:rsidR="00204905" w:rsidRPr="00875E26" w:rsidRDefault="00204905" w:rsidP="00954C07">
            <w:pPr>
              <w:rPr>
                <w:color w:val="000000"/>
              </w:rPr>
            </w:pPr>
            <w:r w:rsidRPr="00875E26">
              <w:rPr>
                <w:color w:val="000000"/>
              </w:rPr>
              <w:t>EIM1Load</w:t>
            </w:r>
          </w:p>
        </w:tc>
        <w:tc>
          <w:tcPr>
            <w:tcW w:w="1088" w:type="dxa"/>
            <w:tcBorders>
              <w:top w:val="nil"/>
              <w:left w:val="nil"/>
              <w:bottom w:val="single" w:sz="4" w:space="0" w:color="auto"/>
              <w:right w:val="single" w:sz="4" w:space="0" w:color="auto"/>
            </w:tcBorders>
            <w:shd w:val="clear" w:color="auto" w:fill="auto"/>
            <w:noWrap/>
            <w:vAlign w:val="bottom"/>
            <w:hideMark/>
          </w:tcPr>
          <w:p w14:paraId="58EB5B3B" w14:textId="77777777" w:rsidR="00204905" w:rsidRPr="00875E26" w:rsidRDefault="00204905" w:rsidP="00954C07">
            <w:pPr>
              <w:jc w:val="right"/>
              <w:rPr>
                <w:color w:val="000000"/>
              </w:rPr>
            </w:pPr>
            <w:r w:rsidRPr="00875E26">
              <w:rPr>
                <w:color w:val="000000"/>
              </w:rPr>
              <w:t>50</w:t>
            </w:r>
          </w:p>
        </w:tc>
        <w:tc>
          <w:tcPr>
            <w:tcW w:w="1572" w:type="dxa"/>
            <w:tcBorders>
              <w:top w:val="nil"/>
              <w:left w:val="nil"/>
              <w:bottom w:val="single" w:sz="4" w:space="0" w:color="auto"/>
              <w:right w:val="single" w:sz="4" w:space="0" w:color="auto"/>
            </w:tcBorders>
            <w:shd w:val="clear" w:color="auto" w:fill="auto"/>
            <w:noWrap/>
            <w:vAlign w:val="bottom"/>
            <w:hideMark/>
          </w:tcPr>
          <w:p w14:paraId="5817BF4C" w14:textId="77777777" w:rsidR="00204905" w:rsidRPr="00875E26" w:rsidRDefault="00204905" w:rsidP="00954C07">
            <w:pPr>
              <w:rPr>
                <w:color w:val="000000"/>
              </w:rPr>
            </w:pPr>
            <w:r w:rsidRPr="00875E26">
              <w:rPr>
                <w:color w:val="000000"/>
              </w:rPr>
              <w:t xml:space="preserve"> $      34.99 </w:t>
            </w:r>
          </w:p>
        </w:tc>
        <w:tc>
          <w:tcPr>
            <w:tcW w:w="2118" w:type="dxa"/>
            <w:tcBorders>
              <w:top w:val="nil"/>
              <w:left w:val="nil"/>
              <w:bottom w:val="single" w:sz="4" w:space="0" w:color="auto"/>
              <w:right w:val="single" w:sz="4" w:space="0" w:color="auto"/>
            </w:tcBorders>
            <w:shd w:val="clear" w:color="auto" w:fill="auto"/>
            <w:noWrap/>
            <w:vAlign w:val="bottom"/>
            <w:hideMark/>
          </w:tcPr>
          <w:p w14:paraId="2212B0C9" w14:textId="77777777" w:rsidR="00204905" w:rsidRPr="00875E26" w:rsidRDefault="00204905" w:rsidP="00954C07">
            <w:pPr>
              <w:rPr>
                <w:color w:val="000000"/>
              </w:rPr>
            </w:pPr>
            <w:r w:rsidRPr="00875E26">
              <w:rPr>
                <w:color w:val="000000"/>
              </w:rPr>
              <w:t xml:space="preserve"> $            1,749.50 </w:t>
            </w:r>
          </w:p>
        </w:tc>
      </w:tr>
      <w:tr w:rsidR="00204905" w:rsidRPr="00875E26" w14:paraId="631A7EF7"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AC9A55" w14:textId="77777777" w:rsidR="00204905" w:rsidRPr="00875E26" w:rsidRDefault="00204905" w:rsidP="00954C07">
            <w:pPr>
              <w:rPr>
                <w:color w:val="000000"/>
              </w:rPr>
            </w:pPr>
            <w:r w:rsidRPr="00875E26">
              <w:rPr>
                <w:color w:val="000000"/>
              </w:rPr>
              <w:t>CC 6475</w:t>
            </w:r>
          </w:p>
        </w:tc>
        <w:tc>
          <w:tcPr>
            <w:tcW w:w="1182" w:type="dxa"/>
            <w:tcBorders>
              <w:top w:val="nil"/>
              <w:left w:val="nil"/>
              <w:bottom w:val="single" w:sz="4" w:space="0" w:color="auto"/>
              <w:right w:val="single" w:sz="4" w:space="0" w:color="auto"/>
            </w:tcBorders>
            <w:shd w:val="clear" w:color="auto" w:fill="auto"/>
            <w:noWrap/>
            <w:vAlign w:val="bottom"/>
            <w:hideMark/>
          </w:tcPr>
          <w:p w14:paraId="7FA9820C" w14:textId="77777777" w:rsidR="00204905" w:rsidRPr="00875E26" w:rsidRDefault="00204905" w:rsidP="00954C07">
            <w:pPr>
              <w:rPr>
                <w:color w:val="000000"/>
              </w:rPr>
            </w:pPr>
            <w:r w:rsidRPr="00875E26">
              <w:rPr>
                <w:color w:val="000000"/>
              </w:rPr>
              <w:t>CISOLoad</w:t>
            </w:r>
          </w:p>
        </w:tc>
        <w:tc>
          <w:tcPr>
            <w:tcW w:w="1088" w:type="dxa"/>
            <w:tcBorders>
              <w:top w:val="nil"/>
              <w:left w:val="nil"/>
              <w:bottom w:val="single" w:sz="4" w:space="0" w:color="auto"/>
              <w:right w:val="single" w:sz="4" w:space="0" w:color="auto"/>
            </w:tcBorders>
            <w:shd w:val="clear" w:color="auto" w:fill="auto"/>
            <w:noWrap/>
            <w:vAlign w:val="bottom"/>
            <w:hideMark/>
          </w:tcPr>
          <w:p w14:paraId="24EEF807" w14:textId="77777777" w:rsidR="00204905" w:rsidRPr="00875E26" w:rsidRDefault="00204905" w:rsidP="00954C07">
            <w:pPr>
              <w:jc w:val="right"/>
              <w:rPr>
                <w:color w:val="000000"/>
              </w:rPr>
            </w:pPr>
            <w:r w:rsidRPr="00875E26">
              <w:rPr>
                <w:color w:val="000000"/>
              </w:rPr>
              <w:t>200</w:t>
            </w:r>
          </w:p>
        </w:tc>
        <w:tc>
          <w:tcPr>
            <w:tcW w:w="1572" w:type="dxa"/>
            <w:tcBorders>
              <w:top w:val="nil"/>
              <w:left w:val="nil"/>
              <w:bottom w:val="single" w:sz="4" w:space="0" w:color="auto"/>
              <w:right w:val="single" w:sz="4" w:space="0" w:color="auto"/>
            </w:tcBorders>
            <w:shd w:val="clear" w:color="auto" w:fill="auto"/>
            <w:noWrap/>
            <w:vAlign w:val="bottom"/>
            <w:hideMark/>
          </w:tcPr>
          <w:p w14:paraId="7EADED25" w14:textId="77777777" w:rsidR="00204905" w:rsidRPr="00875E26" w:rsidRDefault="00204905" w:rsidP="00954C07">
            <w:pPr>
              <w:rPr>
                <w:color w:val="000000"/>
              </w:rPr>
            </w:pPr>
            <w:r w:rsidRPr="00875E26">
              <w:rPr>
                <w:color w:val="000000"/>
              </w:rPr>
              <w:t xml:space="preserve"> $      50.00 </w:t>
            </w:r>
          </w:p>
        </w:tc>
        <w:tc>
          <w:tcPr>
            <w:tcW w:w="2118" w:type="dxa"/>
            <w:tcBorders>
              <w:top w:val="nil"/>
              <w:left w:val="nil"/>
              <w:bottom w:val="single" w:sz="4" w:space="0" w:color="auto"/>
              <w:right w:val="single" w:sz="4" w:space="0" w:color="auto"/>
            </w:tcBorders>
            <w:shd w:val="clear" w:color="auto" w:fill="auto"/>
            <w:noWrap/>
            <w:vAlign w:val="bottom"/>
            <w:hideMark/>
          </w:tcPr>
          <w:p w14:paraId="716FA504" w14:textId="77777777" w:rsidR="00204905" w:rsidRPr="00875E26" w:rsidRDefault="00204905" w:rsidP="00954C07">
            <w:pPr>
              <w:rPr>
                <w:color w:val="000000"/>
              </w:rPr>
            </w:pPr>
            <w:r w:rsidRPr="00875E26">
              <w:rPr>
                <w:color w:val="000000"/>
              </w:rPr>
              <w:t xml:space="preserve"> $          10,000.00 </w:t>
            </w:r>
          </w:p>
        </w:tc>
      </w:tr>
    </w:tbl>
    <w:p w14:paraId="0A85B4F5" w14:textId="77777777" w:rsidR="00204905" w:rsidRPr="00875E26" w:rsidRDefault="00204905" w:rsidP="00204905"/>
    <w:tbl>
      <w:tblPr>
        <w:tblW w:w="9151" w:type="dxa"/>
        <w:tblLook w:val="04A0" w:firstRow="1" w:lastRow="0" w:firstColumn="1" w:lastColumn="0" w:noHBand="0" w:noVBand="1"/>
      </w:tblPr>
      <w:tblGrid>
        <w:gridCol w:w="2140"/>
        <w:gridCol w:w="830"/>
        <w:gridCol w:w="1620"/>
        <w:gridCol w:w="1440"/>
        <w:gridCol w:w="1800"/>
        <w:gridCol w:w="1321"/>
      </w:tblGrid>
      <w:tr w:rsidR="00204905" w:rsidRPr="00875E26" w14:paraId="25955C8B" w14:textId="77777777" w:rsidTr="00954C07">
        <w:trPr>
          <w:trHeight w:val="300"/>
        </w:trPr>
        <w:tc>
          <w:tcPr>
            <w:tcW w:w="2140" w:type="dxa"/>
            <w:tcBorders>
              <w:top w:val="nil"/>
              <w:left w:val="nil"/>
              <w:bottom w:val="nil"/>
              <w:right w:val="nil"/>
            </w:tcBorders>
            <w:shd w:val="clear" w:color="auto" w:fill="auto"/>
            <w:noWrap/>
            <w:vAlign w:val="bottom"/>
            <w:hideMark/>
          </w:tcPr>
          <w:p w14:paraId="467BCBB5" w14:textId="77777777" w:rsidR="00204905" w:rsidRPr="00875E26" w:rsidRDefault="00204905" w:rsidP="00954C07">
            <w:pPr>
              <w:rPr>
                <w:color w:val="000000"/>
              </w:rPr>
            </w:pPr>
            <w:r w:rsidRPr="00875E26">
              <w:rPr>
                <w:color w:val="000000"/>
              </w:rPr>
              <w:t>RTCO Calculation</w:t>
            </w:r>
          </w:p>
        </w:tc>
        <w:tc>
          <w:tcPr>
            <w:tcW w:w="830" w:type="dxa"/>
            <w:tcBorders>
              <w:top w:val="nil"/>
              <w:left w:val="nil"/>
              <w:bottom w:val="nil"/>
              <w:right w:val="nil"/>
            </w:tcBorders>
            <w:shd w:val="clear" w:color="auto" w:fill="auto"/>
            <w:noWrap/>
            <w:vAlign w:val="bottom"/>
            <w:hideMark/>
          </w:tcPr>
          <w:p w14:paraId="1642BB25" w14:textId="77777777" w:rsidR="00204905" w:rsidRPr="00875E26" w:rsidRDefault="00204905" w:rsidP="00954C07">
            <w:pPr>
              <w:rPr>
                <w:color w:val="000000"/>
              </w:rPr>
            </w:pPr>
            <w:r w:rsidRPr="00875E26">
              <w:rPr>
                <w:color w:val="000000"/>
              </w:rPr>
              <w:t>QTY</w:t>
            </w:r>
          </w:p>
        </w:tc>
        <w:tc>
          <w:tcPr>
            <w:tcW w:w="1620" w:type="dxa"/>
            <w:tcBorders>
              <w:top w:val="nil"/>
              <w:left w:val="nil"/>
              <w:bottom w:val="nil"/>
              <w:right w:val="nil"/>
            </w:tcBorders>
            <w:shd w:val="clear" w:color="auto" w:fill="auto"/>
            <w:noWrap/>
            <w:vAlign w:val="bottom"/>
            <w:hideMark/>
          </w:tcPr>
          <w:p w14:paraId="19122C7F" w14:textId="77777777" w:rsidR="00204905" w:rsidRPr="00875E26" w:rsidRDefault="00204905" w:rsidP="00954C07">
            <w:pPr>
              <w:rPr>
                <w:color w:val="000000"/>
              </w:rPr>
            </w:pPr>
            <w:r w:rsidRPr="00875E26">
              <w:rPr>
                <w:color w:val="000000"/>
              </w:rPr>
              <w:t>MCC(EIM1)*</w:t>
            </w:r>
          </w:p>
        </w:tc>
        <w:tc>
          <w:tcPr>
            <w:tcW w:w="1440" w:type="dxa"/>
            <w:tcBorders>
              <w:top w:val="nil"/>
              <w:left w:val="nil"/>
              <w:bottom w:val="nil"/>
              <w:right w:val="nil"/>
            </w:tcBorders>
            <w:shd w:val="clear" w:color="auto" w:fill="auto"/>
            <w:noWrap/>
            <w:vAlign w:val="bottom"/>
            <w:hideMark/>
          </w:tcPr>
          <w:p w14:paraId="6941C47F" w14:textId="77777777" w:rsidR="00204905" w:rsidRPr="00875E26" w:rsidRDefault="00204905" w:rsidP="00954C07">
            <w:pPr>
              <w:rPr>
                <w:color w:val="000000"/>
              </w:rPr>
            </w:pPr>
            <w:r w:rsidRPr="00875E26">
              <w:rPr>
                <w:color w:val="000000"/>
              </w:rPr>
              <w:t>Amount</w:t>
            </w:r>
          </w:p>
        </w:tc>
        <w:tc>
          <w:tcPr>
            <w:tcW w:w="1800" w:type="dxa"/>
            <w:tcBorders>
              <w:top w:val="nil"/>
              <w:left w:val="nil"/>
              <w:bottom w:val="nil"/>
              <w:right w:val="nil"/>
            </w:tcBorders>
            <w:shd w:val="clear" w:color="auto" w:fill="auto"/>
            <w:noWrap/>
            <w:vAlign w:val="bottom"/>
            <w:hideMark/>
          </w:tcPr>
          <w:p w14:paraId="1B1C3D77" w14:textId="77777777" w:rsidR="00204905" w:rsidRPr="00875E26" w:rsidRDefault="00204905" w:rsidP="00954C07">
            <w:pPr>
              <w:rPr>
                <w:color w:val="000000"/>
              </w:rPr>
            </w:pPr>
            <w:r w:rsidRPr="00875E26">
              <w:rPr>
                <w:color w:val="000000"/>
              </w:rPr>
              <w:t>MCC(CISO)</w:t>
            </w:r>
          </w:p>
        </w:tc>
        <w:tc>
          <w:tcPr>
            <w:tcW w:w="1321" w:type="dxa"/>
            <w:tcBorders>
              <w:top w:val="nil"/>
              <w:left w:val="nil"/>
              <w:bottom w:val="nil"/>
              <w:right w:val="nil"/>
            </w:tcBorders>
            <w:shd w:val="clear" w:color="auto" w:fill="auto"/>
            <w:noWrap/>
            <w:vAlign w:val="bottom"/>
            <w:hideMark/>
          </w:tcPr>
          <w:p w14:paraId="256EC557" w14:textId="77777777" w:rsidR="00204905" w:rsidRPr="00875E26" w:rsidRDefault="00204905" w:rsidP="00954C07">
            <w:pPr>
              <w:rPr>
                <w:color w:val="000000"/>
              </w:rPr>
            </w:pPr>
            <w:r w:rsidRPr="00875E26">
              <w:rPr>
                <w:color w:val="000000"/>
              </w:rPr>
              <w:t>Amount</w:t>
            </w:r>
          </w:p>
        </w:tc>
      </w:tr>
      <w:tr w:rsidR="00204905" w:rsidRPr="00875E26" w14:paraId="0DDB1D07"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C1457" w14:textId="77777777" w:rsidR="00204905" w:rsidRPr="00875E26" w:rsidRDefault="00204905" w:rsidP="00954C07">
            <w:pPr>
              <w:rPr>
                <w:color w:val="000000"/>
              </w:rPr>
            </w:pPr>
            <w:r w:rsidRPr="00875E26">
              <w:rPr>
                <w:color w:val="000000"/>
              </w:rPr>
              <w:t>EIM1Gen</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60753142" w14:textId="77777777" w:rsidR="00204905" w:rsidRPr="00875E26" w:rsidRDefault="00204905" w:rsidP="00954C07">
            <w:pPr>
              <w:jc w:val="right"/>
              <w:rPr>
                <w:color w:val="000000"/>
              </w:rPr>
            </w:pPr>
            <w:r w:rsidRPr="00875E26">
              <w:rPr>
                <w:color w:val="000000"/>
              </w:rPr>
              <w:t>150</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AEFA14C" w14:textId="77777777" w:rsidR="00204905" w:rsidRPr="00875E26" w:rsidRDefault="00204905" w:rsidP="00954C07">
            <w:pPr>
              <w:rPr>
                <w:color w:val="000000"/>
              </w:rPr>
            </w:pPr>
            <w:r w:rsidRPr="00875E26">
              <w:rPr>
                <w:color w:val="000000"/>
              </w:rPr>
              <w:t xml:space="preserve"> $          (15.01)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60B9ECD" w14:textId="77777777" w:rsidR="00204905" w:rsidRPr="00875E26" w:rsidRDefault="00204905" w:rsidP="00954C07">
            <w:pPr>
              <w:rPr>
                <w:color w:val="000000"/>
              </w:rPr>
            </w:pPr>
            <w:r w:rsidRPr="00875E26">
              <w:rPr>
                <w:color w:val="000000"/>
              </w:rPr>
              <w:t xml:space="preserve"> $  2,251.50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6D7EF2C" w14:textId="77777777" w:rsidR="00204905" w:rsidRPr="00875E26" w:rsidRDefault="00204905" w:rsidP="00954C07">
            <w:pPr>
              <w:rPr>
                <w:color w:val="000000"/>
              </w:rPr>
            </w:pPr>
            <w:r w:rsidRPr="00875E26">
              <w:rPr>
                <w:color w:val="000000"/>
              </w:rPr>
              <w:t xml:space="preserve"> $                     -   </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14:paraId="44FF3683" w14:textId="77777777" w:rsidR="00204905" w:rsidRPr="00875E26" w:rsidRDefault="00204905" w:rsidP="00954C07">
            <w:pPr>
              <w:rPr>
                <w:color w:val="000000"/>
              </w:rPr>
            </w:pPr>
            <w:r w:rsidRPr="00875E26">
              <w:rPr>
                <w:color w:val="000000"/>
              </w:rPr>
              <w:t xml:space="preserve"> $           -   </w:t>
            </w:r>
          </w:p>
        </w:tc>
      </w:tr>
      <w:tr w:rsidR="00204905" w:rsidRPr="00875E26" w14:paraId="0524BE07"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9F55C6D" w14:textId="77777777" w:rsidR="00204905" w:rsidRPr="00875E26" w:rsidRDefault="00204905" w:rsidP="00954C07">
            <w:pPr>
              <w:rPr>
                <w:color w:val="000000"/>
              </w:rPr>
            </w:pPr>
            <w:r w:rsidRPr="00875E26">
              <w:rPr>
                <w:color w:val="000000"/>
              </w:rPr>
              <w:t>CISOGen</w:t>
            </w:r>
          </w:p>
        </w:tc>
        <w:tc>
          <w:tcPr>
            <w:tcW w:w="830" w:type="dxa"/>
            <w:tcBorders>
              <w:top w:val="nil"/>
              <w:left w:val="nil"/>
              <w:bottom w:val="single" w:sz="4" w:space="0" w:color="auto"/>
              <w:right w:val="single" w:sz="4" w:space="0" w:color="auto"/>
            </w:tcBorders>
            <w:shd w:val="clear" w:color="auto" w:fill="auto"/>
            <w:noWrap/>
            <w:vAlign w:val="bottom"/>
            <w:hideMark/>
          </w:tcPr>
          <w:p w14:paraId="44E794FE" w14:textId="77777777" w:rsidR="00204905" w:rsidRPr="00875E26" w:rsidRDefault="00204905" w:rsidP="00954C07">
            <w:pPr>
              <w:jc w:val="right"/>
              <w:rPr>
                <w:color w:val="000000"/>
              </w:rPr>
            </w:pPr>
            <w:r w:rsidRPr="00875E26">
              <w:rPr>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034BB47C" w14:textId="77777777" w:rsidR="00204905" w:rsidRPr="00875E26" w:rsidRDefault="00204905" w:rsidP="00954C07">
            <w:pPr>
              <w:rPr>
                <w:color w:val="000000"/>
              </w:rPr>
            </w:pPr>
            <w:r w:rsidRPr="00875E26">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0A57B538" w14:textId="77777777" w:rsidR="00204905" w:rsidRPr="00875E26" w:rsidRDefault="00204905" w:rsidP="00954C07">
            <w:pPr>
              <w:rPr>
                <w:color w:val="000000"/>
              </w:rPr>
            </w:pPr>
            <w:r w:rsidRPr="00875E26">
              <w:rPr>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bottom"/>
            <w:hideMark/>
          </w:tcPr>
          <w:p w14:paraId="61CFD35A" w14:textId="77777777" w:rsidR="00204905" w:rsidRPr="00875E26" w:rsidRDefault="00204905" w:rsidP="00954C07">
            <w:pPr>
              <w:rPr>
                <w:color w:val="000000"/>
              </w:rPr>
            </w:pPr>
            <w:r w:rsidRPr="00875E26">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7CEC0264" w14:textId="77777777" w:rsidR="00204905" w:rsidRPr="00875E26" w:rsidRDefault="00204905" w:rsidP="00954C07">
            <w:pPr>
              <w:rPr>
                <w:color w:val="000000"/>
              </w:rPr>
            </w:pPr>
            <w:r w:rsidRPr="00875E26">
              <w:rPr>
                <w:color w:val="000000"/>
              </w:rPr>
              <w:t xml:space="preserve"> $           -   </w:t>
            </w:r>
          </w:p>
        </w:tc>
      </w:tr>
      <w:tr w:rsidR="00204905" w:rsidRPr="00875E26" w14:paraId="00BD19C5"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9AC438" w14:textId="77777777" w:rsidR="00204905" w:rsidRPr="00875E26" w:rsidRDefault="00204905" w:rsidP="00954C07">
            <w:pPr>
              <w:rPr>
                <w:color w:val="000000"/>
              </w:rPr>
            </w:pPr>
            <w:r w:rsidRPr="00875E26">
              <w:rPr>
                <w:color w:val="000000"/>
              </w:rPr>
              <w:t>EIM1Load</w:t>
            </w:r>
          </w:p>
        </w:tc>
        <w:tc>
          <w:tcPr>
            <w:tcW w:w="830" w:type="dxa"/>
            <w:tcBorders>
              <w:top w:val="nil"/>
              <w:left w:val="nil"/>
              <w:bottom w:val="single" w:sz="4" w:space="0" w:color="auto"/>
              <w:right w:val="single" w:sz="4" w:space="0" w:color="auto"/>
            </w:tcBorders>
            <w:shd w:val="clear" w:color="auto" w:fill="auto"/>
            <w:noWrap/>
            <w:vAlign w:val="bottom"/>
            <w:hideMark/>
          </w:tcPr>
          <w:p w14:paraId="65668297" w14:textId="77777777" w:rsidR="00204905" w:rsidRPr="00875E26" w:rsidRDefault="00204905" w:rsidP="00954C07">
            <w:pPr>
              <w:jc w:val="right"/>
              <w:rPr>
                <w:color w:val="000000"/>
              </w:rPr>
            </w:pPr>
            <w:r w:rsidRPr="00875E26">
              <w:rPr>
                <w:color w:val="000000"/>
              </w:rPr>
              <w:t>-50</w:t>
            </w:r>
          </w:p>
        </w:tc>
        <w:tc>
          <w:tcPr>
            <w:tcW w:w="1620" w:type="dxa"/>
            <w:tcBorders>
              <w:top w:val="nil"/>
              <w:left w:val="nil"/>
              <w:bottom w:val="single" w:sz="4" w:space="0" w:color="auto"/>
              <w:right w:val="single" w:sz="4" w:space="0" w:color="auto"/>
            </w:tcBorders>
            <w:shd w:val="clear" w:color="auto" w:fill="auto"/>
            <w:noWrap/>
            <w:vAlign w:val="bottom"/>
            <w:hideMark/>
          </w:tcPr>
          <w:p w14:paraId="28ACCA93" w14:textId="77777777" w:rsidR="00204905" w:rsidRPr="00875E26" w:rsidRDefault="00204905" w:rsidP="00954C07">
            <w:pPr>
              <w:rPr>
                <w:color w:val="000000"/>
              </w:rPr>
            </w:pPr>
            <w:r w:rsidRPr="00875E26">
              <w:rPr>
                <w:color w:val="000000"/>
              </w:rPr>
              <w:t xml:space="preserve"> $          (15.01)</w:t>
            </w:r>
          </w:p>
        </w:tc>
        <w:tc>
          <w:tcPr>
            <w:tcW w:w="1440" w:type="dxa"/>
            <w:tcBorders>
              <w:top w:val="nil"/>
              <w:left w:val="nil"/>
              <w:bottom w:val="single" w:sz="4" w:space="0" w:color="auto"/>
              <w:right w:val="single" w:sz="4" w:space="0" w:color="auto"/>
            </w:tcBorders>
            <w:shd w:val="clear" w:color="auto" w:fill="auto"/>
            <w:noWrap/>
            <w:vAlign w:val="bottom"/>
            <w:hideMark/>
          </w:tcPr>
          <w:p w14:paraId="07E43C94" w14:textId="77777777" w:rsidR="00204905" w:rsidRPr="00875E26" w:rsidRDefault="00204905" w:rsidP="00954C07">
            <w:pPr>
              <w:rPr>
                <w:color w:val="000000"/>
              </w:rPr>
            </w:pPr>
            <w:r w:rsidRPr="00875E26">
              <w:rPr>
                <w:color w:val="000000"/>
              </w:rPr>
              <w:t xml:space="preserve"> $   (750.50)</w:t>
            </w:r>
          </w:p>
        </w:tc>
        <w:tc>
          <w:tcPr>
            <w:tcW w:w="1800" w:type="dxa"/>
            <w:tcBorders>
              <w:top w:val="nil"/>
              <w:left w:val="nil"/>
              <w:bottom w:val="single" w:sz="4" w:space="0" w:color="auto"/>
              <w:right w:val="single" w:sz="4" w:space="0" w:color="auto"/>
            </w:tcBorders>
            <w:shd w:val="clear" w:color="auto" w:fill="auto"/>
            <w:noWrap/>
            <w:vAlign w:val="bottom"/>
            <w:hideMark/>
          </w:tcPr>
          <w:p w14:paraId="59F49EB4" w14:textId="77777777" w:rsidR="00204905" w:rsidRPr="00875E26" w:rsidRDefault="00204905" w:rsidP="00954C07">
            <w:pPr>
              <w:rPr>
                <w:color w:val="000000"/>
              </w:rPr>
            </w:pPr>
            <w:r w:rsidRPr="00875E26">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18794E4A" w14:textId="77777777" w:rsidR="00204905" w:rsidRPr="00875E26" w:rsidRDefault="00204905" w:rsidP="00954C07">
            <w:pPr>
              <w:rPr>
                <w:color w:val="000000"/>
              </w:rPr>
            </w:pPr>
            <w:r w:rsidRPr="00875E26">
              <w:rPr>
                <w:color w:val="000000"/>
              </w:rPr>
              <w:t xml:space="preserve"> $           -   </w:t>
            </w:r>
          </w:p>
        </w:tc>
      </w:tr>
      <w:tr w:rsidR="00204905" w:rsidRPr="00875E26" w14:paraId="42FC01B2" w14:textId="77777777" w:rsidTr="00954C07">
        <w:trPr>
          <w:trHeight w:val="300"/>
        </w:trPr>
        <w:tc>
          <w:tcPr>
            <w:tcW w:w="2140" w:type="dxa"/>
            <w:tcBorders>
              <w:top w:val="nil"/>
              <w:left w:val="single" w:sz="4" w:space="0" w:color="auto"/>
              <w:bottom w:val="nil"/>
              <w:right w:val="single" w:sz="4" w:space="0" w:color="auto"/>
            </w:tcBorders>
            <w:shd w:val="clear" w:color="auto" w:fill="auto"/>
            <w:noWrap/>
            <w:vAlign w:val="bottom"/>
            <w:hideMark/>
          </w:tcPr>
          <w:p w14:paraId="71924679" w14:textId="77777777" w:rsidR="00204905" w:rsidRPr="00875E26" w:rsidRDefault="00204905" w:rsidP="00954C07">
            <w:pPr>
              <w:rPr>
                <w:color w:val="000000"/>
              </w:rPr>
            </w:pPr>
            <w:r w:rsidRPr="00875E26">
              <w:rPr>
                <w:color w:val="000000"/>
              </w:rPr>
              <w:t>CISOLoad</w:t>
            </w:r>
          </w:p>
        </w:tc>
        <w:tc>
          <w:tcPr>
            <w:tcW w:w="830" w:type="dxa"/>
            <w:tcBorders>
              <w:top w:val="nil"/>
              <w:left w:val="nil"/>
              <w:bottom w:val="nil"/>
              <w:right w:val="single" w:sz="4" w:space="0" w:color="auto"/>
            </w:tcBorders>
            <w:shd w:val="clear" w:color="auto" w:fill="auto"/>
            <w:noWrap/>
            <w:vAlign w:val="bottom"/>
            <w:hideMark/>
          </w:tcPr>
          <w:p w14:paraId="13A67ABC" w14:textId="77777777" w:rsidR="00204905" w:rsidRPr="00875E26" w:rsidRDefault="00204905" w:rsidP="00954C07">
            <w:pPr>
              <w:jc w:val="right"/>
              <w:rPr>
                <w:color w:val="000000"/>
              </w:rPr>
            </w:pPr>
            <w:r w:rsidRPr="00875E26">
              <w:rPr>
                <w:color w:val="000000"/>
              </w:rPr>
              <w:t>-200</w:t>
            </w:r>
          </w:p>
        </w:tc>
        <w:tc>
          <w:tcPr>
            <w:tcW w:w="1620" w:type="dxa"/>
            <w:tcBorders>
              <w:top w:val="nil"/>
              <w:left w:val="nil"/>
              <w:bottom w:val="nil"/>
              <w:right w:val="single" w:sz="4" w:space="0" w:color="auto"/>
            </w:tcBorders>
            <w:shd w:val="clear" w:color="auto" w:fill="auto"/>
            <w:noWrap/>
            <w:vAlign w:val="bottom"/>
            <w:hideMark/>
          </w:tcPr>
          <w:p w14:paraId="74BF372A" w14:textId="77777777" w:rsidR="00204905" w:rsidRPr="00875E26" w:rsidRDefault="00204905" w:rsidP="00954C07">
            <w:pPr>
              <w:rPr>
                <w:color w:val="000000"/>
              </w:rPr>
            </w:pPr>
            <w:r w:rsidRPr="00875E26">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6B4414A" w14:textId="77777777" w:rsidR="00204905" w:rsidRPr="00875E26" w:rsidRDefault="00204905" w:rsidP="00954C07">
            <w:pPr>
              <w:rPr>
                <w:color w:val="000000"/>
              </w:rPr>
            </w:pPr>
            <w:r w:rsidRPr="00875E26">
              <w:rPr>
                <w:color w:val="000000"/>
              </w:rPr>
              <w:t xml:space="preserve"> $           -   </w:t>
            </w:r>
          </w:p>
        </w:tc>
        <w:tc>
          <w:tcPr>
            <w:tcW w:w="1800" w:type="dxa"/>
            <w:tcBorders>
              <w:top w:val="nil"/>
              <w:left w:val="nil"/>
              <w:bottom w:val="nil"/>
              <w:right w:val="single" w:sz="4" w:space="0" w:color="auto"/>
            </w:tcBorders>
            <w:shd w:val="clear" w:color="auto" w:fill="auto"/>
            <w:noWrap/>
            <w:vAlign w:val="bottom"/>
            <w:hideMark/>
          </w:tcPr>
          <w:p w14:paraId="2C39979D" w14:textId="77777777" w:rsidR="00204905" w:rsidRPr="00875E26" w:rsidRDefault="00204905" w:rsidP="00954C07">
            <w:pPr>
              <w:rPr>
                <w:color w:val="000000"/>
              </w:rPr>
            </w:pPr>
            <w:r w:rsidRPr="00875E26">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387A32CF" w14:textId="77777777" w:rsidR="00204905" w:rsidRPr="00875E26" w:rsidRDefault="00204905" w:rsidP="00954C07">
            <w:pPr>
              <w:rPr>
                <w:color w:val="000000"/>
              </w:rPr>
            </w:pPr>
            <w:r w:rsidRPr="00875E26">
              <w:rPr>
                <w:color w:val="000000"/>
              </w:rPr>
              <w:t xml:space="preserve"> $           -   </w:t>
            </w:r>
          </w:p>
        </w:tc>
      </w:tr>
      <w:tr w:rsidR="00204905" w:rsidRPr="00875E26" w14:paraId="0266CED7"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9E2FA" w14:textId="77777777" w:rsidR="00204905" w:rsidRPr="00875E26" w:rsidRDefault="00204905" w:rsidP="00954C07">
            <w:pPr>
              <w:rPr>
                <w:color w:val="000000"/>
              </w:rPr>
            </w:pPr>
            <w:r w:rsidRPr="00875E26">
              <w:rPr>
                <w:color w:val="000000"/>
              </w:rPr>
              <w:t>Total</w:t>
            </w:r>
          </w:p>
        </w:tc>
        <w:tc>
          <w:tcPr>
            <w:tcW w:w="830" w:type="dxa"/>
            <w:tcBorders>
              <w:top w:val="single" w:sz="4" w:space="0" w:color="auto"/>
              <w:left w:val="nil"/>
              <w:bottom w:val="single" w:sz="4" w:space="0" w:color="auto"/>
              <w:right w:val="nil"/>
            </w:tcBorders>
            <w:shd w:val="clear" w:color="auto" w:fill="auto"/>
            <w:noWrap/>
            <w:vAlign w:val="bottom"/>
            <w:hideMark/>
          </w:tcPr>
          <w:p w14:paraId="39E57E71" w14:textId="77777777" w:rsidR="00204905" w:rsidRPr="00875E26" w:rsidRDefault="00204905" w:rsidP="00954C07">
            <w:pPr>
              <w:rPr>
                <w:color w:val="000000"/>
              </w:rPr>
            </w:pPr>
            <w:r w:rsidRPr="00875E26">
              <w:rPr>
                <w:color w:val="000000"/>
              </w:rPr>
              <w:t> </w:t>
            </w:r>
          </w:p>
        </w:tc>
        <w:tc>
          <w:tcPr>
            <w:tcW w:w="1620" w:type="dxa"/>
            <w:tcBorders>
              <w:top w:val="single" w:sz="4" w:space="0" w:color="auto"/>
              <w:left w:val="nil"/>
              <w:bottom w:val="single" w:sz="4" w:space="0" w:color="auto"/>
              <w:right w:val="nil"/>
            </w:tcBorders>
            <w:shd w:val="clear" w:color="auto" w:fill="auto"/>
            <w:noWrap/>
            <w:vAlign w:val="bottom"/>
            <w:hideMark/>
          </w:tcPr>
          <w:p w14:paraId="343084ED" w14:textId="77777777" w:rsidR="00204905" w:rsidRPr="00875E26" w:rsidRDefault="00204905" w:rsidP="00954C07">
            <w:pPr>
              <w:rPr>
                <w:color w:val="000000"/>
              </w:rPr>
            </w:pPr>
            <w:r w:rsidRPr="00875E26">
              <w:rPr>
                <w:color w:val="000000"/>
              </w:rPr>
              <w:t> </w:t>
            </w:r>
          </w:p>
        </w:tc>
        <w:tc>
          <w:tcPr>
            <w:tcW w:w="1440" w:type="dxa"/>
            <w:tcBorders>
              <w:top w:val="nil"/>
              <w:left w:val="nil"/>
              <w:bottom w:val="single" w:sz="4" w:space="0" w:color="auto"/>
              <w:right w:val="nil"/>
            </w:tcBorders>
            <w:shd w:val="clear" w:color="auto" w:fill="auto"/>
            <w:noWrap/>
            <w:vAlign w:val="bottom"/>
            <w:hideMark/>
          </w:tcPr>
          <w:p w14:paraId="446843B3" w14:textId="77777777" w:rsidR="00204905" w:rsidRPr="00875E26" w:rsidRDefault="00204905" w:rsidP="00954C07">
            <w:pPr>
              <w:rPr>
                <w:color w:val="000000"/>
              </w:rPr>
            </w:pPr>
            <w:r w:rsidRPr="00875E26">
              <w:rPr>
                <w:color w:val="000000"/>
              </w:rPr>
              <w:t xml:space="preserve"> $  1,501.00 </w:t>
            </w:r>
          </w:p>
        </w:tc>
        <w:tc>
          <w:tcPr>
            <w:tcW w:w="1800" w:type="dxa"/>
            <w:tcBorders>
              <w:top w:val="single" w:sz="4" w:space="0" w:color="auto"/>
              <w:left w:val="nil"/>
              <w:bottom w:val="single" w:sz="4" w:space="0" w:color="auto"/>
              <w:right w:val="nil"/>
            </w:tcBorders>
            <w:shd w:val="clear" w:color="auto" w:fill="auto"/>
            <w:noWrap/>
            <w:vAlign w:val="bottom"/>
            <w:hideMark/>
          </w:tcPr>
          <w:p w14:paraId="6EFA0E6E" w14:textId="77777777" w:rsidR="00204905" w:rsidRPr="00875E26" w:rsidRDefault="00204905" w:rsidP="00954C07">
            <w:pPr>
              <w:rPr>
                <w:color w:val="000000"/>
              </w:rPr>
            </w:pPr>
            <w:r w:rsidRPr="00875E26">
              <w:rPr>
                <w:color w:val="000000"/>
              </w:rPr>
              <w:t> </w:t>
            </w:r>
          </w:p>
        </w:tc>
        <w:tc>
          <w:tcPr>
            <w:tcW w:w="1321" w:type="dxa"/>
            <w:tcBorders>
              <w:top w:val="nil"/>
              <w:left w:val="nil"/>
              <w:bottom w:val="single" w:sz="4" w:space="0" w:color="auto"/>
              <w:right w:val="single" w:sz="4" w:space="0" w:color="auto"/>
            </w:tcBorders>
            <w:shd w:val="clear" w:color="auto" w:fill="auto"/>
            <w:noWrap/>
            <w:vAlign w:val="bottom"/>
            <w:hideMark/>
          </w:tcPr>
          <w:p w14:paraId="0A087B17" w14:textId="77777777" w:rsidR="00204905" w:rsidRPr="00875E26" w:rsidRDefault="00204905" w:rsidP="00954C07">
            <w:pPr>
              <w:rPr>
                <w:color w:val="000000"/>
              </w:rPr>
            </w:pPr>
            <w:r w:rsidRPr="00875E26">
              <w:rPr>
                <w:color w:val="000000"/>
              </w:rPr>
              <w:t xml:space="preserve"> $           -   </w:t>
            </w:r>
          </w:p>
        </w:tc>
      </w:tr>
      <w:tr w:rsidR="00204905" w:rsidRPr="00875E26" w14:paraId="4D899A50" w14:textId="77777777" w:rsidTr="00954C07">
        <w:trPr>
          <w:trHeight w:val="300"/>
        </w:trPr>
        <w:tc>
          <w:tcPr>
            <w:tcW w:w="2140" w:type="dxa"/>
            <w:tcBorders>
              <w:top w:val="nil"/>
              <w:left w:val="nil"/>
              <w:bottom w:val="nil"/>
              <w:right w:val="nil"/>
            </w:tcBorders>
            <w:shd w:val="clear" w:color="auto" w:fill="auto"/>
            <w:noWrap/>
            <w:vAlign w:val="bottom"/>
            <w:hideMark/>
          </w:tcPr>
          <w:p w14:paraId="3D19CB66" w14:textId="77777777" w:rsidR="00204905" w:rsidRPr="00875E26" w:rsidRDefault="00204905" w:rsidP="00954C07">
            <w:pPr>
              <w:rPr>
                <w:color w:val="000000"/>
              </w:rPr>
            </w:pPr>
          </w:p>
        </w:tc>
        <w:tc>
          <w:tcPr>
            <w:tcW w:w="830" w:type="dxa"/>
            <w:tcBorders>
              <w:top w:val="nil"/>
              <w:left w:val="nil"/>
              <w:bottom w:val="nil"/>
              <w:right w:val="nil"/>
            </w:tcBorders>
            <w:shd w:val="clear" w:color="auto" w:fill="auto"/>
            <w:noWrap/>
            <w:vAlign w:val="bottom"/>
            <w:hideMark/>
          </w:tcPr>
          <w:p w14:paraId="219CD1DD" w14:textId="77777777" w:rsidR="00204905" w:rsidRPr="00875E26" w:rsidRDefault="00204905" w:rsidP="00954C07"/>
        </w:tc>
        <w:tc>
          <w:tcPr>
            <w:tcW w:w="1620" w:type="dxa"/>
            <w:tcBorders>
              <w:top w:val="nil"/>
              <w:left w:val="nil"/>
              <w:bottom w:val="nil"/>
              <w:right w:val="nil"/>
            </w:tcBorders>
            <w:shd w:val="clear" w:color="auto" w:fill="auto"/>
            <w:noWrap/>
            <w:vAlign w:val="bottom"/>
            <w:hideMark/>
          </w:tcPr>
          <w:p w14:paraId="182BD28B" w14:textId="77777777" w:rsidR="00204905" w:rsidRPr="00875E26" w:rsidRDefault="00204905" w:rsidP="00954C07"/>
        </w:tc>
        <w:tc>
          <w:tcPr>
            <w:tcW w:w="1440" w:type="dxa"/>
            <w:tcBorders>
              <w:top w:val="nil"/>
              <w:left w:val="nil"/>
              <w:bottom w:val="nil"/>
              <w:right w:val="nil"/>
            </w:tcBorders>
            <w:shd w:val="clear" w:color="auto" w:fill="auto"/>
            <w:noWrap/>
            <w:vAlign w:val="bottom"/>
            <w:hideMark/>
          </w:tcPr>
          <w:p w14:paraId="6438EE5E" w14:textId="77777777" w:rsidR="00204905" w:rsidRPr="00875E26" w:rsidRDefault="00204905" w:rsidP="00954C07"/>
        </w:tc>
        <w:tc>
          <w:tcPr>
            <w:tcW w:w="1800" w:type="dxa"/>
            <w:tcBorders>
              <w:top w:val="nil"/>
              <w:left w:val="nil"/>
              <w:bottom w:val="nil"/>
              <w:right w:val="nil"/>
            </w:tcBorders>
            <w:shd w:val="clear" w:color="auto" w:fill="auto"/>
            <w:noWrap/>
            <w:vAlign w:val="bottom"/>
            <w:hideMark/>
          </w:tcPr>
          <w:p w14:paraId="771D7E1D" w14:textId="77777777" w:rsidR="00204905" w:rsidRPr="00875E26" w:rsidRDefault="00204905" w:rsidP="00954C07"/>
        </w:tc>
        <w:tc>
          <w:tcPr>
            <w:tcW w:w="1321" w:type="dxa"/>
            <w:tcBorders>
              <w:top w:val="nil"/>
              <w:left w:val="nil"/>
              <w:bottom w:val="nil"/>
              <w:right w:val="nil"/>
            </w:tcBorders>
            <w:shd w:val="clear" w:color="auto" w:fill="auto"/>
            <w:noWrap/>
            <w:vAlign w:val="bottom"/>
            <w:hideMark/>
          </w:tcPr>
          <w:p w14:paraId="417C02F0" w14:textId="77777777" w:rsidR="00204905" w:rsidRPr="00875E26" w:rsidRDefault="00204905" w:rsidP="00954C07"/>
        </w:tc>
      </w:tr>
      <w:tr w:rsidR="00204905" w:rsidRPr="00875E26" w14:paraId="1B1D8A4C" w14:textId="77777777" w:rsidTr="00954C07">
        <w:trPr>
          <w:trHeight w:val="300"/>
        </w:trPr>
        <w:tc>
          <w:tcPr>
            <w:tcW w:w="2140" w:type="dxa"/>
            <w:tcBorders>
              <w:top w:val="nil"/>
              <w:left w:val="nil"/>
              <w:bottom w:val="nil"/>
              <w:right w:val="nil"/>
            </w:tcBorders>
            <w:shd w:val="clear" w:color="auto" w:fill="auto"/>
            <w:noWrap/>
            <w:vAlign w:val="bottom"/>
            <w:hideMark/>
          </w:tcPr>
          <w:p w14:paraId="32F1C2D5" w14:textId="77777777" w:rsidR="00204905" w:rsidRPr="00875E26" w:rsidRDefault="00204905" w:rsidP="00954C07">
            <w:pPr>
              <w:rPr>
                <w:color w:val="000000"/>
              </w:rPr>
            </w:pPr>
            <w:r w:rsidRPr="00875E26">
              <w:rPr>
                <w:color w:val="000000"/>
              </w:rPr>
              <w:t>RTCO Allocation</w:t>
            </w:r>
          </w:p>
        </w:tc>
        <w:tc>
          <w:tcPr>
            <w:tcW w:w="830" w:type="dxa"/>
            <w:tcBorders>
              <w:top w:val="nil"/>
              <w:left w:val="nil"/>
              <w:bottom w:val="nil"/>
              <w:right w:val="nil"/>
            </w:tcBorders>
            <w:shd w:val="clear" w:color="auto" w:fill="auto"/>
            <w:noWrap/>
            <w:vAlign w:val="bottom"/>
            <w:hideMark/>
          </w:tcPr>
          <w:p w14:paraId="7FCC4210" w14:textId="77777777" w:rsidR="00204905" w:rsidRPr="00875E26" w:rsidRDefault="00204905" w:rsidP="00954C07">
            <w:pPr>
              <w:rPr>
                <w:color w:val="000000"/>
              </w:rPr>
            </w:pPr>
            <w:r w:rsidRPr="00875E26">
              <w:rPr>
                <w:color w:val="000000"/>
              </w:rPr>
              <w:t>QTY</w:t>
            </w:r>
          </w:p>
        </w:tc>
        <w:tc>
          <w:tcPr>
            <w:tcW w:w="1620" w:type="dxa"/>
            <w:tcBorders>
              <w:top w:val="nil"/>
              <w:left w:val="nil"/>
              <w:bottom w:val="nil"/>
              <w:right w:val="nil"/>
            </w:tcBorders>
            <w:shd w:val="clear" w:color="auto" w:fill="auto"/>
            <w:noWrap/>
            <w:vAlign w:val="bottom"/>
            <w:hideMark/>
          </w:tcPr>
          <w:p w14:paraId="5A0F541A" w14:textId="77777777" w:rsidR="00204905" w:rsidRPr="00875E26" w:rsidRDefault="00204905" w:rsidP="00954C07">
            <w:pPr>
              <w:rPr>
                <w:color w:val="000000"/>
              </w:rPr>
            </w:pPr>
            <w:r w:rsidRPr="00875E26">
              <w:rPr>
                <w:color w:val="000000"/>
              </w:rPr>
              <w:t>MCC(EIM1)**</w:t>
            </w:r>
          </w:p>
        </w:tc>
        <w:tc>
          <w:tcPr>
            <w:tcW w:w="1440" w:type="dxa"/>
            <w:tcBorders>
              <w:top w:val="nil"/>
              <w:left w:val="nil"/>
              <w:bottom w:val="nil"/>
              <w:right w:val="nil"/>
            </w:tcBorders>
            <w:shd w:val="clear" w:color="auto" w:fill="auto"/>
            <w:noWrap/>
            <w:vAlign w:val="bottom"/>
            <w:hideMark/>
          </w:tcPr>
          <w:p w14:paraId="191A3FB1" w14:textId="77777777" w:rsidR="00204905" w:rsidRPr="00875E26" w:rsidRDefault="00204905" w:rsidP="00954C07">
            <w:pPr>
              <w:rPr>
                <w:color w:val="000000"/>
              </w:rPr>
            </w:pPr>
            <w:r w:rsidRPr="00875E26">
              <w:rPr>
                <w:color w:val="000000"/>
              </w:rPr>
              <w:t>Amount</w:t>
            </w:r>
          </w:p>
        </w:tc>
        <w:tc>
          <w:tcPr>
            <w:tcW w:w="1800" w:type="dxa"/>
            <w:tcBorders>
              <w:top w:val="nil"/>
              <w:left w:val="nil"/>
              <w:bottom w:val="nil"/>
              <w:right w:val="nil"/>
            </w:tcBorders>
            <w:shd w:val="clear" w:color="auto" w:fill="auto"/>
            <w:noWrap/>
            <w:vAlign w:val="bottom"/>
            <w:hideMark/>
          </w:tcPr>
          <w:p w14:paraId="1F0A1F67" w14:textId="77777777" w:rsidR="00204905" w:rsidRPr="00875E26" w:rsidRDefault="00204905" w:rsidP="00954C07">
            <w:pPr>
              <w:rPr>
                <w:color w:val="000000"/>
              </w:rPr>
            </w:pPr>
            <w:r w:rsidRPr="00875E26">
              <w:rPr>
                <w:color w:val="000000"/>
              </w:rPr>
              <w:t>MCC(CISO)**</w:t>
            </w:r>
          </w:p>
        </w:tc>
        <w:tc>
          <w:tcPr>
            <w:tcW w:w="1321" w:type="dxa"/>
            <w:tcBorders>
              <w:top w:val="nil"/>
              <w:left w:val="nil"/>
              <w:bottom w:val="nil"/>
              <w:right w:val="nil"/>
            </w:tcBorders>
            <w:shd w:val="clear" w:color="auto" w:fill="auto"/>
            <w:noWrap/>
            <w:vAlign w:val="bottom"/>
            <w:hideMark/>
          </w:tcPr>
          <w:p w14:paraId="62636B70" w14:textId="77777777" w:rsidR="00204905" w:rsidRPr="00875E26" w:rsidRDefault="00204905" w:rsidP="00954C07">
            <w:pPr>
              <w:rPr>
                <w:color w:val="000000"/>
              </w:rPr>
            </w:pPr>
            <w:r w:rsidRPr="00875E26">
              <w:rPr>
                <w:color w:val="000000"/>
              </w:rPr>
              <w:t>Amount</w:t>
            </w:r>
          </w:p>
        </w:tc>
      </w:tr>
      <w:tr w:rsidR="00204905" w:rsidRPr="00875E26" w14:paraId="6270F6C7"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F3A95" w14:textId="77777777" w:rsidR="00204905" w:rsidRPr="00875E26" w:rsidRDefault="00204905" w:rsidP="00954C07">
            <w:pPr>
              <w:rPr>
                <w:color w:val="000000"/>
              </w:rPr>
            </w:pPr>
            <w:r w:rsidRPr="00875E26">
              <w:rPr>
                <w:color w:val="000000"/>
              </w:rPr>
              <w:t>EIM1Gen</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15875015" w14:textId="77777777" w:rsidR="00204905" w:rsidRPr="00875E26" w:rsidRDefault="00204905" w:rsidP="00954C07">
            <w:pPr>
              <w:jc w:val="right"/>
              <w:rPr>
                <w:color w:val="000000"/>
              </w:rPr>
            </w:pPr>
            <w:r w:rsidRPr="00875E26">
              <w:rPr>
                <w:color w:val="000000"/>
              </w:rPr>
              <w:t>150</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17E2F7" w14:textId="77777777" w:rsidR="00204905" w:rsidRPr="00875E26" w:rsidRDefault="00204905" w:rsidP="00954C07">
            <w:pPr>
              <w:rPr>
                <w:color w:val="000000"/>
              </w:rPr>
            </w:pPr>
            <w:r w:rsidRPr="00875E26">
              <w:rPr>
                <w:color w:val="000000"/>
              </w:rPr>
              <w:t xml:space="preserve"> $         (7.51)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66ACD16" w14:textId="77777777" w:rsidR="00204905" w:rsidRPr="00875E26" w:rsidRDefault="00204905" w:rsidP="00954C07">
            <w:pPr>
              <w:rPr>
                <w:color w:val="000000"/>
              </w:rPr>
            </w:pPr>
            <w:r w:rsidRPr="00875E26">
              <w:rPr>
                <w:color w:val="000000"/>
              </w:rPr>
              <w:t xml:space="preserve"> $(1,125.75)</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A4A970B" w14:textId="77777777" w:rsidR="00204905" w:rsidRPr="00875E26" w:rsidRDefault="00204905" w:rsidP="00954C07">
            <w:pPr>
              <w:rPr>
                <w:color w:val="000000"/>
              </w:rPr>
            </w:pPr>
            <w:r w:rsidRPr="00875E26">
              <w:rPr>
                <w:color w:val="000000"/>
              </w:rPr>
              <w:t>$         (7.51)</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14:paraId="6A914780" w14:textId="77777777" w:rsidR="00204905" w:rsidRPr="00875E26" w:rsidRDefault="00204905" w:rsidP="00954C07">
            <w:pPr>
              <w:rPr>
                <w:color w:val="000000"/>
              </w:rPr>
            </w:pPr>
            <w:r w:rsidRPr="00875E26">
              <w:rPr>
                <w:color w:val="000000"/>
              </w:rPr>
              <w:t>$(1,125.75)</w:t>
            </w:r>
          </w:p>
        </w:tc>
      </w:tr>
      <w:tr w:rsidR="00204905" w:rsidRPr="00875E26" w14:paraId="08DFDD2D"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B8251C" w14:textId="77777777" w:rsidR="00204905" w:rsidRPr="00875E26" w:rsidRDefault="00204905" w:rsidP="00954C07">
            <w:pPr>
              <w:rPr>
                <w:color w:val="000000"/>
              </w:rPr>
            </w:pPr>
            <w:r w:rsidRPr="00875E26">
              <w:rPr>
                <w:color w:val="000000"/>
              </w:rPr>
              <w:t>CISOGen</w:t>
            </w:r>
          </w:p>
        </w:tc>
        <w:tc>
          <w:tcPr>
            <w:tcW w:w="830" w:type="dxa"/>
            <w:tcBorders>
              <w:top w:val="nil"/>
              <w:left w:val="nil"/>
              <w:bottom w:val="single" w:sz="4" w:space="0" w:color="auto"/>
              <w:right w:val="single" w:sz="4" w:space="0" w:color="auto"/>
            </w:tcBorders>
            <w:shd w:val="clear" w:color="auto" w:fill="auto"/>
            <w:noWrap/>
            <w:vAlign w:val="bottom"/>
            <w:hideMark/>
          </w:tcPr>
          <w:p w14:paraId="0D745D78" w14:textId="77777777" w:rsidR="00204905" w:rsidRPr="00875E26" w:rsidRDefault="00204905" w:rsidP="00954C07">
            <w:pPr>
              <w:jc w:val="right"/>
              <w:rPr>
                <w:color w:val="000000"/>
              </w:rPr>
            </w:pPr>
            <w:r w:rsidRPr="00875E26">
              <w:rPr>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4328435" w14:textId="77777777" w:rsidR="00204905" w:rsidRPr="00875E26" w:rsidRDefault="00204905" w:rsidP="00954C07">
            <w:pPr>
              <w:rPr>
                <w:color w:val="000000"/>
              </w:rPr>
            </w:pPr>
            <w:r w:rsidRPr="00875E26">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06C742" w14:textId="77777777" w:rsidR="00204905" w:rsidRPr="00875E26" w:rsidRDefault="00204905" w:rsidP="00954C07">
            <w:pPr>
              <w:rPr>
                <w:color w:val="000000"/>
              </w:rPr>
            </w:pPr>
            <w:r w:rsidRPr="00875E26">
              <w:rPr>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bottom"/>
            <w:hideMark/>
          </w:tcPr>
          <w:p w14:paraId="5C171F4B" w14:textId="77777777" w:rsidR="00204905" w:rsidRPr="00875E26" w:rsidRDefault="00204905" w:rsidP="00954C07">
            <w:pPr>
              <w:rPr>
                <w:color w:val="000000"/>
              </w:rPr>
            </w:pPr>
            <w:r w:rsidRPr="00875E26">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7E1864CC" w14:textId="77777777" w:rsidR="00204905" w:rsidRPr="00875E26" w:rsidRDefault="00204905" w:rsidP="00954C07">
            <w:pPr>
              <w:rPr>
                <w:color w:val="000000"/>
              </w:rPr>
            </w:pPr>
            <w:r w:rsidRPr="00875E26">
              <w:rPr>
                <w:color w:val="000000"/>
              </w:rPr>
              <w:t xml:space="preserve"> $           -   </w:t>
            </w:r>
          </w:p>
        </w:tc>
      </w:tr>
      <w:tr w:rsidR="00204905" w:rsidRPr="00875E26" w14:paraId="5D4969B5"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F34AC97" w14:textId="77777777" w:rsidR="00204905" w:rsidRPr="00875E26" w:rsidRDefault="00204905" w:rsidP="00954C07">
            <w:pPr>
              <w:rPr>
                <w:color w:val="000000"/>
              </w:rPr>
            </w:pPr>
            <w:r w:rsidRPr="00875E26">
              <w:rPr>
                <w:color w:val="000000"/>
              </w:rPr>
              <w:t>EIM1Load</w:t>
            </w:r>
          </w:p>
        </w:tc>
        <w:tc>
          <w:tcPr>
            <w:tcW w:w="830" w:type="dxa"/>
            <w:tcBorders>
              <w:top w:val="nil"/>
              <w:left w:val="nil"/>
              <w:bottom w:val="single" w:sz="4" w:space="0" w:color="auto"/>
              <w:right w:val="single" w:sz="4" w:space="0" w:color="auto"/>
            </w:tcBorders>
            <w:shd w:val="clear" w:color="auto" w:fill="auto"/>
            <w:noWrap/>
            <w:vAlign w:val="bottom"/>
            <w:hideMark/>
          </w:tcPr>
          <w:p w14:paraId="72CDDAE5" w14:textId="77777777" w:rsidR="00204905" w:rsidRPr="00875E26" w:rsidRDefault="00204905" w:rsidP="00954C07">
            <w:pPr>
              <w:jc w:val="right"/>
              <w:rPr>
                <w:color w:val="000000"/>
              </w:rPr>
            </w:pPr>
            <w:r w:rsidRPr="00875E26">
              <w:rPr>
                <w:color w:val="000000"/>
              </w:rPr>
              <w:t>-50</w:t>
            </w:r>
          </w:p>
        </w:tc>
        <w:tc>
          <w:tcPr>
            <w:tcW w:w="1620" w:type="dxa"/>
            <w:tcBorders>
              <w:top w:val="nil"/>
              <w:left w:val="nil"/>
              <w:bottom w:val="single" w:sz="4" w:space="0" w:color="auto"/>
              <w:right w:val="single" w:sz="4" w:space="0" w:color="auto"/>
            </w:tcBorders>
            <w:shd w:val="clear" w:color="auto" w:fill="auto"/>
            <w:noWrap/>
            <w:vAlign w:val="bottom"/>
            <w:hideMark/>
          </w:tcPr>
          <w:p w14:paraId="5E536C50" w14:textId="77777777" w:rsidR="00204905" w:rsidRPr="00875E26" w:rsidRDefault="00204905" w:rsidP="00954C07">
            <w:pPr>
              <w:rPr>
                <w:color w:val="000000"/>
              </w:rPr>
            </w:pPr>
            <w:r w:rsidRPr="00875E26">
              <w:rPr>
                <w:color w:val="000000"/>
              </w:rPr>
              <w:t>$         (7.51)</w:t>
            </w:r>
          </w:p>
        </w:tc>
        <w:tc>
          <w:tcPr>
            <w:tcW w:w="1440" w:type="dxa"/>
            <w:tcBorders>
              <w:top w:val="nil"/>
              <w:left w:val="nil"/>
              <w:bottom w:val="single" w:sz="4" w:space="0" w:color="auto"/>
              <w:right w:val="single" w:sz="4" w:space="0" w:color="auto"/>
            </w:tcBorders>
            <w:shd w:val="clear" w:color="auto" w:fill="auto"/>
            <w:noWrap/>
            <w:vAlign w:val="bottom"/>
            <w:hideMark/>
          </w:tcPr>
          <w:p w14:paraId="416F3345" w14:textId="77777777" w:rsidR="00204905" w:rsidRPr="00875E26" w:rsidRDefault="00204905" w:rsidP="00954C07">
            <w:pPr>
              <w:rPr>
                <w:color w:val="000000"/>
              </w:rPr>
            </w:pPr>
            <w:r w:rsidRPr="00875E26">
              <w:rPr>
                <w:color w:val="000000"/>
              </w:rPr>
              <w:t xml:space="preserve"> $    375.25 </w:t>
            </w:r>
          </w:p>
        </w:tc>
        <w:tc>
          <w:tcPr>
            <w:tcW w:w="1800" w:type="dxa"/>
            <w:tcBorders>
              <w:top w:val="nil"/>
              <w:left w:val="nil"/>
              <w:bottom w:val="single" w:sz="4" w:space="0" w:color="auto"/>
              <w:right w:val="single" w:sz="4" w:space="0" w:color="auto"/>
            </w:tcBorders>
            <w:shd w:val="clear" w:color="auto" w:fill="auto"/>
            <w:noWrap/>
            <w:vAlign w:val="bottom"/>
            <w:hideMark/>
          </w:tcPr>
          <w:p w14:paraId="620EC1B8" w14:textId="77777777" w:rsidR="00204905" w:rsidRPr="00875E26" w:rsidRDefault="00204905" w:rsidP="00954C07">
            <w:pPr>
              <w:rPr>
                <w:color w:val="000000"/>
              </w:rPr>
            </w:pPr>
            <w:r w:rsidRPr="00875E26">
              <w:rPr>
                <w:color w:val="000000"/>
              </w:rPr>
              <w:t>$         (7.51)</w:t>
            </w:r>
          </w:p>
        </w:tc>
        <w:tc>
          <w:tcPr>
            <w:tcW w:w="1321" w:type="dxa"/>
            <w:tcBorders>
              <w:top w:val="nil"/>
              <w:left w:val="nil"/>
              <w:bottom w:val="single" w:sz="4" w:space="0" w:color="auto"/>
              <w:right w:val="single" w:sz="4" w:space="0" w:color="auto"/>
            </w:tcBorders>
            <w:shd w:val="clear" w:color="auto" w:fill="auto"/>
            <w:noWrap/>
            <w:vAlign w:val="bottom"/>
            <w:hideMark/>
          </w:tcPr>
          <w:p w14:paraId="6B2AA002" w14:textId="77777777" w:rsidR="00204905" w:rsidRPr="00875E26" w:rsidRDefault="00204905" w:rsidP="00954C07">
            <w:pPr>
              <w:rPr>
                <w:color w:val="000000"/>
              </w:rPr>
            </w:pPr>
            <w:r w:rsidRPr="00875E26">
              <w:rPr>
                <w:color w:val="000000"/>
              </w:rPr>
              <w:t>$    375.25</w:t>
            </w:r>
          </w:p>
        </w:tc>
      </w:tr>
      <w:tr w:rsidR="00204905" w:rsidRPr="00875E26" w14:paraId="22F18363" w14:textId="77777777" w:rsidTr="00954C07">
        <w:trPr>
          <w:trHeight w:val="300"/>
        </w:trPr>
        <w:tc>
          <w:tcPr>
            <w:tcW w:w="2140" w:type="dxa"/>
            <w:tcBorders>
              <w:top w:val="nil"/>
              <w:left w:val="single" w:sz="4" w:space="0" w:color="auto"/>
              <w:bottom w:val="nil"/>
              <w:right w:val="single" w:sz="4" w:space="0" w:color="auto"/>
            </w:tcBorders>
            <w:shd w:val="clear" w:color="auto" w:fill="auto"/>
            <w:noWrap/>
            <w:vAlign w:val="bottom"/>
            <w:hideMark/>
          </w:tcPr>
          <w:p w14:paraId="64691DB1" w14:textId="77777777" w:rsidR="00204905" w:rsidRPr="00875E26" w:rsidRDefault="00204905" w:rsidP="00954C07">
            <w:pPr>
              <w:rPr>
                <w:color w:val="000000"/>
              </w:rPr>
            </w:pPr>
            <w:r w:rsidRPr="00875E26">
              <w:rPr>
                <w:color w:val="000000"/>
              </w:rPr>
              <w:t>CISOLoad</w:t>
            </w:r>
          </w:p>
        </w:tc>
        <w:tc>
          <w:tcPr>
            <w:tcW w:w="830" w:type="dxa"/>
            <w:tcBorders>
              <w:top w:val="nil"/>
              <w:left w:val="nil"/>
              <w:bottom w:val="nil"/>
              <w:right w:val="single" w:sz="4" w:space="0" w:color="auto"/>
            </w:tcBorders>
            <w:shd w:val="clear" w:color="auto" w:fill="auto"/>
            <w:noWrap/>
            <w:vAlign w:val="bottom"/>
            <w:hideMark/>
          </w:tcPr>
          <w:p w14:paraId="2FA50072" w14:textId="77777777" w:rsidR="00204905" w:rsidRPr="00875E26" w:rsidRDefault="00204905" w:rsidP="00954C07">
            <w:pPr>
              <w:jc w:val="right"/>
              <w:rPr>
                <w:color w:val="000000"/>
              </w:rPr>
            </w:pPr>
            <w:r w:rsidRPr="00875E26">
              <w:rPr>
                <w:color w:val="000000"/>
              </w:rPr>
              <w:t>-200</w:t>
            </w:r>
          </w:p>
        </w:tc>
        <w:tc>
          <w:tcPr>
            <w:tcW w:w="1620" w:type="dxa"/>
            <w:tcBorders>
              <w:top w:val="nil"/>
              <w:left w:val="nil"/>
              <w:bottom w:val="nil"/>
              <w:right w:val="single" w:sz="4" w:space="0" w:color="auto"/>
            </w:tcBorders>
            <w:shd w:val="clear" w:color="auto" w:fill="auto"/>
            <w:noWrap/>
            <w:vAlign w:val="bottom"/>
            <w:hideMark/>
          </w:tcPr>
          <w:p w14:paraId="680ED387" w14:textId="77777777" w:rsidR="00204905" w:rsidRPr="00875E26" w:rsidRDefault="00204905" w:rsidP="00954C07">
            <w:pPr>
              <w:rPr>
                <w:color w:val="000000"/>
              </w:rPr>
            </w:pPr>
            <w:r w:rsidRPr="00875E26">
              <w:rPr>
                <w:color w:val="000000"/>
              </w:rPr>
              <w:t xml:space="preserve"> $                -   </w:t>
            </w:r>
          </w:p>
        </w:tc>
        <w:tc>
          <w:tcPr>
            <w:tcW w:w="1440" w:type="dxa"/>
            <w:tcBorders>
              <w:top w:val="nil"/>
              <w:left w:val="nil"/>
              <w:bottom w:val="nil"/>
              <w:right w:val="single" w:sz="4" w:space="0" w:color="auto"/>
            </w:tcBorders>
            <w:shd w:val="clear" w:color="auto" w:fill="auto"/>
            <w:noWrap/>
            <w:vAlign w:val="bottom"/>
            <w:hideMark/>
          </w:tcPr>
          <w:p w14:paraId="1BD5D223" w14:textId="77777777" w:rsidR="00204905" w:rsidRPr="00875E26" w:rsidRDefault="00204905" w:rsidP="00954C07">
            <w:pPr>
              <w:rPr>
                <w:color w:val="000000"/>
              </w:rPr>
            </w:pPr>
            <w:r w:rsidRPr="00875E26">
              <w:rPr>
                <w:color w:val="000000"/>
              </w:rPr>
              <w:t xml:space="preserve"> $           -   </w:t>
            </w:r>
          </w:p>
        </w:tc>
        <w:tc>
          <w:tcPr>
            <w:tcW w:w="1800" w:type="dxa"/>
            <w:tcBorders>
              <w:top w:val="nil"/>
              <w:left w:val="nil"/>
              <w:bottom w:val="nil"/>
              <w:right w:val="single" w:sz="4" w:space="0" w:color="auto"/>
            </w:tcBorders>
            <w:shd w:val="clear" w:color="auto" w:fill="auto"/>
            <w:noWrap/>
            <w:vAlign w:val="bottom"/>
            <w:hideMark/>
          </w:tcPr>
          <w:p w14:paraId="74EB585C" w14:textId="77777777" w:rsidR="00204905" w:rsidRPr="00875E26" w:rsidRDefault="00204905" w:rsidP="00954C07">
            <w:pPr>
              <w:rPr>
                <w:color w:val="000000"/>
              </w:rPr>
            </w:pPr>
            <w:r w:rsidRPr="00875E26">
              <w:rPr>
                <w:color w:val="000000"/>
              </w:rPr>
              <w:t xml:space="preserve"> $                     -   </w:t>
            </w:r>
          </w:p>
        </w:tc>
        <w:tc>
          <w:tcPr>
            <w:tcW w:w="1321" w:type="dxa"/>
            <w:tcBorders>
              <w:top w:val="nil"/>
              <w:left w:val="nil"/>
              <w:bottom w:val="nil"/>
              <w:right w:val="single" w:sz="4" w:space="0" w:color="auto"/>
            </w:tcBorders>
            <w:shd w:val="clear" w:color="auto" w:fill="auto"/>
            <w:noWrap/>
            <w:vAlign w:val="bottom"/>
            <w:hideMark/>
          </w:tcPr>
          <w:p w14:paraId="03A9C4DA" w14:textId="77777777" w:rsidR="00204905" w:rsidRPr="00875E26" w:rsidRDefault="00204905" w:rsidP="00954C07">
            <w:pPr>
              <w:rPr>
                <w:color w:val="000000"/>
              </w:rPr>
            </w:pPr>
            <w:r w:rsidRPr="00875E26">
              <w:rPr>
                <w:color w:val="000000"/>
              </w:rPr>
              <w:t xml:space="preserve"> $           -   </w:t>
            </w:r>
          </w:p>
        </w:tc>
      </w:tr>
      <w:tr w:rsidR="00204905" w:rsidRPr="00875E26" w14:paraId="55867D33" w14:textId="77777777" w:rsidTr="00954C07">
        <w:trPr>
          <w:trHeight w:val="300"/>
        </w:trPr>
        <w:tc>
          <w:tcPr>
            <w:tcW w:w="2140" w:type="dxa"/>
            <w:tcBorders>
              <w:top w:val="single" w:sz="4" w:space="0" w:color="auto"/>
              <w:left w:val="single" w:sz="4" w:space="0" w:color="auto"/>
              <w:bottom w:val="nil"/>
              <w:right w:val="single" w:sz="4" w:space="0" w:color="auto"/>
            </w:tcBorders>
            <w:shd w:val="clear" w:color="auto" w:fill="auto"/>
            <w:noWrap/>
            <w:vAlign w:val="bottom"/>
            <w:hideMark/>
          </w:tcPr>
          <w:p w14:paraId="264A3C8A" w14:textId="77777777" w:rsidR="00204905" w:rsidRPr="00875E26" w:rsidRDefault="00204905" w:rsidP="00954C07">
            <w:pPr>
              <w:rPr>
                <w:color w:val="000000"/>
              </w:rPr>
            </w:pPr>
            <w:r w:rsidRPr="00875E26">
              <w:rPr>
                <w:color w:val="000000"/>
              </w:rPr>
              <w:t>CC 67740</w:t>
            </w:r>
          </w:p>
        </w:tc>
        <w:tc>
          <w:tcPr>
            <w:tcW w:w="830" w:type="dxa"/>
            <w:tcBorders>
              <w:top w:val="single" w:sz="4" w:space="0" w:color="auto"/>
              <w:left w:val="nil"/>
              <w:bottom w:val="nil"/>
              <w:right w:val="single" w:sz="4" w:space="0" w:color="auto"/>
            </w:tcBorders>
            <w:shd w:val="clear" w:color="auto" w:fill="auto"/>
            <w:noWrap/>
            <w:vAlign w:val="bottom"/>
            <w:hideMark/>
          </w:tcPr>
          <w:p w14:paraId="0901503B" w14:textId="77777777" w:rsidR="00204905" w:rsidRPr="00875E26" w:rsidRDefault="00204905" w:rsidP="00954C07">
            <w:pPr>
              <w:rPr>
                <w:color w:val="000000"/>
              </w:rPr>
            </w:pPr>
            <w:r w:rsidRPr="00875E26">
              <w:rPr>
                <w:color w:val="000000"/>
              </w:rPr>
              <w:t> </w:t>
            </w:r>
          </w:p>
        </w:tc>
        <w:tc>
          <w:tcPr>
            <w:tcW w:w="1620" w:type="dxa"/>
            <w:tcBorders>
              <w:top w:val="single" w:sz="4" w:space="0" w:color="auto"/>
              <w:left w:val="nil"/>
              <w:bottom w:val="nil"/>
              <w:right w:val="single" w:sz="4" w:space="0" w:color="auto"/>
            </w:tcBorders>
            <w:shd w:val="clear" w:color="auto" w:fill="auto"/>
            <w:noWrap/>
            <w:vAlign w:val="bottom"/>
            <w:hideMark/>
          </w:tcPr>
          <w:p w14:paraId="126F8F99" w14:textId="77777777" w:rsidR="00204905" w:rsidRPr="00875E26" w:rsidRDefault="00204905" w:rsidP="00954C07">
            <w:pPr>
              <w:rPr>
                <w:color w:val="000000"/>
              </w:rPr>
            </w:pPr>
            <w:r w:rsidRPr="00875E26">
              <w:rPr>
                <w:color w:val="000000"/>
              </w:rPr>
              <w:t> </w:t>
            </w:r>
          </w:p>
        </w:tc>
        <w:tc>
          <w:tcPr>
            <w:tcW w:w="1440" w:type="dxa"/>
            <w:tcBorders>
              <w:top w:val="single" w:sz="4" w:space="0" w:color="auto"/>
              <w:left w:val="nil"/>
              <w:bottom w:val="nil"/>
              <w:right w:val="single" w:sz="4" w:space="0" w:color="auto"/>
            </w:tcBorders>
            <w:shd w:val="clear" w:color="auto" w:fill="auto"/>
            <w:noWrap/>
            <w:vAlign w:val="bottom"/>
            <w:hideMark/>
          </w:tcPr>
          <w:p w14:paraId="5CE4A1D8" w14:textId="77777777" w:rsidR="00204905" w:rsidRPr="00875E26" w:rsidRDefault="00204905" w:rsidP="00954C07">
            <w:pPr>
              <w:rPr>
                <w:color w:val="000000"/>
              </w:rPr>
            </w:pPr>
            <w:r w:rsidRPr="00875E26">
              <w:rPr>
                <w:color w:val="000000"/>
              </w:rPr>
              <w:t xml:space="preserve"> $   (750.50)</w:t>
            </w:r>
          </w:p>
        </w:tc>
        <w:tc>
          <w:tcPr>
            <w:tcW w:w="1800" w:type="dxa"/>
            <w:tcBorders>
              <w:top w:val="single" w:sz="4" w:space="0" w:color="auto"/>
              <w:left w:val="nil"/>
              <w:bottom w:val="nil"/>
              <w:right w:val="single" w:sz="4" w:space="0" w:color="auto"/>
            </w:tcBorders>
            <w:shd w:val="clear" w:color="auto" w:fill="auto"/>
            <w:noWrap/>
            <w:vAlign w:val="bottom"/>
            <w:hideMark/>
          </w:tcPr>
          <w:p w14:paraId="4A21BD53" w14:textId="77777777" w:rsidR="00204905" w:rsidRPr="00875E26" w:rsidRDefault="00204905" w:rsidP="00954C07">
            <w:pPr>
              <w:rPr>
                <w:color w:val="000000"/>
              </w:rPr>
            </w:pPr>
            <w:r w:rsidRPr="00875E26">
              <w:rPr>
                <w:color w:val="000000"/>
              </w:rPr>
              <w:t> </w:t>
            </w:r>
          </w:p>
        </w:tc>
        <w:tc>
          <w:tcPr>
            <w:tcW w:w="1321" w:type="dxa"/>
            <w:tcBorders>
              <w:top w:val="single" w:sz="4" w:space="0" w:color="auto"/>
              <w:left w:val="nil"/>
              <w:bottom w:val="nil"/>
              <w:right w:val="single" w:sz="4" w:space="0" w:color="auto"/>
            </w:tcBorders>
            <w:shd w:val="clear" w:color="auto" w:fill="auto"/>
            <w:noWrap/>
            <w:vAlign w:val="bottom"/>
            <w:hideMark/>
          </w:tcPr>
          <w:p w14:paraId="0B68FB89" w14:textId="77777777" w:rsidR="00204905" w:rsidRPr="00875E26" w:rsidRDefault="00204905" w:rsidP="00954C07">
            <w:pPr>
              <w:rPr>
                <w:color w:val="000000"/>
              </w:rPr>
            </w:pPr>
            <w:r w:rsidRPr="00875E26">
              <w:rPr>
                <w:color w:val="000000"/>
              </w:rPr>
              <w:t> </w:t>
            </w:r>
          </w:p>
        </w:tc>
      </w:tr>
      <w:tr w:rsidR="00204905" w:rsidRPr="00875E26" w14:paraId="3DBE3B1F"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37E03D7" w14:textId="77777777" w:rsidR="00204905" w:rsidRPr="00875E26" w:rsidRDefault="00204905" w:rsidP="00954C07">
            <w:pPr>
              <w:rPr>
                <w:color w:val="000000"/>
              </w:rPr>
            </w:pPr>
            <w:r w:rsidRPr="00875E26">
              <w:rPr>
                <w:color w:val="000000"/>
              </w:rPr>
              <w:t>CC 6774</w:t>
            </w:r>
          </w:p>
        </w:tc>
        <w:tc>
          <w:tcPr>
            <w:tcW w:w="830" w:type="dxa"/>
            <w:tcBorders>
              <w:top w:val="nil"/>
              <w:left w:val="nil"/>
              <w:bottom w:val="single" w:sz="4" w:space="0" w:color="auto"/>
              <w:right w:val="single" w:sz="4" w:space="0" w:color="auto"/>
            </w:tcBorders>
            <w:shd w:val="clear" w:color="auto" w:fill="auto"/>
            <w:noWrap/>
            <w:vAlign w:val="bottom"/>
            <w:hideMark/>
          </w:tcPr>
          <w:p w14:paraId="346621AD" w14:textId="77777777" w:rsidR="00204905" w:rsidRPr="00875E26" w:rsidRDefault="00204905" w:rsidP="00954C07">
            <w:pPr>
              <w:rPr>
                <w:color w:val="000000"/>
              </w:rPr>
            </w:pPr>
            <w:r w:rsidRPr="00875E26">
              <w:rPr>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D26CA21" w14:textId="77777777" w:rsidR="00204905" w:rsidRPr="00875E26" w:rsidRDefault="00204905" w:rsidP="00954C07">
            <w:pPr>
              <w:rPr>
                <w:color w:val="000000"/>
              </w:rPr>
            </w:pPr>
            <w:r w:rsidRPr="00875E26">
              <w:rPr>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64253D7C" w14:textId="77777777" w:rsidR="00204905" w:rsidRPr="00875E26" w:rsidRDefault="00204905" w:rsidP="00954C07">
            <w:pPr>
              <w:rPr>
                <w:color w:val="000000"/>
              </w:rPr>
            </w:pPr>
            <w:r w:rsidRPr="00875E26">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3B4B4AA" w14:textId="77777777" w:rsidR="00204905" w:rsidRPr="00875E26" w:rsidRDefault="00204905" w:rsidP="00954C07">
            <w:pPr>
              <w:rPr>
                <w:color w:val="000000"/>
              </w:rPr>
            </w:pPr>
            <w:r w:rsidRPr="00875E26">
              <w:rPr>
                <w:color w:val="000000"/>
              </w:rPr>
              <w:t> </w:t>
            </w:r>
          </w:p>
        </w:tc>
        <w:tc>
          <w:tcPr>
            <w:tcW w:w="1321" w:type="dxa"/>
            <w:tcBorders>
              <w:top w:val="nil"/>
              <w:left w:val="nil"/>
              <w:bottom w:val="single" w:sz="4" w:space="0" w:color="auto"/>
              <w:right w:val="single" w:sz="4" w:space="0" w:color="auto"/>
            </w:tcBorders>
            <w:shd w:val="clear" w:color="auto" w:fill="auto"/>
            <w:noWrap/>
            <w:vAlign w:val="bottom"/>
            <w:hideMark/>
          </w:tcPr>
          <w:p w14:paraId="46837F7A" w14:textId="77777777" w:rsidR="00204905" w:rsidRPr="00875E26" w:rsidRDefault="00204905" w:rsidP="00954C07">
            <w:pPr>
              <w:rPr>
                <w:color w:val="000000"/>
              </w:rPr>
            </w:pPr>
            <w:r w:rsidRPr="00875E26">
              <w:rPr>
                <w:color w:val="000000"/>
              </w:rPr>
              <w:t>$   (750.50)</w:t>
            </w:r>
          </w:p>
        </w:tc>
      </w:tr>
    </w:tbl>
    <w:p w14:paraId="45EED8E5" w14:textId="77777777" w:rsidR="00204905" w:rsidRPr="00875E26" w:rsidRDefault="00204905" w:rsidP="00204905">
      <w:pPr>
        <w:rPr>
          <w:color w:val="000000"/>
          <w:sz w:val="18"/>
        </w:rPr>
      </w:pPr>
      <w:r w:rsidRPr="00875E26">
        <w:rPr>
          <w:color w:val="000000"/>
          <w:sz w:val="18"/>
        </w:rPr>
        <w:t xml:space="preserve">** Sum of the Intertie Scheduling Limit plus product of EIM Transfer Costs and the EIM Transfer Cost Ratio Share (50/50) plus the product of EIM Constraint and the EIM Transfer Constraint Ratio Share (50/50) </w:t>
      </w:r>
    </w:p>
    <w:p w14:paraId="7703B1B7" w14:textId="77777777" w:rsidR="00204905" w:rsidRDefault="00204905" w:rsidP="00204905"/>
    <w:p w14:paraId="63C5A23A" w14:textId="77777777" w:rsidR="00204905" w:rsidRDefault="00204905" w:rsidP="00204905"/>
    <w:p w14:paraId="2FED88E0" w14:textId="77777777" w:rsidR="00204905" w:rsidRDefault="00204905" w:rsidP="00204905"/>
    <w:p w14:paraId="46A8D23D" w14:textId="77777777" w:rsidR="00204905" w:rsidRDefault="00204905" w:rsidP="00204905"/>
    <w:p w14:paraId="55965855" w14:textId="77777777" w:rsidR="00204905" w:rsidRDefault="00204905" w:rsidP="00204905"/>
    <w:p w14:paraId="03C79D7C" w14:textId="77777777" w:rsidR="00204905" w:rsidRDefault="00204905" w:rsidP="00204905"/>
    <w:p w14:paraId="1BF1410A" w14:textId="77777777" w:rsidR="00204905" w:rsidRDefault="00204905" w:rsidP="00204905"/>
    <w:p w14:paraId="1158EFCE" w14:textId="77777777" w:rsidR="00204905" w:rsidRDefault="00204905" w:rsidP="00204905"/>
    <w:p w14:paraId="1BF47D24" w14:textId="77777777" w:rsidR="00204905" w:rsidRPr="00875E26" w:rsidRDefault="00204905" w:rsidP="00204905"/>
    <w:tbl>
      <w:tblPr>
        <w:tblW w:w="8640" w:type="dxa"/>
        <w:tblLook w:val="04A0" w:firstRow="1" w:lastRow="0" w:firstColumn="1" w:lastColumn="0" w:noHBand="0" w:noVBand="1"/>
      </w:tblPr>
      <w:tblGrid>
        <w:gridCol w:w="2610"/>
        <w:gridCol w:w="2610"/>
        <w:gridCol w:w="1710"/>
        <w:gridCol w:w="1710"/>
      </w:tblGrid>
      <w:tr w:rsidR="00204905" w:rsidRPr="00875E26" w14:paraId="546B9C50" w14:textId="77777777" w:rsidTr="00954C07">
        <w:trPr>
          <w:trHeight w:val="300"/>
        </w:trPr>
        <w:tc>
          <w:tcPr>
            <w:tcW w:w="2610" w:type="dxa"/>
            <w:tcBorders>
              <w:top w:val="nil"/>
              <w:left w:val="nil"/>
              <w:bottom w:val="nil"/>
              <w:right w:val="nil"/>
            </w:tcBorders>
          </w:tcPr>
          <w:p w14:paraId="0D71969D" w14:textId="77777777" w:rsidR="00204905" w:rsidRPr="00BE11D7" w:rsidRDefault="00204905" w:rsidP="00954C07">
            <w:pPr>
              <w:rPr>
                <w:color w:val="000000"/>
              </w:rPr>
            </w:pPr>
            <w:r>
              <w:rPr>
                <w:color w:val="000000"/>
              </w:rPr>
              <w:t>RTIEO Charge/Payment</w:t>
            </w:r>
          </w:p>
        </w:tc>
        <w:tc>
          <w:tcPr>
            <w:tcW w:w="2610" w:type="dxa"/>
            <w:tcBorders>
              <w:top w:val="nil"/>
              <w:left w:val="nil"/>
              <w:bottom w:val="nil"/>
              <w:right w:val="nil"/>
            </w:tcBorders>
            <w:shd w:val="clear" w:color="auto" w:fill="auto"/>
            <w:noWrap/>
            <w:vAlign w:val="bottom"/>
            <w:hideMark/>
          </w:tcPr>
          <w:p w14:paraId="59ABB1EA" w14:textId="77777777" w:rsidR="00204905" w:rsidRPr="00BE11D7" w:rsidRDefault="00204905" w:rsidP="00954C07">
            <w:pPr>
              <w:rPr>
                <w:color w:val="000000"/>
              </w:rPr>
            </w:pPr>
            <w:r w:rsidRPr="00BE11D7">
              <w:rPr>
                <w:color w:val="000000"/>
              </w:rPr>
              <w:t>Charge Code</w:t>
            </w:r>
          </w:p>
        </w:tc>
        <w:tc>
          <w:tcPr>
            <w:tcW w:w="1710" w:type="dxa"/>
            <w:tcBorders>
              <w:top w:val="nil"/>
              <w:left w:val="nil"/>
              <w:bottom w:val="nil"/>
              <w:right w:val="nil"/>
            </w:tcBorders>
            <w:shd w:val="clear" w:color="auto" w:fill="auto"/>
            <w:noWrap/>
            <w:vAlign w:val="bottom"/>
            <w:hideMark/>
          </w:tcPr>
          <w:p w14:paraId="2AD556A5" w14:textId="77777777" w:rsidR="00204905" w:rsidRPr="00875E26" w:rsidRDefault="00204905" w:rsidP="00954C07">
            <w:pPr>
              <w:rPr>
                <w:color w:val="000000"/>
              </w:rPr>
            </w:pPr>
            <w:r w:rsidRPr="00875E26">
              <w:rPr>
                <w:color w:val="000000"/>
              </w:rPr>
              <w:t>EIM1</w:t>
            </w:r>
          </w:p>
        </w:tc>
        <w:tc>
          <w:tcPr>
            <w:tcW w:w="1710" w:type="dxa"/>
            <w:tcBorders>
              <w:top w:val="nil"/>
              <w:left w:val="nil"/>
              <w:bottom w:val="nil"/>
              <w:right w:val="nil"/>
            </w:tcBorders>
            <w:shd w:val="clear" w:color="auto" w:fill="auto"/>
            <w:noWrap/>
            <w:vAlign w:val="bottom"/>
            <w:hideMark/>
          </w:tcPr>
          <w:p w14:paraId="5569BC5A" w14:textId="77777777" w:rsidR="00204905" w:rsidRPr="00875E26" w:rsidRDefault="00204905" w:rsidP="00954C07">
            <w:pPr>
              <w:rPr>
                <w:color w:val="000000"/>
              </w:rPr>
            </w:pPr>
            <w:r w:rsidRPr="00875E26">
              <w:rPr>
                <w:color w:val="000000"/>
              </w:rPr>
              <w:t>CISO</w:t>
            </w:r>
          </w:p>
        </w:tc>
      </w:tr>
      <w:tr w:rsidR="00204905" w:rsidRPr="00875E26" w14:paraId="5954589A" w14:textId="77777777" w:rsidTr="00954C07">
        <w:trPr>
          <w:trHeight w:val="300"/>
        </w:trPr>
        <w:tc>
          <w:tcPr>
            <w:tcW w:w="2610" w:type="dxa"/>
            <w:vMerge w:val="restart"/>
            <w:tcBorders>
              <w:top w:val="single" w:sz="4" w:space="0" w:color="auto"/>
              <w:left w:val="single" w:sz="4" w:space="0" w:color="auto"/>
              <w:right w:val="single" w:sz="4" w:space="0" w:color="auto"/>
            </w:tcBorders>
          </w:tcPr>
          <w:p w14:paraId="3F589E2D" w14:textId="77777777" w:rsidR="00204905" w:rsidRPr="00BE11D7" w:rsidRDefault="00204905" w:rsidP="00954C07">
            <w:pPr>
              <w:rPr>
                <w:color w:val="000000"/>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8FA84" w14:textId="77777777" w:rsidR="00204905" w:rsidRPr="00BE11D7" w:rsidRDefault="00204905" w:rsidP="00954C07">
            <w:pPr>
              <w:rPr>
                <w:color w:val="000000"/>
              </w:rPr>
            </w:pPr>
            <w:r w:rsidRPr="00BE11D7">
              <w:rPr>
                <w:color w:val="000000"/>
              </w:rPr>
              <w:t>CC 64700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46F6F72" w14:textId="77777777" w:rsidR="00204905" w:rsidRPr="00875E26" w:rsidRDefault="00204905" w:rsidP="00954C07">
            <w:pPr>
              <w:rPr>
                <w:color w:val="000000"/>
              </w:rPr>
            </w:pPr>
            <w:r w:rsidRPr="00875E26">
              <w:rPr>
                <w:color w:val="000000"/>
              </w:rPr>
              <w:t xml:space="preserve"> $(5,248.50)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22134BEC" w14:textId="77777777" w:rsidR="00204905" w:rsidRPr="00875E26" w:rsidRDefault="00204905" w:rsidP="00954C07">
            <w:pPr>
              <w:rPr>
                <w:color w:val="000000"/>
              </w:rPr>
            </w:pPr>
            <w:r w:rsidRPr="00875E26">
              <w:rPr>
                <w:color w:val="000000"/>
              </w:rPr>
              <w:t> </w:t>
            </w:r>
          </w:p>
        </w:tc>
      </w:tr>
      <w:tr w:rsidR="00204905" w:rsidRPr="00875E26" w14:paraId="62C32484" w14:textId="77777777" w:rsidTr="00954C07">
        <w:trPr>
          <w:trHeight w:val="300"/>
        </w:trPr>
        <w:tc>
          <w:tcPr>
            <w:tcW w:w="2610" w:type="dxa"/>
            <w:vMerge/>
            <w:tcBorders>
              <w:left w:val="single" w:sz="4" w:space="0" w:color="auto"/>
              <w:right w:val="single" w:sz="4" w:space="0" w:color="auto"/>
            </w:tcBorders>
          </w:tcPr>
          <w:p w14:paraId="13D7EACF" w14:textId="77777777" w:rsidR="00204905" w:rsidRPr="00BE11D7" w:rsidRDefault="00204905" w:rsidP="00954C07">
            <w:pPr>
              <w:rPr>
                <w:color w:val="000000"/>
              </w:rPr>
            </w:pPr>
          </w:p>
        </w:tc>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5D57B906" w14:textId="77777777" w:rsidR="00204905" w:rsidRPr="00BE11D7" w:rsidRDefault="00204905" w:rsidP="00954C07">
            <w:pPr>
              <w:rPr>
                <w:color w:val="000000"/>
              </w:rPr>
            </w:pPr>
            <w:r w:rsidRPr="00BE11D7">
              <w:rPr>
                <w:color w:val="000000"/>
              </w:rPr>
              <w:t>CC 6470</w:t>
            </w:r>
          </w:p>
        </w:tc>
        <w:tc>
          <w:tcPr>
            <w:tcW w:w="1710" w:type="dxa"/>
            <w:tcBorders>
              <w:top w:val="nil"/>
              <w:left w:val="nil"/>
              <w:bottom w:val="single" w:sz="4" w:space="0" w:color="auto"/>
              <w:right w:val="single" w:sz="4" w:space="0" w:color="auto"/>
            </w:tcBorders>
            <w:shd w:val="clear" w:color="auto" w:fill="auto"/>
            <w:noWrap/>
            <w:vAlign w:val="bottom"/>
            <w:hideMark/>
          </w:tcPr>
          <w:p w14:paraId="0962135E" w14:textId="77777777" w:rsidR="00204905" w:rsidRPr="00875E26" w:rsidRDefault="00204905" w:rsidP="00954C07">
            <w:pPr>
              <w:rPr>
                <w:color w:val="000000"/>
              </w:rPr>
            </w:pPr>
            <w:r w:rsidRPr="00875E26">
              <w:rPr>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28DBE1D" w14:textId="77777777" w:rsidR="00204905" w:rsidRPr="00875E26" w:rsidRDefault="00204905" w:rsidP="00954C07">
            <w:pPr>
              <w:rPr>
                <w:color w:val="000000"/>
              </w:rPr>
            </w:pPr>
            <w:r w:rsidRPr="00875E26">
              <w:rPr>
                <w:color w:val="000000"/>
              </w:rPr>
              <w:t xml:space="preserve"> $      (5,000.00)</w:t>
            </w:r>
          </w:p>
        </w:tc>
      </w:tr>
      <w:tr w:rsidR="00204905" w:rsidRPr="00875E26" w14:paraId="68E263AC" w14:textId="77777777" w:rsidTr="00954C07">
        <w:trPr>
          <w:trHeight w:val="300"/>
        </w:trPr>
        <w:tc>
          <w:tcPr>
            <w:tcW w:w="2610" w:type="dxa"/>
            <w:vMerge/>
            <w:tcBorders>
              <w:left w:val="single" w:sz="4" w:space="0" w:color="auto"/>
              <w:right w:val="single" w:sz="4" w:space="0" w:color="auto"/>
            </w:tcBorders>
          </w:tcPr>
          <w:p w14:paraId="735CCED1" w14:textId="77777777" w:rsidR="00204905" w:rsidRPr="00BE11D7" w:rsidRDefault="00204905" w:rsidP="00954C07">
            <w:pPr>
              <w:rPr>
                <w:color w:val="000000"/>
              </w:rPr>
            </w:pPr>
          </w:p>
        </w:tc>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4A771339" w14:textId="77777777" w:rsidR="00204905" w:rsidRPr="00BE11D7" w:rsidRDefault="00204905" w:rsidP="00954C07">
            <w:pPr>
              <w:rPr>
                <w:color w:val="000000"/>
              </w:rPr>
            </w:pPr>
            <w:r w:rsidRPr="00BE11D7">
              <w:rPr>
                <w:color w:val="000000"/>
              </w:rPr>
              <w:t>CC 64750</w:t>
            </w:r>
          </w:p>
        </w:tc>
        <w:tc>
          <w:tcPr>
            <w:tcW w:w="1710" w:type="dxa"/>
            <w:tcBorders>
              <w:top w:val="nil"/>
              <w:left w:val="nil"/>
              <w:bottom w:val="single" w:sz="4" w:space="0" w:color="auto"/>
              <w:right w:val="single" w:sz="4" w:space="0" w:color="auto"/>
            </w:tcBorders>
            <w:shd w:val="clear" w:color="auto" w:fill="auto"/>
            <w:noWrap/>
            <w:vAlign w:val="bottom"/>
            <w:hideMark/>
          </w:tcPr>
          <w:p w14:paraId="55294FBE" w14:textId="77777777" w:rsidR="00204905" w:rsidRPr="00875E26" w:rsidRDefault="00204905" w:rsidP="00954C07">
            <w:pPr>
              <w:rPr>
                <w:color w:val="000000"/>
              </w:rPr>
            </w:pPr>
            <w:r w:rsidRPr="00875E26">
              <w:rPr>
                <w:color w:val="000000"/>
              </w:rPr>
              <w:t xml:space="preserve"> $  1,749.50 </w:t>
            </w:r>
          </w:p>
        </w:tc>
        <w:tc>
          <w:tcPr>
            <w:tcW w:w="1710" w:type="dxa"/>
            <w:tcBorders>
              <w:top w:val="nil"/>
              <w:left w:val="nil"/>
              <w:bottom w:val="single" w:sz="4" w:space="0" w:color="auto"/>
              <w:right w:val="single" w:sz="4" w:space="0" w:color="auto"/>
            </w:tcBorders>
            <w:shd w:val="clear" w:color="auto" w:fill="auto"/>
            <w:noWrap/>
            <w:vAlign w:val="bottom"/>
            <w:hideMark/>
          </w:tcPr>
          <w:p w14:paraId="2CE5044A" w14:textId="77777777" w:rsidR="00204905" w:rsidRPr="00875E26" w:rsidRDefault="00204905" w:rsidP="00954C07">
            <w:pPr>
              <w:rPr>
                <w:color w:val="000000"/>
              </w:rPr>
            </w:pPr>
            <w:r w:rsidRPr="00875E26">
              <w:rPr>
                <w:color w:val="000000"/>
              </w:rPr>
              <w:t> </w:t>
            </w:r>
          </w:p>
        </w:tc>
      </w:tr>
      <w:tr w:rsidR="00204905" w:rsidRPr="00875E26" w14:paraId="32116796" w14:textId="77777777" w:rsidTr="00954C07">
        <w:trPr>
          <w:trHeight w:val="300"/>
        </w:trPr>
        <w:tc>
          <w:tcPr>
            <w:tcW w:w="2610" w:type="dxa"/>
            <w:vMerge/>
            <w:tcBorders>
              <w:left w:val="single" w:sz="4" w:space="0" w:color="auto"/>
              <w:right w:val="single" w:sz="4" w:space="0" w:color="auto"/>
            </w:tcBorders>
          </w:tcPr>
          <w:p w14:paraId="5016A0B0" w14:textId="77777777" w:rsidR="00204905" w:rsidRPr="00BE11D7" w:rsidRDefault="00204905" w:rsidP="00954C07">
            <w:pPr>
              <w:rPr>
                <w:color w:val="000000"/>
              </w:rPr>
            </w:pPr>
          </w:p>
        </w:tc>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0F1F6CA9" w14:textId="77777777" w:rsidR="00204905" w:rsidRPr="00BE11D7" w:rsidRDefault="00204905" w:rsidP="00954C07">
            <w:pPr>
              <w:rPr>
                <w:color w:val="000000"/>
              </w:rPr>
            </w:pPr>
            <w:r w:rsidRPr="00BE11D7">
              <w:rPr>
                <w:color w:val="000000"/>
              </w:rPr>
              <w:t>CC 6475</w:t>
            </w:r>
          </w:p>
        </w:tc>
        <w:tc>
          <w:tcPr>
            <w:tcW w:w="1710" w:type="dxa"/>
            <w:tcBorders>
              <w:top w:val="nil"/>
              <w:left w:val="nil"/>
              <w:bottom w:val="single" w:sz="4" w:space="0" w:color="auto"/>
              <w:right w:val="single" w:sz="4" w:space="0" w:color="auto"/>
            </w:tcBorders>
            <w:shd w:val="clear" w:color="auto" w:fill="auto"/>
            <w:noWrap/>
            <w:vAlign w:val="bottom"/>
            <w:hideMark/>
          </w:tcPr>
          <w:p w14:paraId="43985860" w14:textId="77777777" w:rsidR="00204905" w:rsidRPr="00875E26" w:rsidRDefault="00204905" w:rsidP="00954C07">
            <w:pPr>
              <w:rPr>
                <w:color w:val="000000"/>
              </w:rPr>
            </w:pPr>
            <w:r w:rsidRPr="00875E26">
              <w:rPr>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6833191" w14:textId="77777777" w:rsidR="00204905" w:rsidRPr="00875E26" w:rsidRDefault="00204905" w:rsidP="00954C07">
            <w:pPr>
              <w:rPr>
                <w:color w:val="000000"/>
              </w:rPr>
            </w:pPr>
            <w:r w:rsidRPr="00875E26">
              <w:rPr>
                <w:color w:val="000000"/>
              </w:rPr>
              <w:t xml:space="preserve"> $     10,000.00 </w:t>
            </w:r>
          </w:p>
        </w:tc>
      </w:tr>
      <w:tr w:rsidR="00204905" w:rsidRPr="00875E26" w14:paraId="2F2357A1" w14:textId="77777777" w:rsidTr="00954C07">
        <w:trPr>
          <w:trHeight w:val="300"/>
        </w:trPr>
        <w:tc>
          <w:tcPr>
            <w:tcW w:w="2610" w:type="dxa"/>
            <w:vMerge/>
            <w:tcBorders>
              <w:left w:val="single" w:sz="4" w:space="0" w:color="auto"/>
              <w:right w:val="single" w:sz="4" w:space="0" w:color="auto"/>
            </w:tcBorders>
          </w:tcPr>
          <w:p w14:paraId="60BFAC26" w14:textId="77777777" w:rsidR="00204905" w:rsidRPr="00BE11D7" w:rsidRDefault="00204905" w:rsidP="00954C07">
            <w:pPr>
              <w:rPr>
                <w:color w:val="000000"/>
              </w:rPr>
            </w:pPr>
          </w:p>
        </w:tc>
        <w:tc>
          <w:tcPr>
            <w:tcW w:w="2610" w:type="dxa"/>
            <w:tcBorders>
              <w:top w:val="nil"/>
              <w:left w:val="single" w:sz="4" w:space="0" w:color="auto"/>
              <w:bottom w:val="nil"/>
              <w:right w:val="single" w:sz="4" w:space="0" w:color="auto"/>
            </w:tcBorders>
            <w:shd w:val="clear" w:color="auto" w:fill="auto"/>
            <w:noWrap/>
            <w:vAlign w:val="bottom"/>
            <w:hideMark/>
          </w:tcPr>
          <w:p w14:paraId="343C12A9" w14:textId="77777777" w:rsidR="00204905" w:rsidRPr="00BE11D7" w:rsidRDefault="00204905" w:rsidP="00954C07">
            <w:pPr>
              <w:rPr>
                <w:color w:val="000000"/>
              </w:rPr>
            </w:pPr>
            <w:r w:rsidRPr="00BE11D7">
              <w:rPr>
                <w:color w:val="000000"/>
              </w:rPr>
              <w:t>EIM Financial Value***</w:t>
            </w:r>
          </w:p>
        </w:tc>
        <w:tc>
          <w:tcPr>
            <w:tcW w:w="1710" w:type="dxa"/>
            <w:tcBorders>
              <w:top w:val="nil"/>
              <w:left w:val="nil"/>
              <w:bottom w:val="single" w:sz="4" w:space="0" w:color="auto"/>
              <w:right w:val="single" w:sz="4" w:space="0" w:color="auto"/>
            </w:tcBorders>
            <w:shd w:val="clear" w:color="auto" w:fill="auto"/>
            <w:noWrap/>
            <w:vAlign w:val="bottom"/>
            <w:hideMark/>
          </w:tcPr>
          <w:p w14:paraId="7FA4A399" w14:textId="77777777" w:rsidR="00204905" w:rsidRPr="00875E26" w:rsidRDefault="00204905" w:rsidP="00954C07">
            <w:pPr>
              <w:rPr>
                <w:color w:val="000000"/>
              </w:rPr>
            </w:pPr>
            <w:r w:rsidRPr="00875E26">
              <w:rPr>
                <w:color w:val="000000"/>
              </w:rPr>
              <w:t xml:space="preserve"> $  5,000.00 </w:t>
            </w:r>
          </w:p>
        </w:tc>
        <w:tc>
          <w:tcPr>
            <w:tcW w:w="1710" w:type="dxa"/>
            <w:tcBorders>
              <w:top w:val="nil"/>
              <w:left w:val="nil"/>
              <w:bottom w:val="single" w:sz="4" w:space="0" w:color="auto"/>
              <w:right w:val="single" w:sz="4" w:space="0" w:color="auto"/>
            </w:tcBorders>
            <w:shd w:val="clear" w:color="auto" w:fill="auto"/>
            <w:noWrap/>
            <w:vAlign w:val="bottom"/>
            <w:hideMark/>
          </w:tcPr>
          <w:p w14:paraId="6A252C5A" w14:textId="77777777" w:rsidR="00204905" w:rsidRPr="00875E26" w:rsidRDefault="00204905" w:rsidP="00954C07">
            <w:pPr>
              <w:rPr>
                <w:color w:val="000000"/>
              </w:rPr>
            </w:pPr>
            <w:r w:rsidRPr="00875E26">
              <w:rPr>
                <w:color w:val="000000"/>
              </w:rPr>
              <w:t xml:space="preserve"> $      (5,000.00)</w:t>
            </w:r>
          </w:p>
        </w:tc>
      </w:tr>
      <w:tr w:rsidR="00204905" w:rsidRPr="00875E26" w14:paraId="7D3D093C" w14:textId="77777777" w:rsidTr="00954C07">
        <w:trPr>
          <w:trHeight w:val="300"/>
        </w:trPr>
        <w:tc>
          <w:tcPr>
            <w:tcW w:w="2610" w:type="dxa"/>
            <w:vMerge/>
            <w:tcBorders>
              <w:left w:val="single" w:sz="4" w:space="0" w:color="auto"/>
              <w:right w:val="single" w:sz="4" w:space="0" w:color="auto"/>
            </w:tcBorders>
          </w:tcPr>
          <w:p w14:paraId="79E59AA5" w14:textId="77777777" w:rsidR="00204905" w:rsidRPr="00BE11D7" w:rsidRDefault="00204905" w:rsidP="00954C07">
            <w:pPr>
              <w:rPr>
                <w:color w:val="000000"/>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AA001" w14:textId="77777777" w:rsidR="00204905" w:rsidRPr="00BE11D7" w:rsidRDefault="00204905" w:rsidP="00954C07">
            <w:pPr>
              <w:rPr>
                <w:color w:val="000000"/>
              </w:rPr>
            </w:pPr>
            <w:r w:rsidRPr="00BE11D7">
              <w:rPr>
                <w:color w:val="000000"/>
              </w:rPr>
              <w:t>RTCO Calculation</w:t>
            </w:r>
          </w:p>
        </w:tc>
        <w:tc>
          <w:tcPr>
            <w:tcW w:w="1710" w:type="dxa"/>
            <w:tcBorders>
              <w:top w:val="nil"/>
              <w:left w:val="nil"/>
              <w:bottom w:val="single" w:sz="4" w:space="0" w:color="auto"/>
              <w:right w:val="single" w:sz="4" w:space="0" w:color="auto"/>
            </w:tcBorders>
            <w:shd w:val="clear" w:color="auto" w:fill="auto"/>
            <w:noWrap/>
            <w:vAlign w:val="bottom"/>
            <w:hideMark/>
          </w:tcPr>
          <w:p w14:paraId="2D892E24" w14:textId="77777777" w:rsidR="00204905" w:rsidRPr="00875E26" w:rsidRDefault="00204905" w:rsidP="00954C07">
            <w:pPr>
              <w:rPr>
                <w:color w:val="000000"/>
              </w:rPr>
            </w:pPr>
            <w:r w:rsidRPr="00875E26">
              <w:rPr>
                <w:color w:val="000000"/>
              </w:rPr>
              <w:t xml:space="preserve"> $  1,501.00 </w:t>
            </w:r>
          </w:p>
        </w:tc>
        <w:tc>
          <w:tcPr>
            <w:tcW w:w="1710" w:type="dxa"/>
            <w:tcBorders>
              <w:top w:val="nil"/>
              <w:left w:val="nil"/>
              <w:bottom w:val="single" w:sz="4" w:space="0" w:color="auto"/>
              <w:right w:val="single" w:sz="4" w:space="0" w:color="auto"/>
            </w:tcBorders>
            <w:shd w:val="clear" w:color="auto" w:fill="auto"/>
            <w:noWrap/>
            <w:vAlign w:val="bottom"/>
            <w:hideMark/>
          </w:tcPr>
          <w:p w14:paraId="02BBE496" w14:textId="77777777" w:rsidR="00204905" w:rsidRPr="00875E26" w:rsidRDefault="00204905" w:rsidP="00954C07">
            <w:pPr>
              <w:rPr>
                <w:color w:val="000000"/>
              </w:rPr>
            </w:pPr>
            <w:r w:rsidRPr="00875E26">
              <w:rPr>
                <w:color w:val="000000"/>
              </w:rPr>
              <w:t xml:space="preserve"> $                -   </w:t>
            </w:r>
          </w:p>
        </w:tc>
      </w:tr>
      <w:tr w:rsidR="00204905" w:rsidRPr="00875E26" w14:paraId="4E1C6FD9" w14:textId="77777777" w:rsidTr="00954C07">
        <w:trPr>
          <w:trHeight w:val="315"/>
        </w:trPr>
        <w:tc>
          <w:tcPr>
            <w:tcW w:w="2610" w:type="dxa"/>
            <w:vMerge/>
            <w:tcBorders>
              <w:left w:val="single" w:sz="4" w:space="0" w:color="auto"/>
              <w:bottom w:val="double" w:sz="6" w:space="0" w:color="auto"/>
              <w:right w:val="single" w:sz="4" w:space="0" w:color="auto"/>
            </w:tcBorders>
          </w:tcPr>
          <w:p w14:paraId="29982C3A" w14:textId="77777777" w:rsidR="00204905" w:rsidRPr="00BE11D7" w:rsidRDefault="00204905" w:rsidP="00954C07">
            <w:pPr>
              <w:rPr>
                <w:color w:val="000000"/>
              </w:rPr>
            </w:pPr>
          </w:p>
        </w:tc>
        <w:tc>
          <w:tcPr>
            <w:tcW w:w="2610" w:type="dxa"/>
            <w:tcBorders>
              <w:top w:val="nil"/>
              <w:left w:val="single" w:sz="4" w:space="0" w:color="auto"/>
              <w:bottom w:val="double" w:sz="6" w:space="0" w:color="auto"/>
              <w:right w:val="single" w:sz="4" w:space="0" w:color="auto"/>
            </w:tcBorders>
            <w:shd w:val="clear" w:color="auto" w:fill="auto"/>
            <w:noWrap/>
            <w:vAlign w:val="bottom"/>
            <w:hideMark/>
          </w:tcPr>
          <w:p w14:paraId="4DE566FD" w14:textId="77777777" w:rsidR="00204905" w:rsidRPr="00BE11D7" w:rsidRDefault="00204905" w:rsidP="00954C07">
            <w:pPr>
              <w:rPr>
                <w:color w:val="000000"/>
              </w:rPr>
            </w:pPr>
            <w:r w:rsidRPr="00BE11D7">
              <w:rPr>
                <w:color w:val="000000"/>
              </w:rPr>
              <w:t>RTLosses</w:t>
            </w:r>
          </w:p>
        </w:tc>
        <w:tc>
          <w:tcPr>
            <w:tcW w:w="1710" w:type="dxa"/>
            <w:tcBorders>
              <w:top w:val="nil"/>
              <w:left w:val="nil"/>
              <w:bottom w:val="double" w:sz="6" w:space="0" w:color="auto"/>
              <w:right w:val="single" w:sz="4" w:space="0" w:color="auto"/>
            </w:tcBorders>
            <w:shd w:val="clear" w:color="auto" w:fill="auto"/>
            <w:noWrap/>
            <w:vAlign w:val="bottom"/>
            <w:hideMark/>
          </w:tcPr>
          <w:p w14:paraId="74ACE168" w14:textId="77777777" w:rsidR="00204905" w:rsidRPr="00875E26" w:rsidRDefault="00204905" w:rsidP="00954C07">
            <w:pPr>
              <w:jc w:val="right"/>
              <w:rPr>
                <w:color w:val="000000"/>
              </w:rPr>
            </w:pPr>
            <w:r w:rsidRPr="00875E26">
              <w:rPr>
                <w:color w:val="000000"/>
              </w:rPr>
              <w:t>0</w:t>
            </w:r>
          </w:p>
        </w:tc>
        <w:tc>
          <w:tcPr>
            <w:tcW w:w="1710" w:type="dxa"/>
            <w:tcBorders>
              <w:top w:val="nil"/>
              <w:left w:val="nil"/>
              <w:bottom w:val="double" w:sz="6" w:space="0" w:color="auto"/>
              <w:right w:val="single" w:sz="4" w:space="0" w:color="auto"/>
            </w:tcBorders>
            <w:shd w:val="clear" w:color="auto" w:fill="auto"/>
            <w:noWrap/>
            <w:vAlign w:val="bottom"/>
            <w:hideMark/>
          </w:tcPr>
          <w:p w14:paraId="27504965" w14:textId="77777777" w:rsidR="00204905" w:rsidRPr="00875E26" w:rsidRDefault="00204905" w:rsidP="00954C07">
            <w:pPr>
              <w:jc w:val="right"/>
              <w:rPr>
                <w:color w:val="000000"/>
              </w:rPr>
            </w:pPr>
            <w:r w:rsidRPr="00875E26">
              <w:rPr>
                <w:color w:val="000000"/>
              </w:rPr>
              <w:t>0</w:t>
            </w:r>
          </w:p>
        </w:tc>
      </w:tr>
      <w:tr w:rsidR="00204905" w:rsidRPr="00875E26" w14:paraId="710A11FD" w14:textId="77777777" w:rsidTr="00954C07">
        <w:trPr>
          <w:trHeight w:val="330"/>
        </w:trPr>
        <w:tc>
          <w:tcPr>
            <w:tcW w:w="2610" w:type="dxa"/>
            <w:tcBorders>
              <w:top w:val="nil"/>
              <w:left w:val="single" w:sz="4" w:space="0" w:color="auto"/>
              <w:bottom w:val="double" w:sz="6" w:space="0" w:color="auto"/>
              <w:right w:val="single" w:sz="4" w:space="0" w:color="auto"/>
            </w:tcBorders>
          </w:tcPr>
          <w:p w14:paraId="33FBAE9A" w14:textId="77777777" w:rsidR="00204905" w:rsidRPr="00BE11D7" w:rsidRDefault="00204905" w:rsidP="00954C07">
            <w:pPr>
              <w:rPr>
                <w:color w:val="000000"/>
              </w:rPr>
            </w:pPr>
            <w:r>
              <w:rPr>
                <w:color w:val="000000"/>
              </w:rPr>
              <w:t>RTIEO</w:t>
            </w:r>
          </w:p>
        </w:tc>
        <w:tc>
          <w:tcPr>
            <w:tcW w:w="2610" w:type="dxa"/>
            <w:tcBorders>
              <w:top w:val="nil"/>
              <w:left w:val="single" w:sz="4" w:space="0" w:color="auto"/>
              <w:bottom w:val="double" w:sz="6" w:space="0" w:color="auto"/>
              <w:right w:val="single" w:sz="4" w:space="0" w:color="auto"/>
            </w:tcBorders>
            <w:shd w:val="clear" w:color="auto" w:fill="auto"/>
            <w:noWrap/>
            <w:vAlign w:val="bottom"/>
            <w:hideMark/>
          </w:tcPr>
          <w:p w14:paraId="59660A75" w14:textId="77777777" w:rsidR="00204905" w:rsidRPr="00BE11D7" w:rsidRDefault="00204905" w:rsidP="00954C07">
            <w:pPr>
              <w:rPr>
                <w:color w:val="000000"/>
              </w:rPr>
            </w:pPr>
          </w:p>
        </w:tc>
        <w:tc>
          <w:tcPr>
            <w:tcW w:w="1710" w:type="dxa"/>
            <w:tcBorders>
              <w:top w:val="nil"/>
              <w:left w:val="nil"/>
              <w:bottom w:val="double" w:sz="6" w:space="0" w:color="auto"/>
              <w:right w:val="single" w:sz="4" w:space="0" w:color="auto"/>
            </w:tcBorders>
            <w:shd w:val="clear" w:color="auto" w:fill="auto"/>
            <w:noWrap/>
            <w:vAlign w:val="bottom"/>
            <w:hideMark/>
          </w:tcPr>
          <w:p w14:paraId="3AAC1367" w14:textId="77777777" w:rsidR="00204905" w:rsidRPr="00875E26" w:rsidRDefault="00204905" w:rsidP="00954C07">
            <w:pPr>
              <w:rPr>
                <w:color w:val="000000"/>
              </w:rPr>
            </w:pPr>
            <w:r w:rsidRPr="00875E26">
              <w:rPr>
                <w:color w:val="000000"/>
              </w:rPr>
              <w:t xml:space="preserve"> $           -   </w:t>
            </w:r>
          </w:p>
        </w:tc>
        <w:tc>
          <w:tcPr>
            <w:tcW w:w="1710" w:type="dxa"/>
            <w:tcBorders>
              <w:top w:val="nil"/>
              <w:left w:val="nil"/>
              <w:bottom w:val="double" w:sz="6" w:space="0" w:color="auto"/>
              <w:right w:val="single" w:sz="4" w:space="0" w:color="auto"/>
            </w:tcBorders>
            <w:shd w:val="clear" w:color="auto" w:fill="auto"/>
            <w:noWrap/>
            <w:vAlign w:val="bottom"/>
            <w:hideMark/>
          </w:tcPr>
          <w:p w14:paraId="76713BA5" w14:textId="77777777" w:rsidR="00204905" w:rsidRPr="00875E26" w:rsidRDefault="00204905" w:rsidP="00954C07">
            <w:pPr>
              <w:rPr>
                <w:color w:val="000000"/>
              </w:rPr>
            </w:pPr>
            <w:r w:rsidRPr="00875E26">
              <w:rPr>
                <w:color w:val="000000"/>
              </w:rPr>
              <w:t xml:space="preserve"> $                -   </w:t>
            </w:r>
          </w:p>
        </w:tc>
      </w:tr>
    </w:tbl>
    <w:p w14:paraId="2A610A3A" w14:textId="77777777" w:rsidR="00204905" w:rsidRPr="0010630C" w:rsidRDefault="00204905" w:rsidP="00204905">
      <w:pPr>
        <w:rPr>
          <w:color w:val="000000"/>
          <w:sz w:val="18"/>
        </w:rPr>
      </w:pPr>
      <w:r w:rsidRPr="0010630C">
        <w:rPr>
          <w:color w:val="000000"/>
          <w:sz w:val="18"/>
        </w:rPr>
        <w:t>*** EIM Transfer is settled at the System Marginal Energy Costs</w:t>
      </w:r>
    </w:p>
    <w:p w14:paraId="67D21B86" w14:textId="77777777" w:rsidR="00204905" w:rsidRDefault="00204905" w:rsidP="00204905"/>
    <w:p w14:paraId="0276D653" w14:textId="77777777" w:rsidR="00DF02D8" w:rsidRPr="00875E26" w:rsidRDefault="00DF02D8" w:rsidP="00204905"/>
    <w:p w14:paraId="2408DE2F" w14:textId="77777777" w:rsidR="00204905" w:rsidRDefault="00204905" w:rsidP="00204905">
      <w:pPr>
        <w:jc w:val="center"/>
      </w:pPr>
    </w:p>
    <w:p w14:paraId="0340751E" w14:textId="77777777" w:rsidR="00204905" w:rsidRPr="004B5C2B" w:rsidRDefault="00204905" w:rsidP="00204905">
      <w:pPr>
        <w:jc w:val="center"/>
        <w:rPr>
          <w:b/>
        </w:rPr>
      </w:pPr>
      <w:r w:rsidRPr="004B5C2B">
        <w:rPr>
          <w:b/>
        </w:rPr>
        <w:t xml:space="preserve">EIM Transfer Constraint Not Congested/Intertie Scheduling Limit Congested </w:t>
      </w:r>
    </w:p>
    <w:p w14:paraId="5AD9A151" w14:textId="77777777" w:rsidR="00204905" w:rsidRPr="00BE11D7" w:rsidRDefault="00204905" w:rsidP="00204905"/>
    <w:p w14:paraId="6A0E7AB7" w14:textId="77777777" w:rsidR="00204905" w:rsidRPr="00BE11D7" w:rsidRDefault="00204905" w:rsidP="00204905">
      <w:r w:rsidRPr="003F0008">
        <w:rPr>
          <w:noProof/>
        </w:rPr>
        <mc:AlternateContent>
          <mc:Choice Requires="wps">
            <w:drawing>
              <wp:anchor distT="0" distB="0" distL="114300" distR="114300" simplePos="0" relativeHeight="251658245" behindDoc="0" locked="0" layoutInCell="1" allowOverlap="1" wp14:anchorId="0FD54CBD" wp14:editId="04ED9A6C">
                <wp:simplePos x="0" y="0"/>
                <wp:positionH relativeFrom="margin">
                  <wp:align>right</wp:align>
                </wp:positionH>
                <wp:positionV relativeFrom="paragraph">
                  <wp:posOffset>9525</wp:posOffset>
                </wp:positionV>
                <wp:extent cx="2023730" cy="2157573"/>
                <wp:effectExtent l="0" t="0" r="15240" b="14605"/>
                <wp:wrapNone/>
                <wp:docPr id="78" name="Flowchart: Connector 78"/>
                <wp:cNvGraphicFramePr/>
                <a:graphic xmlns:a="http://schemas.openxmlformats.org/drawingml/2006/main">
                  <a:graphicData uri="http://schemas.microsoft.com/office/word/2010/wordprocessingShape">
                    <wps:wsp>
                      <wps:cNvSpPr/>
                      <wps:spPr>
                        <a:xfrm>
                          <a:off x="0" y="0"/>
                          <a:ext cx="2023730" cy="21575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D34E8" w14:textId="77777777" w:rsidR="00F55122" w:rsidRDefault="00F55122" w:rsidP="00204905">
                            <w:pPr>
                              <w:jc w:val="center"/>
                            </w:pPr>
                            <w:r>
                              <w:t>EIM1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54CBD" id="Flowchart: Connector 78" o:spid="_x0000_s1100" type="#_x0000_t120" style="position:absolute;margin-left:108.15pt;margin-top:.75pt;width:159.35pt;height:169.9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" fillcolor="#4f81bd [3204]" strokecolor="#243f60 [1604]" strokeweight="2pt">
                <v:textbox>
                  <w:txbxContent>
                    <w:p w14:paraId="3C2D34E8" w14:textId="77777777" w:rsidR="00F55122" w:rsidRDefault="00F55122" w:rsidP="00204905">
                      <w:pPr>
                        <w:jc w:val="center"/>
                      </w:pPr>
                      <w:r>
                        <w:t>EIM1</w:t>
                      </w:r>
                    </w:p>
                  </w:txbxContent>
                </v:textbox>
                <w10:wrap anchorx="margin"/>
              </v:shape>
            </w:pict>
          </mc:Fallback>
        </mc:AlternateContent>
      </w:r>
      <w:r w:rsidRPr="00362BE9">
        <w:rPr>
          <w:noProof/>
        </w:rPr>
        <mc:AlternateContent>
          <mc:Choice Requires="wps">
            <w:drawing>
              <wp:anchor distT="0" distB="0" distL="114300" distR="114300" simplePos="0" relativeHeight="251658244" behindDoc="0" locked="0" layoutInCell="1" allowOverlap="1" wp14:anchorId="2A49D7B5" wp14:editId="6DE5169D">
                <wp:simplePos x="0" y="0"/>
                <wp:positionH relativeFrom="margin">
                  <wp:align>left</wp:align>
                </wp:positionH>
                <wp:positionV relativeFrom="paragraph">
                  <wp:posOffset>19949</wp:posOffset>
                </wp:positionV>
                <wp:extent cx="2126750" cy="2137025"/>
                <wp:effectExtent l="0" t="0" r="26035" b="15875"/>
                <wp:wrapNone/>
                <wp:docPr id="79" name="Oval 79"/>
                <wp:cNvGraphicFramePr/>
                <a:graphic xmlns:a="http://schemas.openxmlformats.org/drawingml/2006/main">
                  <a:graphicData uri="http://schemas.microsoft.com/office/word/2010/wordprocessingShape">
                    <wps:wsp>
                      <wps:cNvSpPr/>
                      <wps:spPr>
                        <a:xfrm>
                          <a:off x="0" y="0"/>
                          <a:ext cx="2126750" cy="213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7FB89" w14:textId="77777777" w:rsidR="00F55122" w:rsidRDefault="00F55122" w:rsidP="00204905">
                            <w:pPr>
                              <w:jc w:val="center"/>
                            </w:pPr>
                            <w:r>
                              <w:t>CISO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9D7B5" id="Oval 79" o:spid="_x0000_s1101" style="position:absolute;margin-left:0;margin-top:1.55pt;width:167.45pt;height:168.25pt;z-index:2516582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" fillcolor="#4f81bd [3204]" strokecolor="#243f60 [1604]" strokeweight="2pt">
                <v:textbox>
                  <w:txbxContent>
                    <w:p w14:paraId="76C7FB89" w14:textId="77777777" w:rsidR="00F55122" w:rsidRDefault="00F55122" w:rsidP="00204905">
                      <w:pPr>
                        <w:jc w:val="center"/>
                      </w:pPr>
                      <w:r>
                        <w:t>CISO</w:t>
                      </w:r>
                    </w:p>
                  </w:txbxContent>
                </v:textbox>
                <w10:wrap anchorx="margin"/>
              </v:oval>
            </w:pict>
          </mc:Fallback>
        </mc:AlternateContent>
      </w:r>
    </w:p>
    <w:p w14:paraId="4886AA9A" w14:textId="77777777" w:rsidR="00204905" w:rsidRPr="00BE11D7" w:rsidRDefault="00204905" w:rsidP="00204905"/>
    <w:p w14:paraId="714BB3E7" w14:textId="77777777" w:rsidR="00204905" w:rsidRPr="00BE11D7" w:rsidRDefault="00204905" w:rsidP="00204905"/>
    <w:p w14:paraId="00419C95" w14:textId="77777777" w:rsidR="00204905" w:rsidRPr="00BE11D7" w:rsidRDefault="00204905" w:rsidP="00204905"/>
    <w:p w14:paraId="7020B6C0" w14:textId="77777777" w:rsidR="00204905" w:rsidRPr="00BE11D7" w:rsidRDefault="00204905" w:rsidP="00204905">
      <w:r w:rsidRPr="003F0008">
        <w:rPr>
          <w:noProof/>
        </w:rPr>
        <mc:AlternateContent>
          <mc:Choice Requires="wps">
            <w:drawing>
              <wp:anchor distT="0" distB="0" distL="114300" distR="114300" simplePos="0" relativeHeight="251658246" behindDoc="0" locked="0" layoutInCell="1" allowOverlap="1" wp14:anchorId="08A17967" wp14:editId="35BB1B57">
                <wp:simplePos x="0" y="0"/>
                <wp:positionH relativeFrom="margin">
                  <wp:posOffset>1812897</wp:posOffset>
                </wp:positionH>
                <wp:positionV relativeFrom="paragraph">
                  <wp:posOffset>50385</wp:posOffset>
                </wp:positionV>
                <wp:extent cx="1849334" cy="834887"/>
                <wp:effectExtent l="57150" t="38100" r="74930" b="99060"/>
                <wp:wrapNone/>
                <wp:docPr id="80" name="Left Arrow 80"/>
                <wp:cNvGraphicFramePr/>
                <a:graphic xmlns:a="http://schemas.openxmlformats.org/drawingml/2006/main">
                  <a:graphicData uri="http://schemas.microsoft.com/office/word/2010/wordprocessingShape">
                    <wps:wsp>
                      <wps:cNvSpPr/>
                      <wps:spPr>
                        <a:xfrm>
                          <a:off x="0" y="0"/>
                          <a:ext cx="1849334" cy="834887"/>
                        </a:xfrm>
                        <a:prstGeom prst="leftArrow">
                          <a:avLst/>
                        </a:prstGeom>
                      </wps:spPr>
                      <wps:style>
                        <a:lnRef idx="1">
                          <a:schemeClr val="accent2"/>
                        </a:lnRef>
                        <a:fillRef idx="2">
                          <a:schemeClr val="accent2"/>
                        </a:fillRef>
                        <a:effectRef idx="1">
                          <a:schemeClr val="accent2"/>
                        </a:effectRef>
                        <a:fontRef idx="minor">
                          <a:schemeClr val="dk1"/>
                        </a:fontRef>
                      </wps:style>
                      <wps:txbx>
                        <w:txbxContent>
                          <w:p w14:paraId="1B924DA8" w14:textId="77777777" w:rsidR="00F55122" w:rsidRPr="00F3574D" w:rsidRDefault="00F55122" w:rsidP="00204905">
                            <w:pPr>
                              <w:jc w:val="center"/>
                              <w:rPr>
                                <w:sz w:val="20"/>
                              </w:rPr>
                            </w:pPr>
                            <w:r w:rsidRPr="00F3574D">
                              <w:rPr>
                                <w:sz w:val="20"/>
                              </w:rPr>
                              <w:t>EIM Transfer ATC Limit (100 MW)</w:t>
                            </w:r>
                          </w:p>
                          <w:p w14:paraId="56B9E6B1" w14:textId="77777777" w:rsidR="00F55122" w:rsidRPr="00836232" w:rsidRDefault="00F55122" w:rsidP="00204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7967" id="Left Arrow 80" o:spid="_x0000_s1102" type="#_x0000_t66" style="position:absolute;margin-left:142.75pt;margin-top:3.95pt;width:145.6pt;height:65.7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" adj="4876" fillcolor="#dfa7a6 [1621]" strokecolor="#bc4542 [3045]">
                <v:fill color2="#f5e4e4 [501]" rotate="t" angle="180" colors="0 #ffa2a1;22938f #ffbebd;1 #ffe5e5" focus="100%" type="gradient"/>
                <v:shadow on="t" color="black" opacity="24903f" origin=",.5" offset="0,.55556mm"/>
                <v:textbox>
                  <w:txbxContent>
                    <w:p w14:paraId="1B924DA8" w14:textId="77777777" w:rsidR="00F55122" w:rsidRPr="00F3574D" w:rsidRDefault="00F55122" w:rsidP="00204905">
                      <w:pPr>
                        <w:jc w:val="center"/>
                        <w:rPr>
                          <w:sz w:val="20"/>
                        </w:rPr>
                      </w:pPr>
                      <w:r w:rsidRPr="00F3574D">
                        <w:rPr>
                          <w:sz w:val="20"/>
                        </w:rPr>
                        <w:t>EIM Transfer ATC Limit (100 MW)</w:t>
                      </w:r>
                    </w:p>
                    <w:p w14:paraId="56B9E6B1" w14:textId="77777777" w:rsidR="00F55122" w:rsidRPr="00836232" w:rsidRDefault="00F55122" w:rsidP="00204905">
                      <w:pPr>
                        <w:jc w:val="center"/>
                      </w:pPr>
                    </w:p>
                  </w:txbxContent>
                </v:textbox>
                <w10:wrap anchorx="margin"/>
              </v:shape>
            </w:pict>
          </mc:Fallback>
        </mc:AlternateContent>
      </w:r>
    </w:p>
    <w:p w14:paraId="320FCD8D" w14:textId="77777777" w:rsidR="00204905" w:rsidRPr="00BE11D7" w:rsidRDefault="00204905" w:rsidP="00204905"/>
    <w:p w14:paraId="234D6E5F" w14:textId="77777777" w:rsidR="00204905" w:rsidRPr="00BE11D7" w:rsidRDefault="00204905" w:rsidP="00204905"/>
    <w:p w14:paraId="6C8FE550" w14:textId="77777777" w:rsidR="00204905" w:rsidRPr="00BE11D7" w:rsidRDefault="00204905" w:rsidP="00204905"/>
    <w:p w14:paraId="675D0DBE" w14:textId="77777777" w:rsidR="00204905" w:rsidRPr="00BE11D7" w:rsidRDefault="00204905" w:rsidP="00204905"/>
    <w:p w14:paraId="77E53093" w14:textId="77777777" w:rsidR="00204905" w:rsidRPr="00BE11D7" w:rsidRDefault="00204905" w:rsidP="00204905"/>
    <w:p w14:paraId="2E856F97" w14:textId="77777777" w:rsidR="00204905" w:rsidRPr="00BE11D7" w:rsidRDefault="00204905" w:rsidP="00204905"/>
    <w:p w14:paraId="5016B4D1" w14:textId="77777777" w:rsidR="00204905" w:rsidRPr="00BE11D7" w:rsidRDefault="00204905" w:rsidP="00204905"/>
    <w:p w14:paraId="1223A246" w14:textId="77777777" w:rsidR="00204905" w:rsidRPr="00BE11D7" w:rsidRDefault="00204905" w:rsidP="00204905"/>
    <w:p w14:paraId="7C1523EE" w14:textId="77777777" w:rsidR="00204905" w:rsidRDefault="00204905" w:rsidP="00204905">
      <w:pPr>
        <w:ind w:firstLine="720"/>
      </w:pPr>
    </w:p>
    <w:p w14:paraId="52104CC2" w14:textId="77777777" w:rsidR="00204905" w:rsidRPr="00875E26" w:rsidRDefault="00204905" w:rsidP="00877DDB">
      <w:pPr>
        <w:pStyle w:val="BPM"/>
      </w:pPr>
      <w:r w:rsidRPr="00875E26">
        <w:t>In the example presented below, the Real Time Market receives Bids from EIM1 Generator and CISO Generator in order to serve EIM1 Load and CISO Load. The Real Time Market Conditions have determined that there is 100 MWs Available Transmission Capacity between EIM1 and CISO with a</w:t>
      </w:r>
      <w:r>
        <w:t>n</w:t>
      </w:r>
      <w:r w:rsidRPr="00875E26">
        <w:t xml:space="preserve"> EIM Transfer Cost of $0.01.  Based upon these conditions, the Real Time Market has dispatched a Generator in the EIM1 Balancing Authority Area (BAA) to serve 50 MWs of EIM1 Load and 100 MWs of CISO Load. The Real Time Market also dispatched a Generator in the CISO BAA to serve an additional 100 MWs of internal Load. Market Conditions has determined that marginal unit is CISO Generator, the EIM Transfer Constraint is </w:t>
      </w:r>
      <w:r>
        <w:t xml:space="preserve">not </w:t>
      </w:r>
      <w:r w:rsidRPr="00875E26">
        <w:t xml:space="preserve">congested, and the Intertie scheduling Limit Constraint is congested.     </w:t>
      </w:r>
    </w:p>
    <w:p w14:paraId="565D8C83" w14:textId="77777777" w:rsidR="00204905" w:rsidRPr="00875E26" w:rsidRDefault="00204905" w:rsidP="00877DDB">
      <w:pPr>
        <w:pStyle w:val="BPM"/>
      </w:pPr>
      <w:r w:rsidRPr="00875E26">
        <w:t xml:space="preserve"> Based upon the above mentioned Market Conditions, Settlement calculations will be as follows:</w:t>
      </w:r>
    </w:p>
    <w:p w14:paraId="5DE455DB" w14:textId="77777777" w:rsidR="00204905" w:rsidRPr="00BE11D7" w:rsidRDefault="00204905" w:rsidP="00204905"/>
    <w:p w14:paraId="1BBE8B5A" w14:textId="77777777" w:rsidR="00204905" w:rsidRPr="00BE11D7" w:rsidRDefault="00204905" w:rsidP="00204905">
      <w:r w:rsidRPr="00BE11D7">
        <w:t>Bids</w:t>
      </w:r>
    </w:p>
    <w:tbl>
      <w:tblPr>
        <w:tblW w:w="87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gridCol w:w="1739"/>
        <w:gridCol w:w="1739"/>
        <w:gridCol w:w="1713"/>
      </w:tblGrid>
      <w:tr w:rsidR="00204905" w:rsidRPr="00BE11D7" w14:paraId="381BE48B" w14:textId="77777777" w:rsidTr="00954C07">
        <w:trPr>
          <w:trHeight w:val="602"/>
        </w:trPr>
        <w:tc>
          <w:tcPr>
            <w:tcW w:w="1662" w:type="dxa"/>
            <w:shd w:val="clear" w:color="auto" w:fill="auto"/>
            <w:noWrap/>
            <w:vAlign w:val="bottom"/>
            <w:hideMark/>
          </w:tcPr>
          <w:p w14:paraId="77F4B889" w14:textId="77777777" w:rsidR="00204905" w:rsidRPr="00BE11D7" w:rsidRDefault="00204905" w:rsidP="00954C07">
            <w:pPr>
              <w:jc w:val="center"/>
              <w:rPr>
                <w:color w:val="000000"/>
              </w:rPr>
            </w:pPr>
            <w:r w:rsidRPr="00BE11D7">
              <w:rPr>
                <w:color w:val="000000"/>
              </w:rPr>
              <w:t>Resource</w:t>
            </w:r>
          </w:p>
        </w:tc>
        <w:tc>
          <w:tcPr>
            <w:tcW w:w="1892" w:type="dxa"/>
            <w:shd w:val="clear" w:color="auto" w:fill="auto"/>
            <w:noWrap/>
            <w:vAlign w:val="bottom"/>
            <w:hideMark/>
          </w:tcPr>
          <w:p w14:paraId="02584C7F" w14:textId="77777777" w:rsidR="00204905" w:rsidRPr="00BE11D7" w:rsidRDefault="00204905" w:rsidP="00954C07">
            <w:pPr>
              <w:jc w:val="center"/>
              <w:rPr>
                <w:color w:val="000000"/>
              </w:rPr>
            </w:pPr>
            <w:r w:rsidRPr="00BE11D7">
              <w:rPr>
                <w:color w:val="000000"/>
              </w:rPr>
              <w:t>Quantity (MW)</w:t>
            </w:r>
          </w:p>
        </w:tc>
        <w:tc>
          <w:tcPr>
            <w:tcW w:w="1739" w:type="dxa"/>
            <w:shd w:val="clear" w:color="auto" w:fill="auto"/>
            <w:vAlign w:val="bottom"/>
            <w:hideMark/>
          </w:tcPr>
          <w:p w14:paraId="107B46D5" w14:textId="77777777" w:rsidR="00204905" w:rsidRPr="00BE11D7" w:rsidRDefault="00204905" w:rsidP="00954C07">
            <w:pPr>
              <w:jc w:val="center"/>
              <w:rPr>
                <w:color w:val="000000"/>
              </w:rPr>
            </w:pPr>
            <w:r w:rsidRPr="00BE11D7">
              <w:rPr>
                <w:color w:val="000000"/>
              </w:rPr>
              <w:t>Energy Bid</w:t>
            </w:r>
            <w:r w:rsidRPr="00BE11D7">
              <w:rPr>
                <w:color w:val="000000"/>
              </w:rPr>
              <w:br/>
              <w:t>Price ($/MW)</w:t>
            </w:r>
          </w:p>
        </w:tc>
        <w:tc>
          <w:tcPr>
            <w:tcW w:w="1739" w:type="dxa"/>
            <w:shd w:val="clear" w:color="auto" w:fill="auto"/>
            <w:vAlign w:val="bottom"/>
            <w:hideMark/>
          </w:tcPr>
          <w:p w14:paraId="645910AD" w14:textId="77777777" w:rsidR="00204905" w:rsidRPr="00BE11D7" w:rsidRDefault="00204905" w:rsidP="00954C07">
            <w:pPr>
              <w:jc w:val="center"/>
              <w:rPr>
                <w:color w:val="000000"/>
              </w:rPr>
            </w:pPr>
            <w:r w:rsidRPr="00BE11D7">
              <w:rPr>
                <w:color w:val="000000"/>
              </w:rPr>
              <w:t>GHG Bid</w:t>
            </w:r>
            <w:r w:rsidRPr="00BE11D7">
              <w:rPr>
                <w:color w:val="000000"/>
              </w:rPr>
              <w:br/>
              <w:t>Price ($/MW)</w:t>
            </w:r>
          </w:p>
        </w:tc>
        <w:tc>
          <w:tcPr>
            <w:tcW w:w="1713" w:type="dxa"/>
            <w:shd w:val="clear" w:color="auto" w:fill="auto"/>
            <w:vAlign w:val="bottom"/>
            <w:hideMark/>
          </w:tcPr>
          <w:p w14:paraId="47E1AFA3" w14:textId="77777777" w:rsidR="00204905" w:rsidRPr="00BE11D7" w:rsidRDefault="00204905" w:rsidP="00954C07">
            <w:pPr>
              <w:jc w:val="center"/>
              <w:rPr>
                <w:color w:val="000000"/>
              </w:rPr>
            </w:pPr>
            <w:r w:rsidRPr="00BE11D7">
              <w:rPr>
                <w:color w:val="000000"/>
              </w:rPr>
              <w:t>All-in Bid</w:t>
            </w:r>
            <w:r w:rsidRPr="00BE11D7">
              <w:rPr>
                <w:color w:val="000000"/>
              </w:rPr>
              <w:br/>
              <w:t>Price ($/MW)</w:t>
            </w:r>
          </w:p>
        </w:tc>
      </w:tr>
      <w:tr w:rsidR="00204905" w:rsidRPr="00BE11D7" w14:paraId="0855C93E" w14:textId="77777777" w:rsidTr="00954C07">
        <w:trPr>
          <w:trHeight w:val="313"/>
        </w:trPr>
        <w:tc>
          <w:tcPr>
            <w:tcW w:w="1662" w:type="dxa"/>
            <w:shd w:val="clear" w:color="auto" w:fill="auto"/>
            <w:noWrap/>
            <w:vAlign w:val="bottom"/>
          </w:tcPr>
          <w:p w14:paraId="211B8AA8" w14:textId="77777777" w:rsidR="00204905" w:rsidRPr="00BE11D7" w:rsidRDefault="00204905" w:rsidP="00954C07">
            <w:pPr>
              <w:rPr>
                <w:color w:val="000000"/>
              </w:rPr>
            </w:pPr>
            <w:r w:rsidRPr="00BE11D7">
              <w:rPr>
                <w:color w:val="000000"/>
              </w:rPr>
              <w:t>EIM1Gen</w:t>
            </w:r>
          </w:p>
        </w:tc>
        <w:tc>
          <w:tcPr>
            <w:tcW w:w="1892" w:type="dxa"/>
            <w:shd w:val="clear" w:color="auto" w:fill="auto"/>
            <w:noWrap/>
            <w:vAlign w:val="bottom"/>
          </w:tcPr>
          <w:p w14:paraId="38A3008F" w14:textId="77777777" w:rsidR="00204905" w:rsidRPr="00BE11D7" w:rsidRDefault="00204905" w:rsidP="00954C07">
            <w:pPr>
              <w:jc w:val="right"/>
              <w:rPr>
                <w:color w:val="000000"/>
              </w:rPr>
            </w:pPr>
            <w:r w:rsidRPr="00BE11D7">
              <w:rPr>
                <w:color w:val="000000"/>
              </w:rPr>
              <w:t>200</w:t>
            </w:r>
          </w:p>
        </w:tc>
        <w:tc>
          <w:tcPr>
            <w:tcW w:w="1739" w:type="dxa"/>
            <w:shd w:val="clear" w:color="auto" w:fill="auto"/>
            <w:noWrap/>
            <w:vAlign w:val="bottom"/>
          </w:tcPr>
          <w:p w14:paraId="60594A42" w14:textId="77777777" w:rsidR="00204905" w:rsidRPr="00BE11D7" w:rsidRDefault="00204905" w:rsidP="00954C07">
            <w:pPr>
              <w:rPr>
                <w:color w:val="000000"/>
              </w:rPr>
            </w:pPr>
            <w:r w:rsidRPr="00BE11D7">
              <w:rPr>
                <w:color w:val="000000"/>
              </w:rPr>
              <w:t xml:space="preserve"> $         35.00 </w:t>
            </w:r>
          </w:p>
        </w:tc>
        <w:tc>
          <w:tcPr>
            <w:tcW w:w="1739" w:type="dxa"/>
            <w:shd w:val="clear" w:color="auto" w:fill="auto"/>
            <w:noWrap/>
            <w:vAlign w:val="bottom"/>
          </w:tcPr>
          <w:p w14:paraId="5C82BDC9" w14:textId="77777777" w:rsidR="00204905" w:rsidRPr="00BE11D7" w:rsidRDefault="00204905" w:rsidP="00954C07">
            <w:pPr>
              <w:rPr>
                <w:color w:val="000000"/>
              </w:rPr>
            </w:pPr>
            <w:r w:rsidRPr="00BE11D7">
              <w:rPr>
                <w:color w:val="000000"/>
              </w:rPr>
              <w:t xml:space="preserve"> $              -   </w:t>
            </w:r>
          </w:p>
        </w:tc>
        <w:tc>
          <w:tcPr>
            <w:tcW w:w="1713" w:type="dxa"/>
            <w:shd w:val="clear" w:color="auto" w:fill="auto"/>
            <w:noWrap/>
            <w:vAlign w:val="bottom"/>
          </w:tcPr>
          <w:p w14:paraId="1EB7B2DF" w14:textId="77777777" w:rsidR="00204905" w:rsidRPr="00BE11D7" w:rsidRDefault="00204905" w:rsidP="00954C07">
            <w:pPr>
              <w:rPr>
                <w:color w:val="000000"/>
              </w:rPr>
            </w:pPr>
            <w:r w:rsidRPr="00BE11D7">
              <w:rPr>
                <w:color w:val="000000"/>
              </w:rPr>
              <w:t xml:space="preserve"> $         50.00 </w:t>
            </w:r>
          </w:p>
        </w:tc>
      </w:tr>
      <w:tr w:rsidR="00204905" w:rsidRPr="00BE11D7" w14:paraId="42D9ADFF" w14:textId="77777777" w:rsidTr="00954C07">
        <w:trPr>
          <w:trHeight w:val="313"/>
        </w:trPr>
        <w:tc>
          <w:tcPr>
            <w:tcW w:w="1662" w:type="dxa"/>
            <w:shd w:val="clear" w:color="auto" w:fill="auto"/>
            <w:noWrap/>
            <w:vAlign w:val="bottom"/>
          </w:tcPr>
          <w:p w14:paraId="5E15F3CA" w14:textId="77777777" w:rsidR="00204905" w:rsidRPr="00BE11D7" w:rsidRDefault="00204905" w:rsidP="00954C07">
            <w:pPr>
              <w:rPr>
                <w:color w:val="000000"/>
              </w:rPr>
            </w:pPr>
            <w:r w:rsidRPr="00BE11D7">
              <w:rPr>
                <w:color w:val="000000"/>
              </w:rPr>
              <w:t>CISOGen</w:t>
            </w:r>
          </w:p>
        </w:tc>
        <w:tc>
          <w:tcPr>
            <w:tcW w:w="1892" w:type="dxa"/>
            <w:shd w:val="clear" w:color="auto" w:fill="auto"/>
            <w:noWrap/>
            <w:vAlign w:val="bottom"/>
          </w:tcPr>
          <w:p w14:paraId="0B3662EE" w14:textId="77777777" w:rsidR="00204905" w:rsidRPr="00BE11D7" w:rsidRDefault="00204905" w:rsidP="00954C07">
            <w:pPr>
              <w:jc w:val="right"/>
              <w:rPr>
                <w:color w:val="000000"/>
              </w:rPr>
            </w:pPr>
            <w:r w:rsidRPr="00BE11D7">
              <w:rPr>
                <w:color w:val="000000"/>
              </w:rPr>
              <w:t>300</w:t>
            </w:r>
          </w:p>
        </w:tc>
        <w:tc>
          <w:tcPr>
            <w:tcW w:w="1739" w:type="dxa"/>
            <w:shd w:val="clear" w:color="auto" w:fill="auto"/>
            <w:noWrap/>
            <w:vAlign w:val="bottom"/>
          </w:tcPr>
          <w:p w14:paraId="407DF012" w14:textId="77777777" w:rsidR="00204905" w:rsidRPr="00BE11D7" w:rsidRDefault="00204905" w:rsidP="00954C07">
            <w:pPr>
              <w:rPr>
                <w:color w:val="000000"/>
              </w:rPr>
            </w:pPr>
            <w:r w:rsidRPr="00BE11D7">
              <w:rPr>
                <w:color w:val="000000"/>
              </w:rPr>
              <w:t xml:space="preserve"> $         50.00 </w:t>
            </w:r>
          </w:p>
        </w:tc>
        <w:tc>
          <w:tcPr>
            <w:tcW w:w="1739" w:type="dxa"/>
            <w:shd w:val="clear" w:color="auto" w:fill="auto"/>
            <w:noWrap/>
            <w:vAlign w:val="bottom"/>
          </w:tcPr>
          <w:p w14:paraId="3A6FB170" w14:textId="77777777" w:rsidR="00204905" w:rsidRPr="00BE11D7" w:rsidRDefault="00204905" w:rsidP="00954C07">
            <w:pPr>
              <w:rPr>
                <w:color w:val="000000"/>
              </w:rPr>
            </w:pPr>
            <w:r w:rsidRPr="00BE11D7">
              <w:rPr>
                <w:color w:val="000000"/>
              </w:rPr>
              <w:t xml:space="preserve"> $              -   </w:t>
            </w:r>
          </w:p>
        </w:tc>
        <w:tc>
          <w:tcPr>
            <w:tcW w:w="1713" w:type="dxa"/>
            <w:shd w:val="clear" w:color="auto" w:fill="auto"/>
            <w:noWrap/>
            <w:vAlign w:val="bottom"/>
          </w:tcPr>
          <w:p w14:paraId="69F6F9CA" w14:textId="77777777" w:rsidR="00204905" w:rsidRPr="00BE11D7" w:rsidRDefault="00204905" w:rsidP="00954C07">
            <w:pPr>
              <w:rPr>
                <w:color w:val="000000"/>
              </w:rPr>
            </w:pPr>
            <w:r w:rsidRPr="00BE11D7">
              <w:rPr>
                <w:color w:val="000000"/>
              </w:rPr>
              <w:t xml:space="preserve"> $         50.00 </w:t>
            </w:r>
          </w:p>
        </w:tc>
      </w:tr>
    </w:tbl>
    <w:p w14:paraId="33F4F3E4" w14:textId="77777777" w:rsidR="00204905" w:rsidRPr="00BE11D7" w:rsidRDefault="00204905" w:rsidP="00204905"/>
    <w:p w14:paraId="573D4D04" w14:textId="77777777" w:rsidR="00204905" w:rsidRPr="00BE11D7" w:rsidRDefault="00204905" w:rsidP="00204905">
      <w:r w:rsidRPr="00BE11D7">
        <w:t>Load Forecast</w:t>
      </w:r>
    </w:p>
    <w:tbl>
      <w:tblPr>
        <w:tblW w:w="3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tblGrid>
      <w:tr w:rsidR="00204905" w:rsidRPr="00BE11D7" w14:paraId="0ACBF198" w14:textId="77777777" w:rsidTr="00954C07">
        <w:trPr>
          <w:trHeight w:val="341"/>
        </w:trPr>
        <w:tc>
          <w:tcPr>
            <w:tcW w:w="1662" w:type="dxa"/>
            <w:shd w:val="clear" w:color="auto" w:fill="auto"/>
            <w:noWrap/>
            <w:vAlign w:val="bottom"/>
            <w:hideMark/>
          </w:tcPr>
          <w:p w14:paraId="65C06E77" w14:textId="77777777" w:rsidR="00204905" w:rsidRPr="00BE11D7" w:rsidRDefault="00204905" w:rsidP="00954C07">
            <w:pPr>
              <w:jc w:val="center"/>
              <w:rPr>
                <w:color w:val="000000"/>
              </w:rPr>
            </w:pPr>
            <w:r w:rsidRPr="00BE11D7">
              <w:rPr>
                <w:color w:val="000000"/>
              </w:rPr>
              <w:t>Resource</w:t>
            </w:r>
          </w:p>
        </w:tc>
        <w:tc>
          <w:tcPr>
            <w:tcW w:w="1892" w:type="dxa"/>
            <w:shd w:val="clear" w:color="auto" w:fill="auto"/>
            <w:noWrap/>
            <w:vAlign w:val="bottom"/>
            <w:hideMark/>
          </w:tcPr>
          <w:p w14:paraId="225AA72B" w14:textId="77777777" w:rsidR="00204905" w:rsidRPr="00BE11D7" w:rsidRDefault="00204905" w:rsidP="00954C07">
            <w:pPr>
              <w:jc w:val="center"/>
              <w:rPr>
                <w:color w:val="000000"/>
              </w:rPr>
            </w:pPr>
            <w:r w:rsidRPr="00BE11D7">
              <w:rPr>
                <w:color w:val="000000"/>
              </w:rPr>
              <w:t>Quantity (MW)</w:t>
            </w:r>
          </w:p>
        </w:tc>
      </w:tr>
      <w:tr w:rsidR="00204905" w:rsidRPr="00BE11D7" w14:paraId="3996DEBA" w14:textId="77777777" w:rsidTr="00954C07">
        <w:trPr>
          <w:trHeight w:val="313"/>
        </w:trPr>
        <w:tc>
          <w:tcPr>
            <w:tcW w:w="1662" w:type="dxa"/>
            <w:shd w:val="clear" w:color="auto" w:fill="auto"/>
            <w:noWrap/>
            <w:vAlign w:val="bottom"/>
          </w:tcPr>
          <w:p w14:paraId="4D0006F2" w14:textId="77777777" w:rsidR="00204905" w:rsidRPr="00BE11D7" w:rsidRDefault="00204905" w:rsidP="00954C07">
            <w:pPr>
              <w:rPr>
                <w:color w:val="000000"/>
              </w:rPr>
            </w:pPr>
            <w:r w:rsidRPr="00BE11D7">
              <w:rPr>
                <w:color w:val="000000"/>
              </w:rPr>
              <w:t>EIM1Load</w:t>
            </w:r>
          </w:p>
        </w:tc>
        <w:tc>
          <w:tcPr>
            <w:tcW w:w="1892" w:type="dxa"/>
            <w:shd w:val="clear" w:color="auto" w:fill="auto"/>
            <w:noWrap/>
            <w:vAlign w:val="bottom"/>
          </w:tcPr>
          <w:p w14:paraId="15174AA2" w14:textId="77777777" w:rsidR="00204905" w:rsidRPr="00BE11D7" w:rsidRDefault="00204905" w:rsidP="00954C07">
            <w:pPr>
              <w:jc w:val="right"/>
              <w:rPr>
                <w:color w:val="000000"/>
              </w:rPr>
            </w:pPr>
            <w:r w:rsidRPr="00BE11D7">
              <w:rPr>
                <w:color w:val="000000"/>
              </w:rPr>
              <w:t>50</w:t>
            </w:r>
          </w:p>
        </w:tc>
      </w:tr>
      <w:tr w:rsidR="00204905" w:rsidRPr="00BE11D7" w14:paraId="45072FCE" w14:textId="77777777" w:rsidTr="00954C07">
        <w:trPr>
          <w:trHeight w:val="313"/>
        </w:trPr>
        <w:tc>
          <w:tcPr>
            <w:tcW w:w="1662" w:type="dxa"/>
            <w:shd w:val="clear" w:color="auto" w:fill="auto"/>
            <w:noWrap/>
            <w:vAlign w:val="bottom"/>
          </w:tcPr>
          <w:p w14:paraId="6BEB500C" w14:textId="77777777" w:rsidR="00204905" w:rsidRPr="00BE11D7" w:rsidRDefault="00204905" w:rsidP="00954C07">
            <w:pPr>
              <w:rPr>
                <w:color w:val="000000"/>
              </w:rPr>
            </w:pPr>
            <w:r w:rsidRPr="00BE11D7">
              <w:rPr>
                <w:color w:val="000000"/>
              </w:rPr>
              <w:t>CISOLoad</w:t>
            </w:r>
          </w:p>
        </w:tc>
        <w:tc>
          <w:tcPr>
            <w:tcW w:w="1892" w:type="dxa"/>
            <w:shd w:val="clear" w:color="auto" w:fill="auto"/>
            <w:noWrap/>
            <w:vAlign w:val="bottom"/>
          </w:tcPr>
          <w:p w14:paraId="3D6ACB54" w14:textId="77777777" w:rsidR="00204905" w:rsidRPr="00BE11D7" w:rsidRDefault="00204905" w:rsidP="00954C07">
            <w:pPr>
              <w:jc w:val="right"/>
              <w:rPr>
                <w:color w:val="000000"/>
              </w:rPr>
            </w:pPr>
            <w:r w:rsidRPr="00BE11D7">
              <w:rPr>
                <w:color w:val="000000"/>
              </w:rPr>
              <w:t>200</w:t>
            </w:r>
          </w:p>
        </w:tc>
      </w:tr>
    </w:tbl>
    <w:p w14:paraId="3FC1C6F4" w14:textId="77777777" w:rsidR="00204905" w:rsidRPr="00BE11D7" w:rsidRDefault="00204905" w:rsidP="00204905"/>
    <w:p w14:paraId="07FA65AC" w14:textId="77777777" w:rsidR="00204905" w:rsidRPr="00BE11D7" w:rsidRDefault="00204905" w:rsidP="00204905">
      <w:r w:rsidRPr="00BE11D7">
        <w:t>Market Dispatch (RTD)</w:t>
      </w:r>
    </w:p>
    <w:tbl>
      <w:tblPr>
        <w:tblW w:w="5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892"/>
        <w:gridCol w:w="2026"/>
      </w:tblGrid>
      <w:tr w:rsidR="00204905" w:rsidRPr="00BE11D7" w14:paraId="40C4190F" w14:textId="77777777" w:rsidTr="00954C07">
        <w:trPr>
          <w:trHeight w:val="368"/>
        </w:trPr>
        <w:tc>
          <w:tcPr>
            <w:tcW w:w="1662" w:type="dxa"/>
            <w:shd w:val="clear" w:color="auto" w:fill="auto"/>
            <w:noWrap/>
            <w:vAlign w:val="bottom"/>
            <w:hideMark/>
          </w:tcPr>
          <w:p w14:paraId="2C1B2198" w14:textId="77777777" w:rsidR="00204905" w:rsidRPr="00BE11D7" w:rsidRDefault="00204905" w:rsidP="00954C07">
            <w:pPr>
              <w:jc w:val="center"/>
              <w:rPr>
                <w:color w:val="000000"/>
              </w:rPr>
            </w:pPr>
            <w:r w:rsidRPr="00BE11D7">
              <w:rPr>
                <w:color w:val="000000"/>
              </w:rPr>
              <w:t>Resource</w:t>
            </w:r>
          </w:p>
        </w:tc>
        <w:tc>
          <w:tcPr>
            <w:tcW w:w="1892" w:type="dxa"/>
            <w:shd w:val="clear" w:color="auto" w:fill="auto"/>
            <w:noWrap/>
            <w:vAlign w:val="bottom"/>
            <w:hideMark/>
          </w:tcPr>
          <w:p w14:paraId="27E4A135" w14:textId="77777777" w:rsidR="00204905" w:rsidRPr="00BE11D7" w:rsidRDefault="00204905" w:rsidP="00954C07">
            <w:pPr>
              <w:jc w:val="center"/>
              <w:rPr>
                <w:color w:val="000000"/>
              </w:rPr>
            </w:pPr>
            <w:r w:rsidRPr="00BE11D7">
              <w:rPr>
                <w:color w:val="000000"/>
              </w:rPr>
              <w:t>Quantity (MW)</w:t>
            </w:r>
          </w:p>
        </w:tc>
        <w:tc>
          <w:tcPr>
            <w:tcW w:w="2026" w:type="dxa"/>
            <w:shd w:val="clear" w:color="auto" w:fill="auto"/>
            <w:vAlign w:val="bottom"/>
            <w:hideMark/>
          </w:tcPr>
          <w:p w14:paraId="090931B1" w14:textId="77777777" w:rsidR="00204905" w:rsidRPr="00BE11D7" w:rsidRDefault="00204905" w:rsidP="00954C07">
            <w:pPr>
              <w:jc w:val="center"/>
              <w:rPr>
                <w:color w:val="000000"/>
              </w:rPr>
            </w:pPr>
            <w:r w:rsidRPr="00BE11D7">
              <w:rPr>
                <w:color w:val="000000"/>
              </w:rPr>
              <w:t>LMP</w:t>
            </w:r>
          </w:p>
        </w:tc>
      </w:tr>
      <w:tr w:rsidR="00204905" w:rsidRPr="00BE11D7" w14:paraId="14C52E33" w14:textId="77777777" w:rsidTr="00954C07">
        <w:trPr>
          <w:trHeight w:val="313"/>
        </w:trPr>
        <w:tc>
          <w:tcPr>
            <w:tcW w:w="1662" w:type="dxa"/>
            <w:shd w:val="clear" w:color="auto" w:fill="auto"/>
            <w:noWrap/>
            <w:vAlign w:val="bottom"/>
            <w:hideMark/>
          </w:tcPr>
          <w:p w14:paraId="3E023269" w14:textId="77777777" w:rsidR="00204905" w:rsidRPr="00BE11D7" w:rsidRDefault="00204905" w:rsidP="00954C07">
            <w:pPr>
              <w:rPr>
                <w:color w:val="000000"/>
              </w:rPr>
            </w:pPr>
            <w:r w:rsidRPr="00BE11D7">
              <w:rPr>
                <w:color w:val="000000"/>
              </w:rPr>
              <w:t>EIM1Gen</w:t>
            </w:r>
          </w:p>
        </w:tc>
        <w:tc>
          <w:tcPr>
            <w:tcW w:w="1892" w:type="dxa"/>
            <w:shd w:val="clear" w:color="auto" w:fill="auto"/>
            <w:noWrap/>
            <w:vAlign w:val="bottom"/>
            <w:hideMark/>
          </w:tcPr>
          <w:p w14:paraId="7554B770" w14:textId="77777777" w:rsidR="00204905" w:rsidRPr="00BE11D7" w:rsidRDefault="00204905" w:rsidP="00954C07">
            <w:pPr>
              <w:jc w:val="right"/>
              <w:rPr>
                <w:color w:val="000000"/>
              </w:rPr>
            </w:pPr>
            <w:r w:rsidRPr="00BE11D7">
              <w:rPr>
                <w:color w:val="000000"/>
              </w:rPr>
              <w:t>150</w:t>
            </w:r>
          </w:p>
        </w:tc>
        <w:tc>
          <w:tcPr>
            <w:tcW w:w="2026" w:type="dxa"/>
            <w:shd w:val="clear" w:color="auto" w:fill="auto"/>
            <w:noWrap/>
            <w:vAlign w:val="bottom"/>
            <w:hideMark/>
          </w:tcPr>
          <w:p w14:paraId="4E0E46F6" w14:textId="77777777" w:rsidR="00204905" w:rsidRPr="00BE11D7" w:rsidRDefault="00204905" w:rsidP="00954C07">
            <w:pPr>
              <w:rPr>
                <w:color w:val="000000"/>
              </w:rPr>
            </w:pPr>
            <w:r w:rsidRPr="00BE11D7">
              <w:rPr>
                <w:color w:val="000000"/>
              </w:rPr>
              <w:t xml:space="preserve"> $              34.99   </w:t>
            </w:r>
          </w:p>
        </w:tc>
      </w:tr>
      <w:tr w:rsidR="00204905" w:rsidRPr="00BE11D7" w14:paraId="3BC7D61E" w14:textId="77777777" w:rsidTr="00954C07">
        <w:trPr>
          <w:trHeight w:val="313"/>
        </w:trPr>
        <w:tc>
          <w:tcPr>
            <w:tcW w:w="1662" w:type="dxa"/>
            <w:shd w:val="clear" w:color="auto" w:fill="auto"/>
            <w:noWrap/>
            <w:vAlign w:val="bottom"/>
          </w:tcPr>
          <w:p w14:paraId="6B8A2468" w14:textId="77777777" w:rsidR="00204905" w:rsidRPr="00BE11D7" w:rsidRDefault="00204905" w:rsidP="00954C07">
            <w:pPr>
              <w:rPr>
                <w:color w:val="000000"/>
              </w:rPr>
            </w:pPr>
            <w:r w:rsidRPr="00BE11D7">
              <w:rPr>
                <w:color w:val="000000"/>
              </w:rPr>
              <w:t>CISOGen</w:t>
            </w:r>
          </w:p>
        </w:tc>
        <w:tc>
          <w:tcPr>
            <w:tcW w:w="1892" w:type="dxa"/>
            <w:shd w:val="clear" w:color="auto" w:fill="auto"/>
            <w:noWrap/>
            <w:vAlign w:val="bottom"/>
          </w:tcPr>
          <w:p w14:paraId="2DA3875E" w14:textId="77777777" w:rsidR="00204905" w:rsidRPr="00BE11D7" w:rsidRDefault="00204905" w:rsidP="00954C07">
            <w:pPr>
              <w:jc w:val="right"/>
              <w:rPr>
                <w:color w:val="000000"/>
              </w:rPr>
            </w:pPr>
            <w:r w:rsidRPr="00BE11D7">
              <w:rPr>
                <w:color w:val="000000"/>
              </w:rPr>
              <w:t>100</w:t>
            </w:r>
          </w:p>
        </w:tc>
        <w:tc>
          <w:tcPr>
            <w:tcW w:w="2026" w:type="dxa"/>
            <w:shd w:val="clear" w:color="auto" w:fill="auto"/>
            <w:noWrap/>
            <w:vAlign w:val="bottom"/>
          </w:tcPr>
          <w:p w14:paraId="758CF60A" w14:textId="77777777" w:rsidR="00204905" w:rsidRPr="00BE11D7" w:rsidRDefault="00204905" w:rsidP="00954C07">
            <w:pPr>
              <w:rPr>
                <w:color w:val="000000"/>
              </w:rPr>
            </w:pPr>
            <w:r w:rsidRPr="00BE11D7">
              <w:rPr>
                <w:color w:val="000000"/>
              </w:rPr>
              <w:t xml:space="preserve"> $              50.00  </w:t>
            </w:r>
          </w:p>
        </w:tc>
      </w:tr>
    </w:tbl>
    <w:p w14:paraId="7C6E19BB" w14:textId="77777777" w:rsidR="00204905" w:rsidRDefault="00204905" w:rsidP="00204905"/>
    <w:p w14:paraId="26DE1D29" w14:textId="77777777" w:rsidR="00204905" w:rsidRDefault="00204905" w:rsidP="00204905"/>
    <w:p w14:paraId="32117C0C" w14:textId="77777777" w:rsidR="00204905" w:rsidRDefault="00204905" w:rsidP="00204905"/>
    <w:p w14:paraId="63D09D24" w14:textId="77777777" w:rsidR="00204905" w:rsidRDefault="00204905" w:rsidP="00204905"/>
    <w:p w14:paraId="5529648A" w14:textId="77777777" w:rsidR="00204905" w:rsidRPr="00BE11D7" w:rsidRDefault="00204905" w:rsidP="00204905"/>
    <w:p w14:paraId="3002E2A4" w14:textId="77777777" w:rsidR="00204905" w:rsidRPr="00BE11D7" w:rsidRDefault="00204905" w:rsidP="00204905">
      <w:r w:rsidRPr="00BE11D7">
        <w:t>Location Marginal Pricing (RTD)</w:t>
      </w: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340"/>
        <w:gridCol w:w="1360"/>
        <w:gridCol w:w="1360"/>
        <w:gridCol w:w="1340"/>
        <w:gridCol w:w="1260"/>
      </w:tblGrid>
      <w:tr w:rsidR="00204905" w:rsidRPr="00BE11D7" w14:paraId="328F2CEE" w14:textId="77777777" w:rsidTr="00954C07">
        <w:trPr>
          <w:trHeight w:val="464"/>
        </w:trPr>
        <w:tc>
          <w:tcPr>
            <w:tcW w:w="1440" w:type="dxa"/>
            <w:shd w:val="clear" w:color="auto" w:fill="auto"/>
            <w:noWrap/>
            <w:vAlign w:val="bottom"/>
            <w:hideMark/>
          </w:tcPr>
          <w:p w14:paraId="79BD859E" w14:textId="77777777" w:rsidR="00204905" w:rsidRPr="00BE11D7" w:rsidRDefault="00204905" w:rsidP="00954C07">
            <w:pPr>
              <w:rPr>
                <w:color w:val="000000"/>
              </w:rPr>
            </w:pPr>
            <w:r w:rsidRPr="00BE11D7">
              <w:rPr>
                <w:color w:val="000000"/>
              </w:rPr>
              <w:t>Location</w:t>
            </w:r>
          </w:p>
        </w:tc>
        <w:tc>
          <w:tcPr>
            <w:tcW w:w="1340" w:type="dxa"/>
            <w:shd w:val="clear" w:color="auto" w:fill="auto"/>
            <w:noWrap/>
            <w:vAlign w:val="bottom"/>
            <w:hideMark/>
          </w:tcPr>
          <w:p w14:paraId="76BBE8A5" w14:textId="77777777" w:rsidR="00204905" w:rsidRPr="00BE11D7" w:rsidRDefault="00204905" w:rsidP="00954C07">
            <w:pPr>
              <w:rPr>
                <w:color w:val="000000"/>
              </w:rPr>
            </w:pPr>
            <w:r w:rsidRPr="00BE11D7">
              <w:rPr>
                <w:color w:val="000000"/>
              </w:rPr>
              <w:t>Energy</w:t>
            </w:r>
          </w:p>
        </w:tc>
        <w:tc>
          <w:tcPr>
            <w:tcW w:w="1360" w:type="dxa"/>
            <w:shd w:val="clear" w:color="auto" w:fill="auto"/>
            <w:noWrap/>
            <w:vAlign w:val="bottom"/>
            <w:hideMark/>
          </w:tcPr>
          <w:p w14:paraId="21D8F1A9" w14:textId="77777777" w:rsidR="00204905" w:rsidRPr="00BE11D7" w:rsidRDefault="00204905" w:rsidP="00954C07">
            <w:pPr>
              <w:rPr>
                <w:color w:val="000000"/>
              </w:rPr>
            </w:pPr>
            <w:r w:rsidRPr="00BE11D7">
              <w:rPr>
                <w:color w:val="000000"/>
              </w:rPr>
              <w:t>Congestion*</w:t>
            </w:r>
          </w:p>
        </w:tc>
        <w:tc>
          <w:tcPr>
            <w:tcW w:w="1360" w:type="dxa"/>
            <w:shd w:val="clear" w:color="auto" w:fill="auto"/>
            <w:noWrap/>
            <w:vAlign w:val="bottom"/>
            <w:hideMark/>
          </w:tcPr>
          <w:p w14:paraId="1ABBB3A4" w14:textId="77777777" w:rsidR="00204905" w:rsidRPr="00BE11D7" w:rsidRDefault="00204905" w:rsidP="00954C07">
            <w:pPr>
              <w:rPr>
                <w:color w:val="000000"/>
              </w:rPr>
            </w:pPr>
            <w:r w:rsidRPr="00BE11D7">
              <w:rPr>
                <w:color w:val="000000"/>
              </w:rPr>
              <w:t>Losses</w:t>
            </w:r>
          </w:p>
        </w:tc>
        <w:tc>
          <w:tcPr>
            <w:tcW w:w="1340" w:type="dxa"/>
            <w:shd w:val="clear" w:color="auto" w:fill="auto"/>
            <w:noWrap/>
            <w:vAlign w:val="bottom"/>
            <w:hideMark/>
          </w:tcPr>
          <w:p w14:paraId="2DE76CDA" w14:textId="77777777" w:rsidR="00204905" w:rsidRPr="00BE11D7" w:rsidRDefault="00204905" w:rsidP="00954C07">
            <w:pPr>
              <w:rPr>
                <w:color w:val="000000"/>
              </w:rPr>
            </w:pPr>
            <w:r w:rsidRPr="00BE11D7">
              <w:rPr>
                <w:color w:val="000000"/>
              </w:rPr>
              <w:t>GHG</w:t>
            </w:r>
          </w:p>
        </w:tc>
        <w:tc>
          <w:tcPr>
            <w:tcW w:w="1260" w:type="dxa"/>
            <w:shd w:val="clear" w:color="auto" w:fill="auto"/>
            <w:noWrap/>
            <w:vAlign w:val="bottom"/>
            <w:hideMark/>
          </w:tcPr>
          <w:p w14:paraId="2247AB9B" w14:textId="77777777" w:rsidR="00204905" w:rsidRPr="00BE11D7" w:rsidRDefault="00204905" w:rsidP="00954C07">
            <w:pPr>
              <w:rPr>
                <w:color w:val="000000"/>
              </w:rPr>
            </w:pPr>
            <w:r w:rsidRPr="00BE11D7">
              <w:rPr>
                <w:color w:val="000000"/>
              </w:rPr>
              <w:t>Price</w:t>
            </w:r>
          </w:p>
        </w:tc>
      </w:tr>
      <w:tr w:rsidR="00204905" w:rsidRPr="00BE11D7" w14:paraId="036308E9" w14:textId="77777777" w:rsidTr="00954C07">
        <w:trPr>
          <w:trHeight w:val="464"/>
        </w:trPr>
        <w:tc>
          <w:tcPr>
            <w:tcW w:w="1440" w:type="dxa"/>
            <w:shd w:val="clear" w:color="auto" w:fill="auto"/>
            <w:noWrap/>
            <w:vAlign w:val="bottom"/>
            <w:hideMark/>
          </w:tcPr>
          <w:p w14:paraId="39BB7536" w14:textId="77777777" w:rsidR="00204905" w:rsidRPr="00BE11D7" w:rsidRDefault="00204905" w:rsidP="00954C07">
            <w:pPr>
              <w:rPr>
                <w:color w:val="000000"/>
              </w:rPr>
            </w:pPr>
            <w:r w:rsidRPr="00BE11D7">
              <w:rPr>
                <w:color w:val="000000"/>
              </w:rPr>
              <w:t>EIM1Gen</w:t>
            </w:r>
          </w:p>
        </w:tc>
        <w:tc>
          <w:tcPr>
            <w:tcW w:w="1340" w:type="dxa"/>
            <w:shd w:val="clear" w:color="auto" w:fill="auto"/>
            <w:noWrap/>
            <w:vAlign w:val="bottom"/>
            <w:hideMark/>
          </w:tcPr>
          <w:p w14:paraId="678C6EC8" w14:textId="77777777" w:rsidR="00204905" w:rsidRPr="00BE11D7" w:rsidRDefault="00204905" w:rsidP="00954C07">
            <w:pPr>
              <w:jc w:val="right"/>
              <w:rPr>
                <w:color w:val="000000"/>
              </w:rPr>
            </w:pPr>
            <w:r w:rsidRPr="00BE11D7">
              <w:rPr>
                <w:color w:val="000000"/>
              </w:rPr>
              <w:t>50</w:t>
            </w:r>
          </w:p>
        </w:tc>
        <w:tc>
          <w:tcPr>
            <w:tcW w:w="1360" w:type="dxa"/>
            <w:shd w:val="clear" w:color="auto" w:fill="auto"/>
            <w:noWrap/>
            <w:vAlign w:val="bottom"/>
            <w:hideMark/>
          </w:tcPr>
          <w:p w14:paraId="1182EA84" w14:textId="77777777" w:rsidR="00204905" w:rsidRPr="00BE11D7" w:rsidRDefault="00204905" w:rsidP="00954C07">
            <w:pPr>
              <w:jc w:val="right"/>
              <w:rPr>
                <w:color w:val="000000"/>
              </w:rPr>
            </w:pPr>
            <w:r w:rsidRPr="00BE11D7">
              <w:rPr>
                <w:color w:val="000000"/>
              </w:rPr>
              <w:t xml:space="preserve">      (15.01)</w:t>
            </w:r>
          </w:p>
        </w:tc>
        <w:tc>
          <w:tcPr>
            <w:tcW w:w="1360" w:type="dxa"/>
            <w:shd w:val="clear" w:color="auto" w:fill="auto"/>
            <w:noWrap/>
            <w:vAlign w:val="bottom"/>
            <w:hideMark/>
          </w:tcPr>
          <w:p w14:paraId="666B8718" w14:textId="77777777" w:rsidR="00204905" w:rsidRPr="00BE11D7" w:rsidRDefault="00204905" w:rsidP="00954C07">
            <w:pPr>
              <w:jc w:val="right"/>
              <w:rPr>
                <w:color w:val="000000"/>
              </w:rPr>
            </w:pPr>
            <w:r w:rsidRPr="00BE11D7">
              <w:rPr>
                <w:color w:val="000000"/>
              </w:rPr>
              <w:t xml:space="preserve">                -   </w:t>
            </w:r>
          </w:p>
        </w:tc>
        <w:tc>
          <w:tcPr>
            <w:tcW w:w="1340" w:type="dxa"/>
            <w:shd w:val="clear" w:color="auto" w:fill="auto"/>
            <w:noWrap/>
            <w:vAlign w:val="bottom"/>
            <w:hideMark/>
          </w:tcPr>
          <w:p w14:paraId="462A85F3" w14:textId="77777777" w:rsidR="00204905" w:rsidRPr="00BE11D7" w:rsidRDefault="00204905" w:rsidP="00954C07">
            <w:pPr>
              <w:jc w:val="right"/>
              <w:rPr>
                <w:color w:val="000000"/>
              </w:rPr>
            </w:pPr>
            <w:r w:rsidRPr="00BE11D7">
              <w:rPr>
                <w:color w:val="000000"/>
              </w:rPr>
              <w:t xml:space="preserve">                -   </w:t>
            </w:r>
          </w:p>
        </w:tc>
        <w:tc>
          <w:tcPr>
            <w:tcW w:w="1260" w:type="dxa"/>
            <w:shd w:val="clear" w:color="auto" w:fill="auto"/>
            <w:noWrap/>
            <w:vAlign w:val="bottom"/>
            <w:hideMark/>
          </w:tcPr>
          <w:p w14:paraId="68619A22" w14:textId="77777777" w:rsidR="00204905" w:rsidRPr="00BE11D7" w:rsidRDefault="00204905" w:rsidP="00954C07">
            <w:pPr>
              <w:jc w:val="right"/>
              <w:rPr>
                <w:color w:val="000000"/>
              </w:rPr>
            </w:pPr>
            <w:r w:rsidRPr="00BE11D7">
              <w:rPr>
                <w:color w:val="000000"/>
              </w:rPr>
              <w:t xml:space="preserve">       34.99 </w:t>
            </w:r>
          </w:p>
        </w:tc>
      </w:tr>
      <w:tr w:rsidR="00204905" w:rsidRPr="00BE11D7" w14:paraId="42F900BF" w14:textId="77777777" w:rsidTr="00954C07">
        <w:trPr>
          <w:trHeight w:val="464"/>
        </w:trPr>
        <w:tc>
          <w:tcPr>
            <w:tcW w:w="1440" w:type="dxa"/>
            <w:shd w:val="clear" w:color="auto" w:fill="auto"/>
            <w:noWrap/>
            <w:vAlign w:val="bottom"/>
            <w:hideMark/>
          </w:tcPr>
          <w:p w14:paraId="09597E1B" w14:textId="77777777" w:rsidR="00204905" w:rsidRPr="00BE11D7" w:rsidRDefault="00204905" w:rsidP="00954C07">
            <w:pPr>
              <w:rPr>
                <w:color w:val="000000"/>
              </w:rPr>
            </w:pPr>
            <w:r w:rsidRPr="00BE11D7">
              <w:rPr>
                <w:color w:val="000000"/>
              </w:rPr>
              <w:t>CISOGen</w:t>
            </w:r>
          </w:p>
        </w:tc>
        <w:tc>
          <w:tcPr>
            <w:tcW w:w="1340" w:type="dxa"/>
            <w:shd w:val="clear" w:color="auto" w:fill="auto"/>
            <w:noWrap/>
            <w:vAlign w:val="bottom"/>
            <w:hideMark/>
          </w:tcPr>
          <w:p w14:paraId="494792C5" w14:textId="77777777" w:rsidR="00204905" w:rsidRPr="00BE11D7" w:rsidRDefault="00204905" w:rsidP="00954C07">
            <w:pPr>
              <w:jc w:val="right"/>
              <w:rPr>
                <w:color w:val="000000"/>
              </w:rPr>
            </w:pPr>
            <w:r w:rsidRPr="00BE11D7">
              <w:rPr>
                <w:color w:val="000000"/>
              </w:rPr>
              <w:t xml:space="preserve">                50 </w:t>
            </w:r>
          </w:p>
        </w:tc>
        <w:tc>
          <w:tcPr>
            <w:tcW w:w="1360" w:type="dxa"/>
            <w:shd w:val="clear" w:color="auto" w:fill="auto"/>
            <w:noWrap/>
            <w:vAlign w:val="bottom"/>
            <w:hideMark/>
          </w:tcPr>
          <w:p w14:paraId="59D67BE9" w14:textId="77777777" w:rsidR="00204905" w:rsidRPr="00BE11D7" w:rsidRDefault="00204905" w:rsidP="00954C07">
            <w:pPr>
              <w:jc w:val="right"/>
              <w:rPr>
                <w:color w:val="000000"/>
              </w:rPr>
            </w:pPr>
            <w:r w:rsidRPr="00BE11D7">
              <w:rPr>
                <w:color w:val="000000"/>
              </w:rPr>
              <w:t xml:space="preserve">                 -   </w:t>
            </w:r>
          </w:p>
        </w:tc>
        <w:tc>
          <w:tcPr>
            <w:tcW w:w="1360" w:type="dxa"/>
            <w:shd w:val="clear" w:color="auto" w:fill="auto"/>
            <w:noWrap/>
            <w:vAlign w:val="bottom"/>
            <w:hideMark/>
          </w:tcPr>
          <w:p w14:paraId="145C8C83" w14:textId="77777777" w:rsidR="00204905" w:rsidRPr="00BE11D7" w:rsidRDefault="00204905" w:rsidP="00954C07">
            <w:pPr>
              <w:jc w:val="right"/>
              <w:rPr>
                <w:color w:val="000000"/>
              </w:rPr>
            </w:pPr>
            <w:r w:rsidRPr="00BE11D7">
              <w:rPr>
                <w:color w:val="000000"/>
              </w:rPr>
              <w:t xml:space="preserve">                -   </w:t>
            </w:r>
          </w:p>
        </w:tc>
        <w:tc>
          <w:tcPr>
            <w:tcW w:w="1340" w:type="dxa"/>
            <w:shd w:val="clear" w:color="auto" w:fill="auto"/>
            <w:noWrap/>
            <w:vAlign w:val="bottom"/>
            <w:hideMark/>
          </w:tcPr>
          <w:p w14:paraId="3D874286" w14:textId="77777777" w:rsidR="00204905" w:rsidRPr="00BE11D7" w:rsidRDefault="00204905" w:rsidP="00954C07">
            <w:pPr>
              <w:jc w:val="right"/>
              <w:rPr>
                <w:color w:val="000000"/>
              </w:rPr>
            </w:pPr>
            <w:r w:rsidRPr="00BE11D7">
              <w:rPr>
                <w:color w:val="000000"/>
              </w:rPr>
              <w:t xml:space="preserve">                -   </w:t>
            </w:r>
          </w:p>
        </w:tc>
        <w:tc>
          <w:tcPr>
            <w:tcW w:w="1260" w:type="dxa"/>
            <w:shd w:val="clear" w:color="auto" w:fill="auto"/>
            <w:noWrap/>
            <w:vAlign w:val="bottom"/>
            <w:hideMark/>
          </w:tcPr>
          <w:p w14:paraId="090FECB8" w14:textId="77777777" w:rsidR="00204905" w:rsidRPr="00BE11D7" w:rsidRDefault="00204905" w:rsidP="00954C07">
            <w:pPr>
              <w:jc w:val="right"/>
              <w:rPr>
                <w:color w:val="000000"/>
              </w:rPr>
            </w:pPr>
            <w:r w:rsidRPr="00BE11D7">
              <w:rPr>
                <w:color w:val="000000"/>
              </w:rPr>
              <w:t xml:space="preserve"> 50 </w:t>
            </w:r>
          </w:p>
        </w:tc>
      </w:tr>
      <w:tr w:rsidR="00204905" w:rsidRPr="00BE11D7" w14:paraId="52CB7CBF" w14:textId="77777777" w:rsidTr="00954C07">
        <w:trPr>
          <w:trHeight w:val="464"/>
        </w:trPr>
        <w:tc>
          <w:tcPr>
            <w:tcW w:w="1440" w:type="dxa"/>
            <w:shd w:val="clear" w:color="auto" w:fill="auto"/>
            <w:noWrap/>
            <w:vAlign w:val="bottom"/>
            <w:hideMark/>
          </w:tcPr>
          <w:p w14:paraId="659E782D" w14:textId="77777777" w:rsidR="00204905" w:rsidRPr="00BE11D7" w:rsidRDefault="00204905" w:rsidP="00954C07">
            <w:pPr>
              <w:rPr>
                <w:color w:val="000000"/>
              </w:rPr>
            </w:pPr>
            <w:r w:rsidRPr="00BE11D7">
              <w:rPr>
                <w:color w:val="000000"/>
              </w:rPr>
              <w:t>PACLoad</w:t>
            </w:r>
          </w:p>
        </w:tc>
        <w:tc>
          <w:tcPr>
            <w:tcW w:w="1340" w:type="dxa"/>
            <w:shd w:val="clear" w:color="auto" w:fill="auto"/>
            <w:noWrap/>
            <w:vAlign w:val="bottom"/>
            <w:hideMark/>
          </w:tcPr>
          <w:p w14:paraId="0B75398E" w14:textId="77777777" w:rsidR="00204905" w:rsidRPr="00BE11D7" w:rsidRDefault="00204905" w:rsidP="00954C07">
            <w:pPr>
              <w:jc w:val="right"/>
              <w:rPr>
                <w:color w:val="000000"/>
              </w:rPr>
            </w:pPr>
            <w:r w:rsidRPr="00BE11D7">
              <w:rPr>
                <w:color w:val="000000"/>
              </w:rPr>
              <w:t xml:space="preserve">                50 </w:t>
            </w:r>
          </w:p>
        </w:tc>
        <w:tc>
          <w:tcPr>
            <w:tcW w:w="1360" w:type="dxa"/>
            <w:shd w:val="clear" w:color="auto" w:fill="auto"/>
            <w:noWrap/>
            <w:vAlign w:val="bottom"/>
            <w:hideMark/>
          </w:tcPr>
          <w:p w14:paraId="2B2DC2F2" w14:textId="77777777" w:rsidR="00204905" w:rsidRPr="00BE11D7" w:rsidRDefault="00204905" w:rsidP="00954C07">
            <w:pPr>
              <w:jc w:val="right"/>
              <w:rPr>
                <w:color w:val="000000"/>
              </w:rPr>
            </w:pPr>
            <w:r w:rsidRPr="00BE11D7">
              <w:rPr>
                <w:color w:val="000000"/>
              </w:rPr>
              <w:t xml:space="preserve"> (15.01)</w:t>
            </w:r>
          </w:p>
        </w:tc>
        <w:tc>
          <w:tcPr>
            <w:tcW w:w="1360" w:type="dxa"/>
            <w:shd w:val="clear" w:color="auto" w:fill="auto"/>
            <w:noWrap/>
            <w:vAlign w:val="bottom"/>
            <w:hideMark/>
          </w:tcPr>
          <w:p w14:paraId="159C86E6" w14:textId="77777777" w:rsidR="00204905" w:rsidRPr="00BE11D7" w:rsidRDefault="00204905" w:rsidP="00954C07">
            <w:pPr>
              <w:jc w:val="right"/>
              <w:rPr>
                <w:color w:val="000000"/>
              </w:rPr>
            </w:pPr>
            <w:r w:rsidRPr="00BE11D7">
              <w:rPr>
                <w:color w:val="000000"/>
              </w:rPr>
              <w:t xml:space="preserve">                -   </w:t>
            </w:r>
          </w:p>
        </w:tc>
        <w:tc>
          <w:tcPr>
            <w:tcW w:w="1340" w:type="dxa"/>
            <w:shd w:val="clear" w:color="auto" w:fill="auto"/>
            <w:noWrap/>
            <w:vAlign w:val="bottom"/>
            <w:hideMark/>
          </w:tcPr>
          <w:p w14:paraId="30EFD5E2" w14:textId="77777777" w:rsidR="00204905" w:rsidRPr="00BE11D7" w:rsidRDefault="00204905" w:rsidP="00954C07">
            <w:pPr>
              <w:jc w:val="right"/>
              <w:rPr>
                <w:color w:val="000000"/>
              </w:rPr>
            </w:pPr>
            <w:r w:rsidRPr="00BE11D7">
              <w:rPr>
                <w:color w:val="000000"/>
              </w:rPr>
              <w:t xml:space="preserve">                -   </w:t>
            </w:r>
          </w:p>
        </w:tc>
        <w:tc>
          <w:tcPr>
            <w:tcW w:w="1260" w:type="dxa"/>
            <w:shd w:val="clear" w:color="auto" w:fill="auto"/>
            <w:noWrap/>
            <w:vAlign w:val="bottom"/>
            <w:hideMark/>
          </w:tcPr>
          <w:p w14:paraId="7BED1F02" w14:textId="77777777" w:rsidR="00204905" w:rsidRPr="00BE11D7" w:rsidRDefault="00204905" w:rsidP="00954C07">
            <w:pPr>
              <w:jc w:val="right"/>
              <w:rPr>
                <w:color w:val="000000"/>
              </w:rPr>
            </w:pPr>
            <w:r w:rsidRPr="00BE11D7">
              <w:rPr>
                <w:color w:val="000000"/>
              </w:rPr>
              <w:t xml:space="preserve">        34.99 </w:t>
            </w:r>
          </w:p>
        </w:tc>
      </w:tr>
      <w:tr w:rsidR="00204905" w:rsidRPr="00BE11D7" w14:paraId="767541C4" w14:textId="77777777" w:rsidTr="00954C07">
        <w:trPr>
          <w:trHeight w:val="464"/>
        </w:trPr>
        <w:tc>
          <w:tcPr>
            <w:tcW w:w="1440" w:type="dxa"/>
            <w:shd w:val="clear" w:color="auto" w:fill="auto"/>
            <w:noWrap/>
            <w:vAlign w:val="bottom"/>
            <w:hideMark/>
          </w:tcPr>
          <w:p w14:paraId="637D9050" w14:textId="77777777" w:rsidR="00204905" w:rsidRPr="00BE11D7" w:rsidRDefault="00204905" w:rsidP="00954C07">
            <w:pPr>
              <w:rPr>
                <w:color w:val="000000"/>
              </w:rPr>
            </w:pPr>
            <w:r w:rsidRPr="00BE11D7">
              <w:rPr>
                <w:color w:val="000000"/>
              </w:rPr>
              <w:t>ISOLoad</w:t>
            </w:r>
          </w:p>
        </w:tc>
        <w:tc>
          <w:tcPr>
            <w:tcW w:w="1340" w:type="dxa"/>
            <w:shd w:val="clear" w:color="auto" w:fill="auto"/>
            <w:noWrap/>
            <w:vAlign w:val="bottom"/>
            <w:hideMark/>
          </w:tcPr>
          <w:p w14:paraId="6316409A" w14:textId="77777777" w:rsidR="00204905" w:rsidRPr="00BE11D7" w:rsidRDefault="00204905" w:rsidP="00954C07">
            <w:pPr>
              <w:jc w:val="right"/>
              <w:rPr>
                <w:color w:val="000000"/>
              </w:rPr>
            </w:pPr>
            <w:r w:rsidRPr="00BE11D7">
              <w:rPr>
                <w:color w:val="000000"/>
              </w:rPr>
              <w:t xml:space="preserve">                50 </w:t>
            </w:r>
          </w:p>
        </w:tc>
        <w:tc>
          <w:tcPr>
            <w:tcW w:w="1360" w:type="dxa"/>
            <w:shd w:val="clear" w:color="auto" w:fill="auto"/>
            <w:noWrap/>
            <w:vAlign w:val="bottom"/>
            <w:hideMark/>
          </w:tcPr>
          <w:p w14:paraId="67B9313B" w14:textId="77777777" w:rsidR="00204905" w:rsidRPr="00BE11D7" w:rsidRDefault="00204905" w:rsidP="00954C07">
            <w:pPr>
              <w:jc w:val="right"/>
              <w:rPr>
                <w:color w:val="000000"/>
              </w:rPr>
            </w:pPr>
            <w:r w:rsidRPr="00BE11D7">
              <w:rPr>
                <w:color w:val="000000"/>
              </w:rPr>
              <w:t xml:space="preserve">                 -   </w:t>
            </w:r>
          </w:p>
        </w:tc>
        <w:tc>
          <w:tcPr>
            <w:tcW w:w="1360" w:type="dxa"/>
            <w:shd w:val="clear" w:color="auto" w:fill="auto"/>
            <w:noWrap/>
            <w:vAlign w:val="bottom"/>
            <w:hideMark/>
          </w:tcPr>
          <w:p w14:paraId="46A283BE" w14:textId="77777777" w:rsidR="00204905" w:rsidRPr="00BE11D7" w:rsidRDefault="00204905" w:rsidP="00954C07">
            <w:pPr>
              <w:jc w:val="right"/>
              <w:rPr>
                <w:color w:val="000000"/>
              </w:rPr>
            </w:pPr>
            <w:r w:rsidRPr="00BE11D7">
              <w:rPr>
                <w:color w:val="000000"/>
              </w:rPr>
              <w:t xml:space="preserve">                -   </w:t>
            </w:r>
          </w:p>
        </w:tc>
        <w:tc>
          <w:tcPr>
            <w:tcW w:w="1340" w:type="dxa"/>
            <w:shd w:val="clear" w:color="auto" w:fill="auto"/>
            <w:noWrap/>
            <w:vAlign w:val="bottom"/>
            <w:hideMark/>
          </w:tcPr>
          <w:p w14:paraId="63A4EBA9" w14:textId="77777777" w:rsidR="00204905" w:rsidRPr="00BE11D7" w:rsidRDefault="00204905" w:rsidP="00954C07">
            <w:pPr>
              <w:jc w:val="right"/>
              <w:rPr>
                <w:color w:val="000000"/>
              </w:rPr>
            </w:pPr>
            <w:r w:rsidRPr="00BE11D7">
              <w:rPr>
                <w:color w:val="000000"/>
              </w:rPr>
              <w:t xml:space="preserve">                -   </w:t>
            </w:r>
          </w:p>
        </w:tc>
        <w:tc>
          <w:tcPr>
            <w:tcW w:w="1260" w:type="dxa"/>
            <w:shd w:val="clear" w:color="auto" w:fill="auto"/>
            <w:noWrap/>
            <w:vAlign w:val="bottom"/>
            <w:hideMark/>
          </w:tcPr>
          <w:p w14:paraId="48F191DA" w14:textId="77777777" w:rsidR="00204905" w:rsidRPr="00BE11D7" w:rsidRDefault="00204905" w:rsidP="00954C07">
            <w:pPr>
              <w:jc w:val="right"/>
              <w:rPr>
                <w:color w:val="000000"/>
              </w:rPr>
            </w:pPr>
            <w:r w:rsidRPr="00BE11D7">
              <w:rPr>
                <w:color w:val="000000"/>
              </w:rPr>
              <w:t xml:space="preserve">          50 </w:t>
            </w:r>
          </w:p>
        </w:tc>
      </w:tr>
      <w:tr w:rsidR="00204905" w:rsidRPr="00BE11D7" w14:paraId="4459E8FF" w14:textId="77777777" w:rsidTr="00954C07">
        <w:trPr>
          <w:trHeight w:val="464"/>
        </w:trPr>
        <w:tc>
          <w:tcPr>
            <w:tcW w:w="1440" w:type="dxa"/>
            <w:shd w:val="clear" w:color="auto" w:fill="auto"/>
            <w:noWrap/>
            <w:vAlign w:val="bottom"/>
          </w:tcPr>
          <w:p w14:paraId="0B68F9C9" w14:textId="77777777" w:rsidR="00204905" w:rsidRPr="00BE11D7" w:rsidRDefault="00204905" w:rsidP="00954C07">
            <w:pPr>
              <w:rPr>
                <w:color w:val="000000"/>
              </w:rPr>
            </w:pPr>
            <w:r w:rsidRPr="00BE11D7">
              <w:rPr>
                <w:color w:val="000000"/>
              </w:rPr>
              <w:t>EIM Transfer</w:t>
            </w:r>
          </w:p>
        </w:tc>
        <w:tc>
          <w:tcPr>
            <w:tcW w:w="1340" w:type="dxa"/>
            <w:shd w:val="clear" w:color="auto" w:fill="auto"/>
            <w:noWrap/>
            <w:vAlign w:val="bottom"/>
          </w:tcPr>
          <w:p w14:paraId="554357FB" w14:textId="77777777" w:rsidR="00204905" w:rsidRPr="00BE11D7" w:rsidRDefault="00204905" w:rsidP="00954C07">
            <w:pPr>
              <w:jc w:val="right"/>
              <w:rPr>
                <w:color w:val="000000"/>
              </w:rPr>
            </w:pPr>
            <w:r w:rsidRPr="00BE11D7">
              <w:rPr>
                <w:color w:val="000000"/>
              </w:rPr>
              <w:t xml:space="preserve">                50 </w:t>
            </w:r>
          </w:p>
        </w:tc>
        <w:tc>
          <w:tcPr>
            <w:tcW w:w="1360" w:type="dxa"/>
            <w:shd w:val="clear" w:color="auto" w:fill="auto"/>
            <w:noWrap/>
            <w:vAlign w:val="bottom"/>
          </w:tcPr>
          <w:p w14:paraId="1393085C" w14:textId="77777777" w:rsidR="00204905" w:rsidRPr="00BE11D7" w:rsidRDefault="00204905" w:rsidP="00954C07">
            <w:pPr>
              <w:jc w:val="right"/>
              <w:rPr>
                <w:color w:val="000000"/>
              </w:rPr>
            </w:pPr>
            <w:r w:rsidRPr="00BE11D7">
              <w:rPr>
                <w:color w:val="000000"/>
              </w:rPr>
              <w:t>(15.01)</w:t>
            </w:r>
          </w:p>
        </w:tc>
        <w:tc>
          <w:tcPr>
            <w:tcW w:w="1360" w:type="dxa"/>
            <w:shd w:val="clear" w:color="auto" w:fill="auto"/>
            <w:noWrap/>
            <w:vAlign w:val="bottom"/>
          </w:tcPr>
          <w:p w14:paraId="0AB4728A" w14:textId="77777777" w:rsidR="00204905" w:rsidRPr="00BE11D7" w:rsidRDefault="00204905" w:rsidP="00954C07">
            <w:pPr>
              <w:jc w:val="right"/>
              <w:rPr>
                <w:color w:val="000000"/>
              </w:rPr>
            </w:pPr>
            <w:r w:rsidRPr="00BE11D7">
              <w:rPr>
                <w:color w:val="000000"/>
              </w:rPr>
              <w:t xml:space="preserve">                -   </w:t>
            </w:r>
          </w:p>
        </w:tc>
        <w:tc>
          <w:tcPr>
            <w:tcW w:w="1340" w:type="dxa"/>
            <w:shd w:val="clear" w:color="auto" w:fill="auto"/>
            <w:noWrap/>
            <w:vAlign w:val="bottom"/>
          </w:tcPr>
          <w:p w14:paraId="479AC5B0" w14:textId="77777777" w:rsidR="00204905" w:rsidRPr="00BE11D7" w:rsidRDefault="00204905" w:rsidP="00954C07">
            <w:pPr>
              <w:jc w:val="right"/>
              <w:rPr>
                <w:color w:val="000000"/>
              </w:rPr>
            </w:pPr>
            <w:r w:rsidRPr="00BE11D7">
              <w:rPr>
                <w:color w:val="000000"/>
              </w:rPr>
              <w:t xml:space="preserve">                -   </w:t>
            </w:r>
          </w:p>
        </w:tc>
        <w:tc>
          <w:tcPr>
            <w:tcW w:w="1260" w:type="dxa"/>
            <w:shd w:val="clear" w:color="auto" w:fill="auto"/>
            <w:noWrap/>
            <w:vAlign w:val="bottom"/>
          </w:tcPr>
          <w:p w14:paraId="179EDB90" w14:textId="77777777" w:rsidR="00204905" w:rsidRPr="00BE11D7" w:rsidRDefault="00204905" w:rsidP="00954C07">
            <w:pPr>
              <w:jc w:val="right"/>
              <w:rPr>
                <w:color w:val="000000"/>
              </w:rPr>
            </w:pPr>
            <w:r w:rsidRPr="00BE11D7">
              <w:rPr>
                <w:color w:val="000000"/>
              </w:rPr>
              <w:t xml:space="preserve">        34.99</w:t>
            </w:r>
          </w:p>
        </w:tc>
      </w:tr>
    </w:tbl>
    <w:p w14:paraId="484C55A1" w14:textId="77777777" w:rsidR="00204905" w:rsidRPr="00BE11D7" w:rsidRDefault="00204905" w:rsidP="00204905">
      <w:pPr>
        <w:rPr>
          <w:sz w:val="18"/>
        </w:rPr>
      </w:pPr>
      <w:r w:rsidRPr="00BE11D7">
        <w:rPr>
          <w:sz w:val="18"/>
        </w:rPr>
        <w:t xml:space="preserve">* Congestion is based upon the EIM Constraint ($15) plus Intertie Scheduling Limit ($0) plus the EIM Transfer Costs ($0.01).  </w:t>
      </w:r>
    </w:p>
    <w:p w14:paraId="337DD6E8" w14:textId="77777777" w:rsidR="00204905" w:rsidRPr="00BE11D7" w:rsidRDefault="00204905" w:rsidP="00204905"/>
    <w:p w14:paraId="7DAA5ED0" w14:textId="77777777" w:rsidR="00204905" w:rsidRPr="00BE11D7" w:rsidRDefault="00204905" w:rsidP="00204905">
      <w:r w:rsidRPr="00BE11D7">
        <w:t>Settlement:</w:t>
      </w:r>
    </w:p>
    <w:tbl>
      <w:tblPr>
        <w:tblW w:w="8100" w:type="dxa"/>
        <w:tblInd w:w="-5" w:type="dxa"/>
        <w:tblLook w:val="04A0" w:firstRow="1" w:lastRow="0" w:firstColumn="1" w:lastColumn="0" w:noHBand="0" w:noVBand="1"/>
      </w:tblPr>
      <w:tblGrid>
        <w:gridCol w:w="2140"/>
        <w:gridCol w:w="1182"/>
        <w:gridCol w:w="1088"/>
        <w:gridCol w:w="1572"/>
        <w:gridCol w:w="2118"/>
      </w:tblGrid>
      <w:tr w:rsidR="00204905" w:rsidRPr="00BE11D7" w14:paraId="4896EB92"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45E48" w14:textId="77777777" w:rsidR="00204905" w:rsidRPr="00BE11D7" w:rsidRDefault="00204905" w:rsidP="00954C07">
            <w:pPr>
              <w:rPr>
                <w:color w:val="000000"/>
              </w:rPr>
            </w:pPr>
            <w:r w:rsidRPr="00BE11D7">
              <w:rPr>
                <w:color w:val="000000"/>
              </w:rPr>
              <w:t>Charge Code</w:t>
            </w:r>
          </w:p>
        </w:tc>
        <w:tc>
          <w:tcPr>
            <w:tcW w:w="1182" w:type="dxa"/>
            <w:tcBorders>
              <w:top w:val="single" w:sz="4" w:space="0" w:color="auto"/>
              <w:left w:val="nil"/>
              <w:bottom w:val="single" w:sz="4" w:space="0" w:color="auto"/>
              <w:right w:val="single" w:sz="4" w:space="0" w:color="auto"/>
            </w:tcBorders>
            <w:shd w:val="clear" w:color="auto" w:fill="auto"/>
            <w:noWrap/>
            <w:vAlign w:val="bottom"/>
            <w:hideMark/>
          </w:tcPr>
          <w:p w14:paraId="1EA1A86E" w14:textId="77777777" w:rsidR="00204905" w:rsidRPr="00BE11D7" w:rsidRDefault="00204905" w:rsidP="00954C07">
            <w:pPr>
              <w:rPr>
                <w:color w:val="000000"/>
              </w:rPr>
            </w:pPr>
            <w:r w:rsidRPr="00BE11D7">
              <w:rPr>
                <w:color w:val="000000"/>
              </w:rPr>
              <w:t>Resource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3AC7473F" w14:textId="77777777" w:rsidR="00204905" w:rsidRPr="00BE11D7" w:rsidRDefault="00204905" w:rsidP="00954C07">
            <w:pPr>
              <w:rPr>
                <w:color w:val="000000"/>
              </w:rPr>
            </w:pPr>
            <w:r w:rsidRPr="00BE11D7">
              <w:rPr>
                <w:color w:val="000000"/>
              </w:rPr>
              <w:t>Qty</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14:paraId="0A051A13" w14:textId="77777777" w:rsidR="00204905" w:rsidRPr="00BE11D7" w:rsidRDefault="00204905" w:rsidP="00954C07">
            <w:pPr>
              <w:rPr>
                <w:color w:val="000000"/>
              </w:rPr>
            </w:pPr>
            <w:r w:rsidRPr="00BE11D7">
              <w:rPr>
                <w:color w:val="000000"/>
              </w:rPr>
              <w:t>Price</w:t>
            </w:r>
          </w:p>
        </w:tc>
        <w:tc>
          <w:tcPr>
            <w:tcW w:w="2118" w:type="dxa"/>
            <w:tcBorders>
              <w:top w:val="single" w:sz="4" w:space="0" w:color="auto"/>
              <w:left w:val="nil"/>
              <w:bottom w:val="single" w:sz="4" w:space="0" w:color="auto"/>
              <w:right w:val="single" w:sz="4" w:space="0" w:color="auto"/>
            </w:tcBorders>
            <w:shd w:val="clear" w:color="auto" w:fill="auto"/>
            <w:noWrap/>
            <w:vAlign w:val="bottom"/>
            <w:hideMark/>
          </w:tcPr>
          <w:p w14:paraId="00C60ABF" w14:textId="77777777" w:rsidR="00204905" w:rsidRPr="00BE11D7" w:rsidRDefault="00204905" w:rsidP="00954C07">
            <w:pPr>
              <w:rPr>
                <w:color w:val="000000"/>
              </w:rPr>
            </w:pPr>
            <w:r w:rsidRPr="00BE11D7">
              <w:rPr>
                <w:color w:val="000000"/>
              </w:rPr>
              <w:t>(Payment)/Charge</w:t>
            </w:r>
          </w:p>
        </w:tc>
      </w:tr>
      <w:tr w:rsidR="00204905" w:rsidRPr="00BE11D7" w14:paraId="14692622"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0D823FE" w14:textId="77777777" w:rsidR="00204905" w:rsidRPr="00BE11D7" w:rsidRDefault="00204905" w:rsidP="00954C07">
            <w:pPr>
              <w:rPr>
                <w:color w:val="000000"/>
              </w:rPr>
            </w:pPr>
            <w:r w:rsidRPr="00BE11D7">
              <w:rPr>
                <w:color w:val="000000"/>
              </w:rPr>
              <w:t>CC 64700</w:t>
            </w:r>
          </w:p>
        </w:tc>
        <w:tc>
          <w:tcPr>
            <w:tcW w:w="1182" w:type="dxa"/>
            <w:tcBorders>
              <w:top w:val="nil"/>
              <w:left w:val="nil"/>
              <w:bottom w:val="single" w:sz="4" w:space="0" w:color="auto"/>
              <w:right w:val="single" w:sz="4" w:space="0" w:color="auto"/>
            </w:tcBorders>
            <w:shd w:val="clear" w:color="auto" w:fill="auto"/>
            <w:noWrap/>
            <w:vAlign w:val="bottom"/>
            <w:hideMark/>
          </w:tcPr>
          <w:p w14:paraId="5EE9B86A" w14:textId="77777777" w:rsidR="00204905" w:rsidRPr="00BE11D7" w:rsidRDefault="00204905" w:rsidP="00954C07">
            <w:pPr>
              <w:rPr>
                <w:color w:val="000000"/>
              </w:rPr>
            </w:pPr>
            <w:r w:rsidRPr="00BE11D7">
              <w:rPr>
                <w:color w:val="000000"/>
              </w:rPr>
              <w:t>EIM1Gen</w:t>
            </w:r>
          </w:p>
        </w:tc>
        <w:tc>
          <w:tcPr>
            <w:tcW w:w="1088" w:type="dxa"/>
            <w:tcBorders>
              <w:top w:val="nil"/>
              <w:left w:val="nil"/>
              <w:bottom w:val="single" w:sz="4" w:space="0" w:color="auto"/>
              <w:right w:val="single" w:sz="4" w:space="0" w:color="auto"/>
            </w:tcBorders>
            <w:shd w:val="clear" w:color="auto" w:fill="auto"/>
            <w:noWrap/>
            <w:vAlign w:val="bottom"/>
            <w:hideMark/>
          </w:tcPr>
          <w:p w14:paraId="47549EFD" w14:textId="77777777" w:rsidR="00204905" w:rsidRPr="00BE11D7" w:rsidRDefault="00204905" w:rsidP="00954C07">
            <w:pPr>
              <w:jc w:val="right"/>
              <w:rPr>
                <w:color w:val="000000"/>
              </w:rPr>
            </w:pPr>
            <w:r w:rsidRPr="00BE11D7">
              <w:rPr>
                <w:color w:val="000000"/>
              </w:rPr>
              <w:t>150</w:t>
            </w:r>
          </w:p>
        </w:tc>
        <w:tc>
          <w:tcPr>
            <w:tcW w:w="1572" w:type="dxa"/>
            <w:tcBorders>
              <w:top w:val="nil"/>
              <w:left w:val="nil"/>
              <w:bottom w:val="single" w:sz="4" w:space="0" w:color="auto"/>
              <w:right w:val="single" w:sz="4" w:space="0" w:color="auto"/>
            </w:tcBorders>
            <w:shd w:val="clear" w:color="auto" w:fill="auto"/>
            <w:noWrap/>
            <w:vAlign w:val="bottom"/>
            <w:hideMark/>
          </w:tcPr>
          <w:p w14:paraId="146419A5" w14:textId="77777777" w:rsidR="00204905" w:rsidRPr="00BE11D7" w:rsidRDefault="00204905" w:rsidP="00954C07">
            <w:pPr>
              <w:rPr>
                <w:color w:val="000000"/>
              </w:rPr>
            </w:pPr>
            <w:r w:rsidRPr="00BE11D7">
              <w:rPr>
                <w:color w:val="000000"/>
              </w:rPr>
              <w:t xml:space="preserve"> $      34.99 </w:t>
            </w:r>
          </w:p>
        </w:tc>
        <w:tc>
          <w:tcPr>
            <w:tcW w:w="2118" w:type="dxa"/>
            <w:tcBorders>
              <w:top w:val="nil"/>
              <w:left w:val="nil"/>
              <w:bottom w:val="single" w:sz="4" w:space="0" w:color="auto"/>
              <w:right w:val="single" w:sz="4" w:space="0" w:color="auto"/>
            </w:tcBorders>
            <w:shd w:val="clear" w:color="auto" w:fill="auto"/>
            <w:noWrap/>
            <w:vAlign w:val="bottom"/>
            <w:hideMark/>
          </w:tcPr>
          <w:p w14:paraId="5F38783A" w14:textId="77777777" w:rsidR="00204905" w:rsidRPr="00BE11D7" w:rsidRDefault="00204905" w:rsidP="00954C07">
            <w:pPr>
              <w:rPr>
                <w:color w:val="000000"/>
              </w:rPr>
            </w:pPr>
            <w:r w:rsidRPr="00BE11D7">
              <w:rPr>
                <w:color w:val="000000"/>
              </w:rPr>
              <w:t xml:space="preserve"> $          (5,248.50)</w:t>
            </w:r>
          </w:p>
        </w:tc>
      </w:tr>
      <w:tr w:rsidR="00204905" w:rsidRPr="00BE11D7" w14:paraId="11FE07A5"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0E8B0C2" w14:textId="77777777" w:rsidR="00204905" w:rsidRPr="00BE11D7" w:rsidRDefault="00204905" w:rsidP="00954C07">
            <w:pPr>
              <w:rPr>
                <w:color w:val="000000"/>
              </w:rPr>
            </w:pPr>
            <w:r w:rsidRPr="00BE11D7">
              <w:rPr>
                <w:color w:val="000000"/>
              </w:rPr>
              <w:t>CC 6470</w:t>
            </w:r>
          </w:p>
        </w:tc>
        <w:tc>
          <w:tcPr>
            <w:tcW w:w="1182" w:type="dxa"/>
            <w:tcBorders>
              <w:top w:val="nil"/>
              <w:left w:val="nil"/>
              <w:bottom w:val="single" w:sz="4" w:space="0" w:color="auto"/>
              <w:right w:val="single" w:sz="4" w:space="0" w:color="auto"/>
            </w:tcBorders>
            <w:shd w:val="clear" w:color="auto" w:fill="auto"/>
            <w:noWrap/>
            <w:vAlign w:val="bottom"/>
            <w:hideMark/>
          </w:tcPr>
          <w:p w14:paraId="19D1C41E" w14:textId="77777777" w:rsidR="00204905" w:rsidRPr="00BE11D7" w:rsidRDefault="00204905" w:rsidP="00954C07">
            <w:pPr>
              <w:rPr>
                <w:color w:val="000000"/>
              </w:rPr>
            </w:pPr>
            <w:r w:rsidRPr="00BE11D7">
              <w:rPr>
                <w:color w:val="000000"/>
              </w:rPr>
              <w:t>CISOGen</w:t>
            </w:r>
          </w:p>
        </w:tc>
        <w:tc>
          <w:tcPr>
            <w:tcW w:w="1088" w:type="dxa"/>
            <w:tcBorders>
              <w:top w:val="nil"/>
              <w:left w:val="nil"/>
              <w:bottom w:val="single" w:sz="4" w:space="0" w:color="auto"/>
              <w:right w:val="single" w:sz="4" w:space="0" w:color="auto"/>
            </w:tcBorders>
            <w:shd w:val="clear" w:color="auto" w:fill="auto"/>
            <w:noWrap/>
            <w:vAlign w:val="bottom"/>
            <w:hideMark/>
          </w:tcPr>
          <w:p w14:paraId="1F5D6ADF" w14:textId="77777777" w:rsidR="00204905" w:rsidRPr="00BE11D7" w:rsidRDefault="00204905" w:rsidP="00954C07">
            <w:pPr>
              <w:jc w:val="right"/>
              <w:rPr>
                <w:color w:val="000000"/>
              </w:rPr>
            </w:pPr>
            <w:r w:rsidRPr="00BE11D7">
              <w:rPr>
                <w:color w:val="000000"/>
              </w:rPr>
              <w:t>100</w:t>
            </w:r>
          </w:p>
        </w:tc>
        <w:tc>
          <w:tcPr>
            <w:tcW w:w="1572" w:type="dxa"/>
            <w:tcBorders>
              <w:top w:val="nil"/>
              <w:left w:val="nil"/>
              <w:bottom w:val="single" w:sz="4" w:space="0" w:color="auto"/>
              <w:right w:val="single" w:sz="4" w:space="0" w:color="auto"/>
            </w:tcBorders>
            <w:shd w:val="clear" w:color="auto" w:fill="auto"/>
            <w:noWrap/>
            <w:vAlign w:val="bottom"/>
            <w:hideMark/>
          </w:tcPr>
          <w:p w14:paraId="5DD9BAC9" w14:textId="77777777" w:rsidR="00204905" w:rsidRPr="00BE11D7" w:rsidRDefault="00204905" w:rsidP="00954C07">
            <w:pPr>
              <w:rPr>
                <w:color w:val="000000"/>
              </w:rPr>
            </w:pPr>
            <w:r w:rsidRPr="00BE11D7">
              <w:rPr>
                <w:color w:val="000000"/>
              </w:rPr>
              <w:t xml:space="preserve"> $      50.00 </w:t>
            </w:r>
          </w:p>
        </w:tc>
        <w:tc>
          <w:tcPr>
            <w:tcW w:w="2118" w:type="dxa"/>
            <w:tcBorders>
              <w:top w:val="nil"/>
              <w:left w:val="nil"/>
              <w:bottom w:val="single" w:sz="4" w:space="0" w:color="auto"/>
              <w:right w:val="single" w:sz="4" w:space="0" w:color="auto"/>
            </w:tcBorders>
            <w:shd w:val="clear" w:color="auto" w:fill="auto"/>
            <w:noWrap/>
            <w:vAlign w:val="bottom"/>
            <w:hideMark/>
          </w:tcPr>
          <w:p w14:paraId="04DF9FB1" w14:textId="77777777" w:rsidR="00204905" w:rsidRPr="00BE11D7" w:rsidRDefault="00204905" w:rsidP="00954C07">
            <w:pPr>
              <w:rPr>
                <w:color w:val="000000"/>
              </w:rPr>
            </w:pPr>
            <w:r w:rsidRPr="00BE11D7">
              <w:rPr>
                <w:color w:val="000000"/>
              </w:rPr>
              <w:t xml:space="preserve"> $          (5,000.00)</w:t>
            </w:r>
          </w:p>
        </w:tc>
      </w:tr>
      <w:tr w:rsidR="00204905" w:rsidRPr="00BE11D7" w14:paraId="576CA7F7"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77FD36" w14:textId="77777777" w:rsidR="00204905" w:rsidRPr="00BE11D7" w:rsidRDefault="00204905" w:rsidP="00954C07">
            <w:pPr>
              <w:rPr>
                <w:color w:val="000000"/>
              </w:rPr>
            </w:pPr>
            <w:r w:rsidRPr="00BE11D7">
              <w:rPr>
                <w:color w:val="000000"/>
              </w:rPr>
              <w:t>CC 64750</w:t>
            </w:r>
          </w:p>
        </w:tc>
        <w:tc>
          <w:tcPr>
            <w:tcW w:w="1182" w:type="dxa"/>
            <w:tcBorders>
              <w:top w:val="nil"/>
              <w:left w:val="nil"/>
              <w:bottom w:val="single" w:sz="4" w:space="0" w:color="auto"/>
              <w:right w:val="single" w:sz="4" w:space="0" w:color="auto"/>
            </w:tcBorders>
            <w:shd w:val="clear" w:color="auto" w:fill="auto"/>
            <w:noWrap/>
            <w:vAlign w:val="bottom"/>
            <w:hideMark/>
          </w:tcPr>
          <w:p w14:paraId="6B39EA44" w14:textId="77777777" w:rsidR="00204905" w:rsidRPr="00BE11D7" w:rsidRDefault="00204905" w:rsidP="00954C07">
            <w:pPr>
              <w:rPr>
                <w:color w:val="000000"/>
              </w:rPr>
            </w:pPr>
            <w:r w:rsidRPr="00BE11D7">
              <w:rPr>
                <w:color w:val="000000"/>
              </w:rPr>
              <w:t>EIM1Load</w:t>
            </w:r>
          </w:p>
        </w:tc>
        <w:tc>
          <w:tcPr>
            <w:tcW w:w="1088" w:type="dxa"/>
            <w:tcBorders>
              <w:top w:val="nil"/>
              <w:left w:val="nil"/>
              <w:bottom w:val="single" w:sz="4" w:space="0" w:color="auto"/>
              <w:right w:val="single" w:sz="4" w:space="0" w:color="auto"/>
            </w:tcBorders>
            <w:shd w:val="clear" w:color="auto" w:fill="auto"/>
            <w:noWrap/>
            <w:vAlign w:val="bottom"/>
            <w:hideMark/>
          </w:tcPr>
          <w:p w14:paraId="27DD10E4" w14:textId="77777777" w:rsidR="00204905" w:rsidRPr="00BE11D7" w:rsidRDefault="00204905" w:rsidP="00954C07">
            <w:pPr>
              <w:jc w:val="right"/>
              <w:rPr>
                <w:color w:val="000000"/>
              </w:rPr>
            </w:pPr>
            <w:r w:rsidRPr="00BE11D7">
              <w:rPr>
                <w:color w:val="000000"/>
              </w:rPr>
              <w:t>50</w:t>
            </w:r>
          </w:p>
        </w:tc>
        <w:tc>
          <w:tcPr>
            <w:tcW w:w="1572" w:type="dxa"/>
            <w:tcBorders>
              <w:top w:val="nil"/>
              <w:left w:val="nil"/>
              <w:bottom w:val="single" w:sz="4" w:space="0" w:color="auto"/>
              <w:right w:val="single" w:sz="4" w:space="0" w:color="auto"/>
            </w:tcBorders>
            <w:shd w:val="clear" w:color="auto" w:fill="auto"/>
            <w:noWrap/>
            <w:vAlign w:val="bottom"/>
            <w:hideMark/>
          </w:tcPr>
          <w:p w14:paraId="66DDBABD" w14:textId="77777777" w:rsidR="00204905" w:rsidRPr="00BE11D7" w:rsidRDefault="00204905" w:rsidP="00954C07">
            <w:pPr>
              <w:rPr>
                <w:color w:val="000000"/>
              </w:rPr>
            </w:pPr>
            <w:r w:rsidRPr="00BE11D7">
              <w:rPr>
                <w:color w:val="000000"/>
              </w:rPr>
              <w:t xml:space="preserve"> $      34.99 </w:t>
            </w:r>
          </w:p>
        </w:tc>
        <w:tc>
          <w:tcPr>
            <w:tcW w:w="2118" w:type="dxa"/>
            <w:tcBorders>
              <w:top w:val="nil"/>
              <w:left w:val="nil"/>
              <w:bottom w:val="single" w:sz="4" w:space="0" w:color="auto"/>
              <w:right w:val="single" w:sz="4" w:space="0" w:color="auto"/>
            </w:tcBorders>
            <w:shd w:val="clear" w:color="auto" w:fill="auto"/>
            <w:noWrap/>
            <w:vAlign w:val="bottom"/>
            <w:hideMark/>
          </w:tcPr>
          <w:p w14:paraId="6351E28A" w14:textId="77777777" w:rsidR="00204905" w:rsidRPr="00BE11D7" w:rsidRDefault="00204905" w:rsidP="00954C07">
            <w:pPr>
              <w:rPr>
                <w:color w:val="000000"/>
              </w:rPr>
            </w:pPr>
            <w:r w:rsidRPr="00BE11D7">
              <w:rPr>
                <w:color w:val="000000"/>
              </w:rPr>
              <w:t xml:space="preserve"> $            1,749.50 </w:t>
            </w:r>
          </w:p>
        </w:tc>
      </w:tr>
      <w:tr w:rsidR="00204905" w:rsidRPr="00BE11D7" w14:paraId="052E8620"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E7494C8" w14:textId="77777777" w:rsidR="00204905" w:rsidRPr="00BE11D7" w:rsidRDefault="00204905" w:rsidP="00954C07">
            <w:pPr>
              <w:rPr>
                <w:color w:val="000000"/>
              </w:rPr>
            </w:pPr>
            <w:r w:rsidRPr="00BE11D7">
              <w:rPr>
                <w:color w:val="000000"/>
              </w:rPr>
              <w:t>CC 6475</w:t>
            </w:r>
          </w:p>
        </w:tc>
        <w:tc>
          <w:tcPr>
            <w:tcW w:w="1182" w:type="dxa"/>
            <w:tcBorders>
              <w:top w:val="nil"/>
              <w:left w:val="nil"/>
              <w:bottom w:val="single" w:sz="4" w:space="0" w:color="auto"/>
              <w:right w:val="single" w:sz="4" w:space="0" w:color="auto"/>
            </w:tcBorders>
            <w:shd w:val="clear" w:color="auto" w:fill="auto"/>
            <w:noWrap/>
            <w:vAlign w:val="bottom"/>
            <w:hideMark/>
          </w:tcPr>
          <w:p w14:paraId="597CA5A1" w14:textId="77777777" w:rsidR="00204905" w:rsidRPr="00BE11D7" w:rsidRDefault="00204905" w:rsidP="00954C07">
            <w:pPr>
              <w:rPr>
                <w:color w:val="000000"/>
              </w:rPr>
            </w:pPr>
            <w:r w:rsidRPr="00BE11D7">
              <w:rPr>
                <w:color w:val="000000"/>
              </w:rPr>
              <w:t>CISOLoad</w:t>
            </w:r>
          </w:p>
        </w:tc>
        <w:tc>
          <w:tcPr>
            <w:tcW w:w="1088" w:type="dxa"/>
            <w:tcBorders>
              <w:top w:val="nil"/>
              <w:left w:val="nil"/>
              <w:bottom w:val="single" w:sz="4" w:space="0" w:color="auto"/>
              <w:right w:val="single" w:sz="4" w:space="0" w:color="auto"/>
            </w:tcBorders>
            <w:shd w:val="clear" w:color="auto" w:fill="auto"/>
            <w:noWrap/>
            <w:vAlign w:val="bottom"/>
            <w:hideMark/>
          </w:tcPr>
          <w:p w14:paraId="1DEAFDC3" w14:textId="77777777" w:rsidR="00204905" w:rsidRPr="00BE11D7" w:rsidRDefault="00204905" w:rsidP="00954C07">
            <w:pPr>
              <w:jc w:val="right"/>
              <w:rPr>
                <w:color w:val="000000"/>
              </w:rPr>
            </w:pPr>
            <w:r w:rsidRPr="00BE11D7">
              <w:rPr>
                <w:color w:val="000000"/>
              </w:rPr>
              <w:t>200</w:t>
            </w:r>
          </w:p>
        </w:tc>
        <w:tc>
          <w:tcPr>
            <w:tcW w:w="1572" w:type="dxa"/>
            <w:tcBorders>
              <w:top w:val="nil"/>
              <w:left w:val="nil"/>
              <w:bottom w:val="single" w:sz="4" w:space="0" w:color="auto"/>
              <w:right w:val="single" w:sz="4" w:space="0" w:color="auto"/>
            </w:tcBorders>
            <w:shd w:val="clear" w:color="auto" w:fill="auto"/>
            <w:noWrap/>
            <w:vAlign w:val="bottom"/>
            <w:hideMark/>
          </w:tcPr>
          <w:p w14:paraId="5B15E75F" w14:textId="77777777" w:rsidR="00204905" w:rsidRPr="00BE11D7" w:rsidRDefault="00204905" w:rsidP="00954C07">
            <w:pPr>
              <w:rPr>
                <w:color w:val="000000"/>
              </w:rPr>
            </w:pPr>
            <w:r w:rsidRPr="00BE11D7">
              <w:rPr>
                <w:color w:val="000000"/>
              </w:rPr>
              <w:t xml:space="preserve"> $      50.00 </w:t>
            </w:r>
          </w:p>
        </w:tc>
        <w:tc>
          <w:tcPr>
            <w:tcW w:w="2118" w:type="dxa"/>
            <w:tcBorders>
              <w:top w:val="nil"/>
              <w:left w:val="nil"/>
              <w:bottom w:val="single" w:sz="4" w:space="0" w:color="auto"/>
              <w:right w:val="single" w:sz="4" w:space="0" w:color="auto"/>
            </w:tcBorders>
            <w:shd w:val="clear" w:color="auto" w:fill="auto"/>
            <w:noWrap/>
            <w:vAlign w:val="bottom"/>
            <w:hideMark/>
          </w:tcPr>
          <w:p w14:paraId="725A16ED" w14:textId="77777777" w:rsidR="00204905" w:rsidRPr="00BE11D7" w:rsidRDefault="00204905" w:rsidP="00954C07">
            <w:pPr>
              <w:rPr>
                <w:color w:val="000000"/>
              </w:rPr>
            </w:pPr>
            <w:r w:rsidRPr="00BE11D7">
              <w:rPr>
                <w:color w:val="000000"/>
              </w:rPr>
              <w:t xml:space="preserve"> $          10,000.00 </w:t>
            </w:r>
          </w:p>
        </w:tc>
      </w:tr>
    </w:tbl>
    <w:p w14:paraId="64DC2F32" w14:textId="77777777" w:rsidR="00204905" w:rsidRPr="00BE11D7" w:rsidRDefault="00204905" w:rsidP="00204905"/>
    <w:tbl>
      <w:tblPr>
        <w:tblW w:w="9151" w:type="dxa"/>
        <w:tblLook w:val="04A0" w:firstRow="1" w:lastRow="0" w:firstColumn="1" w:lastColumn="0" w:noHBand="0" w:noVBand="1"/>
      </w:tblPr>
      <w:tblGrid>
        <w:gridCol w:w="2140"/>
        <w:gridCol w:w="830"/>
        <w:gridCol w:w="1620"/>
        <w:gridCol w:w="1440"/>
        <w:gridCol w:w="1800"/>
        <w:gridCol w:w="1321"/>
      </w:tblGrid>
      <w:tr w:rsidR="00204905" w:rsidRPr="00BE11D7" w14:paraId="0542A7C2" w14:textId="77777777" w:rsidTr="00954C07">
        <w:trPr>
          <w:trHeight w:val="300"/>
        </w:trPr>
        <w:tc>
          <w:tcPr>
            <w:tcW w:w="2140" w:type="dxa"/>
            <w:tcBorders>
              <w:top w:val="nil"/>
              <w:left w:val="nil"/>
              <w:bottom w:val="nil"/>
              <w:right w:val="nil"/>
            </w:tcBorders>
            <w:shd w:val="clear" w:color="auto" w:fill="auto"/>
            <w:noWrap/>
            <w:vAlign w:val="bottom"/>
            <w:hideMark/>
          </w:tcPr>
          <w:p w14:paraId="6E0B8C7E" w14:textId="77777777" w:rsidR="00204905" w:rsidRPr="00BE11D7" w:rsidRDefault="00204905" w:rsidP="00954C07">
            <w:pPr>
              <w:rPr>
                <w:color w:val="000000"/>
              </w:rPr>
            </w:pPr>
            <w:r w:rsidRPr="00BE11D7">
              <w:rPr>
                <w:color w:val="000000"/>
              </w:rPr>
              <w:t>RTCO Calculation</w:t>
            </w:r>
          </w:p>
        </w:tc>
        <w:tc>
          <w:tcPr>
            <w:tcW w:w="830" w:type="dxa"/>
            <w:tcBorders>
              <w:top w:val="nil"/>
              <w:left w:val="nil"/>
              <w:bottom w:val="nil"/>
              <w:right w:val="nil"/>
            </w:tcBorders>
            <w:shd w:val="clear" w:color="auto" w:fill="auto"/>
            <w:noWrap/>
            <w:vAlign w:val="bottom"/>
            <w:hideMark/>
          </w:tcPr>
          <w:p w14:paraId="4C19BD3A" w14:textId="77777777" w:rsidR="00204905" w:rsidRPr="00BE11D7" w:rsidRDefault="00204905" w:rsidP="00954C07">
            <w:pPr>
              <w:rPr>
                <w:color w:val="000000"/>
              </w:rPr>
            </w:pPr>
            <w:r w:rsidRPr="00BE11D7">
              <w:rPr>
                <w:color w:val="000000"/>
              </w:rPr>
              <w:t>QTY</w:t>
            </w:r>
          </w:p>
        </w:tc>
        <w:tc>
          <w:tcPr>
            <w:tcW w:w="1620" w:type="dxa"/>
            <w:tcBorders>
              <w:top w:val="nil"/>
              <w:left w:val="nil"/>
              <w:bottom w:val="nil"/>
              <w:right w:val="nil"/>
            </w:tcBorders>
            <w:shd w:val="clear" w:color="auto" w:fill="auto"/>
            <w:noWrap/>
            <w:vAlign w:val="bottom"/>
            <w:hideMark/>
          </w:tcPr>
          <w:p w14:paraId="127D32DD" w14:textId="77777777" w:rsidR="00204905" w:rsidRPr="00BE11D7" w:rsidRDefault="00204905" w:rsidP="00954C07">
            <w:pPr>
              <w:rPr>
                <w:color w:val="000000"/>
              </w:rPr>
            </w:pPr>
            <w:r w:rsidRPr="00BE11D7">
              <w:rPr>
                <w:color w:val="000000"/>
              </w:rPr>
              <w:t>MCC(EIM1)*</w:t>
            </w:r>
          </w:p>
        </w:tc>
        <w:tc>
          <w:tcPr>
            <w:tcW w:w="1440" w:type="dxa"/>
            <w:tcBorders>
              <w:top w:val="nil"/>
              <w:left w:val="nil"/>
              <w:bottom w:val="nil"/>
              <w:right w:val="nil"/>
            </w:tcBorders>
            <w:shd w:val="clear" w:color="auto" w:fill="auto"/>
            <w:noWrap/>
            <w:vAlign w:val="bottom"/>
            <w:hideMark/>
          </w:tcPr>
          <w:p w14:paraId="68150520" w14:textId="77777777" w:rsidR="00204905" w:rsidRPr="00BE11D7" w:rsidRDefault="00204905" w:rsidP="00954C07">
            <w:pPr>
              <w:rPr>
                <w:color w:val="000000"/>
              </w:rPr>
            </w:pPr>
            <w:r w:rsidRPr="00BE11D7">
              <w:rPr>
                <w:color w:val="000000"/>
              </w:rPr>
              <w:t>Amount</w:t>
            </w:r>
          </w:p>
        </w:tc>
        <w:tc>
          <w:tcPr>
            <w:tcW w:w="1800" w:type="dxa"/>
            <w:tcBorders>
              <w:top w:val="nil"/>
              <w:left w:val="nil"/>
              <w:bottom w:val="nil"/>
              <w:right w:val="nil"/>
            </w:tcBorders>
            <w:shd w:val="clear" w:color="auto" w:fill="auto"/>
            <w:noWrap/>
            <w:vAlign w:val="bottom"/>
            <w:hideMark/>
          </w:tcPr>
          <w:p w14:paraId="09728959" w14:textId="77777777" w:rsidR="00204905" w:rsidRPr="00BE11D7" w:rsidRDefault="00204905" w:rsidP="00954C07">
            <w:pPr>
              <w:rPr>
                <w:color w:val="000000"/>
              </w:rPr>
            </w:pPr>
            <w:r w:rsidRPr="00BE11D7">
              <w:rPr>
                <w:color w:val="000000"/>
              </w:rPr>
              <w:t>MCC(CISO)</w:t>
            </w:r>
          </w:p>
        </w:tc>
        <w:tc>
          <w:tcPr>
            <w:tcW w:w="1321" w:type="dxa"/>
            <w:tcBorders>
              <w:top w:val="nil"/>
              <w:left w:val="nil"/>
              <w:bottom w:val="nil"/>
              <w:right w:val="nil"/>
            </w:tcBorders>
            <w:shd w:val="clear" w:color="auto" w:fill="auto"/>
            <w:noWrap/>
            <w:vAlign w:val="bottom"/>
            <w:hideMark/>
          </w:tcPr>
          <w:p w14:paraId="0A0BE451" w14:textId="77777777" w:rsidR="00204905" w:rsidRPr="00BE11D7" w:rsidRDefault="00204905" w:rsidP="00954C07">
            <w:pPr>
              <w:rPr>
                <w:color w:val="000000"/>
              </w:rPr>
            </w:pPr>
            <w:r w:rsidRPr="00BE11D7">
              <w:rPr>
                <w:color w:val="000000"/>
              </w:rPr>
              <w:t>Amount</w:t>
            </w:r>
          </w:p>
        </w:tc>
      </w:tr>
      <w:tr w:rsidR="00204905" w:rsidRPr="00BE11D7" w14:paraId="7D131C95"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A7705" w14:textId="77777777" w:rsidR="00204905" w:rsidRPr="00BE11D7" w:rsidRDefault="00204905" w:rsidP="00954C07">
            <w:pPr>
              <w:rPr>
                <w:color w:val="000000"/>
              </w:rPr>
            </w:pPr>
            <w:r w:rsidRPr="00BE11D7">
              <w:rPr>
                <w:color w:val="000000"/>
              </w:rPr>
              <w:t>EIM1Gen</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1D24E7D7" w14:textId="77777777" w:rsidR="00204905" w:rsidRPr="00BE11D7" w:rsidRDefault="00204905" w:rsidP="00954C07">
            <w:pPr>
              <w:jc w:val="right"/>
              <w:rPr>
                <w:color w:val="000000"/>
              </w:rPr>
            </w:pPr>
            <w:r w:rsidRPr="00BE11D7">
              <w:rPr>
                <w:color w:val="000000"/>
              </w:rPr>
              <w:t>150</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BDEE199" w14:textId="77777777" w:rsidR="00204905" w:rsidRPr="00BE11D7" w:rsidRDefault="00204905" w:rsidP="00954C07">
            <w:pPr>
              <w:rPr>
                <w:color w:val="000000"/>
              </w:rPr>
            </w:pPr>
            <w:r w:rsidRPr="00BE11D7">
              <w:rPr>
                <w:color w:val="000000"/>
              </w:rPr>
              <w:t xml:space="preserve"> $          (15.01)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08170CB" w14:textId="77777777" w:rsidR="00204905" w:rsidRPr="00BE11D7" w:rsidRDefault="00204905" w:rsidP="00954C07">
            <w:pPr>
              <w:rPr>
                <w:color w:val="000000"/>
              </w:rPr>
            </w:pPr>
            <w:r w:rsidRPr="00BE11D7">
              <w:rPr>
                <w:color w:val="000000"/>
              </w:rPr>
              <w:t xml:space="preserve"> $  2,251.50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0D0D6CB" w14:textId="77777777" w:rsidR="00204905" w:rsidRPr="00BE11D7" w:rsidRDefault="00204905" w:rsidP="00954C07">
            <w:pPr>
              <w:rPr>
                <w:color w:val="000000"/>
              </w:rPr>
            </w:pPr>
            <w:r w:rsidRPr="00BE11D7">
              <w:rPr>
                <w:color w:val="000000"/>
              </w:rPr>
              <w:t xml:space="preserve"> $                     -   </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14:paraId="06CCE252" w14:textId="77777777" w:rsidR="00204905" w:rsidRPr="00BE11D7" w:rsidRDefault="00204905" w:rsidP="00954C07">
            <w:pPr>
              <w:rPr>
                <w:color w:val="000000"/>
              </w:rPr>
            </w:pPr>
            <w:r w:rsidRPr="00BE11D7">
              <w:rPr>
                <w:color w:val="000000"/>
              </w:rPr>
              <w:t xml:space="preserve"> $           -   </w:t>
            </w:r>
          </w:p>
        </w:tc>
      </w:tr>
      <w:tr w:rsidR="00204905" w:rsidRPr="00BE11D7" w14:paraId="0EB4B453"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13C7431" w14:textId="77777777" w:rsidR="00204905" w:rsidRPr="00BE11D7" w:rsidRDefault="00204905" w:rsidP="00954C07">
            <w:pPr>
              <w:rPr>
                <w:color w:val="000000"/>
              </w:rPr>
            </w:pPr>
            <w:r w:rsidRPr="00BE11D7">
              <w:rPr>
                <w:color w:val="000000"/>
              </w:rPr>
              <w:t>CISOGen</w:t>
            </w:r>
          </w:p>
        </w:tc>
        <w:tc>
          <w:tcPr>
            <w:tcW w:w="830" w:type="dxa"/>
            <w:tcBorders>
              <w:top w:val="nil"/>
              <w:left w:val="nil"/>
              <w:bottom w:val="single" w:sz="4" w:space="0" w:color="auto"/>
              <w:right w:val="single" w:sz="4" w:space="0" w:color="auto"/>
            </w:tcBorders>
            <w:shd w:val="clear" w:color="auto" w:fill="auto"/>
            <w:noWrap/>
            <w:vAlign w:val="bottom"/>
            <w:hideMark/>
          </w:tcPr>
          <w:p w14:paraId="67426393" w14:textId="77777777" w:rsidR="00204905" w:rsidRPr="00BE11D7" w:rsidRDefault="00204905" w:rsidP="00954C07">
            <w:pPr>
              <w:jc w:val="right"/>
              <w:rPr>
                <w:color w:val="000000"/>
              </w:rPr>
            </w:pPr>
            <w:r w:rsidRPr="00BE11D7">
              <w:rPr>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8F2EE31" w14:textId="77777777" w:rsidR="00204905" w:rsidRPr="00BE11D7" w:rsidRDefault="00204905" w:rsidP="00954C07">
            <w:pPr>
              <w:rPr>
                <w:color w:val="000000"/>
              </w:rPr>
            </w:pPr>
            <w:r w:rsidRPr="00BE11D7">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A8CE4E" w14:textId="77777777" w:rsidR="00204905" w:rsidRPr="00BE11D7" w:rsidRDefault="00204905" w:rsidP="00954C07">
            <w:pPr>
              <w:rPr>
                <w:color w:val="000000"/>
              </w:rPr>
            </w:pPr>
            <w:r w:rsidRPr="00BE11D7">
              <w:rPr>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bottom"/>
            <w:hideMark/>
          </w:tcPr>
          <w:p w14:paraId="58FF4D97" w14:textId="77777777" w:rsidR="00204905" w:rsidRPr="00BE11D7" w:rsidRDefault="00204905" w:rsidP="00954C07">
            <w:pPr>
              <w:rPr>
                <w:color w:val="000000"/>
              </w:rPr>
            </w:pPr>
            <w:r w:rsidRPr="00BE11D7">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55509017" w14:textId="77777777" w:rsidR="00204905" w:rsidRPr="00BE11D7" w:rsidRDefault="00204905" w:rsidP="00954C07">
            <w:pPr>
              <w:rPr>
                <w:color w:val="000000"/>
              </w:rPr>
            </w:pPr>
            <w:r w:rsidRPr="00BE11D7">
              <w:rPr>
                <w:color w:val="000000"/>
              </w:rPr>
              <w:t xml:space="preserve"> $           -   </w:t>
            </w:r>
          </w:p>
        </w:tc>
      </w:tr>
      <w:tr w:rsidR="00204905" w:rsidRPr="00BE11D7" w14:paraId="448DD6EA"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5769231" w14:textId="77777777" w:rsidR="00204905" w:rsidRPr="00BE11D7" w:rsidRDefault="00204905" w:rsidP="00954C07">
            <w:pPr>
              <w:rPr>
                <w:color w:val="000000"/>
              </w:rPr>
            </w:pPr>
            <w:r w:rsidRPr="00BE11D7">
              <w:rPr>
                <w:color w:val="000000"/>
              </w:rPr>
              <w:t>EIM1Load</w:t>
            </w:r>
          </w:p>
        </w:tc>
        <w:tc>
          <w:tcPr>
            <w:tcW w:w="830" w:type="dxa"/>
            <w:tcBorders>
              <w:top w:val="nil"/>
              <w:left w:val="nil"/>
              <w:bottom w:val="single" w:sz="4" w:space="0" w:color="auto"/>
              <w:right w:val="single" w:sz="4" w:space="0" w:color="auto"/>
            </w:tcBorders>
            <w:shd w:val="clear" w:color="auto" w:fill="auto"/>
            <w:noWrap/>
            <w:vAlign w:val="bottom"/>
            <w:hideMark/>
          </w:tcPr>
          <w:p w14:paraId="70D34AEC" w14:textId="77777777" w:rsidR="00204905" w:rsidRPr="00BE11D7" w:rsidRDefault="00204905" w:rsidP="00954C07">
            <w:pPr>
              <w:jc w:val="right"/>
              <w:rPr>
                <w:color w:val="000000"/>
              </w:rPr>
            </w:pPr>
            <w:r w:rsidRPr="00BE11D7">
              <w:rPr>
                <w:color w:val="000000"/>
              </w:rPr>
              <w:t>-50</w:t>
            </w:r>
          </w:p>
        </w:tc>
        <w:tc>
          <w:tcPr>
            <w:tcW w:w="1620" w:type="dxa"/>
            <w:tcBorders>
              <w:top w:val="nil"/>
              <w:left w:val="nil"/>
              <w:bottom w:val="single" w:sz="4" w:space="0" w:color="auto"/>
              <w:right w:val="single" w:sz="4" w:space="0" w:color="auto"/>
            </w:tcBorders>
            <w:shd w:val="clear" w:color="auto" w:fill="auto"/>
            <w:noWrap/>
            <w:vAlign w:val="bottom"/>
            <w:hideMark/>
          </w:tcPr>
          <w:p w14:paraId="74EE39DD" w14:textId="77777777" w:rsidR="00204905" w:rsidRPr="00BE11D7" w:rsidRDefault="00204905" w:rsidP="00954C07">
            <w:pPr>
              <w:rPr>
                <w:color w:val="000000"/>
              </w:rPr>
            </w:pPr>
            <w:r w:rsidRPr="00BE11D7">
              <w:rPr>
                <w:color w:val="000000"/>
              </w:rPr>
              <w:t xml:space="preserve"> $          (15.01)</w:t>
            </w:r>
          </w:p>
        </w:tc>
        <w:tc>
          <w:tcPr>
            <w:tcW w:w="1440" w:type="dxa"/>
            <w:tcBorders>
              <w:top w:val="nil"/>
              <w:left w:val="nil"/>
              <w:bottom w:val="single" w:sz="4" w:space="0" w:color="auto"/>
              <w:right w:val="single" w:sz="4" w:space="0" w:color="auto"/>
            </w:tcBorders>
            <w:shd w:val="clear" w:color="auto" w:fill="auto"/>
            <w:noWrap/>
            <w:vAlign w:val="bottom"/>
            <w:hideMark/>
          </w:tcPr>
          <w:p w14:paraId="722ED67B" w14:textId="77777777" w:rsidR="00204905" w:rsidRPr="00BE11D7" w:rsidRDefault="00204905" w:rsidP="00954C07">
            <w:pPr>
              <w:rPr>
                <w:color w:val="000000"/>
              </w:rPr>
            </w:pPr>
            <w:r w:rsidRPr="00BE11D7">
              <w:rPr>
                <w:color w:val="000000"/>
              </w:rPr>
              <w:t xml:space="preserve"> $   (750.50)</w:t>
            </w:r>
          </w:p>
        </w:tc>
        <w:tc>
          <w:tcPr>
            <w:tcW w:w="1800" w:type="dxa"/>
            <w:tcBorders>
              <w:top w:val="nil"/>
              <w:left w:val="nil"/>
              <w:bottom w:val="single" w:sz="4" w:space="0" w:color="auto"/>
              <w:right w:val="single" w:sz="4" w:space="0" w:color="auto"/>
            </w:tcBorders>
            <w:shd w:val="clear" w:color="auto" w:fill="auto"/>
            <w:noWrap/>
            <w:vAlign w:val="bottom"/>
            <w:hideMark/>
          </w:tcPr>
          <w:p w14:paraId="09E72EFD" w14:textId="77777777" w:rsidR="00204905" w:rsidRPr="00BE11D7" w:rsidRDefault="00204905" w:rsidP="00954C07">
            <w:pPr>
              <w:rPr>
                <w:color w:val="000000"/>
              </w:rPr>
            </w:pPr>
            <w:r w:rsidRPr="00BE11D7">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05024E98" w14:textId="77777777" w:rsidR="00204905" w:rsidRPr="00BE11D7" w:rsidRDefault="00204905" w:rsidP="00954C07">
            <w:pPr>
              <w:rPr>
                <w:color w:val="000000"/>
              </w:rPr>
            </w:pPr>
            <w:r w:rsidRPr="00BE11D7">
              <w:rPr>
                <w:color w:val="000000"/>
              </w:rPr>
              <w:t xml:space="preserve"> $           -   </w:t>
            </w:r>
          </w:p>
        </w:tc>
      </w:tr>
      <w:tr w:rsidR="00204905" w:rsidRPr="00BE11D7" w14:paraId="6E112A91" w14:textId="77777777" w:rsidTr="00954C07">
        <w:trPr>
          <w:trHeight w:val="300"/>
        </w:trPr>
        <w:tc>
          <w:tcPr>
            <w:tcW w:w="2140" w:type="dxa"/>
            <w:tcBorders>
              <w:top w:val="nil"/>
              <w:left w:val="single" w:sz="4" w:space="0" w:color="auto"/>
              <w:bottom w:val="nil"/>
              <w:right w:val="single" w:sz="4" w:space="0" w:color="auto"/>
            </w:tcBorders>
            <w:shd w:val="clear" w:color="auto" w:fill="auto"/>
            <w:noWrap/>
            <w:vAlign w:val="bottom"/>
            <w:hideMark/>
          </w:tcPr>
          <w:p w14:paraId="107AA39B" w14:textId="77777777" w:rsidR="00204905" w:rsidRPr="00BE11D7" w:rsidRDefault="00204905" w:rsidP="00954C07">
            <w:pPr>
              <w:rPr>
                <w:color w:val="000000"/>
              </w:rPr>
            </w:pPr>
            <w:r w:rsidRPr="00BE11D7">
              <w:rPr>
                <w:color w:val="000000"/>
              </w:rPr>
              <w:t>CISOLoad</w:t>
            </w:r>
          </w:p>
        </w:tc>
        <w:tc>
          <w:tcPr>
            <w:tcW w:w="830" w:type="dxa"/>
            <w:tcBorders>
              <w:top w:val="nil"/>
              <w:left w:val="nil"/>
              <w:bottom w:val="nil"/>
              <w:right w:val="single" w:sz="4" w:space="0" w:color="auto"/>
            </w:tcBorders>
            <w:shd w:val="clear" w:color="auto" w:fill="auto"/>
            <w:noWrap/>
            <w:vAlign w:val="bottom"/>
            <w:hideMark/>
          </w:tcPr>
          <w:p w14:paraId="4BE3278E" w14:textId="77777777" w:rsidR="00204905" w:rsidRPr="00BE11D7" w:rsidRDefault="00204905" w:rsidP="00954C07">
            <w:pPr>
              <w:jc w:val="right"/>
              <w:rPr>
                <w:color w:val="000000"/>
              </w:rPr>
            </w:pPr>
            <w:r w:rsidRPr="00BE11D7">
              <w:rPr>
                <w:color w:val="000000"/>
              </w:rPr>
              <w:t>-200</w:t>
            </w:r>
          </w:p>
        </w:tc>
        <w:tc>
          <w:tcPr>
            <w:tcW w:w="1620" w:type="dxa"/>
            <w:tcBorders>
              <w:top w:val="nil"/>
              <w:left w:val="nil"/>
              <w:bottom w:val="nil"/>
              <w:right w:val="single" w:sz="4" w:space="0" w:color="auto"/>
            </w:tcBorders>
            <w:shd w:val="clear" w:color="auto" w:fill="auto"/>
            <w:noWrap/>
            <w:vAlign w:val="bottom"/>
            <w:hideMark/>
          </w:tcPr>
          <w:p w14:paraId="64715FE8" w14:textId="77777777" w:rsidR="00204905" w:rsidRPr="00BE11D7" w:rsidRDefault="00204905" w:rsidP="00954C07">
            <w:pPr>
              <w:rPr>
                <w:color w:val="000000"/>
              </w:rPr>
            </w:pPr>
            <w:r w:rsidRPr="00BE11D7">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C7921A4" w14:textId="77777777" w:rsidR="00204905" w:rsidRPr="00BE11D7" w:rsidRDefault="00204905" w:rsidP="00954C07">
            <w:pPr>
              <w:rPr>
                <w:color w:val="000000"/>
              </w:rPr>
            </w:pPr>
            <w:r w:rsidRPr="00BE11D7">
              <w:rPr>
                <w:color w:val="000000"/>
              </w:rPr>
              <w:t xml:space="preserve"> $           -   </w:t>
            </w:r>
          </w:p>
        </w:tc>
        <w:tc>
          <w:tcPr>
            <w:tcW w:w="1800" w:type="dxa"/>
            <w:tcBorders>
              <w:top w:val="nil"/>
              <w:left w:val="nil"/>
              <w:bottom w:val="nil"/>
              <w:right w:val="single" w:sz="4" w:space="0" w:color="auto"/>
            </w:tcBorders>
            <w:shd w:val="clear" w:color="auto" w:fill="auto"/>
            <w:noWrap/>
            <w:vAlign w:val="bottom"/>
            <w:hideMark/>
          </w:tcPr>
          <w:p w14:paraId="7E0C9306" w14:textId="77777777" w:rsidR="00204905" w:rsidRPr="00BE11D7" w:rsidRDefault="00204905" w:rsidP="00954C07">
            <w:pPr>
              <w:rPr>
                <w:color w:val="000000"/>
              </w:rPr>
            </w:pPr>
            <w:r w:rsidRPr="00BE11D7">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43715686" w14:textId="77777777" w:rsidR="00204905" w:rsidRPr="00BE11D7" w:rsidRDefault="00204905" w:rsidP="00954C07">
            <w:pPr>
              <w:rPr>
                <w:color w:val="000000"/>
              </w:rPr>
            </w:pPr>
            <w:r w:rsidRPr="00BE11D7">
              <w:rPr>
                <w:color w:val="000000"/>
              </w:rPr>
              <w:t xml:space="preserve"> $           -   </w:t>
            </w:r>
          </w:p>
        </w:tc>
      </w:tr>
      <w:tr w:rsidR="00204905" w:rsidRPr="00BE11D7" w14:paraId="0C44B936"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AFF5A" w14:textId="77777777" w:rsidR="00204905" w:rsidRPr="00BE11D7" w:rsidRDefault="00204905" w:rsidP="00954C07">
            <w:pPr>
              <w:rPr>
                <w:color w:val="000000"/>
              </w:rPr>
            </w:pPr>
            <w:r w:rsidRPr="00BE11D7">
              <w:rPr>
                <w:color w:val="000000"/>
              </w:rPr>
              <w:t>Total</w:t>
            </w:r>
          </w:p>
        </w:tc>
        <w:tc>
          <w:tcPr>
            <w:tcW w:w="830" w:type="dxa"/>
            <w:tcBorders>
              <w:top w:val="single" w:sz="4" w:space="0" w:color="auto"/>
              <w:left w:val="nil"/>
              <w:bottom w:val="single" w:sz="4" w:space="0" w:color="auto"/>
              <w:right w:val="nil"/>
            </w:tcBorders>
            <w:shd w:val="clear" w:color="auto" w:fill="auto"/>
            <w:noWrap/>
            <w:vAlign w:val="bottom"/>
            <w:hideMark/>
          </w:tcPr>
          <w:p w14:paraId="0C42F125" w14:textId="77777777" w:rsidR="00204905" w:rsidRPr="00BE11D7" w:rsidRDefault="00204905" w:rsidP="00954C07">
            <w:pPr>
              <w:rPr>
                <w:color w:val="000000"/>
              </w:rPr>
            </w:pPr>
            <w:r w:rsidRPr="00BE11D7">
              <w:rPr>
                <w:color w:val="000000"/>
              </w:rPr>
              <w:t> </w:t>
            </w:r>
          </w:p>
        </w:tc>
        <w:tc>
          <w:tcPr>
            <w:tcW w:w="1620" w:type="dxa"/>
            <w:tcBorders>
              <w:top w:val="single" w:sz="4" w:space="0" w:color="auto"/>
              <w:left w:val="nil"/>
              <w:bottom w:val="single" w:sz="4" w:space="0" w:color="auto"/>
              <w:right w:val="nil"/>
            </w:tcBorders>
            <w:shd w:val="clear" w:color="auto" w:fill="auto"/>
            <w:noWrap/>
            <w:vAlign w:val="bottom"/>
            <w:hideMark/>
          </w:tcPr>
          <w:p w14:paraId="7F29DCEC" w14:textId="77777777" w:rsidR="00204905" w:rsidRPr="00BE11D7" w:rsidRDefault="00204905" w:rsidP="00954C07">
            <w:pPr>
              <w:rPr>
                <w:color w:val="000000"/>
              </w:rPr>
            </w:pPr>
            <w:r w:rsidRPr="00BE11D7">
              <w:rPr>
                <w:color w:val="000000"/>
              </w:rPr>
              <w:t> </w:t>
            </w:r>
          </w:p>
        </w:tc>
        <w:tc>
          <w:tcPr>
            <w:tcW w:w="1440" w:type="dxa"/>
            <w:tcBorders>
              <w:top w:val="nil"/>
              <w:left w:val="nil"/>
              <w:bottom w:val="single" w:sz="4" w:space="0" w:color="auto"/>
              <w:right w:val="nil"/>
            </w:tcBorders>
            <w:shd w:val="clear" w:color="auto" w:fill="auto"/>
            <w:noWrap/>
            <w:vAlign w:val="bottom"/>
            <w:hideMark/>
          </w:tcPr>
          <w:p w14:paraId="040D4AB1" w14:textId="77777777" w:rsidR="00204905" w:rsidRPr="00BE11D7" w:rsidRDefault="00204905" w:rsidP="00954C07">
            <w:pPr>
              <w:rPr>
                <w:color w:val="000000"/>
              </w:rPr>
            </w:pPr>
            <w:r w:rsidRPr="00BE11D7">
              <w:rPr>
                <w:color w:val="000000"/>
              </w:rPr>
              <w:t xml:space="preserve"> $  1,501.00 </w:t>
            </w:r>
          </w:p>
        </w:tc>
        <w:tc>
          <w:tcPr>
            <w:tcW w:w="1800" w:type="dxa"/>
            <w:tcBorders>
              <w:top w:val="single" w:sz="4" w:space="0" w:color="auto"/>
              <w:left w:val="nil"/>
              <w:bottom w:val="single" w:sz="4" w:space="0" w:color="auto"/>
              <w:right w:val="nil"/>
            </w:tcBorders>
            <w:shd w:val="clear" w:color="auto" w:fill="auto"/>
            <w:noWrap/>
            <w:vAlign w:val="bottom"/>
            <w:hideMark/>
          </w:tcPr>
          <w:p w14:paraId="0CF70CA5" w14:textId="77777777" w:rsidR="00204905" w:rsidRPr="00BE11D7" w:rsidRDefault="00204905" w:rsidP="00954C07">
            <w:pPr>
              <w:rPr>
                <w:color w:val="000000"/>
              </w:rPr>
            </w:pPr>
            <w:r w:rsidRPr="00BE11D7">
              <w:rPr>
                <w:color w:val="000000"/>
              </w:rPr>
              <w:t> </w:t>
            </w:r>
          </w:p>
        </w:tc>
        <w:tc>
          <w:tcPr>
            <w:tcW w:w="1321" w:type="dxa"/>
            <w:tcBorders>
              <w:top w:val="nil"/>
              <w:left w:val="nil"/>
              <w:bottom w:val="single" w:sz="4" w:space="0" w:color="auto"/>
              <w:right w:val="single" w:sz="4" w:space="0" w:color="auto"/>
            </w:tcBorders>
            <w:shd w:val="clear" w:color="auto" w:fill="auto"/>
            <w:noWrap/>
            <w:vAlign w:val="bottom"/>
            <w:hideMark/>
          </w:tcPr>
          <w:p w14:paraId="7CACCD16" w14:textId="77777777" w:rsidR="00204905" w:rsidRPr="00BE11D7" w:rsidRDefault="00204905" w:rsidP="00954C07">
            <w:pPr>
              <w:rPr>
                <w:color w:val="000000"/>
              </w:rPr>
            </w:pPr>
            <w:r w:rsidRPr="00BE11D7">
              <w:rPr>
                <w:color w:val="000000"/>
              </w:rPr>
              <w:t xml:space="preserve"> $           -   </w:t>
            </w:r>
          </w:p>
        </w:tc>
      </w:tr>
      <w:tr w:rsidR="00204905" w:rsidRPr="00BE11D7" w14:paraId="4403C52B" w14:textId="77777777" w:rsidTr="00954C07">
        <w:trPr>
          <w:trHeight w:val="300"/>
        </w:trPr>
        <w:tc>
          <w:tcPr>
            <w:tcW w:w="2140" w:type="dxa"/>
            <w:tcBorders>
              <w:top w:val="nil"/>
              <w:left w:val="nil"/>
              <w:bottom w:val="nil"/>
              <w:right w:val="nil"/>
            </w:tcBorders>
            <w:shd w:val="clear" w:color="auto" w:fill="auto"/>
            <w:noWrap/>
            <w:vAlign w:val="bottom"/>
            <w:hideMark/>
          </w:tcPr>
          <w:p w14:paraId="4381F59A" w14:textId="77777777" w:rsidR="00204905" w:rsidRPr="00BE11D7" w:rsidRDefault="00204905" w:rsidP="00954C07">
            <w:pPr>
              <w:rPr>
                <w:color w:val="000000"/>
              </w:rPr>
            </w:pPr>
          </w:p>
        </w:tc>
        <w:tc>
          <w:tcPr>
            <w:tcW w:w="830" w:type="dxa"/>
            <w:tcBorders>
              <w:top w:val="nil"/>
              <w:left w:val="nil"/>
              <w:bottom w:val="nil"/>
              <w:right w:val="nil"/>
            </w:tcBorders>
            <w:shd w:val="clear" w:color="auto" w:fill="auto"/>
            <w:noWrap/>
            <w:vAlign w:val="bottom"/>
            <w:hideMark/>
          </w:tcPr>
          <w:p w14:paraId="6BB7FC7E" w14:textId="77777777" w:rsidR="00204905" w:rsidRPr="00BE11D7" w:rsidRDefault="00204905" w:rsidP="00954C07"/>
        </w:tc>
        <w:tc>
          <w:tcPr>
            <w:tcW w:w="1620" w:type="dxa"/>
            <w:tcBorders>
              <w:top w:val="nil"/>
              <w:left w:val="nil"/>
              <w:bottom w:val="nil"/>
              <w:right w:val="nil"/>
            </w:tcBorders>
            <w:shd w:val="clear" w:color="auto" w:fill="auto"/>
            <w:noWrap/>
            <w:vAlign w:val="bottom"/>
            <w:hideMark/>
          </w:tcPr>
          <w:p w14:paraId="0C5E6F07" w14:textId="77777777" w:rsidR="00204905" w:rsidRPr="00BE11D7" w:rsidRDefault="00204905" w:rsidP="00954C07"/>
        </w:tc>
        <w:tc>
          <w:tcPr>
            <w:tcW w:w="1440" w:type="dxa"/>
            <w:tcBorders>
              <w:top w:val="nil"/>
              <w:left w:val="nil"/>
              <w:bottom w:val="nil"/>
              <w:right w:val="nil"/>
            </w:tcBorders>
            <w:shd w:val="clear" w:color="auto" w:fill="auto"/>
            <w:noWrap/>
            <w:vAlign w:val="bottom"/>
            <w:hideMark/>
          </w:tcPr>
          <w:p w14:paraId="1DD61FC2" w14:textId="77777777" w:rsidR="00204905" w:rsidRPr="00BE11D7" w:rsidRDefault="00204905" w:rsidP="00954C07"/>
        </w:tc>
        <w:tc>
          <w:tcPr>
            <w:tcW w:w="1800" w:type="dxa"/>
            <w:tcBorders>
              <w:top w:val="nil"/>
              <w:left w:val="nil"/>
              <w:bottom w:val="nil"/>
              <w:right w:val="nil"/>
            </w:tcBorders>
            <w:shd w:val="clear" w:color="auto" w:fill="auto"/>
            <w:noWrap/>
            <w:vAlign w:val="bottom"/>
            <w:hideMark/>
          </w:tcPr>
          <w:p w14:paraId="3A8D2281" w14:textId="77777777" w:rsidR="00204905" w:rsidRPr="00BE11D7" w:rsidRDefault="00204905" w:rsidP="00954C07"/>
        </w:tc>
        <w:tc>
          <w:tcPr>
            <w:tcW w:w="1321" w:type="dxa"/>
            <w:tcBorders>
              <w:top w:val="nil"/>
              <w:left w:val="nil"/>
              <w:bottom w:val="nil"/>
              <w:right w:val="nil"/>
            </w:tcBorders>
            <w:shd w:val="clear" w:color="auto" w:fill="auto"/>
            <w:noWrap/>
            <w:vAlign w:val="bottom"/>
            <w:hideMark/>
          </w:tcPr>
          <w:p w14:paraId="53717E36" w14:textId="77777777" w:rsidR="00204905" w:rsidRPr="00BE11D7" w:rsidRDefault="00204905" w:rsidP="00954C07"/>
        </w:tc>
      </w:tr>
      <w:tr w:rsidR="00204905" w:rsidRPr="00BE11D7" w14:paraId="36DC4223" w14:textId="77777777" w:rsidTr="00954C07">
        <w:trPr>
          <w:trHeight w:val="300"/>
        </w:trPr>
        <w:tc>
          <w:tcPr>
            <w:tcW w:w="2140" w:type="dxa"/>
            <w:tcBorders>
              <w:top w:val="nil"/>
              <w:left w:val="nil"/>
              <w:bottom w:val="nil"/>
              <w:right w:val="nil"/>
            </w:tcBorders>
            <w:shd w:val="clear" w:color="auto" w:fill="auto"/>
            <w:noWrap/>
            <w:vAlign w:val="bottom"/>
            <w:hideMark/>
          </w:tcPr>
          <w:p w14:paraId="5FAFDD82" w14:textId="77777777" w:rsidR="00204905" w:rsidRPr="00BE11D7" w:rsidRDefault="00204905" w:rsidP="00954C07">
            <w:pPr>
              <w:rPr>
                <w:color w:val="000000"/>
              </w:rPr>
            </w:pPr>
            <w:r w:rsidRPr="00BE11D7">
              <w:rPr>
                <w:color w:val="000000"/>
              </w:rPr>
              <w:t>RTCO Allocation</w:t>
            </w:r>
          </w:p>
        </w:tc>
        <w:tc>
          <w:tcPr>
            <w:tcW w:w="830" w:type="dxa"/>
            <w:tcBorders>
              <w:top w:val="nil"/>
              <w:left w:val="nil"/>
              <w:bottom w:val="nil"/>
              <w:right w:val="nil"/>
            </w:tcBorders>
            <w:shd w:val="clear" w:color="auto" w:fill="auto"/>
            <w:noWrap/>
            <w:vAlign w:val="bottom"/>
            <w:hideMark/>
          </w:tcPr>
          <w:p w14:paraId="78D1AABA" w14:textId="77777777" w:rsidR="00204905" w:rsidRPr="00BE11D7" w:rsidRDefault="00204905" w:rsidP="00954C07">
            <w:pPr>
              <w:rPr>
                <w:color w:val="000000"/>
              </w:rPr>
            </w:pPr>
            <w:r w:rsidRPr="00BE11D7">
              <w:rPr>
                <w:color w:val="000000"/>
              </w:rPr>
              <w:t>QTY</w:t>
            </w:r>
          </w:p>
        </w:tc>
        <w:tc>
          <w:tcPr>
            <w:tcW w:w="1620" w:type="dxa"/>
            <w:tcBorders>
              <w:top w:val="nil"/>
              <w:left w:val="nil"/>
              <w:bottom w:val="nil"/>
              <w:right w:val="nil"/>
            </w:tcBorders>
            <w:shd w:val="clear" w:color="auto" w:fill="auto"/>
            <w:noWrap/>
            <w:vAlign w:val="bottom"/>
            <w:hideMark/>
          </w:tcPr>
          <w:p w14:paraId="1E8F8DFE" w14:textId="77777777" w:rsidR="00204905" w:rsidRPr="00BE11D7" w:rsidRDefault="00204905" w:rsidP="00954C07">
            <w:pPr>
              <w:rPr>
                <w:color w:val="000000"/>
              </w:rPr>
            </w:pPr>
            <w:r w:rsidRPr="00BE11D7">
              <w:rPr>
                <w:color w:val="000000"/>
              </w:rPr>
              <w:t>MCC(EIM1)**</w:t>
            </w:r>
          </w:p>
        </w:tc>
        <w:tc>
          <w:tcPr>
            <w:tcW w:w="1440" w:type="dxa"/>
            <w:tcBorders>
              <w:top w:val="nil"/>
              <w:left w:val="nil"/>
              <w:bottom w:val="nil"/>
              <w:right w:val="nil"/>
            </w:tcBorders>
            <w:shd w:val="clear" w:color="auto" w:fill="auto"/>
            <w:noWrap/>
            <w:vAlign w:val="bottom"/>
            <w:hideMark/>
          </w:tcPr>
          <w:p w14:paraId="04471CD3" w14:textId="77777777" w:rsidR="00204905" w:rsidRPr="00BE11D7" w:rsidRDefault="00204905" w:rsidP="00954C07">
            <w:pPr>
              <w:rPr>
                <w:color w:val="000000"/>
              </w:rPr>
            </w:pPr>
            <w:r w:rsidRPr="00BE11D7">
              <w:rPr>
                <w:color w:val="000000"/>
              </w:rPr>
              <w:t>Amount</w:t>
            </w:r>
          </w:p>
        </w:tc>
        <w:tc>
          <w:tcPr>
            <w:tcW w:w="1800" w:type="dxa"/>
            <w:tcBorders>
              <w:top w:val="nil"/>
              <w:left w:val="nil"/>
              <w:bottom w:val="nil"/>
              <w:right w:val="nil"/>
            </w:tcBorders>
            <w:shd w:val="clear" w:color="auto" w:fill="auto"/>
            <w:noWrap/>
            <w:vAlign w:val="bottom"/>
            <w:hideMark/>
          </w:tcPr>
          <w:p w14:paraId="37296C12" w14:textId="77777777" w:rsidR="00204905" w:rsidRPr="00BE11D7" w:rsidRDefault="00204905" w:rsidP="00954C07">
            <w:pPr>
              <w:rPr>
                <w:color w:val="000000"/>
              </w:rPr>
            </w:pPr>
            <w:r w:rsidRPr="00BE11D7">
              <w:rPr>
                <w:color w:val="000000"/>
              </w:rPr>
              <w:t>MCC(CISO)**</w:t>
            </w:r>
          </w:p>
        </w:tc>
        <w:tc>
          <w:tcPr>
            <w:tcW w:w="1321" w:type="dxa"/>
            <w:tcBorders>
              <w:top w:val="nil"/>
              <w:left w:val="nil"/>
              <w:bottom w:val="nil"/>
              <w:right w:val="nil"/>
            </w:tcBorders>
            <w:shd w:val="clear" w:color="auto" w:fill="auto"/>
            <w:noWrap/>
            <w:vAlign w:val="bottom"/>
            <w:hideMark/>
          </w:tcPr>
          <w:p w14:paraId="4B23C8D4" w14:textId="77777777" w:rsidR="00204905" w:rsidRPr="00BE11D7" w:rsidRDefault="00204905" w:rsidP="00954C07">
            <w:pPr>
              <w:rPr>
                <w:color w:val="000000"/>
              </w:rPr>
            </w:pPr>
            <w:r w:rsidRPr="00BE11D7">
              <w:rPr>
                <w:color w:val="000000"/>
              </w:rPr>
              <w:t>Amount</w:t>
            </w:r>
          </w:p>
        </w:tc>
      </w:tr>
      <w:tr w:rsidR="00204905" w:rsidRPr="00BE11D7" w14:paraId="5B840437" w14:textId="77777777" w:rsidTr="00954C07">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1F961" w14:textId="77777777" w:rsidR="00204905" w:rsidRPr="00BE11D7" w:rsidRDefault="00204905" w:rsidP="00954C07">
            <w:pPr>
              <w:rPr>
                <w:color w:val="000000"/>
              </w:rPr>
            </w:pPr>
            <w:r w:rsidRPr="00BE11D7">
              <w:rPr>
                <w:color w:val="000000"/>
              </w:rPr>
              <w:t>EIM1Gen</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0A28CEB7" w14:textId="77777777" w:rsidR="00204905" w:rsidRPr="00BE11D7" w:rsidRDefault="00204905" w:rsidP="00954C07">
            <w:pPr>
              <w:jc w:val="right"/>
              <w:rPr>
                <w:color w:val="000000"/>
              </w:rPr>
            </w:pPr>
            <w:r w:rsidRPr="00BE11D7">
              <w:rPr>
                <w:color w:val="000000"/>
              </w:rPr>
              <w:t>150</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A8EF91A" w14:textId="77777777" w:rsidR="00204905" w:rsidRPr="00BE11D7" w:rsidRDefault="00204905" w:rsidP="00954C07">
            <w:pPr>
              <w:rPr>
                <w:color w:val="000000"/>
              </w:rPr>
            </w:pPr>
            <w:r w:rsidRPr="00BE11D7">
              <w:rPr>
                <w:color w:val="000000"/>
              </w:rPr>
              <w:t xml:space="preserve"> $         (0.005)</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9F7443F" w14:textId="77777777" w:rsidR="00204905" w:rsidRPr="00BE11D7" w:rsidRDefault="00204905" w:rsidP="00954C07">
            <w:pPr>
              <w:rPr>
                <w:color w:val="000000"/>
              </w:rPr>
            </w:pPr>
            <w:r w:rsidRPr="00BE11D7">
              <w:rPr>
                <w:color w:val="000000"/>
              </w:rPr>
              <w:t xml:space="preserve"> $ (0.75)</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E01EAA5" w14:textId="77777777" w:rsidR="00204905" w:rsidRPr="00BE11D7" w:rsidRDefault="00204905" w:rsidP="00954C07">
            <w:pPr>
              <w:rPr>
                <w:color w:val="000000"/>
              </w:rPr>
            </w:pPr>
            <w:r w:rsidRPr="00BE11D7">
              <w:rPr>
                <w:color w:val="000000"/>
              </w:rPr>
              <w:t>$         (15.005)</w:t>
            </w:r>
          </w:p>
        </w:tc>
        <w:tc>
          <w:tcPr>
            <w:tcW w:w="1321" w:type="dxa"/>
            <w:tcBorders>
              <w:top w:val="single" w:sz="4" w:space="0" w:color="auto"/>
              <w:left w:val="nil"/>
              <w:bottom w:val="single" w:sz="4" w:space="0" w:color="auto"/>
              <w:right w:val="single" w:sz="4" w:space="0" w:color="auto"/>
            </w:tcBorders>
            <w:shd w:val="clear" w:color="auto" w:fill="auto"/>
            <w:noWrap/>
            <w:vAlign w:val="bottom"/>
            <w:hideMark/>
          </w:tcPr>
          <w:p w14:paraId="0A9399E8" w14:textId="77777777" w:rsidR="00204905" w:rsidRPr="00BE11D7" w:rsidRDefault="00204905" w:rsidP="00954C07">
            <w:pPr>
              <w:rPr>
                <w:color w:val="000000"/>
              </w:rPr>
            </w:pPr>
            <w:r w:rsidRPr="00BE11D7">
              <w:rPr>
                <w:color w:val="000000"/>
              </w:rPr>
              <w:t>$(2,251.50)</w:t>
            </w:r>
          </w:p>
        </w:tc>
      </w:tr>
      <w:tr w:rsidR="00204905" w:rsidRPr="00BE11D7" w14:paraId="04E7C13E"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2A28EE4" w14:textId="77777777" w:rsidR="00204905" w:rsidRPr="00BE11D7" w:rsidRDefault="00204905" w:rsidP="00954C07">
            <w:pPr>
              <w:rPr>
                <w:color w:val="000000"/>
              </w:rPr>
            </w:pPr>
            <w:r w:rsidRPr="00BE11D7">
              <w:rPr>
                <w:color w:val="000000"/>
              </w:rPr>
              <w:t>CISOGen</w:t>
            </w:r>
          </w:p>
        </w:tc>
        <w:tc>
          <w:tcPr>
            <w:tcW w:w="830" w:type="dxa"/>
            <w:tcBorders>
              <w:top w:val="nil"/>
              <w:left w:val="nil"/>
              <w:bottom w:val="single" w:sz="4" w:space="0" w:color="auto"/>
              <w:right w:val="single" w:sz="4" w:space="0" w:color="auto"/>
            </w:tcBorders>
            <w:shd w:val="clear" w:color="auto" w:fill="auto"/>
            <w:noWrap/>
            <w:vAlign w:val="bottom"/>
            <w:hideMark/>
          </w:tcPr>
          <w:p w14:paraId="6150A3A8" w14:textId="77777777" w:rsidR="00204905" w:rsidRPr="00BE11D7" w:rsidRDefault="00204905" w:rsidP="00954C07">
            <w:pPr>
              <w:jc w:val="right"/>
              <w:rPr>
                <w:color w:val="000000"/>
              </w:rPr>
            </w:pPr>
            <w:r w:rsidRPr="00BE11D7">
              <w:rPr>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6DA35459" w14:textId="77777777" w:rsidR="00204905" w:rsidRPr="00BE11D7" w:rsidRDefault="00204905" w:rsidP="00954C07">
            <w:pPr>
              <w:rPr>
                <w:color w:val="000000"/>
              </w:rPr>
            </w:pPr>
            <w:r w:rsidRPr="00BE11D7">
              <w:rPr>
                <w:color w:val="000000"/>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DE7BEE3" w14:textId="77777777" w:rsidR="00204905" w:rsidRPr="00BE11D7" w:rsidRDefault="00204905" w:rsidP="00954C07">
            <w:pPr>
              <w:rPr>
                <w:color w:val="000000"/>
              </w:rPr>
            </w:pPr>
            <w:r w:rsidRPr="00BE11D7">
              <w:rPr>
                <w:color w:val="000000"/>
              </w:rPr>
              <w:t xml:space="preserve"> $           -   </w:t>
            </w:r>
          </w:p>
        </w:tc>
        <w:tc>
          <w:tcPr>
            <w:tcW w:w="1800" w:type="dxa"/>
            <w:tcBorders>
              <w:top w:val="nil"/>
              <w:left w:val="nil"/>
              <w:bottom w:val="single" w:sz="4" w:space="0" w:color="auto"/>
              <w:right w:val="single" w:sz="4" w:space="0" w:color="auto"/>
            </w:tcBorders>
            <w:shd w:val="clear" w:color="auto" w:fill="auto"/>
            <w:noWrap/>
            <w:vAlign w:val="bottom"/>
            <w:hideMark/>
          </w:tcPr>
          <w:p w14:paraId="2E92DB50" w14:textId="77777777" w:rsidR="00204905" w:rsidRPr="00BE11D7" w:rsidRDefault="00204905" w:rsidP="00954C07">
            <w:pPr>
              <w:rPr>
                <w:color w:val="000000"/>
              </w:rPr>
            </w:pPr>
            <w:r w:rsidRPr="00BE11D7">
              <w:rPr>
                <w:color w:val="000000"/>
              </w:rPr>
              <w:t xml:space="preserve"> $                     -   </w:t>
            </w:r>
          </w:p>
        </w:tc>
        <w:tc>
          <w:tcPr>
            <w:tcW w:w="1321" w:type="dxa"/>
            <w:tcBorders>
              <w:top w:val="nil"/>
              <w:left w:val="nil"/>
              <w:bottom w:val="single" w:sz="4" w:space="0" w:color="auto"/>
              <w:right w:val="single" w:sz="4" w:space="0" w:color="auto"/>
            </w:tcBorders>
            <w:shd w:val="clear" w:color="auto" w:fill="auto"/>
            <w:noWrap/>
            <w:vAlign w:val="bottom"/>
            <w:hideMark/>
          </w:tcPr>
          <w:p w14:paraId="52F46587" w14:textId="77777777" w:rsidR="00204905" w:rsidRPr="00BE11D7" w:rsidRDefault="00204905" w:rsidP="00954C07">
            <w:pPr>
              <w:rPr>
                <w:color w:val="000000"/>
              </w:rPr>
            </w:pPr>
            <w:r w:rsidRPr="00BE11D7">
              <w:rPr>
                <w:color w:val="000000"/>
              </w:rPr>
              <w:t xml:space="preserve"> $           -   </w:t>
            </w:r>
          </w:p>
        </w:tc>
      </w:tr>
      <w:tr w:rsidR="00204905" w:rsidRPr="00BE11D7" w14:paraId="3C3845CA"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9ED08CB" w14:textId="77777777" w:rsidR="00204905" w:rsidRPr="00BE11D7" w:rsidRDefault="00204905" w:rsidP="00954C07">
            <w:pPr>
              <w:rPr>
                <w:color w:val="000000"/>
              </w:rPr>
            </w:pPr>
            <w:r w:rsidRPr="00BE11D7">
              <w:rPr>
                <w:color w:val="000000"/>
              </w:rPr>
              <w:t>EIM1Load</w:t>
            </w:r>
          </w:p>
        </w:tc>
        <w:tc>
          <w:tcPr>
            <w:tcW w:w="830" w:type="dxa"/>
            <w:tcBorders>
              <w:top w:val="nil"/>
              <w:left w:val="nil"/>
              <w:bottom w:val="single" w:sz="4" w:space="0" w:color="auto"/>
              <w:right w:val="single" w:sz="4" w:space="0" w:color="auto"/>
            </w:tcBorders>
            <w:shd w:val="clear" w:color="auto" w:fill="auto"/>
            <w:noWrap/>
            <w:vAlign w:val="bottom"/>
            <w:hideMark/>
          </w:tcPr>
          <w:p w14:paraId="2577201A" w14:textId="77777777" w:rsidR="00204905" w:rsidRPr="00BE11D7" w:rsidRDefault="00204905" w:rsidP="00954C07">
            <w:pPr>
              <w:jc w:val="right"/>
              <w:rPr>
                <w:color w:val="000000"/>
              </w:rPr>
            </w:pPr>
            <w:r w:rsidRPr="00BE11D7">
              <w:rPr>
                <w:color w:val="000000"/>
              </w:rPr>
              <w:t>-50</w:t>
            </w:r>
          </w:p>
        </w:tc>
        <w:tc>
          <w:tcPr>
            <w:tcW w:w="1620" w:type="dxa"/>
            <w:tcBorders>
              <w:top w:val="nil"/>
              <w:left w:val="nil"/>
              <w:bottom w:val="single" w:sz="4" w:space="0" w:color="auto"/>
              <w:right w:val="single" w:sz="4" w:space="0" w:color="auto"/>
            </w:tcBorders>
            <w:shd w:val="clear" w:color="auto" w:fill="auto"/>
            <w:noWrap/>
            <w:vAlign w:val="bottom"/>
            <w:hideMark/>
          </w:tcPr>
          <w:p w14:paraId="66173C71" w14:textId="77777777" w:rsidR="00204905" w:rsidRPr="00BE11D7" w:rsidRDefault="00204905" w:rsidP="00954C07">
            <w:pPr>
              <w:rPr>
                <w:color w:val="000000"/>
              </w:rPr>
            </w:pPr>
            <w:r w:rsidRPr="00BE11D7">
              <w:rPr>
                <w:color w:val="000000"/>
              </w:rPr>
              <w:t>$         (0.005)</w:t>
            </w:r>
          </w:p>
        </w:tc>
        <w:tc>
          <w:tcPr>
            <w:tcW w:w="1440" w:type="dxa"/>
            <w:tcBorders>
              <w:top w:val="nil"/>
              <w:left w:val="nil"/>
              <w:bottom w:val="single" w:sz="4" w:space="0" w:color="auto"/>
              <w:right w:val="single" w:sz="4" w:space="0" w:color="auto"/>
            </w:tcBorders>
            <w:shd w:val="clear" w:color="auto" w:fill="auto"/>
            <w:noWrap/>
            <w:vAlign w:val="bottom"/>
            <w:hideMark/>
          </w:tcPr>
          <w:p w14:paraId="2476A154" w14:textId="77777777" w:rsidR="00204905" w:rsidRPr="00BE11D7" w:rsidRDefault="00204905" w:rsidP="00954C07">
            <w:pPr>
              <w:rPr>
                <w:color w:val="000000"/>
              </w:rPr>
            </w:pPr>
            <w:r w:rsidRPr="00BE11D7">
              <w:rPr>
                <w:color w:val="000000"/>
              </w:rPr>
              <w:t xml:space="preserve"> $    0.25 </w:t>
            </w:r>
          </w:p>
        </w:tc>
        <w:tc>
          <w:tcPr>
            <w:tcW w:w="1800" w:type="dxa"/>
            <w:tcBorders>
              <w:top w:val="nil"/>
              <w:left w:val="nil"/>
              <w:bottom w:val="single" w:sz="4" w:space="0" w:color="auto"/>
              <w:right w:val="single" w:sz="4" w:space="0" w:color="auto"/>
            </w:tcBorders>
            <w:shd w:val="clear" w:color="auto" w:fill="auto"/>
            <w:noWrap/>
            <w:vAlign w:val="bottom"/>
            <w:hideMark/>
          </w:tcPr>
          <w:p w14:paraId="7617EB07" w14:textId="77777777" w:rsidR="00204905" w:rsidRPr="00BE11D7" w:rsidRDefault="00204905" w:rsidP="00954C07">
            <w:pPr>
              <w:rPr>
                <w:color w:val="000000"/>
              </w:rPr>
            </w:pPr>
            <w:r w:rsidRPr="00BE11D7">
              <w:rPr>
                <w:color w:val="000000"/>
              </w:rPr>
              <w:t>$         (15.005)</w:t>
            </w:r>
          </w:p>
        </w:tc>
        <w:tc>
          <w:tcPr>
            <w:tcW w:w="1321" w:type="dxa"/>
            <w:tcBorders>
              <w:top w:val="nil"/>
              <w:left w:val="nil"/>
              <w:bottom w:val="single" w:sz="4" w:space="0" w:color="auto"/>
              <w:right w:val="single" w:sz="4" w:space="0" w:color="auto"/>
            </w:tcBorders>
            <w:shd w:val="clear" w:color="auto" w:fill="auto"/>
            <w:noWrap/>
            <w:vAlign w:val="bottom"/>
            <w:hideMark/>
          </w:tcPr>
          <w:p w14:paraId="0EA071BE" w14:textId="77777777" w:rsidR="00204905" w:rsidRPr="00BE11D7" w:rsidRDefault="00204905" w:rsidP="00954C07">
            <w:pPr>
              <w:rPr>
                <w:color w:val="000000"/>
              </w:rPr>
            </w:pPr>
            <w:r w:rsidRPr="00BE11D7">
              <w:rPr>
                <w:color w:val="000000"/>
              </w:rPr>
              <w:t>$    750.25</w:t>
            </w:r>
          </w:p>
        </w:tc>
      </w:tr>
      <w:tr w:rsidR="00204905" w:rsidRPr="00BE11D7" w14:paraId="689C962F" w14:textId="77777777" w:rsidTr="00954C07">
        <w:trPr>
          <w:trHeight w:val="300"/>
        </w:trPr>
        <w:tc>
          <w:tcPr>
            <w:tcW w:w="2140" w:type="dxa"/>
            <w:tcBorders>
              <w:top w:val="nil"/>
              <w:left w:val="single" w:sz="4" w:space="0" w:color="auto"/>
              <w:bottom w:val="nil"/>
              <w:right w:val="single" w:sz="4" w:space="0" w:color="auto"/>
            </w:tcBorders>
            <w:shd w:val="clear" w:color="auto" w:fill="auto"/>
            <w:noWrap/>
            <w:vAlign w:val="bottom"/>
            <w:hideMark/>
          </w:tcPr>
          <w:p w14:paraId="55DA1FF6" w14:textId="77777777" w:rsidR="00204905" w:rsidRPr="00BE11D7" w:rsidRDefault="00204905" w:rsidP="00954C07">
            <w:pPr>
              <w:rPr>
                <w:color w:val="000000"/>
              </w:rPr>
            </w:pPr>
            <w:r w:rsidRPr="00BE11D7">
              <w:rPr>
                <w:color w:val="000000"/>
              </w:rPr>
              <w:t>CISOLoad</w:t>
            </w:r>
          </w:p>
        </w:tc>
        <w:tc>
          <w:tcPr>
            <w:tcW w:w="830" w:type="dxa"/>
            <w:tcBorders>
              <w:top w:val="nil"/>
              <w:left w:val="nil"/>
              <w:bottom w:val="nil"/>
              <w:right w:val="single" w:sz="4" w:space="0" w:color="auto"/>
            </w:tcBorders>
            <w:shd w:val="clear" w:color="auto" w:fill="auto"/>
            <w:noWrap/>
            <w:vAlign w:val="bottom"/>
            <w:hideMark/>
          </w:tcPr>
          <w:p w14:paraId="2C090872" w14:textId="77777777" w:rsidR="00204905" w:rsidRPr="00BE11D7" w:rsidRDefault="00204905" w:rsidP="00954C07">
            <w:pPr>
              <w:jc w:val="right"/>
              <w:rPr>
                <w:color w:val="000000"/>
              </w:rPr>
            </w:pPr>
            <w:r w:rsidRPr="00BE11D7">
              <w:rPr>
                <w:color w:val="000000"/>
              </w:rPr>
              <w:t>-200</w:t>
            </w:r>
          </w:p>
        </w:tc>
        <w:tc>
          <w:tcPr>
            <w:tcW w:w="1620" w:type="dxa"/>
            <w:tcBorders>
              <w:top w:val="nil"/>
              <w:left w:val="nil"/>
              <w:bottom w:val="nil"/>
              <w:right w:val="single" w:sz="4" w:space="0" w:color="auto"/>
            </w:tcBorders>
            <w:shd w:val="clear" w:color="auto" w:fill="auto"/>
            <w:noWrap/>
            <w:vAlign w:val="bottom"/>
            <w:hideMark/>
          </w:tcPr>
          <w:p w14:paraId="7195BC5A" w14:textId="77777777" w:rsidR="00204905" w:rsidRPr="00BE11D7" w:rsidRDefault="00204905" w:rsidP="00954C07">
            <w:pPr>
              <w:rPr>
                <w:color w:val="000000"/>
              </w:rPr>
            </w:pPr>
            <w:r w:rsidRPr="00BE11D7">
              <w:rPr>
                <w:color w:val="000000"/>
              </w:rPr>
              <w:t xml:space="preserve"> $                -   </w:t>
            </w:r>
          </w:p>
        </w:tc>
        <w:tc>
          <w:tcPr>
            <w:tcW w:w="1440" w:type="dxa"/>
            <w:tcBorders>
              <w:top w:val="nil"/>
              <w:left w:val="nil"/>
              <w:bottom w:val="nil"/>
              <w:right w:val="single" w:sz="4" w:space="0" w:color="auto"/>
            </w:tcBorders>
            <w:shd w:val="clear" w:color="auto" w:fill="auto"/>
            <w:noWrap/>
            <w:vAlign w:val="bottom"/>
            <w:hideMark/>
          </w:tcPr>
          <w:p w14:paraId="1867B8B7" w14:textId="77777777" w:rsidR="00204905" w:rsidRPr="00BE11D7" w:rsidRDefault="00204905" w:rsidP="00954C07">
            <w:pPr>
              <w:rPr>
                <w:color w:val="000000"/>
              </w:rPr>
            </w:pPr>
            <w:r w:rsidRPr="00BE11D7">
              <w:rPr>
                <w:color w:val="000000"/>
              </w:rPr>
              <w:t xml:space="preserve"> $           -   </w:t>
            </w:r>
          </w:p>
        </w:tc>
        <w:tc>
          <w:tcPr>
            <w:tcW w:w="1800" w:type="dxa"/>
            <w:tcBorders>
              <w:top w:val="nil"/>
              <w:left w:val="nil"/>
              <w:bottom w:val="nil"/>
              <w:right w:val="single" w:sz="4" w:space="0" w:color="auto"/>
            </w:tcBorders>
            <w:shd w:val="clear" w:color="auto" w:fill="auto"/>
            <w:noWrap/>
            <w:vAlign w:val="bottom"/>
            <w:hideMark/>
          </w:tcPr>
          <w:p w14:paraId="5E260D3C" w14:textId="77777777" w:rsidR="00204905" w:rsidRPr="00BE11D7" w:rsidRDefault="00204905" w:rsidP="00954C07">
            <w:pPr>
              <w:rPr>
                <w:color w:val="000000"/>
              </w:rPr>
            </w:pPr>
            <w:r w:rsidRPr="00BE11D7">
              <w:rPr>
                <w:color w:val="000000"/>
              </w:rPr>
              <w:t xml:space="preserve"> $                     -   </w:t>
            </w:r>
          </w:p>
        </w:tc>
        <w:tc>
          <w:tcPr>
            <w:tcW w:w="1321" w:type="dxa"/>
            <w:tcBorders>
              <w:top w:val="nil"/>
              <w:left w:val="nil"/>
              <w:bottom w:val="nil"/>
              <w:right w:val="single" w:sz="4" w:space="0" w:color="auto"/>
            </w:tcBorders>
            <w:shd w:val="clear" w:color="auto" w:fill="auto"/>
            <w:noWrap/>
            <w:vAlign w:val="bottom"/>
            <w:hideMark/>
          </w:tcPr>
          <w:p w14:paraId="74D69EF2" w14:textId="77777777" w:rsidR="00204905" w:rsidRPr="00BE11D7" w:rsidRDefault="00204905" w:rsidP="00954C07">
            <w:pPr>
              <w:rPr>
                <w:color w:val="000000"/>
              </w:rPr>
            </w:pPr>
            <w:r w:rsidRPr="00BE11D7">
              <w:rPr>
                <w:color w:val="000000"/>
              </w:rPr>
              <w:t xml:space="preserve"> $           -   </w:t>
            </w:r>
          </w:p>
        </w:tc>
      </w:tr>
      <w:tr w:rsidR="00204905" w:rsidRPr="00BE11D7" w14:paraId="2114767A" w14:textId="77777777" w:rsidTr="00954C07">
        <w:trPr>
          <w:trHeight w:val="300"/>
        </w:trPr>
        <w:tc>
          <w:tcPr>
            <w:tcW w:w="2140" w:type="dxa"/>
            <w:tcBorders>
              <w:top w:val="single" w:sz="4" w:space="0" w:color="auto"/>
              <w:left w:val="single" w:sz="4" w:space="0" w:color="auto"/>
              <w:bottom w:val="nil"/>
              <w:right w:val="single" w:sz="4" w:space="0" w:color="auto"/>
            </w:tcBorders>
            <w:shd w:val="clear" w:color="auto" w:fill="auto"/>
            <w:noWrap/>
            <w:vAlign w:val="bottom"/>
            <w:hideMark/>
          </w:tcPr>
          <w:p w14:paraId="5A3A750B" w14:textId="77777777" w:rsidR="00204905" w:rsidRPr="00BE11D7" w:rsidRDefault="00204905" w:rsidP="00954C07">
            <w:pPr>
              <w:rPr>
                <w:color w:val="000000"/>
              </w:rPr>
            </w:pPr>
            <w:r w:rsidRPr="00BE11D7">
              <w:rPr>
                <w:color w:val="000000"/>
              </w:rPr>
              <w:t>CC 67740</w:t>
            </w:r>
          </w:p>
        </w:tc>
        <w:tc>
          <w:tcPr>
            <w:tcW w:w="830" w:type="dxa"/>
            <w:tcBorders>
              <w:top w:val="single" w:sz="4" w:space="0" w:color="auto"/>
              <w:left w:val="nil"/>
              <w:bottom w:val="nil"/>
              <w:right w:val="single" w:sz="4" w:space="0" w:color="auto"/>
            </w:tcBorders>
            <w:shd w:val="clear" w:color="auto" w:fill="auto"/>
            <w:noWrap/>
            <w:vAlign w:val="bottom"/>
            <w:hideMark/>
          </w:tcPr>
          <w:p w14:paraId="0FA91D63" w14:textId="77777777" w:rsidR="00204905" w:rsidRPr="00BE11D7" w:rsidRDefault="00204905" w:rsidP="00954C07">
            <w:pPr>
              <w:rPr>
                <w:color w:val="000000"/>
              </w:rPr>
            </w:pPr>
            <w:r w:rsidRPr="00BE11D7">
              <w:rPr>
                <w:color w:val="000000"/>
              </w:rPr>
              <w:t> </w:t>
            </w:r>
          </w:p>
        </w:tc>
        <w:tc>
          <w:tcPr>
            <w:tcW w:w="1620" w:type="dxa"/>
            <w:tcBorders>
              <w:top w:val="single" w:sz="4" w:space="0" w:color="auto"/>
              <w:left w:val="nil"/>
              <w:bottom w:val="nil"/>
              <w:right w:val="single" w:sz="4" w:space="0" w:color="auto"/>
            </w:tcBorders>
            <w:shd w:val="clear" w:color="auto" w:fill="auto"/>
            <w:noWrap/>
            <w:vAlign w:val="bottom"/>
            <w:hideMark/>
          </w:tcPr>
          <w:p w14:paraId="65D91224" w14:textId="77777777" w:rsidR="00204905" w:rsidRPr="00BE11D7" w:rsidRDefault="00204905" w:rsidP="00954C07">
            <w:pPr>
              <w:rPr>
                <w:color w:val="000000"/>
              </w:rPr>
            </w:pPr>
            <w:r w:rsidRPr="00BE11D7">
              <w:rPr>
                <w:color w:val="000000"/>
              </w:rPr>
              <w:t> </w:t>
            </w:r>
          </w:p>
        </w:tc>
        <w:tc>
          <w:tcPr>
            <w:tcW w:w="1440" w:type="dxa"/>
            <w:tcBorders>
              <w:top w:val="single" w:sz="4" w:space="0" w:color="auto"/>
              <w:left w:val="nil"/>
              <w:bottom w:val="nil"/>
              <w:right w:val="single" w:sz="4" w:space="0" w:color="auto"/>
            </w:tcBorders>
            <w:shd w:val="clear" w:color="auto" w:fill="auto"/>
            <w:noWrap/>
            <w:vAlign w:val="bottom"/>
            <w:hideMark/>
          </w:tcPr>
          <w:p w14:paraId="5399CB3D" w14:textId="77777777" w:rsidR="00204905" w:rsidRPr="00BE11D7" w:rsidRDefault="00204905" w:rsidP="00954C07">
            <w:pPr>
              <w:rPr>
                <w:color w:val="000000"/>
              </w:rPr>
            </w:pPr>
            <w:r w:rsidRPr="00BE11D7">
              <w:rPr>
                <w:color w:val="000000"/>
              </w:rPr>
              <w:t xml:space="preserve"> $   (0.50)</w:t>
            </w:r>
          </w:p>
        </w:tc>
        <w:tc>
          <w:tcPr>
            <w:tcW w:w="1800" w:type="dxa"/>
            <w:tcBorders>
              <w:top w:val="single" w:sz="4" w:space="0" w:color="auto"/>
              <w:left w:val="nil"/>
              <w:bottom w:val="nil"/>
              <w:right w:val="single" w:sz="4" w:space="0" w:color="auto"/>
            </w:tcBorders>
            <w:shd w:val="clear" w:color="auto" w:fill="auto"/>
            <w:noWrap/>
            <w:vAlign w:val="bottom"/>
            <w:hideMark/>
          </w:tcPr>
          <w:p w14:paraId="4E16CD09" w14:textId="77777777" w:rsidR="00204905" w:rsidRPr="00BE11D7" w:rsidRDefault="00204905" w:rsidP="00954C07">
            <w:pPr>
              <w:rPr>
                <w:color w:val="000000"/>
              </w:rPr>
            </w:pPr>
            <w:r w:rsidRPr="00BE11D7">
              <w:rPr>
                <w:color w:val="000000"/>
              </w:rPr>
              <w:t> </w:t>
            </w:r>
          </w:p>
        </w:tc>
        <w:tc>
          <w:tcPr>
            <w:tcW w:w="1321" w:type="dxa"/>
            <w:tcBorders>
              <w:top w:val="single" w:sz="4" w:space="0" w:color="auto"/>
              <w:left w:val="nil"/>
              <w:bottom w:val="nil"/>
              <w:right w:val="single" w:sz="4" w:space="0" w:color="auto"/>
            </w:tcBorders>
            <w:shd w:val="clear" w:color="auto" w:fill="auto"/>
            <w:noWrap/>
            <w:vAlign w:val="bottom"/>
            <w:hideMark/>
          </w:tcPr>
          <w:p w14:paraId="5BC49EFF" w14:textId="77777777" w:rsidR="00204905" w:rsidRPr="00BE11D7" w:rsidRDefault="00204905" w:rsidP="00954C07">
            <w:pPr>
              <w:rPr>
                <w:color w:val="000000"/>
              </w:rPr>
            </w:pPr>
            <w:r w:rsidRPr="00BE11D7">
              <w:rPr>
                <w:color w:val="000000"/>
              </w:rPr>
              <w:t> </w:t>
            </w:r>
          </w:p>
        </w:tc>
      </w:tr>
      <w:tr w:rsidR="00204905" w:rsidRPr="00BE11D7" w14:paraId="282D8B6A" w14:textId="77777777" w:rsidTr="00954C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911F7FE" w14:textId="77777777" w:rsidR="00204905" w:rsidRPr="00BE11D7" w:rsidRDefault="00204905" w:rsidP="00954C07">
            <w:pPr>
              <w:rPr>
                <w:color w:val="000000"/>
              </w:rPr>
            </w:pPr>
            <w:r w:rsidRPr="00BE11D7">
              <w:rPr>
                <w:color w:val="000000"/>
              </w:rPr>
              <w:t>CC 6774</w:t>
            </w:r>
          </w:p>
        </w:tc>
        <w:tc>
          <w:tcPr>
            <w:tcW w:w="830" w:type="dxa"/>
            <w:tcBorders>
              <w:top w:val="nil"/>
              <w:left w:val="nil"/>
              <w:bottom w:val="single" w:sz="4" w:space="0" w:color="auto"/>
              <w:right w:val="single" w:sz="4" w:space="0" w:color="auto"/>
            </w:tcBorders>
            <w:shd w:val="clear" w:color="auto" w:fill="auto"/>
            <w:noWrap/>
            <w:vAlign w:val="bottom"/>
            <w:hideMark/>
          </w:tcPr>
          <w:p w14:paraId="3163A4AA" w14:textId="77777777" w:rsidR="00204905" w:rsidRPr="00BE11D7" w:rsidRDefault="00204905" w:rsidP="00954C07">
            <w:pPr>
              <w:rPr>
                <w:color w:val="000000"/>
              </w:rPr>
            </w:pPr>
            <w:r w:rsidRPr="00BE11D7">
              <w:rPr>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56B0DBFB" w14:textId="77777777" w:rsidR="00204905" w:rsidRPr="00BE11D7" w:rsidRDefault="00204905" w:rsidP="00954C07">
            <w:pPr>
              <w:rPr>
                <w:color w:val="000000"/>
              </w:rPr>
            </w:pPr>
            <w:r w:rsidRPr="00BE11D7">
              <w:rPr>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59F41E4C" w14:textId="77777777" w:rsidR="00204905" w:rsidRPr="00BE11D7" w:rsidRDefault="00204905" w:rsidP="00954C07">
            <w:pPr>
              <w:rPr>
                <w:color w:val="000000"/>
              </w:rPr>
            </w:pPr>
            <w:r w:rsidRPr="00BE11D7">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14:paraId="053B3BF4" w14:textId="77777777" w:rsidR="00204905" w:rsidRPr="00BE11D7" w:rsidRDefault="00204905" w:rsidP="00954C07">
            <w:pPr>
              <w:rPr>
                <w:color w:val="000000"/>
              </w:rPr>
            </w:pPr>
            <w:r w:rsidRPr="00BE11D7">
              <w:rPr>
                <w:color w:val="000000"/>
              </w:rPr>
              <w:t> </w:t>
            </w:r>
          </w:p>
        </w:tc>
        <w:tc>
          <w:tcPr>
            <w:tcW w:w="1321" w:type="dxa"/>
            <w:tcBorders>
              <w:top w:val="nil"/>
              <w:left w:val="nil"/>
              <w:bottom w:val="single" w:sz="4" w:space="0" w:color="auto"/>
              <w:right w:val="single" w:sz="4" w:space="0" w:color="auto"/>
            </w:tcBorders>
            <w:shd w:val="clear" w:color="auto" w:fill="auto"/>
            <w:noWrap/>
            <w:vAlign w:val="bottom"/>
            <w:hideMark/>
          </w:tcPr>
          <w:p w14:paraId="4C77BA29" w14:textId="77777777" w:rsidR="00204905" w:rsidRPr="00BE11D7" w:rsidRDefault="00204905" w:rsidP="00954C07">
            <w:pPr>
              <w:rPr>
                <w:color w:val="000000"/>
              </w:rPr>
            </w:pPr>
            <w:r w:rsidRPr="00BE11D7">
              <w:rPr>
                <w:color w:val="000000"/>
              </w:rPr>
              <w:t>$  (1500.50)</w:t>
            </w:r>
          </w:p>
        </w:tc>
      </w:tr>
    </w:tbl>
    <w:p w14:paraId="764A3726" w14:textId="77777777" w:rsidR="004B5C2B" w:rsidRDefault="004B5C2B" w:rsidP="00204905">
      <w:pPr>
        <w:rPr>
          <w:color w:val="000000"/>
          <w:sz w:val="18"/>
        </w:rPr>
      </w:pPr>
    </w:p>
    <w:p w14:paraId="18329E40" w14:textId="77777777" w:rsidR="00204905" w:rsidRPr="00BE11D7" w:rsidRDefault="00204905" w:rsidP="00204905">
      <w:pPr>
        <w:rPr>
          <w:color w:val="000000"/>
          <w:sz w:val="18"/>
        </w:rPr>
      </w:pPr>
      <w:r w:rsidRPr="00BE11D7">
        <w:rPr>
          <w:color w:val="000000"/>
          <w:sz w:val="18"/>
        </w:rPr>
        <w:t xml:space="preserve">** Sum of the Intertie Scheduling Limit plus product of EIM Transfer Costs and the EIM Transfer Cost Ratio Share (50/50) plus the product of EIM Constraint and the EIM Transfer Constraint Ratio Share (50/50) </w:t>
      </w:r>
    </w:p>
    <w:p w14:paraId="68EDB106" w14:textId="77777777" w:rsidR="00204905" w:rsidRDefault="00204905" w:rsidP="00204905"/>
    <w:p w14:paraId="01AD20BB" w14:textId="77777777" w:rsidR="00204905" w:rsidRDefault="00204905" w:rsidP="00204905"/>
    <w:p w14:paraId="69CD4879" w14:textId="77777777" w:rsidR="00204905" w:rsidRDefault="00204905" w:rsidP="00204905"/>
    <w:p w14:paraId="0362400D" w14:textId="77777777" w:rsidR="00204905" w:rsidRDefault="00204905" w:rsidP="00204905"/>
    <w:p w14:paraId="6B3FE107" w14:textId="77777777" w:rsidR="00204905" w:rsidRDefault="00204905" w:rsidP="00204905"/>
    <w:p w14:paraId="0CA8AD20" w14:textId="77777777" w:rsidR="00204905" w:rsidRDefault="00204905" w:rsidP="00204905"/>
    <w:p w14:paraId="3E066789" w14:textId="77777777" w:rsidR="00204905" w:rsidRDefault="00204905" w:rsidP="00204905"/>
    <w:p w14:paraId="16BED47B" w14:textId="77777777" w:rsidR="00204905" w:rsidRDefault="00204905" w:rsidP="00204905"/>
    <w:p w14:paraId="31EA20C4" w14:textId="77777777" w:rsidR="00204905" w:rsidRPr="00BE11D7" w:rsidRDefault="00204905" w:rsidP="00204905"/>
    <w:tbl>
      <w:tblPr>
        <w:tblW w:w="8640" w:type="dxa"/>
        <w:tblLook w:val="04A0" w:firstRow="1" w:lastRow="0" w:firstColumn="1" w:lastColumn="0" w:noHBand="0" w:noVBand="1"/>
      </w:tblPr>
      <w:tblGrid>
        <w:gridCol w:w="2610"/>
        <w:gridCol w:w="2520"/>
        <w:gridCol w:w="1800"/>
        <w:gridCol w:w="1710"/>
      </w:tblGrid>
      <w:tr w:rsidR="00204905" w:rsidRPr="00BE11D7" w14:paraId="7188FD96" w14:textId="77777777" w:rsidTr="00954C07">
        <w:trPr>
          <w:trHeight w:val="300"/>
        </w:trPr>
        <w:tc>
          <w:tcPr>
            <w:tcW w:w="2610" w:type="dxa"/>
            <w:tcBorders>
              <w:top w:val="nil"/>
              <w:left w:val="nil"/>
              <w:bottom w:val="nil"/>
              <w:right w:val="nil"/>
            </w:tcBorders>
          </w:tcPr>
          <w:p w14:paraId="7DF7CDE0" w14:textId="77777777" w:rsidR="00204905" w:rsidRPr="00BE11D7" w:rsidRDefault="00204905" w:rsidP="00954C07">
            <w:pPr>
              <w:rPr>
                <w:color w:val="000000"/>
              </w:rPr>
            </w:pPr>
            <w:r>
              <w:rPr>
                <w:color w:val="000000"/>
              </w:rPr>
              <w:t>RTIEO Charge/Payment</w:t>
            </w:r>
          </w:p>
        </w:tc>
        <w:tc>
          <w:tcPr>
            <w:tcW w:w="2520" w:type="dxa"/>
            <w:tcBorders>
              <w:top w:val="nil"/>
              <w:left w:val="nil"/>
              <w:bottom w:val="nil"/>
              <w:right w:val="nil"/>
            </w:tcBorders>
            <w:shd w:val="clear" w:color="auto" w:fill="auto"/>
            <w:noWrap/>
            <w:vAlign w:val="bottom"/>
            <w:hideMark/>
          </w:tcPr>
          <w:p w14:paraId="26A1FFF0" w14:textId="77777777" w:rsidR="00204905" w:rsidRPr="00BE11D7" w:rsidRDefault="00204905" w:rsidP="00954C07">
            <w:pPr>
              <w:rPr>
                <w:color w:val="000000"/>
              </w:rPr>
            </w:pPr>
            <w:r w:rsidRPr="00BE11D7">
              <w:rPr>
                <w:color w:val="000000"/>
              </w:rPr>
              <w:t>Charge Code</w:t>
            </w:r>
          </w:p>
        </w:tc>
        <w:tc>
          <w:tcPr>
            <w:tcW w:w="1800" w:type="dxa"/>
            <w:tcBorders>
              <w:top w:val="nil"/>
              <w:left w:val="nil"/>
              <w:bottom w:val="nil"/>
              <w:right w:val="nil"/>
            </w:tcBorders>
            <w:shd w:val="clear" w:color="auto" w:fill="auto"/>
            <w:noWrap/>
            <w:vAlign w:val="bottom"/>
            <w:hideMark/>
          </w:tcPr>
          <w:p w14:paraId="2FE473E1" w14:textId="77777777" w:rsidR="00204905" w:rsidRPr="00BE11D7" w:rsidRDefault="00204905" w:rsidP="00954C07">
            <w:pPr>
              <w:rPr>
                <w:color w:val="000000"/>
              </w:rPr>
            </w:pPr>
            <w:r w:rsidRPr="00BE11D7">
              <w:rPr>
                <w:color w:val="000000"/>
              </w:rPr>
              <w:t>EIM1</w:t>
            </w:r>
          </w:p>
        </w:tc>
        <w:tc>
          <w:tcPr>
            <w:tcW w:w="1710" w:type="dxa"/>
            <w:tcBorders>
              <w:top w:val="nil"/>
              <w:left w:val="nil"/>
              <w:bottom w:val="nil"/>
              <w:right w:val="nil"/>
            </w:tcBorders>
            <w:shd w:val="clear" w:color="auto" w:fill="auto"/>
            <w:noWrap/>
            <w:vAlign w:val="bottom"/>
            <w:hideMark/>
          </w:tcPr>
          <w:p w14:paraId="6A3E4279" w14:textId="77777777" w:rsidR="00204905" w:rsidRPr="00BE11D7" w:rsidRDefault="00204905" w:rsidP="00954C07">
            <w:pPr>
              <w:rPr>
                <w:color w:val="000000"/>
              </w:rPr>
            </w:pPr>
            <w:r w:rsidRPr="00BE11D7">
              <w:rPr>
                <w:color w:val="000000"/>
              </w:rPr>
              <w:t>CISO</w:t>
            </w:r>
          </w:p>
        </w:tc>
      </w:tr>
      <w:tr w:rsidR="00204905" w:rsidRPr="00BE11D7" w14:paraId="5A75218A" w14:textId="77777777" w:rsidTr="00954C07">
        <w:trPr>
          <w:trHeight w:val="300"/>
        </w:trPr>
        <w:tc>
          <w:tcPr>
            <w:tcW w:w="2610" w:type="dxa"/>
            <w:vMerge w:val="restart"/>
            <w:tcBorders>
              <w:top w:val="single" w:sz="4" w:space="0" w:color="auto"/>
              <w:left w:val="single" w:sz="4" w:space="0" w:color="auto"/>
              <w:right w:val="single" w:sz="4" w:space="0" w:color="auto"/>
            </w:tcBorders>
          </w:tcPr>
          <w:p w14:paraId="2F755755" w14:textId="77777777" w:rsidR="00204905" w:rsidRPr="00BE11D7" w:rsidRDefault="00204905" w:rsidP="00954C07">
            <w:pPr>
              <w:rPr>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42AD3" w14:textId="77777777" w:rsidR="00204905" w:rsidRPr="00BE11D7" w:rsidRDefault="00204905" w:rsidP="00954C07">
            <w:pPr>
              <w:rPr>
                <w:color w:val="000000"/>
              </w:rPr>
            </w:pPr>
            <w:r w:rsidRPr="00BE11D7">
              <w:rPr>
                <w:color w:val="000000"/>
              </w:rPr>
              <w:t>CC 64700</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C0BBD6B" w14:textId="77777777" w:rsidR="00204905" w:rsidRPr="00BE11D7" w:rsidRDefault="00204905" w:rsidP="00954C07">
            <w:pPr>
              <w:rPr>
                <w:color w:val="000000"/>
              </w:rPr>
            </w:pPr>
            <w:r w:rsidRPr="00BE11D7">
              <w:rPr>
                <w:color w:val="000000"/>
              </w:rPr>
              <w:t xml:space="preserve"> $(5,248.50)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96E6067" w14:textId="77777777" w:rsidR="00204905" w:rsidRPr="00BE11D7" w:rsidRDefault="00204905" w:rsidP="00954C07">
            <w:pPr>
              <w:rPr>
                <w:color w:val="000000"/>
              </w:rPr>
            </w:pPr>
            <w:r w:rsidRPr="00BE11D7">
              <w:rPr>
                <w:color w:val="000000"/>
              </w:rPr>
              <w:t> </w:t>
            </w:r>
          </w:p>
        </w:tc>
      </w:tr>
      <w:tr w:rsidR="00204905" w:rsidRPr="00BE11D7" w14:paraId="51D6B3BE" w14:textId="77777777" w:rsidTr="00954C07">
        <w:trPr>
          <w:trHeight w:val="300"/>
        </w:trPr>
        <w:tc>
          <w:tcPr>
            <w:tcW w:w="2610" w:type="dxa"/>
            <w:vMerge/>
            <w:tcBorders>
              <w:left w:val="single" w:sz="4" w:space="0" w:color="auto"/>
              <w:right w:val="single" w:sz="4" w:space="0" w:color="auto"/>
            </w:tcBorders>
          </w:tcPr>
          <w:p w14:paraId="5A9487F8" w14:textId="77777777" w:rsidR="00204905" w:rsidRPr="00BE11D7" w:rsidRDefault="00204905" w:rsidP="00954C07">
            <w:pPr>
              <w:rPr>
                <w:color w:val="000000"/>
              </w:rPr>
            </w:pP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F3110F6" w14:textId="77777777" w:rsidR="00204905" w:rsidRPr="00BE11D7" w:rsidRDefault="00204905" w:rsidP="00954C07">
            <w:pPr>
              <w:rPr>
                <w:color w:val="000000"/>
              </w:rPr>
            </w:pPr>
            <w:r w:rsidRPr="00BE11D7">
              <w:rPr>
                <w:color w:val="000000"/>
              </w:rPr>
              <w:t>CC 6470</w:t>
            </w:r>
          </w:p>
        </w:tc>
        <w:tc>
          <w:tcPr>
            <w:tcW w:w="1800" w:type="dxa"/>
            <w:tcBorders>
              <w:top w:val="nil"/>
              <w:left w:val="nil"/>
              <w:bottom w:val="single" w:sz="4" w:space="0" w:color="auto"/>
              <w:right w:val="single" w:sz="4" w:space="0" w:color="auto"/>
            </w:tcBorders>
            <w:shd w:val="clear" w:color="auto" w:fill="auto"/>
            <w:noWrap/>
            <w:vAlign w:val="bottom"/>
            <w:hideMark/>
          </w:tcPr>
          <w:p w14:paraId="68645501" w14:textId="77777777" w:rsidR="00204905" w:rsidRPr="00BE11D7" w:rsidRDefault="00204905" w:rsidP="00954C07">
            <w:pPr>
              <w:rPr>
                <w:color w:val="000000"/>
              </w:rPr>
            </w:pPr>
            <w:r w:rsidRPr="00BE11D7">
              <w:rPr>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1DE492" w14:textId="77777777" w:rsidR="00204905" w:rsidRPr="00BE11D7" w:rsidRDefault="00204905" w:rsidP="00954C07">
            <w:pPr>
              <w:rPr>
                <w:color w:val="000000"/>
              </w:rPr>
            </w:pPr>
            <w:r w:rsidRPr="00BE11D7">
              <w:rPr>
                <w:color w:val="000000"/>
              </w:rPr>
              <w:t xml:space="preserve"> $      (5,000.00)</w:t>
            </w:r>
          </w:p>
        </w:tc>
      </w:tr>
      <w:tr w:rsidR="00204905" w:rsidRPr="00BE11D7" w14:paraId="1B05C484" w14:textId="77777777" w:rsidTr="00954C07">
        <w:trPr>
          <w:trHeight w:val="300"/>
        </w:trPr>
        <w:tc>
          <w:tcPr>
            <w:tcW w:w="2610" w:type="dxa"/>
            <w:vMerge/>
            <w:tcBorders>
              <w:left w:val="single" w:sz="4" w:space="0" w:color="auto"/>
              <w:right w:val="single" w:sz="4" w:space="0" w:color="auto"/>
            </w:tcBorders>
          </w:tcPr>
          <w:p w14:paraId="34BA5FDC" w14:textId="77777777" w:rsidR="00204905" w:rsidRPr="00BE11D7" w:rsidRDefault="00204905" w:rsidP="00954C07">
            <w:pPr>
              <w:rPr>
                <w:color w:val="000000"/>
              </w:rPr>
            </w:pP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CFC3A9C" w14:textId="77777777" w:rsidR="00204905" w:rsidRPr="00BE11D7" w:rsidRDefault="00204905" w:rsidP="00954C07">
            <w:pPr>
              <w:rPr>
                <w:color w:val="000000"/>
              </w:rPr>
            </w:pPr>
            <w:r w:rsidRPr="00BE11D7">
              <w:rPr>
                <w:color w:val="000000"/>
              </w:rPr>
              <w:t>CC 64750</w:t>
            </w:r>
          </w:p>
        </w:tc>
        <w:tc>
          <w:tcPr>
            <w:tcW w:w="1800" w:type="dxa"/>
            <w:tcBorders>
              <w:top w:val="nil"/>
              <w:left w:val="nil"/>
              <w:bottom w:val="single" w:sz="4" w:space="0" w:color="auto"/>
              <w:right w:val="single" w:sz="4" w:space="0" w:color="auto"/>
            </w:tcBorders>
            <w:shd w:val="clear" w:color="auto" w:fill="auto"/>
            <w:noWrap/>
            <w:vAlign w:val="bottom"/>
            <w:hideMark/>
          </w:tcPr>
          <w:p w14:paraId="23615BA6" w14:textId="77777777" w:rsidR="00204905" w:rsidRPr="00BE11D7" w:rsidRDefault="00204905" w:rsidP="00954C07">
            <w:pPr>
              <w:rPr>
                <w:color w:val="000000"/>
              </w:rPr>
            </w:pPr>
            <w:r w:rsidRPr="00BE11D7">
              <w:rPr>
                <w:color w:val="000000"/>
              </w:rPr>
              <w:t xml:space="preserve"> $  1,749.50 </w:t>
            </w:r>
          </w:p>
        </w:tc>
        <w:tc>
          <w:tcPr>
            <w:tcW w:w="1710" w:type="dxa"/>
            <w:tcBorders>
              <w:top w:val="nil"/>
              <w:left w:val="nil"/>
              <w:bottom w:val="single" w:sz="4" w:space="0" w:color="auto"/>
              <w:right w:val="single" w:sz="4" w:space="0" w:color="auto"/>
            </w:tcBorders>
            <w:shd w:val="clear" w:color="auto" w:fill="auto"/>
            <w:noWrap/>
            <w:vAlign w:val="bottom"/>
            <w:hideMark/>
          </w:tcPr>
          <w:p w14:paraId="6905B536" w14:textId="77777777" w:rsidR="00204905" w:rsidRPr="00BE11D7" w:rsidRDefault="00204905" w:rsidP="00954C07">
            <w:pPr>
              <w:rPr>
                <w:color w:val="000000"/>
              </w:rPr>
            </w:pPr>
            <w:r w:rsidRPr="00BE11D7">
              <w:rPr>
                <w:color w:val="000000"/>
              </w:rPr>
              <w:t> </w:t>
            </w:r>
          </w:p>
        </w:tc>
      </w:tr>
      <w:tr w:rsidR="00204905" w:rsidRPr="00BE11D7" w14:paraId="397B1F50" w14:textId="77777777" w:rsidTr="00954C07">
        <w:trPr>
          <w:trHeight w:val="300"/>
        </w:trPr>
        <w:tc>
          <w:tcPr>
            <w:tcW w:w="2610" w:type="dxa"/>
            <w:vMerge/>
            <w:tcBorders>
              <w:left w:val="single" w:sz="4" w:space="0" w:color="auto"/>
              <w:right w:val="single" w:sz="4" w:space="0" w:color="auto"/>
            </w:tcBorders>
          </w:tcPr>
          <w:p w14:paraId="4750C502" w14:textId="77777777" w:rsidR="00204905" w:rsidRPr="00BE11D7" w:rsidRDefault="00204905" w:rsidP="00954C07">
            <w:pPr>
              <w:rPr>
                <w:color w:val="000000"/>
              </w:rPr>
            </w:pPr>
          </w:p>
        </w:tc>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0A2BB64" w14:textId="77777777" w:rsidR="00204905" w:rsidRPr="00BE11D7" w:rsidRDefault="00204905" w:rsidP="00954C07">
            <w:pPr>
              <w:rPr>
                <w:color w:val="000000"/>
              </w:rPr>
            </w:pPr>
            <w:r w:rsidRPr="00BE11D7">
              <w:rPr>
                <w:color w:val="000000"/>
              </w:rPr>
              <w:t>CC 6475</w:t>
            </w:r>
          </w:p>
        </w:tc>
        <w:tc>
          <w:tcPr>
            <w:tcW w:w="1800" w:type="dxa"/>
            <w:tcBorders>
              <w:top w:val="nil"/>
              <w:left w:val="nil"/>
              <w:bottom w:val="single" w:sz="4" w:space="0" w:color="auto"/>
              <w:right w:val="single" w:sz="4" w:space="0" w:color="auto"/>
            </w:tcBorders>
            <w:shd w:val="clear" w:color="auto" w:fill="auto"/>
            <w:noWrap/>
            <w:vAlign w:val="bottom"/>
            <w:hideMark/>
          </w:tcPr>
          <w:p w14:paraId="7DFBA0C0" w14:textId="77777777" w:rsidR="00204905" w:rsidRPr="00BE11D7" w:rsidRDefault="00204905" w:rsidP="00954C07">
            <w:pPr>
              <w:rPr>
                <w:color w:val="000000"/>
              </w:rPr>
            </w:pPr>
            <w:r w:rsidRPr="00BE11D7">
              <w:rPr>
                <w:color w:val="00000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952D326" w14:textId="77777777" w:rsidR="00204905" w:rsidRPr="00BE11D7" w:rsidRDefault="00204905" w:rsidP="00954C07">
            <w:pPr>
              <w:rPr>
                <w:color w:val="000000"/>
              </w:rPr>
            </w:pPr>
            <w:r w:rsidRPr="00BE11D7">
              <w:rPr>
                <w:color w:val="000000"/>
              </w:rPr>
              <w:t xml:space="preserve"> $     10,000.00 </w:t>
            </w:r>
          </w:p>
        </w:tc>
      </w:tr>
      <w:tr w:rsidR="00204905" w:rsidRPr="00BE11D7" w14:paraId="67B195E5" w14:textId="77777777" w:rsidTr="00954C07">
        <w:trPr>
          <w:trHeight w:val="300"/>
        </w:trPr>
        <w:tc>
          <w:tcPr>
            <w:tcW w:w="2610" w:type="dxa"/>
            <w:vMerge/>
            <w:tcBorders>
              <w:left w:val="single" w:sz="4" w:space="0" w:color="auto"/>
              <w:right w:val="single" w:sz="4" w:space="0" w:color="auto"/>
            </w:tcBorders>
          </w:tcPr>
          <w:p w14:paraId="436D16FB" w14:textId="77777777" w:rsidR="00204905" w:rsidRPr="00BE11D7" w:rsidRDefault="00204905" w:rsidP="00954C07">
            <w:pPr>
              <w:rPr>
                <w:color w:val="000000"/>
              </w:rPr>
            </w:pPr>
          </w:p>
        </w:tc>
        <w:tc>
          <w:tcPr>
            <w:tcW w:w="2520" w:type="dxa"/>
            <w:tcBorders>
              <w:top w:val="nil"/>
              <w:left w:val="single" w:sz="4" w:space="0" w:color="auto"/>
              <w:bottom w:val="nil"/>
              <w:right w:val="single" w:sz="4" w:space="0" w:color="auto"/>
            </w:tcBorders>
            <w:shd w:val="clear" w:color="auto" w:fill="auto"/>
            <w:noWrap/>
            <w:vAlign w:val="bottom"/>
            <w:hideMark/>
          </w:tcPr>
          <w:p w14:paraId="4B1769A2" w14:textId="77777777" w:rsidR="00204905" w:rsidRPr="00BE11D7" w:rsidRDefault="00204905" w:rsidP="00954C07">
            <w:pPr>
              <w:rPr>
                <w:color w:val="000000"/>
              </w:rPr>
            </w:pPr>
            <w:r w:rsidRPr="00BE11D7">
              <w:rPr>
                <w:color w:val="000000"/>
              </w:rPr>
              <w:t>EIM Financial Value***</w:t>
            </w:r>
          </w:p>
        </w:tc>
        <w:tc>
          <w:tcPr>
            <w:tcW w:w="1800" w:type="dxa"/>
            <w:tcBorders>
              <w:top w:val="nil"/>
              <w:left w:val="nil"/>
              <w:bottom w:val="single" w:sz="4" w:space="0" w:color="auto"/>
              <w:right w:val="single" w:sz="4" w:space="0" w:color="auto"/>
            </w:tcBorders>
            <w:shd w:val="clear" w:color="auto" w:fill="auto"/>
            <w:noWrap/>
            <w:vAlign w:val="bottom"/>
            <w:hideMark/>
          </w:tcPr>
          <w:p w14:paraId="5C3C4C82" w14:textId="77777777" w:rsidR="00204905" w:rsidRPr="00BE11D7" w:rsidRDefault="00204905" w:rsidP="00954C07">
            <w:pPr>
              <w:rPr>
                <w:color w:val="000000"/>
              </w:rPr>
            </w:pPr>
            <w:r w:rsidRPr="00BE11D7">
              <w:rPr>
                <w:color w:val="000000"/>
              </w:rPr>
              <w:t xml:space="preserve"> $  5,000.00 </w:t>
            </w:r>
          </w:p>
        </w:tc>
        <w:tc>
          <w:tcPr>
            <w:tcW w:w="1710" w:type="dxa"/>
            <w:tcBorders>
              <w:top w:val="nil"/>
              <w:left w:val="nil"/>
              <w:bottom w:val="single" w:sz="4" w:space="0" w:color="auto"/>
              <w:right w:val="single" w:sz="4" w:space="0" w:color="auto"/>
            </w:tcBorders>
            <w:shd w:val="clear" w:color="auto" w:fill="auto"/>
            <w:noWrap/>
            <w:vAlign w:val="bottom"/>
            <w:hideMark/>
          </w:tcPr>
          <w:p w14:paraId="104FFD35" w14:textId="77777777" w:rsidR="00204905" w:rsidRPr="00BE11D7" w:rsidRDefault="00204905" w:rsidP="00954C07">
            <w:pPr>
              <w:rPr>
                <w:color w:val="000000"/>
              </w:rPr>
            </w:pPr>
            <w:r w:rsidRPr="00BE11D7">
              <w:rPr>
                <w:color w:val="000000"/>
              </w:rPr>
              <w:t xml:space="preserve"> $      (5,000.00)</w:t>
            </w:r>
          </w:p>
        </w:tc>
      </w:tr>
      <w:tr w:rsidR="00204905" w:rsidRPr="00BE11D7" w14:paraId="6475FBED" w14:textId="77777777" w:rsidTr="00954C07">
        <w:trPr>
          <w:trHeight w:val="300"/>
        </w:trPr>
        <w:tc>
          <w:tcPr>
            <w:tcW w:w="2610" w:type="dxa"/>
            <w:vMerge/>
            <w:tcBorders>
              <w:left w:val="single" w:sz="4" w:space="0" w:color="auto"/>
              <w:right w:val="single" w:sz="4" w:space="0" w:color="auto"/>
            </w:tcBorders>
          </w:tcPr>
          <w:p w14:paraId="22D06283" w14:textId="77777777" w:rsidR="00204905" w:rsidRPr="00BE11D7" w:rsidRDefault="00204905" w:rsidP="00954C07">
            <w:pPr>
              <w:rPr>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FF9C8" w14:textId="77777777" w:rsidR="00204905" w:rsidRPr="00BE11D7" w:rsidRDefault="00204905" w:rsidP="00954C07">
            <w:pPr>
              <w:rPr>
                <w:color w:val="000000"/>
              </w:rPr>
            </w:pPr>
            <w:r w:rsidRPr="00BE11D7">
              <w:rPr>
                <w:color w:val="000000"/>
              </w:rPr>
              <w:t>RTCO Calculation</w:t>
            </w:r>
          </w:p>
        </w:tc>
        <w:tc>
          <w:tcPr>
            <w:tcW w:w="1800" w:type="dxa"/>
            <w:tcBorders>
              <w:top w:val="nil"/>
              <w:left w:val="nil"/>
              <w:bottom w:val="single" w:sz="4" w:space="0" w:color="auto"/>
              <w:right w:val="single" w:sz="4" w:space="0" w:color="auto"/>
            </w:tcBorders>
            <w:shd w:val="clear" w:color="auto" w:fill="auto"/>
            <w:noWrap/>
            <w:vAlign w:val="bottom"/>
            <w:hideMark/>
          </w:tcPr>
          <w:p w14:paraId="0FFE3E5B" w14:textId="77777777" w:rsidR="00204905" w:rsidRPr="00BE11D7" w:rsidRDefault="00204905" w:rsidP="00954C07">
            <w:pPr>
              <w:rPr>
                <w:color w:val="000000"/>
              </w:rPr>
            </w:pPr>
            <w:r w:rsidRPr="00BE11D7">
              <w:rPr>
                <w:color w:val="000000"/>
              </w:rPr>
              <w:t xml:space="preserve"> $  1,501.00 </w:t>
            </w:r>
          </w:p>
        </w:tc>
        <w:tc>
          <w:tcPr>
            <w:tcW w:w="1710" w:type="dxa"/>
            <w:tcBorders>
              <w:top w:val="nil"/>
              <w:left w:val="nil"/>
              <w:bottom w:val="single" w:sz="4" w:space="0" w:color="auto"/>
              <w:right w:val="single" w:sz="4" w:space="0" w:color="auto"/>
            </w:tcBorders>
            <w:shd w:val="clear" w:color="auto" w:fill="auto"/>
            <w:noWrap/>
            <w:vAlign w:val="bottom"/>
            <w:hideMark/>
          </w:tcPr>
          <w:p w14:paraId="27AAF497" w14:textId="77777777" w:rsidR="00204905" w:rsidRPr="00BE11D7" w:rsidRDefault="00204905" w:rsidP="00954C07">
            <w:pPr>
              <w:rPr>
                <w:color w:val="000000"/>
              </w:rPr>
            </w:pPr>
            <w:r w:rsidRPr="00BE11D7">
              <w:rPr>
                <w:color w:val="000000"/>
              </w:rPr>
              <w:t xml:space="preserve"> $                -   </w:t>
            </w:r>
          </w:p>
        </w:tc>
      </w:tr>
      <w:tr w:rsidR="00204905" w:rsidRPr="00BE11D7" w14:paraId="72E3D334" w14:textId="77777777" w:rsidTr="00954C07">
        <w:trPr>
          <w:trHeight w:val="315"/>
        </w:trPr>
        <w:tc>
          <w:tcPr>
            <w:tcW w:w="2610" w:type="dxa"/>
            <w:vMerge/>
            <w:tcBorders>
              <w:left w:val="single" w:sz="4" w:space="0" w:color="auto"/>
              <w:bottom w:val="double" w:sz="6" w:space="0" w:color="auto"/>
              <w:right w:val="single" w:sz="4" w:space="0" w:color="auto"/>
            </w:tcBorders>
          </w:tcPr>
          <w:p w14:paraId="1D4EA058" w14:textId="77777777" w:rsidR="00204905" w:rsidRPr="00BE11D7" w:rsidRDefault="00204905" w:rsidP="00954C07">
            <w:pPr>
              <w:rPr>
                <w:color w:val="000000"/>
              </w:rPr>
            </w:pPr>
          </w:p>
        </w:tc>
        <w:tc>
          <w:tcPr>
            <w:tcW w:w="2520" w:type="dxa"/>
            <w:tcBorders>
              <w:top w:val="nil"/>
              <w:left w:val="single" w:sz="4" w:space="0" w:color="auto"/>
              <w:bottom w:val="double" w:sz="6" w:space="0" w:color="auto"/>
              <w:right w:val="single" w:sz="4" w:space="0" w:color="auto"/>
            </w:tcBorders>
            <w:shd w:val="clear" w:color="auto" w:fill="auto"/>
            <w:noWrap/>
            <w:vAlign w:val="bottom"/>
            <w:hideMark/>
          </w:tcPr>
          <w:p w14:paraId="6C6A235D" w14:textId="77777777" w:rsidR="00204905" w:rsidRPr="00BE11D7" w:rsidRDefault="00204905" w:rsidP="00954C07">
            <w:pPr>
              <w:rPr>
                <w:color w:val="000000"/>
              </w:rPr>
            </w:pPr>
            <w:r w:rsidRPr="00BE11D7">
              <w:rPr>
                <w:color w:val="000000"/>
              </w:rPr>
              <w:t>RTLosses</w:t>
            </w:r>
          </w:p>
        </w:tc>
        <w:tc>
          <w:tcPr>
            <w:tcW w:w="1800" w:type="dxa"/>
            <w:tcBorders>
              <w:top w:val="nil"/>
              <w:left w:val="nil"/>
              <w:bottom w:val="double" w:sz="6" w:space="0" w:color="auto"/>
              <w:right w:val="single" w:sz="4" w:space="0" w:color="auto"/>
            </w:tcBorders>
            <w:shd w:val="clear" w:color="auto" w:fill="auto"/>
            <w:noWrap/>
            <w:vAlign w:val="bottom"/>
            <w:hideMark/>
          </w:tcPr>
          <w:p w14:paraId="3EDB86FE" w14:textId="77777777" w:rsidR="00204905" w:rsidRPr="00BE11D7" w:rsidRDefault="00204905" w:rsidP="00954C07">
            <w:pPr>
              <w:jc w:val="right"/>
              <w:rPr>
                <w:color w:val="000000"/>
              </w:rPr>
            </w:pPr>
            <w:r w:rsidRPr="00BE11D7">
              <w:rPr>
                <w:color w:val="000000"/>
              </w:rPr>
              <w:t>0</w:t>
            </w:r>
          </w:p>
        </w:tc>
        <w:tc>
          <w:tcPr>
            <w:tcW w:w="1710" w:type="dxa"/>
            <w:tcBorders>
              <w:top w:val="nil"/>
              <w:left w:val="nil"/>
              <w:bottom w:val="double" w:sz="6" w:space="0" w:color="auto"/>
              <w:right w:val="single" w:sz="4" w:space="0" w:color="auto"/>
            </w:tcBorders>
            <w:shd w:val="clear" w:color="auto" w:fill="auto"/>
            <w:noWrap/>
            <w:vAlign w:val="bottom"/>
            <w:hideMark/>
          </w:tcPr>
          <w:p w14:paraId="06D6A0CF" w14:textId="77777777" w:rsidR="00204905" w:rsidRPr="00BE11D7" w:rsidRDefault="00204905" w:rsidP="00954C07">
            <w:pPr>
              <w:jc w:val="right"/>
              <w:rPr>
                <w:color w:val="000000"/>
              </w:rPr>
            </w:pPr>
            <w:r w:rsidRPr="00BE11D7">
              <w:rPr>
                <w:color w:val="000000"/>
              </w:rPr>
              <w:t>0</w:t>
            </w:r>
          </w:p>
        </w:tc>
      </w:tr>
      <w:tr w:rsidR="00204905" w:rsidRPr="00BE11D7" w14:paraId="1E23D533" w14:textId="77777777" w:rsidTr="00954C07">
        <w:trPr>
          <w:trHeight w:val="330"/>
        </w:trPr>
        <w:tc>
          <w:tcPr>
            <w:tcW w:w="2610" w:type="dxa"/>
            <w:tcBorders>
              <w:top w:val="nil"/>
              <w:left w:val="single" w:sz="4" w:space="0" w:color="auto"/>
              <w:bottom w:val="double" w:sz="6" w:space="0" w:color="auto"/>
              <w:right w:val="single" w:sz="4" w:space="0" w:color="auto"/>
            </w:tcBorders>
          </w:tcPr>
          <w:p w14:paraId="292A5FF6" w14:textId="77777777" w:rsidR="00204905" w:rsidRPr="00BE11D7" w:rsidRDefault="00204905" w:rsidP="00954C07">
            <w:pPr>
              <w:rPr>
                <w:color w:val="000000"/>
              </w:rPr>
            </w:pPr>
            <w:r>
              <w:rPr>
                <w:color w:val="000000"/>
              </w:rPr>
              <w:t>RTIEO</w:t>
            </w:r>
          </w:p>
        </w:tc>
        <w:tc>
          <w:tcPr>
            <w:tcW w:w="2520" w:type="dxa"/>
            <w:tcBorders>
              <w:top w:val="nil"/>
              <w:left w:val="single" w:sz="4" w:space="0" w:color="auto"/>
              <w:bottom w:val="double" w:sz="6" w:space="0" w:color="auto"/>
              <w:right w:val="single" w:sz="4" w:space="0" w:color="auto"/>
            </w:tcBorders>
            <w:shd w:val="clear" w:color="auto" w:fill="auto"/>
            <w:noWrap/>
            <w:vAlign w:val="bottom"/>
            <w:hideMark/>
          </w:tcPr>
          <w:p w14:paraId="59B033C3" w14:textId="77777777" w:rsidR="00204905" w:rsidRPr="00BE11D7" w:rsidRDefault="00204905" w:rsidP="00954C07">
            <w:pPr>
              <w:rPr>
                <w:color w:val="000000"/>
              </w:rPr>
            </w:pPr>
          </w:p>
        </w:tc>
        <w:tc>
          <w:tcPr>
            <w:tcW w:w="1800" w:type="dxa"/>
            <w:tcBorders>
              <w:top w:val="nil"/>
              <w:left w:val="nil"/>
              <w:bottom w:val="double" w:sz="6" w:space="0" w:color="auto"/>
              <w:right w:val="single" w:sz="4" w:space="0" w:color="auto"/>
            </w:tcBorders>
            <w:shd w:val="clear" w:color="auto" w:fill="auto"/>
            <w:noWrap/>
            <w:vAlign w:val="bottom"/>
            <w:hideMark/>
          </w:tcPr>
          <w:p w14:paraId="57BEA00C" w14:textId="77777777" w:rsidR="00204905" w:rsidRPr="00BE11D7" w:rsidRDefault="00204905" w:rsidP="00954C07">
            <w:pPr>
              <w:rPr>
                <w:color w:val="000000"/>
              </w:rPr>
            </w:pPr>
            <w:r w:rsidRPr="00BE11D7">
              <w:rPr>
                <w:color w:val="000000"/>
              </w:rPr>
              <w:t xml:space="preserve"> $           -   </w:t>
            </w:r>
          </w:p>
        </w:tc>
        <w:tc>
          <w:tcPr>
            <w:tcW w:w="1710" w:type="dxa"/>
            <w:tcBorders>
              <w:top w:val="nil"/>
              <w:left w:val="nil"/>
              <w:bottom w:val="double" w:sz="6" w:space="0" w:color="auto"/>
              <w:right w:val="single" w:sz="4" w:space="0" w:color="auto"/>
            </w:tcBorders>
            <w:shd w:val="clear" w:color="auto" w:fill="auto"/>
            <w:noWrap/>
            <w:vAlign w:val="bottom"/>
            <w:hideMark/>
          </w:tcPr>
          <w:p w14:paraId="470ECEE4" w14:textId="77777777" w:rsidR="00204905" w:rsidRPr="00BE11D7" w:rsidRDefault="00204905" w:rsidP="00954C07">
            <w:pPr>
              <w:rPr>
                <w:color w:val="000000"/>
              </w:rPr>
            </w:pPr>
            <w:r w:rsidRPr="00BE11D7">
              <w:rPr>
                <w:color w:val="000000"/>
              </w:rPr>
              <w:t xml:space="preserve"> $                -   </w:t>
            </w:r>
          </w:p>
        </w:tc>
      </w:tr>
    </w:tbl>
    <w:p w14:paraId="5FB6CD3B" w14:textId="77777777" w:rsidR="00204905" w:rsidRPr="00BE11D7" w:rsidRDefault="00204905" w:rsidP="00204905">
      <w:pPr>
        <w:rPr>
          <w:color w:val="000000"/>
          <w:sz w:val="18"/>
        </w:rPr>
      </w:pPr>
      <w:r w:rsidRPr="00BE11D7">
        <w:rPr>
          <w:color w:val="000000"/>
          <w:sz w:val="18"/>
        </w:rPr>
        <w:t>*** EIM Transfer is settled at the System Marginal Energy Costs</w:t>
      </w:r>
    </w:p>
    <w:p w14:paraId="46858946" w14:textId="77777777" w:rsidR="007835BE" w:rsidRDefault="007835BE" w:rsidP="00954C07">
      <w:pPr>
        <w:pStyle w:val="Heading1"/>
        <w:numPr>
          <w:ilvl w:val="0"/>
          <w:numId w:val="0"/>
        </w:numPr>
        <w:sectPr w:rsidR="007835BE" w:rsidSect="00F446C9">
          <w:footerReference w:type="default" r:id="rId198"/>
          <w:pgSz w:w="12240" w:h="15840"/>
          <w:pgMar w:top="1728" w:right="1440" w:bottom="1728" w:left="1440" w:header="720" w:footer="720" w:gutter="0"/>
          <w:cols w:space="720"/>
        </w:sectPr>
      </w:pPr>
    </w:p>
    <w:p w14:paraId="02EC4A1F" w14:textId="1AC30438" w:rsidR="00701AB3" w:rsidRDefault="00701AB3" w:rsidP="00954C07">
      <w:pPr>
        <w:pStyle w:val="Heading1"/>
        <w:numPr>
          <w:ilvl w:val="0"/>
          <w:numId w:val="0"/>
        </w:numPr>
      </w:pPr>
      <w:bookmarkStart w:id="2295" w:name="_Toc20384157"/>
      <w:r>
        <w:t xml:space="preserve">Appendix B: </w:t>
      </w:r>
      <w:r w:rsidR="00954C07" w:rsidRPr="005551A2">
        <w:rPr>
          <w:rFonts w:cs="Arial"/>
        </w:rPr>
        <w:t xml:space="preserve">Mathematical Formulation for using </w:t>
      </w:r>
      <w:r w:rsidR="00954C07">
        <w:rPr>
          <w:rFonts w:cs="Arial"/>
        </w:rPr>
        <w:t>Available</w:t>
      </w:r>
      <w:r w:rsidR="00954C07" w:rsidRPr="005551A2">
        <w:rPr>
          <w:rFonts w:cs="Arial"/>
        </w:rPr>
        <w:t xml:space="preserve"> </w:t>
      </w:r>
      <w:r w:rsidR="00954C07">
        <w:rPr>
          <w:rFonts w:cs="Arial"/>
        </w:rPr>
        <w:t xml:space="preserve">Capacity </w:t>
      </w:r>
      <w:r w:rsidR="00954C07" w:rsidRPr="005551A2">
        <w:rPr>
          <w:rFonts w:cs="Arial"/>
        </w:rPr>
        <w:t>resolving infeasible power balance conditions in EIM BAAs</w:t>
      </w:r>
      <w:bookmarkEnd w:id="2295"/>
    </w:p>
    <w:p w14:paraId="3DE43A23" w14:textId="77777777" w:rsidR="00AE3B12" w:rsidRDefault="00AE3B12" w:rsidP="00AE3B12">
      <w:pPr>
        <w:pStyle w:val="Heading2"/>
        <w:numPr>
          <w:ilvl w:val="0"/>
          <w:numId w:val="0"/>
        </w:numPr>
        <w:ind w:left="1080"/>
      </w:pPr>
      <w:bookmarkStart w:id="2296" w:name="_Toc20384158"/>
      <w:r>
        <w:t>Introduction</w:t>
      </w:r>
      <w:bookmarkEnd w:id="2296"/>
    </w:p>
    <w:p w14:paraId="7797375E" w14:textId="77777777" w:rsidR="004B5C2B" w:rsidRPr="004B5C2B" w:rsidRDefault="004B5C2B" w:rsidP="00877DDB">
      <w:pPr>
        <w:pStyle w:val="BPM"/>
      </w:pPr>
      <w:r w:rsidRPr="004B5C2B">
        <w:t xml:space="preserve">This appendix describes the mathematical formulation of the market software feature that enables the EIM entity to identify available balancing capacity for resolving infeasible power balance conditions in the applicable EIM BAAs. </w:t>
      </w:r>
    </w:p>
    <w:p w14:paraId="7F33FC24" w14:textId="77777777" w:rsidR="004B5C2B" w:rsidRPr="004B5C2B" w:rsidRDefault="004B5C2B" w:rsidP="004B5C2B">
      <w:pPr>
        <w:pStyle w:val="ParaText"/>
        <w:rPr>
          <w:rFonts w:cs="Arial"/>
        </w:rPr>
      </w:pPr>
    </w:p>
    <w:p w14:paraId="085CFFF8" w14:textId="4DFFC033" w:rsidR="004B5C2B" w:rsidRPr="00C36023" w:rsidRDefault="004B5C2B" w:rsidP="00877DDB">
      <w:pPr>
        <w:pStyle w:val="BPM"/>
      </w:pPr>
      <w:r w:rsidRPr="004B5C2B">
        <w:t>The available balancing capacity feat</w:t>
      </w:r>
      <w:r w:rsidRPr="00F11C3B">
        <w:t xml:space="preserve">ure is configured to ensure </w:t>
      </w:r>
      <w:r w:rsidRPr="00DE5870">
        <w:t xml:space="preserve">the energy from capacity designated as available balancing capacity does not exit </w:t>
      </w:r>
      <w:r w:rsidRPr="008F4700">
        <w:t>relevant EIM entity’s BAA through the EIM Transfer.  The capacity identified as the available balancing capacity wi</w:t>
      </w:r>
      <w:r w:rsidRPr="00A775F8">
        <w:t>ll be released only to the extent necessary to resolve power balance infeasibility and should not be used to displace other capacity made available in the BAA for EIM participation.</w:t>
      </w:r>
      <w:r w:rsidRPr="00B973F7">
        <w:t xml:space="preserve"> It should be noted that if the infeasibility persists after dispatchin</w:t>
      </w:r>
      <w:r w:rsidRPr="00C36023">
        <w:t>g all the capacity designated as available balancing capacity for the relevant EIM entity BAA , the price will be set consist with rules in Section 27.4.3.4.</w:t>
      </w:r>
    </w:p>
    <w:p w14:paraId="72D48F8D" w14:textId="785CD498" w:rsidR="004B5C2B" w:rsidRPr="00F57D97" w:rsidRDefault="004B5C2B" w:rsidP="00877DDB">
      <w:pPr>
        <w:pStyle w:val="BPM"/>
      </w:pPr>
      <w:r w:rsidRPr="00C36023">
        <w:t xml:space="preserve">For purposes of this appendix, the capacity designated as </w:t>
      </w:r>
      <w:r w:rsidR="001C782D">
        <w:t>EIM Upward or Downward A</w:t>
      </w:r>
      <w:r w:rsidRPr="00C36023">
        <w:t xml:space="preserve">vailable </w:t>
      </w:r>
      <w:r w:rsidR="001C782D">
        <w:t>B</w:t>
      </w:r>
      <w:r w:rsidRPr="00C36023">
        <w:t xml:space="preserve">alancing </w:t>
      </w:r>
      <w:r w:rsidR="001C782D">
        <w:t>C</w:t>
      </w:r>
      <w:r w:rsidRPr="00C36023">
        <w:t>apacity will be referred to herein as Regulation</w:t>
      </w:r>
      <w:r w:rsidR="001C782D">
        <w:t xml:space="preserve"> Up or Down</w:t>
      </w:r>
      <w:r w:rsidRPr="00F57D97">
        <w:t>.</w:t>
      </w:r>
    </w:p>
    <w:p w14:paraId="5F9418D8" w14:textId="77777777" w:rsidR="00AE3B12" w:rsidRDefault="00AE3B12" w:rsidP="00AE3B12">
      <w:pPr>
        <w:pStyle w:val="Heading2"/>
        <w:numPr>
          <w:ilvl w:val="0"/>
          <w:numId w:val="0"/>
        </w:numPr>
        <w:ind w:left="1080"/>
      </w:pPr>
      <w:bookmarkStart w:id="2297" w:name="_Toc20384159"/>
      <w:r>
        <w:t>Technical Description</w:t>
      </w:r>
      <w:bookmarkEnd w:id="2297"/>
    </w:p>
    <w:p w14:paraId="4F8A03CA" w14:textId="77777777" w:rsidR="00AE3B12" w:rsidRDefault="00AE3B12" w:rsidP="00877DDB">
      <w:pPr>
        <w:pStyle w:val="BPM"/>
      </w:pPr>
      <w:r>
        <w:t>The CAISO’s market clearing software calculates the optimal solution in two passes, referred to as the scheduling and pricing run. The scheduling run is a full optimization run where constraints may be relaxed at a penalty price to avoid infeasibility. The pricing run is a simple economic dispatch, initialized from the scheduling run solution, where penalty prices are replaced by administrative prices and the problem is constrained so that the primal solution does not drift far away from the primal solution of the scheduling run. Both binding schedules and prices are obtained from the pricing run.</w:t>
      </w:r>
    </w:p>
    <w:p w14:paraId="7CC036BE" w14:textId="77777777" w:rsidR="00FC63EC" w:rsidRDefault="00FC63EC" w:rsidP="00AE3B12">
      <w:pPr>
        <w:pStyle w:val="Paragraph"/>
      </w:pPr>
    </w:p>
    <w:p w14:paraId="75011978" w14:textId="77777777" w:rsidR="00AE3B12" w:rsidRDefault="00AE3B12" w:rsidP="00AE3B12">
      <w:pPr>
        <w:pStyle w:val="Heading2"/>
        <w:numPr>
          <w:ilvl w:val="0"/>
          <w:numId w:val="0"/>
        </w:numPr>
        <w:ind w:left="1080"/>
      </w:pPr>
      <w:bookmarkStart w:id="2298" w:name="_Toc20384160"/>
      <w:r>
        <w:t>Mathematical Formulation</w:t>
      </w:r>
      <w:bookmarkEnd w:id="2298"/>
    </w:p>
    <w:p w14:paraId="463B19F0" w14:textId="77777777" w:rsidR="00AE3B12" w:rsidRDefault="00AE3B12" w:rsidP="00877DDB">
      <w:pPr>
        <w:pStyle w:val="BPM"/>
      </w:pPr>
      <w:r>
        <w:t>This section contains the mathematical formulation for the new elements introduced in the Scheduling and Pricing Run for dispatching Regulation to resolve power balance infeasibility in EIM BAAs.</w:t>
      </w:r>
    </w:p>
    <w:p w14:paraId="645EE414" w14:textId="77777777" w:rsidR="00AE3B12" w:rsidRDefault="00AE3B12" w:rsidP="00877DDB">
      <w:pPr>
        <w:pStyle w:val="BPM"/>
      </w:pPr>
      <w:r>
        <w:t>The following notation is used in this section:</w:t>
      </w:r>
    </w:p>
    <w:tbl>
      <w:tblPr>
        <w:tblW w:w="0" w:type="auto"/>
        <w:tblLook w:val="04A0" w:firstRow="1" w:lastRow="0" w:firstColumn="1" w:lastColumn="0" w:noHBand="0" w:noVBand="1"/>
      </w:tblPr>
      <w:tblGrid>
        <w:gridCol w:w="1624"/>
        <w:gridCol w:w="7736"/>
      </w:tblGrid>
      <w:tr w:rsidR="00AE3B12" w14:paraId="05C20C78" w14:textId="77777777" w:rsidTr="00EC7234">
        <w:trPr>
          <w:cantSplit/>
        </w:trPr>
        <w:tc>
          <w:tcPr>
            <w:tcW w:w="1624" w:type="dxa"/>
          </w:tcPr>
          <w:p w14:paraId="2760AF94" w14:textId="77777777" w:rsidR="00AE3B12" w:rsidRPr="00697202" w:rsidRDefault="00AE3B12" w:rsidP="00D5305B">
            <w:pPr>
              <w:pStyle w:val="Table"/>
              <w:jc w:val="left"/>
            </w:pPr>
            <w:r w:rsidRPr="00697202">
              <w:rPr>
                <w:i/>
              </w:rPr>
              <w:t>i</w:t>
            </w:r>
          </w:p>
        </w:tc>
        <w:tc>
          <w:tcPr>
            <w:tcW w:w="7736" w:type="dxa"/>
          </w:tcPr>
          <w:p w14:paraId="433C9236" w14:textId="77777777" w:rsidR="00AE3B12" w:rsidRDefault="00AE3B12" w:rsidP="00D5305B">
            <w:pPr>
              <w:pStyle w:val="Table"/>
              <w:jc w:val="left"/>
            </w:pPr>
            <w:r>
              <w:t>EIM Resource index.</w:t>
            </w:r>
          </w:p>
        </w:tc>
      </w:tr>
      <w:tr w:rsidR="00AE3B12" w14:paraId="2984AAEB" w14:textId="77777777" w:rsidTr="00EC7234">
        <w:trPr>
          <w:cantSplit/>
        </w:trPr>
        <w:tc>
          <w:tcPr>
            <w:tcW w:w="1624" w:type="dxa"/>
          </w:tcPr>
          <w:p w14:paraId="00650BD3" w14:textId="77777777" w:rsidR="00AE3B12" w:rsidRPr="00697202" w:rsidRDefault="00AE3B12" w:rsidP="00D5305B">
            <w:pPr>
              <w:pStyle w:val="Table"/>
              <w:jc w:val="left"/>
              <w:rPr>
                <w:i/>
              </w:rPr>
            </w:pPr>
            <w:r>
              <w:rPr>
                <w:i/>
              </w:rPr>
              <w:t>k</w:t>
            </w:r>
          </w:p>
        </w:tc>
        <w:tc>
          <w:tcPr>
            <w:tcW w:w="7736" w:type="dxa"/>
          </w:tcPr>
          <w:p w14:paraId="3F8341EB" w14:textId="77777777" w:rsidR="00AE3B12" w:rsidRDefault="00AE3B12" w:rsidP="00D5305B">
            <w:pPr>
              <w:pStyle w:val="Table"/>
              <w:jc w:val="left"/>
            </w:pPr>
            <w:r>
              <w:t>EIM BAA index.</w:t>
            </w:r>
          </w:p>
        </w:tc>
      </w:tr>
      <w:tr w:rsidR="00AE3B12" w14:paraId="101274BE" w14:textId="77777777" w:rsidTr="00EC7234">
        <w:trPr>
          <w:cantSplit/>
        </w:trPr>
        <w:tc>
          <w:tcPr>
            <w:tcW w:w="1624" w:type="dxa"/>
          </w:tcPr>
          <w:p w14:paraId="619DB35D" w14:textId="77777777" w:rsidR="00AE3B12" w:rsidRPr="00697202" w:rsidRDefault="00AE3B12" w:rsidP="00D5305B">
            <w:pPr>
              <w:pStyle w:val="Table"/>
              <w:jc w:val="left"/>
              <w:rPr>
                <w:i/>
              </w:rPr>
            </w:pPr>
            <w:r w:rsidRPr="00697202">
              <w:rPr>
                <w:i/>
              </w:rPr>
              <w:t>t</w:t>
            </w:r>
          </w:p>
        </w:tc>
        <w:tc>
          <w:tcPr>
            <w:tcW w:w="7736" w:type="dxa"/>
          </w:tcPr>
          <w:p w14:paraId="79F6E740" w14:textId="77777777" w:rsidR="00AE3B12" w:rsidRDefault="00AE3B12" w:rsidP="00D5305B">
            <w:pPr>
              <w:pStyle w:val="Table"/>
              <w:jc w:val="left"/>
            </w:pPr>
            <w:r>
              <w:t>Time period index (0 for initial condition).</w:t>
            </w:r>
          </w:p>
        </w:tc>
      </w:tr>
      <w:tr w:rsidR="00AE3B12" w14:paraId="368312C3" w14:textId="77777777" w:rsidTr="00EC7234">
        <w:trPr>
          <w:cantSplit/>
        </w:trPr>
        <w:tc>
          <w:tcPr>
            <w:tcW w:w="1624" w:type="dxa"/>
          </w:tcPr>
          <w:p w14:paraId="2F15657B" w14:textId="77777777" w:rsidR="00AE3B12" w:rsidRPr="00697202" w:rsidRDefault="00AE3B12" w:rsidP="00D5305B">
            <w:pPr>
              <w:pStyle w:val="Table"/>
              <w:jc w:val="left"/>
              <w:rPr>
                <w:i/>
              </w:rPr>
            </w:pPr>
            <w:r>
              <w:rPr>
                <w:i/>
              </w:rPr>
              <w:t>N</w:t>
            </w:r>
          </w:p>
        </w:tc>
        <w:tc>
          <w:tcPr>
            <w:tcW w:w="7736" w:type="dxa"/>
          </w:tcPr>
          <w:p w14:paraId="62E2EBF5" w14:textId="77777777" w:rsidR="00AE3B12" w:rsidRDefault="00AE3B12" w:rsidP="00D5305B">
            <w:pPr>
              <w:pStyle w:val="Table"/>
              <w:jc w:val="left"/>
            </w:pPr>
            <w:r>
              <w:t>Number of time periods in the time horizon.</w:t>
            </w:r>
          </w:p>
        </w:tc>
      </w:tr>
      <w:tr w:rsidR="00AE3B12" w14:paraId="020EA950" w14:textId="77777777" w:rsidTr="00EC7234">
        <w:trPr>
          <w:cantSplit/>
        </w:trPr>
        <w:tc>
          <w:tcPr>
            <w:tcW w:w="1624" w:type="dxa"/>
          </w:tcPr>
          <w:p w14:paraId="5D7386E0" w14:textId="77777777" w:rsidR="00AE3B12" w:rsidRDefault="00AE3B12" w:rsidP="00D5305B">
            <w:pPr>
              <w:pStyle w:val="Table"/>
              <w:jc w:val="left"/>
              <w:rPr>
                <w:i/>
              </w:rPr>
            </w:pPr>
            <w:r>
              <w:rPr>
                <w:i/>
              </w:rPr>
              <w:t>K</w:t>
            </w:r>
          </w:p>
        </w:tc>
        <w:tc>
          <w:tcPr>
            <w:tcW w:w="7736" w:type="dxa"/>
          </w:tcPr>
          <w:p w14:paraId="340A1685" w14:textId="77777777" w:rsidR="00AE3B12" w:rsidRDefault="00AE3B12" w:rsidP="00D5305B">
            <w:pPr>
              <w:pStyle w:val="Table"/>
              <w:jc w:val="left"/>
            </w:pPr>
            <w:r>
              <w:t>Number of EIM BAAs.</w:t>
            </w:r>
          </w:p>
        </w:tc>
      </w:tr>
      <w:tr w:rsidR="00AE3B12" w14:paraId="2879D350" w14:textId="77777777" w:rsidTr="00EC7234">
        <w:trPr>
          <w:cantSplit/>
        </w:trPr>
        <w:tc>
          <w:tcPr>
            <w:tcW w:w="1624" w:type="dxa"/>
          </w:tcPr>
          <w:p w14:paraId="07820FFF" w14:textId="77777777" w:rsidR="00AE3B12" w:rsidRDefault="00AE3B12" w:rsidP="00D5305B">
            <w:pPr>
              <w:pStyle w:val="Table"/>
              <w:jc w:val="left"/>
              <w:rPr>
                <w:i/>
              </w:rPr>
            </w:pPr>
            <w:r>
              <w:rPr>
                <w:i/>
              </w:rPr>
              <w:t>R</w:t>
            </w:r>
            <w:r w:rsidRPr="00D00802">
              <w:rPr>
                <w:i/>
                <w:vertAlign w:val="subscript"/>
              </w:rPr>
              <w:t>k</w:t>
            </w:r>
          </w:p>
        </w:tc>
        <w:tc>
          <w:tcPr>
            <w:tcW w:w="7736" w:type="dxa"/>
          </w:tcPr>
          <w:p w14:paraId="23AC6A61" w14:textId="77777777" w:rsidR="00AE3B12" w:rsidRDefault="00AE3B12" w:rsidP="00D5305B">
            <w:pPr>
              <w:pStyle w:val="Table"/>
              <w:jc w:val="left"/>
            </w:pPr>
            <w:r>
              <w:t xml:space="preserve">Set of EIM Resources for BAA </w:t>
            </w:r>
            <w:r w:rsidRPr="00D00802">
              <w:rPr>
                <w:i/>
              </w:rPr>
              <w:t>k</w:t>
            </w:r>
            <w:r>
              <w:t>.</w:t>
            </w:r>
          </w:p>
        </w:tc>
      </w:tr>
      <w:tr w:rsidR="00AE3B12" w14:paraId="4ABB582F" w14:textId="77777777" w:rsidTr="00EC7234">
        <w:trPr>
          <w:cantSplit/>
        </w:trPr>
        <w:tc>
          <w:tcPr>
            <w:tcW w:w="1624" w:type="dxa"/>
          </w:tcPr>
          <w:p w14:paraId="64AC649C" w14:textId="77777777" w:rsidR="00AE3B12" w:rsidRDefault="00AE3B12" w:rsidP="00D5305B">
            <w:pPr>
              <w:pStyle w:val="Table"/>
              <w:jc w:val="left"/>
            </w:pPr>
            <w:r>
              <w:sym w:font="Symbol" w:char="F022"/>
            </w:r>
          </w:p>
        </w:tc>
        <w:tc>
          <w:tcPr>
            <w:tcW w:w="7736" w:type="dxa"/>
          </w:tcPr>
          <w:p w14:paraId="449CB43D" w14:textId="77777777" w:rsidR="00AE3B12" w:rsidRDefault="00AE3B12" w:rsidP="00D5305B">
            <w:pPr>
              <w:pStyle w:val="Table"/>
              <w:jc w:val="left"/>
            </w:pPr>
            <w:r>
              <w:t>For all…</w:t>
            </w:r>
          </w:p>
        </w:tc>
      </w:tr>
      <w:tr w:rsidR="00EC7234" w14:paraId="46591B0A" w14:textId="77777777" w:rsidTr="00EC7234">
        <w:trPr>
          <w:cantSplit/>
        </w:trPr>
        <w:tc>
          <w:tcPr>
            <w:tcW w:w="1624" w:type="dxa"/>
          </w:tcPr>
          <w:p w14:paraId="1032DC9E" w14:textId="77777777" w:rsidR="00EC7234" w:rsidRDefault="00EC7234" w:rsidP="00EC7234">
            <w:pPr>
              <w:pStyle w:val="Table"/>
              <w:jc w:val="left"/>
            </w:pPr>
            <w:r w:rsidRPr="00A76F72">
              <w:sym w:font="Symbol" w:char="F0AE"/>
            </w:r>
          </w:p>
        </w:tc>
        <w:tc>
          <w:tcPr>
            <w:tcW w:w="7736" w:type="dxa"/>
          </w:tcPr>
          <w:p w14:paraId="0A464F33" w14:textId="77777777" w:rsidR="00EC7234" w:rsidRDefault="00EC7234" w:rsidP="00EC7234">
            <w:pPr>
              <w:pStyle w:val="Table"/>
              <w:jc w:val="left"/>
            </w:pPr>
            <w:r>
              <w:t>Leads to…</w:t>
            </w:r>
          </w:p>
        </w:tc>
      </w:tr>
      <w:tr w:rsidR="00AE3B12" w14:paraId="0F375395" w14:textId="77777777" w:rsidTr="00EC7234">
        <w:trPr>
          <w:cantSplit/>
        </w:trPr>
        <w:tc>
          <w:tcPr>
            <w:tcW w:w="1624" w:type="dxa"/>
          </w:tcPr>
          <w:p w14:paraId="625E6E08"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k,t</m:t>
                    </m:r>
                  </m:sub>
                </m:sSub>
              </m:oMath>
            </m:oMathPara>
          </w:p>
        </w:tc>
        <w:tc>
          <w:tcPr>
            <w:tcW w:w="7736" w:type="dxa"/>
          </w:tcPr>
          <w:p w14:paraId="5BB022E3" w14:textId="77777777" w:rsidR="00AE3B12" w:rsidRPr="0056607F" w:rsidRDefault="00AE3B12" w:rsidP="00D5305B">
            <w:pPr>
              <w:pStyle w:val="Table"/>
              <w:jc w:val="left"/>
            </w:pPr>
            <w:r>
              <w:t xml:space="preserve">EIM Transfer of BAA </w:t>
            </w:r>
            <w:r>
              <w:rPr>
                <w:i/>
              </w:rPr>
              <w:t>k</w:t>
            </w:r>
            <w:r>
              <w:t xml:space="preserve"> in time period </w:t>
            </w:r>
            <w:r>
              <w:rPr>
                <w:i/>
              </w:rPr>
              <w:t>t</w:t>
            </w:r>
            <w:r w:rsidR="002707D1">
              <w:t xml:space="preserve"> (positive for export and negative for import)</w:t>
            </w:r>
            <w:r>
              <w:t>.</w:t>
            </w:r>
          </w:p>
        </w:tc>
      </w:tr>
      <w:tr w:rsidR="002707D1" w14:paraId="070A4EEF" w14:textId="77777777" w:rsidTr="00EC7234">
        <w:trPr>
          <w:cantSplit/>
        </w:trPr>
        <w:tc>
          <w:tcPr>
            <w:tcW w:w="1624" w:type="dxa"/>
          </w:tcPr>
          <w:p w14:paraId="588E2AEF" w14:textId="77777777" w:rsidR="002707D1" w:rsidRPr="002707D1" w:rsidRDefault="007818F5" w:rsidP="002707D1">
            <w:pPr>
              <w:pStyle w:val="Table"/>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k,t</m:t>
                    </m:r>
                  </m:sub>
                </m:sSub>
              </m:oMath>
            </m:oMathPara>
          </w:p>
        </w:tc>
        <w:tc>
          <w:tcPr>
            <w:tcW w:w="7736" w:type="dxa"/>
          </w:tcPr>
          <w:p w14:paraId="6111E851" w14:textId="77777777" w:rsidR="002707D1" w:rsidRDefault="002707D1" w:rsidP="002707D1">
            <w:pPr>
              <w:pStyle w:val="Table"/>
              <w:jc w:val="left"/>
            </w:pPr>
            <w:r>
              <w:t xml:space="preserve">Base EIM Transfer of BAA </w:t>
            </w:r>
            <w:r>
              <w:rPr>
                <w:i/>
              </w:rPr>
              <w:t>k</w:t>
            </w:r>
            <w:r>
              <w:t xml:space="preserve"> in time period </w:t>
            </w:r>
            <w:r>
              <w:rPr>
                <w:i/>
              </w:rPr>
              <w:t>t</w:t>
            </w:r>
            <w:r>
              <w:t>.</w:t>
            </w:r>
          </w:p>
        </w:tc>
      </w:tr>
      <w:tr w:rsidR="00AE3B12" w14:paraId="65E3DFD0" w14:textId="77777777" w:rsidTr="00EC7234">
        <w:trPr>
          <w:cantSplit/>
        </w:trPr>
        <w:tc>
          <w:tcPr>
            <w:tcW w:w="1624" w:type="dxa"/>
          </w:tcPr>
          <w:p w14:paraId="0321BDD1"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r>
                      <w:rPr>
                        <w:rFonts w:ascii="Cambria Math" w:hAnsi="Cambria Math"/>
                      </w:rPr>
                      <m:t>RU</m:t>
                    </m:r>
                  </m:e>
                  <m:sub>
                    <m:r>
                      <w:rPr>
                        <w:rFonts w:ascii="Cambria Math" w:hAnsi="Cambria Math"/>
                      </w:rPr>
                      <m:t>i,t</m:t>
                    </m:r>
                  </m:sub>
                </m:sSub>
              </m:oMath>
            </m:oMathPara>
          </w:p>
        </w:tc>
        <w:tc>
          <w:tcPr>
            <w:tcW w:w="7736" w:type="dxa"/>
          </w:tcPr>
          <w:p w14:paraId="407BBBE4" w14:textId="77777777" w:rsidR="00AE3B12" w:rsidRPr="00CE5475" w:rsidRDefault="00AE3B12" w:rsidP="00D5305B">
            <w:pPr>
              <w:pStyle w:val="Table"/>
              <w:jc w:val="left"/>
            </w:pPr>
            <w:r>
              <w:t xml:space="preserve">Regulation Up schedule of Resource </w:t>
            </w:r>
            <w:r>
              <w:rPr>
                <w:i/>
              </w:rPr>
              <w:t>i</w:t>
            </w:r>
            <w:r>
              <w:t xml:space="preserve"> in time period </w:t>
            </w:r>
            <w:r>
              <w:rPr>
                <w:i/>
              </w:rPr>
              <w:t>t</w:t>
            </w:r>
            <w:r>
              <w:t>.</w:t>
            </w:r>
          </w:p>
        </w:tc>
      </w:tr>
      <w:tr w:rsidR="00AE3B12" w14:paraId="18618CB8" w14:textId="77777777" w:rsidTr="00EC7234">
        <w:trPr>
          <w:cantSplit/>
        </w:trPr>
        <w:tc>
          <w:tcPr>
            <w:tcW w:w="1624" w:type="dxa"/>
          </w:tcPr>
          <w:p w14:paraId="720E1211"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r>
                      <w:rPr>
                        <w:rFonts w:ascii="Cambria Math" w:hAnsi="Cambria Math"/>
                      </w:rPr>
                      <m:t>RD</m:t>
                    </m:r>
                  </m:e>
                  <m:sub>
                    <m:r>
                      <w:rPr>
                        <w:rFonts w:ascii="Cambria Math" w:hAnsi="Cambria Math"/>
                      </w:rPr>
                      <m:t>i,t</m:t>
                    </m:r>
                  </m:sub>
                </m:sSub>
              </m:oMath>
            </m:oMathPara>
          </w:p>
        </w:tc>
        <w:tc>
          <w:tcPr>
            <w:tcW w:w="7736" w:type="dxa"/>
          </w:tcPr>
          <w:p w14:paraId="20D7F869" w14:textId="77777777" w:rsidR="00AE3B12" w:rsidRPr="00CE5475" w:rsidRDefault="00AE3B12" w:rsidP="00D5305B">
            <w:pPr>
              <w:pStyle w:val="Table"/>
              <w:jc w:val="left"/>
            </w:pPr>
            <w:r>
              <w:t xml:space="preserve">Regulation Down schedule (non-positive) of Resource </w:t>
            </w:r>
            <w:r>
              <w:rPr>
                <w:i/>
              </w:rPr>
              <w:t>i</w:t>
            </w:r>
            <w:r>
              <w:t xml:space="preserve"> in time period </w:t>
            </w:r>
            <w:r>
              <w:rPr>
                <w:i/>
              </w:rPr>
              <w:t>t</w:t>
            </w:r>
            <w:r>
              <w:t>.</w:t>
            </w:r>
          </w:p>
        </w:tc>
      </w:tr>
      <w:tr w:rsidR="00AE3B12" w14:paraId="1E5B6792" w14:textId="77777777" w:rsidTr="00EC7234">
        <w:trPr>
          <w:cantSplit/>
        </w:trPr>
        <w:tc>
          <w:tcPr>
            <w:tcW w:w="1624" w:type="dxa"/>
          </w:tcPr>
          <w:p w14:paraId="716027A3"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RU</m:t>
                        </m:r>
                      </m:e>
                    </m:acc>
                  </m:e>
                  <m:sub>
                    <m:r>
                      <w:rPr>
                        <w:rFonts w:ascii="Cambria Math" w:hAnsi="Cambria Math"/>
                      </w:rPr>
                      <m:t>i,t</m:t>
                    </m:r>
                  </m:sub>
                </m:sSub>
              </m:oMath>
            </m:oMathPara>
          </w:p>
        </w:tc>
        <w:tc>
          <w:tcPr>
            <w:tcW w:w="7736" w:type="dxa"/>
          </w:tcPr>
          <w:p w14:paraId="10DD8C48" w14:textId="77777777" w:rsidR="00AE3B12" w:rsidRPr="00CE5475" w:rsidRDefault="00AE3B12" w:rsidP="00D5305B">
            <w:pPr>
              <w:pStyle w:val="Table"/>
              <w:jc w:val="left"/>
            </w:pPr>
            <w:r>
              <w:t xml:space="preserve">Base Regulation Up schedule of Resource </w:t>
            </w:r>
            <w:r>
              <w:rPr>
                <w:i/>
              </w:rPr>
              <w:t>i</w:t>
            </w:r>
            <w:r>
              <w:t xml:space="preserve"> in time period </w:t>
            </w:r>
            <w:r>
              <w:rPr>
                <w:i/>
              </w:rPr>
              <w:t>t</w:t>
            </w:r>
            <w:r>
              <w:t>.</w:t>
            </w:r>
          </w:p>
        </w:tc>
      </w:tr>
      <w:tr w:rsidR="00AE3B12" w14:paraId="29F4D17B" w14:textId="77777777" w:rsidTr="00EC7234">
        <w:trPr>
          <w:cantSplit/>
        </w:trPr>
        <w:tc>
          <w:tcPr>
            <w:tcW w:w="1624" w:type="dxa"/>
          </w:tcPr>
          <w:p w14:paraId="33A11578"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RD</m:t>
                        </m:r>
                      </m:e>
                    </m:acc>
                  </m:e>
                  <m:sub>
                    <m:r>
                      <w:rPr>
                        <w:rFonts w:ascii="Cambria Math" w:hAnsi="Cambria Math"/>
                      </w:rPr>
                      <m:t>i,t</m:t>
                    </m:r>
                  </m:sub>
                </m:sSub>
              </m:oMath>
            </m:oMathPara>
          </w:p>
        </w:tc>
        <w:tc>
          <w:tcPr>
            <w:tcW w:w="7736" w:type="dxa"/>
          </w:tcPr>
          <w:p w14:paraId="45C176BC" w14:textId="77777777" w:rsidR="00AE3B12" w:rsidRPr="00CE5475" w:rsidRDefault="00AE3B12" w:rsidP="00D5305B">
            <w:pPr>
              <w:pStyle w:val="Table"/>
              <w:jc w:val="left"/>
            </w:pPr>
            <w:r>
              <w:t xml:space="preserve">Base Regulation Down schedule (non-positive) of Resource </w:t>
            </w:r>
            <w:r>
              <w:rPr>
                <w:i/>
              </w:rPr>
              <w:t>i</w:t>
            </w:r>
            <w:r>
              <w:t xml:space="preserve"> in time period </w:t>
            </w:r>
            <w:r>
              <w:rPr>
                <w:i/>
              </w:rPr>
              <w:t>t</w:t>
            </w:r>
            <w:r>
              <w:t>.</w:t>
            </w:r>
          </w:p>
        </w:tc>
      </w:tr>
      <w:tr w:rsidR="00AE3B12" w14:paraId="71D005CB" w14:textId="77777777" w:rsidTr="00EC7234">
        <w:trPr>
          <w:cantSplit/>
        </w:trPr>
        <w:tc>
          <w:tcPr>
            <w:tcW w:w="1624" w:type="dxa"/>
          </w:tcPr>
          <w:p w14:paraId="30152497"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RU</m:t>
                        </m:r>
                      </m:e>
                    </m:acc>
                  </m:e>
                  <m:sub>
                    <m:r>
                      <w:rPr>
                        <w:rFonts w:ascii="Cambria Math" w:hAnsi="Cambria Math"/>
                      </w:rPr>
                      <m:t>i,t</m:t>
                    </m:r>
                  </m:sub>
                </m:sSub>
              </m:oMath>
            </m:oMathPara>
          </w:p>
        </w:tc>
        <w:tc>
          <w:tcPr>
            <w:tcW w:w="7736" w:type="dxa"/>
          </w:tcPr>
          <w:p w14:paraId="36298495" w14:textId="77777777" w:rsidR="00AE3B12" w:rsidRPr="00CE5475" w:rsidRDefault="00AE3B12" w:rsidP="00D5305B">
            <w:pPr>
              <w:pStyle w:val="Table"/>
              <w:jc w:val="left"/>
            </w:pPr>
            <w:r>
              <w:t xml:space="preserve">Regulation Up schedule of Resource </w:t>
            </w:r>
            <w:r>
              <w:rPr>
                <w:i/>
              </w:rPr>
              <w:t>i</w:t>
            </w:r>
            <w:r>
              <w:t xml:space="preserve"> in time period </w:t>
            </w:r>
            <w:r>
              <w:rPr>
                <w:i/>
              </w:rPr>
              <w:t>t</w:t>
            </w:r>
            <w:r>
              <w:t xml:space="preserve"> from the Scheduling Run used as upper limit in the Pricing Run.</w:t>
            </w:r>
          </w:p>
        </w:tc>
      </w:tr>
      <w:tr w:rsidR="00AE3B12" w14:paraId="711F98F1" w14:textId="77777777" w:rsidTr="00EC7234">
        <w:trPr>
          <w:cantSplit/>
        </w:trPr>
        <w:tc>
          <w:tcPr>
            <w:tcW w:w="1624" w:type="dxa"/>
          </w:tcPr>
          <w:p w14:paraId="547B2964" w14:textId="77777777" w:rsidR="00AE3B12" w:rsidRPr="008E4A03" w:rsidRDefault="007818F5" w:rsidP="00D5305B">
            <w:pPr>
              <w:pStyle w:val="Table"/>
              <w:jc w:val="lef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RD</m:t>
                        </m:r>
                      </m:e>
                    </m:acc>
                  </m:e>
                  <m:sub>
                    <m:r>
                      <w:rPr>
                        <w:rFonts w:ascii="Cambria Math" w:hAnsi="Cambria Math"/>
                      </w:rPr>
                      <m:t>i,t</m:t>
                    </m:r>
                  </m:sub>
                </m:sSub>
              </m:oMath>
            </m:oMathPara>
          </w:p>
        </w:tc>
        <w:tc>
          <w:tcPr>
            <w:tcW w:w="7736" w:type="dxa"/>
          </w:tcPr>
          <w:p w14:paraId="13EFC9DB" w14:textId="77777777" w:rsidR="00AE3B12" w:rsidRPr="00CE5475" w:rsidRDefault="00AE3B12" w:rsidP="00D5305B">
            <w:pPr>
              <w:pStyle w:val="Table"/>
              <w:jc w:val="left"/>
            </w:pPr>
            <w:r>
              <w:t xml:space="preserve">Regulation Down schedule of Resource </w:t>
            </w:r>
            <w:r>
              <w:rPr>
                <w:i/>
              </w:rPr>
              <w:t>i</w:t>
            </w:r>
            <w:r>
              <w:t xml:space="preserve"> in time period </w:t>
            </w:r>
            <w:r>
              <w:rPr>
                <w:i/>
              </w:rPr>
              <w:t>t</w:t>
            </w:r>
            <w:r>
              <w:t xml:space="preserve"> from the Scheduling Run used as lower limit in the Pricing Run.</w:t>
            </w:r>
          </w:p>
        </w:tc>
      </w:tr>
      <w:tr w:rsidR="00AE3B12" w14:paraId="71622DFF" w14:textId="77777777" w:rsidTr="00EC7234">
        <w:trPr>
          <w:cantSplit/>
        </w:trPr>
        <w:tc>
          <w:tcPr>
            <w:tcW w:w="1624" w:type="dxa"/>
          </w:tcPr>
          <w:p w14:paraId="643B5334" w14:textId="77777777" w:rsidR="00AE3B12" w:rsidRPr="00D64D7D" w:rsidRDefault="00AE3B12" w:rsidP="00D5305B">
            <w:pPr>
              <w:pStyle w:val="Table"/>
              <w:jc w:val="left"/>
              <w:rPr>
                <w:i/>
              </w:rPr>
            </w:pPr>
            <w:r w:rsidRPr="00D64D7D">
              <w:rPr>
                <w:i/>
              </w:rPr>
              <w:t>C</w:t>
            </w:r>
          </w:p>
        </w:tc>
        <w:tc>
          <w:tcPr>
            <w:tcW w:w="7736" w:type="dxa"/>
          </w:tcPr>
          <w:p w14:paraId="52F3E342" w14:textId="77777777" w:rsidR="00AE3B12" w:rsidRDefault="00AE3B12" w:rsidP="00D5305B">
            <w:pPr>
              <w:pStyle w:val="Table"/>
              <w:jc w:val="left"/>
            </w:pPr>
            <w:r>
              <w:t>Objective function.</w:t>
            </w:r>
          </w:p>
        </w:tc>
      </w:tr>
      <w:tr w:rsidR="00AE3B12" w14:paraId="6E80E919" w14:textId="77777777" w:rsidTr="00EC7234">
        <w:trPr>
          <w:cantSplit/>
        </w:trPr>
        <w:tc>
          <w:tcPr>
            <w:tcW w:w="1624" w:type="dxa"/>
          </w:tcPr>
          <w:p w14:paraId="5E8B735D" w14:textId="77777777" w:rsidR="00AE3B12" w:rsidRPr="0094288F" w:rsidRDefault="007818F5" w:rsidP="00D5305B">
            <w:pPr>
              <w:pStyle w:val="Table"/>
              <w:jc w:val="left"/>
              <w:rPr>
                <w:i/>
              </w:rPr>
            </w:pPr>
            <m:oMathPara>
              <m:oMathParaPr>
                <m:jc m:val="left"/>
              </m:oMathParaPr>
              <m:oMath>
                <m:sSub>
                  <m:sSubPr>
                    <m:ctrlPr>
                      <w:rPr>
                        <w:rFonts w:ascii="Cambria Math" w:hAnsi="Cambria Math"/>
                        <w:i/>
                      </w:rPr>
                    </m:ctrlPr>
                  </m:sSubPr>
                  <m:e>
                    <m:r>
                      <w:rPr>
                        <w:rFonts w:ascii="Cambria Math" w:hAnsi="Cambria Math"/>
                      </w:rPr>
                      <m:t>CRU</m:t>
                    </m:r>
                  </m:e>
                  <m:sub>
                    <m:r>
                      <w:rPr>
                        <w:rFonts w:ascii="Cambria Math" w:hAnsi="Cambria Math"/>
                      </w:rPr>
                      <m:t>i,t</m:t>
                    </m:r>
                  </m:sub>
                </m:sSub>
                <m:r>
                  <w:rPr>
                    <w:rFonts w:ascii="Cambria Math" w:hAnsi="Cambria Math"/>
                  </w:rPr>
                  <m:t>(p)</m:t>
                </m:r>
              </m:oMath>
            </m:oMathPara>
          </w:p>
        </w:tc>
        <w:tc>
          <w:tcPr>
            <w:tcW w:w="7736" w:type="dxa"/>
          </w:tcPr>
          <w:p w14:paraId="26D5ADFF" w14:textId="77777777" w:rsidR="00AE3B12" w:rsidRDefault="00AE3B12" w:rsidP="00D5305B">
            <w:pPr>
              <w:pStyle w:val="Table"/>
              <w:jc w:val="left"/>
            </w:pPr>
            <w:r>
              <w:t xml:space="preserve">Incremental energy cost function allocated to Regulation Up schedule of Resource </w:t>
            </w:r>
            <w:r>
              <w:rPr>
                <w:i/>
              </w:rPr>
              <w:t>i</w:t>
            </w:r>
            <w:r>
              <w:t xml:space="preserve"> in time period </w:t>
            </w:r>
            <w:r>
              <w:rPr>
                <w:i/>
              </w:rPr>
              <w:t>t</w:t>
            </w:r>
            <w:r>
              <w:t>.</w:t>
            </w:r>
          </w:p>
        </w:tc>
      </w:tr>
      <w:tr w:rsidR="00AE3B12" w14:paraId="4C2C69D7" w14:textId="77777777" w:rsidTr="00EC7234">
        <w:trPr>
          <w:cantSplit/>
        </w:trPr>
        <w:tc>
          <w:tcPr>
            <w:tcW w:w="1624" w:type="dxa"/>
          </w:tcPr>
          <w:p w14:paraId="627B5FA3" w14:textId="77777777" w:rsidR="00AE3B12" w:rsidRPr="0094288F" w:rsidRDefault="007818F5" w:rsidP="00D5305B">
            <w:pPr>
              <w:pStyle w:val="Table"/>
              <w:jc w:val="left"/>
              <w:rPr>
                <w:i/>
              </w:rPr>
            </w:pPr>
            <m:oMathPara>
              <m:oMathParaPr>
                <m:jc m:val="left"/>
              </m:oMathParaPr>
              <m:oMath>
                <m:sSub>
                  <m:sSubPr>
                    <m:ctrlPr>
                      <w:rPr>
                        <w:rFonts w:ascii="Cambria Math" w:hAnsi="Cambria Math"/>
                        <w:i/>
                      </w:rPr>
                    </m:ctrlPr>
                  </m:sSubPr>
                  <m:e>
                    <m:r>
                      <w:rPr>
                        <w:rFonts w:ascii="Cambria Math" w:hAnsi="Cambria Math"/>
                      </w:rPr>
                      <m:t>CRD</m:t>
                    </m:r>
                  </m:e>
                  <m:sub>
                    <m:r>
                      <w:rPr>
                        <w:rFonts w:ascii="Cambria Math" w:hAnsi="Cambria Math"/>
                      </w:rPr>
                      <m:t>i,t</m:t>
                    </m:r>
                  </m:sub>
                </m:sSub>
                <m:r>
                  <w:rPr>
                    <w:rFonts w:ascii="Cambria Math" w:hAnsi="Cambria Math"/>
                  </w:rPr>
                  <m:t>(p)</m:t>
                </m:r>
              </m:oMath>
            </m:oMathPara>
          </w:p>
        </w:tc>
        <w:tc>
          <w:tcPr>
            <w:tcW w:w="7736" w:type="dxa"/>
          </w:tcPr>
          <w:p w14:paraId="3210DE49" w14:textId="77777777" w:rsidR="00AE3B12" w:rsidRDefault="00AE3B12" w:rsidP="00D5305B">
            <w:pPr>
              <w:pStyle w:val="Table"/>
              <w:jc w:val="left"/>
            </w:pPr>
            <w:r>
              <w:t xml:space="preserve">Incremental energy cost allocated to Regulation Down schedule of Resource </w:t>
            </w:r>
            <w:r>
              <w:rPr>
                <w:i/>
              </w:rPr>
              <w:t>i</w:t>
            </w:r>
            <w:r>
              <w:t xml:space="preserve"> in time period </w:t>
            </w:r>
            <w:r>
              <w:rPr>
                <w:i/>
              </w:rPr>
              <w:t>t</w:t>
            </w:r>
            <w:r>
              <w:t>.</w:t>
            </w:r>
          </w:p>
        </w:tc>
      </w:tr>
      <w:tr w:rsidR="00AE3B12" w14:paraId="57B80BC1" w14:textId="77777777" w:rsidTr="00EC7234">
        <w:trPr>
          <w:cantSplit/>
        </w:trPr>
        <w:tc>
          <w:tcPr>
            <w:tcW w:w="1624" w:type="dxa"/>
          </w:tcPr>
          <w:p w14:paraId="5EE53658" w14:textId="77777777" w:rsidR="00AE3B12" w:rsidRPr="0094288F" w:rsidRDefault="00AE3B12" w:rsidP="00D5305B">
            <w:pPr>
              <w:pStyle w:val="Table"/>
              <w:jc w:val="left"/>
              <w:rPr>
                <w:i/>
              </w:rPr>
            </w:pPr>
            <w:r>
              <w:rPr>
                <w:i/>
              </w:rPr>
              <w:t>PU</w:t>
            </w:r>
            <w:r>
              <w:rPr>
                <w:i/>
                <w:vertAlign w:val="subscript"/>
              </w:rPr>
              <w:t>H</w:t>
            </w:r>
          </w:p>
        </w:tc>
        <w:tc>
          <w:tcPr>
            <w:tcW w:w="7736" w:type="dxa"/>
          </w:tcPr>
          <w:p w14:paraId="1A62B4A0" w14:textId="77777777" w:rsidR="00AE3B12" w:rsidRDefault="00AE3B12" w:rsidP="00D5305B">
            <w:pPr>
              <w:pStyle w:val="Table"/>
              <w:jc w:val="left"/>
            </w:pPr>
            <w:r>
              <w:t>High penalty price for Regulation Up.</w:t>
            </w:r>
          </w:p>
        </w:tc>
      </w:tr>
      <w:tr w:rsidR="00AE3B12" w14:paraId="133373CC" w14:textId="77777777" w:rsidTr="00EC7234">
        <w:trPr>
          <w:cantSplit/>
        </w:trPr>
        <w:tc>
          <w:tcPr>
            <w:tcW w:w="1624" w:type="dxa"/>
          </w:tcPr>
          <w:p w14:paraId="4AA7DCB4" w14:textId="77777777" w:rsidR="00AE3B12" w:rsidRPr="0094288F" w:rsidRDefault="00AE3B12" w:rsidP="00D5305B">
            <w:pPr>
              <w:pStyle w:val="Table"/>
              <w:jc w:val="left"/>
              <w:rPr>
                <w:i/>
              </w:rPr>
            </w:pPr>
            <w:r>
              <w:rPr>
                <w:i/>
              </w:rPr>
              <w:t>PU</w:t>
            </w:r>
            <w:r>
              <w:rPr>
                <w:i/>
                <w:vertAlign w:val="subscript"/>
              </w:rPr>
              <w:t>L</w:t>
            </w:r>
          </w:p>
        </w:tc>
        <w:tc>
          <w:tcPr>
            <w:tcW w:w="7736" w:type="dxa"/>
          </w:tcPr>
          <w:p w14:paraId="24CACD51" w14:textId="77777777" w:rsidR="00AE3B12" w:rsidRDefault="00AE3B12" w:rsidP="00D5305B">
            <w:pPr>
              <w:pStyle w:val="Table"/>
              <w:jc w:val="left"/>
            </w:pPr>
            <w:r>
              <w:t xml:space="preserve">Low penalty price for Regulation Up; </w:t>
            </w:r>
            <m:oMath>
              <m:r>
                <w:rPr>
                  <w:rFonts w:ascii="Cambria Math" w:hAnsi="Cambria Math"/>
                </w:rPr>
                <m:t>0≪</m:t>
              </m:r>
              <m:sSub>
                <m:sSubPr>
                  <m:ctrlPr>
                    <w:rPr>
                      <w:rFonts w:ascii="Cambria Math" w:hAnsi="Cambria Math"/>
                      <w:i/>
                    </w:rPr>
                  </m:ctrlPr>
                </m:sSubPr>
                <m:e>
                  <m:r>
                    <w:rPr>
                      <w:rFonts w:ascii="Cambria Math" w:hAnsi="Cambria Math"/>
                    </w:rPr>
                    <m:t>PU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PU</m:t>
                  </m:r>
                </m:e>
                <m:sub>
                  <m:r>
                    <w:rPr>
                      <w:rFonts w:ascii="Cambria Math" w:hAnsi="Cambria Math"/>
                    </w:rPr>
                    <m:t>H</m:t>
                  </m:r>
                </m:sub>
              </m:sSub>
            </m:oMath>
            <w:r>
              <w:t>.</w:t>
            </w:r>
          </w:p>
        </w:tc>
      </w:tr>
      <w:tr w:rsidR="00AE3B12" w14:paraId="27C9543D" w14:textId="77777777" w:rsidTr="00EC7234">
        <w:trPr>
          <w:cantSplit/>
        </w:trPr>
        <w:tc>
          <w:tcPr>
            <w:tcW w:w="1624" w:type="dxa"/>
          </w:tcPr>
          <w:p w14:paraId="37EE04A5" w14:textId="77777777" w:rsidR="00AE3B12" w:rsidRPr="0094288F" w:rsidRDefault="00AE3B12" w:rsidP="00D5305B">
            <w:pPr>
              <w:pStyle w:val="Table"/>
              <w:jc w:val="left"/>
              <w:rPr>
                <w:i/>
              </w:rPr>
            </w:pPr>
            <w:r>
              <w:rPr>
                <w:i/>
              </w:rPr>
              <w:t>PD</w:t>
            </w:r>
            <w:r>
              <w:rPr>
                <w:i/>
                <w:vertAlign w:val="subscript"/>
              </w:rPr>
              <w:t>H</w:t>
            </w:r>
          </w:p>
        </w:tc>
        <w:tc>
          <w:tcPr>
            <w:tcW w:w="7736" w:type="dxa"/>
          </w:tcPr>
          <w:p w14:paraId="4134F5DF" w14:textId="77777777" w:rsidR="00AE3B12" w:rsidRDefault="00AE3B12" w:rsidP="00D5305B">
            <w:pPr>
              <w:pStyle w:val="Table"/>
              <w:jc w:val="left"/>
            </w:pPr>
            <w:r>
              <w:t>High penalty price for Regulation Down.</w:t>
            </w:r>
          </w:p>
        </w:tc>
      </w:tr>
      <w:tr w:rsidR="00AE3B12" w14:paraId="1F980FDE" w14:textId="77777777" w:rsidTr="00EC7234">
        <w:trPr>
          <w:cantSplit/>
        </w:trPr>
        <w:tc>
          <w:tcPr>
            <w:tcW w:w="1624" w:type="dxa"/>
          </w:tcPr>
          <w:p w14:paraId="71B17509" w14:textId="77777777" w:rsidR="00AE3B12" w:rsidRPr="0094288F" w:rsidRDefault="00AE3B12" w:rsidP="00D5305B">
            <w:pPr>
              <w:pStyle w:val="Table"/>
              <w:jc w:val="left"/>
              <w:rPr>
                <w:i/>
              </w:rPr>
            </w:pPr>
            <w:r>
              <w:rPr>
                <w:i/>
              </w:rPr>
              <w:t>PU</w:t>
            </w:r>
            <w:r>
              <w:rPr>
                <w:i/>
                <w:vertAlign w:val="subscript"/>
              </w:rPr>
              <w:t>L</w:t>
            </w:r>
          </w:p>
        </w:tc>
        <w:tc>
          <w:tcPr>
            <w:tcW w:w="7736" w:type="dxa"/>
          </w:tcPr>
          <w:p w14:paraId="3FE3C20C" w14:textId="77777777" w:rsidR="00AE3B12" w:rsidRDefault="00AE3B12" w:rsidP="00D5305B">
            <w:pPr>
              <w:pStyle w:val="Table"/>
              <w:jc w:val="left"/>
            </w:pPr>
            <w:r>
              <w:t xml:space="preserve">Low penalty price for Regulation Down; </w:t>
            </w:r>
            <m:oMath>
              <m:sSub>
                <m:sSubPr>
                  <m:ctrlPr>
                    <w:rPr>
                      <w:rFonts w:ascii="Cambria Math" w:hAnsi="Cambria Math"/>
                      <w:i/>
                    </w:rPr>
                  </m:ctrlPr>
                </m:sSubPr>
                <m:e>
                  <m:r>
                    <w:rPr>
                      <w:rFonts w:ascii="Cambria Math" w:hAnsi="Cambria Math"/>
                    </w:rPr>
                    <m:t>PD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H</m:t>
                  </m:r>
                </m:sub>
              </m:sSub>
              <m:r>
                <w:rPr>
                  <w:rFonts w:ascii="Cambria Math" w:hAnsi="Cambria Math"/>
                </w:rPr>
                <m:t>≪0</m:t>
              </m:r>
            </m:oMath>
            <w:r>
              <w:t>.</w:t>
            </w:r>
          </w:p>
        </w:tc>
      </w:tr>
      <w:tr w:rsidR="00AE3B12" w14:paraId="6C5A6864" w14:textId="77777777" w:rsidTr="00EC7234">
        <w:trPr>
          <w:cantSplit/>
        </w:trPr>
        <w:tc>
          <w:tcPr>
            <w:tcW w:w="1624" w:type="dxa"/>
          </w:tcPr>
          <w:p w14:paraId="27A57265" w14:textId="77777777" w:rsidR="00AE3B12" w:rsidRDefault="00AE3B12" w:rsidP="00D5305B">
            <w:pPr>
              <w:pStyle w:val="Table"/>
              <w:jc w:val="left"/>
              <w:rPr>
                <w:i/>
              </w:rPr>
            </w:pPr>
            <w:r>
              <w:rPr>
                <w:i/>
              </w:rPr>
              <w:t>A</w:t>
            </w:r>
            <w:r w:rsidRPr="00D00802">
              <w:rPr>
                <w:i/>
                <w:vertAlign w:val="subscript"/>
              </w:rPr>
              <w:t>U</w:t>
            </w:r>
          </w:p>
        </w:tc>
        <w:tc>
          <w:tcPr>
            <w:tcW w:w="7736" w:type="dxa"/>
          </w:tcPr>
          <w:p w14:paraId="11224FC1" w14:textId="77777777" w:rsidR="00AE3B12" w:rsidRDefault="00AE3B12" w:rsidP="00D5305B">
            <w:pPr>
              <w:pStyle w:val="Table"/>
              <w:jc w:val="left"/>
            </w:pPr>
            <w:r>
              <w:t>Linear penalty price transformation coefficient for Regulation Up.</w:t>
            </w:r>
          </w:p>
        </w:tc>
      </w:tr>
      <w:tr w:rsidR="00AE3B12" w14:paraId="6AADDB6C" w14:textId="77777777" w:rsidTr="00EC7234">
        <w:trPr>
          <w:cantSplit/>
        </w:trPr>
        <w:tc>
          <w:tcPr>
            <w:tcW w:w="1624" w:type="dxa"/>
          </w:tcPr>
          <w:p w14:paraId="6363B6E4" w14:textId="77777777" w:rsidR="00AE3B12" w:rsidRDefault="00AE3B12" w:rsidP="00D5305B">
            <w:pPr>
              <w:pStyle w:val="Table"/>
              <w:jc w:val="left"/>
              <w:rPr>
                <w:i/>
              </w:rPr>
            </w:pPr>
            <w:r>
              <w:rPr>
                <w:i/>
              </w:rPr>
              <w:t>B</w:t>
            </w:r>
            <w:r w:rsidRPr="00D00802">
              <w:rPr>
                <w:i/>
                <w:vertAlign w:val="subscript"/>
              </w:rPr>
              <w:t>U</w:t>
            </w:r>
          </w:p>
        </w:tc>
        <w:tc>
          <w:tcPr>
            <w:tcW w:w="7736" w:type="dxa"/>
          </w:tcPr>
          <w:p w14:paraId="036C3EB2" w14:textId="77777777" w:rsidR="00AE3B12" w:rsidRDefault="00AE3B12" w:rsidP="00D5305B">
            <w:pPr>
              <w:pStyle w:val="Table"/>
              <w:jc w:val="left"/>
            </w:pPr>
            <w:r>
              <w:t>Constant penalty price transformation for Regulation Up.</w:t>
            </w:r>
          </w:p>
        </w:tc>
      </w:tr>
      <w:tr w:rsidR="00AE3B12" w14:paraId="4F6A0D4F" w14:textId="77777777" w:rsidTr="00EC7234">
        <w:trPr>
          <w:cantSplit/>
        </w:trPr>
        <w:tc>
          <w:tcPr>
            <w:tcW w:w="1624" w:type="dxa"/>
          </w:tcPr>
          <w:p w14:paraId="2AC7B73F" w14:textId="77777777" w:rsidR="00AE3B12" w:rsidRDefault="00AE3B12" w:rsidP="00D5305B">
            <w:pPr>
              <w:pStyle w:val="Table"/>
              <w:jc w:val="left"/>
              <w:rPr>
                <w:i/>
              </w:rPr>
            </w:pPr>
            <w:r>
              <w:rPr>
                <w:i/>
              </w:rPr>
              <w:t>A</w:t>
            </w:r>
            <w:r w:rsidRPr="00D00802">
              <w:rPr>
                <w:i/>
                <w:vertAlign w:val="subscript"/>
              </w:rPr>
              <w:t>D</w:t>
            </w:r>
          </w:p>
        </w:tc>
        <w:tc>
          <w:tcPr>
            <w:tcW w:w="7736" w:type="dxa"/>
          </w:tcPr>
          <w:p w14:paraId="4ACDACC6" w14:textId="77777777" w:rsidR="00AE3B12" w:rsidRDefault="00AE3B12" w:rsidP="00D5305B">
            <w:pPr>
              <w:pStyle w:val="Table"/>
              <w:jc w:val="left"/>
            </w:pPr>
            <w:r>
              <w:t>Linear penalty price transformation coefficient for Regulation Down.</w:t>
            </w:r>
          </w:p>
        </w:tc>
      </w:tr>
      <w:tr w:rsidR="00AE3B12" w14:paraId="61E86BAC" w14:textId="77777777" w:rsidTr="00EC7234">
        <w:trPr>
          <w:cantSplit/>
        </w:trPr>
        <w:tc>
          <w:tcPr>
            <w:tcW w:w="1624" w:type="dxa"/>
          </w:tcPr>
          <w:p w14:paraId="328D6053" w14:textId="77777777" w:rsidR="00AE3B12" w:rsidRDefault="00AE3B12" w:rsidP="00D5305B">
            <w:pPr>
              <w:pStyle w:val="Table"/>
              <w:jc w:val="left"/>
              <w:rPr>
                <w:i/>
              </w:rPr>
            </w:pPr>
            <w:r>
              <w:rPr>
                <w:i/>
              </w:rPr>
              <w:t>B</w:t>
            </w:r>
            <w:r w:rsidRPr="00D00802">
              <w:rPr>
                <w:i/>
                <w:vertAlign w:val="subscript"/>
              </w:rPr>
              <w:t>D</w:t>
            </w:r>
          </w:p>
        </w:tc>
        <w:tc>
          <w:tcPr>
            <w:tcW w:w="7736" w:type="dxa"/>
          </w:tcPr>
          <w:p w14:paraId="74B514B5" w14:textId="77777777" w:rsidR="00AE3B12" w:rsidRDefault="00AE3B12" w:rsidP="00D5305B">
            <w:pPr>
              <w:pStyle w:val="Table"/>
              <w:jc w:val="left"/>
            </w:pPr>
            <w:r>
              <w:t>Constant penalty price transformation for Regulation Down.</w:t>
            </w:r>
          </w:p>
        </w:tc>
      </w:tr>
    </w:tbl>
    <w:p w14:paraId="2C779282" w14:textId="77777777" w:rsidR="00AE3B12" w:rsidRDefault="00AE3B12" w:rsidP="00877DDB">
      <w:pPr>
        <w:pStyle w:val="BPM"/>
      </w:pPr>
      <w:r>
        <w:t>The contribution of Regulation dispatch in the Scheduling Run objective function is as follows:</w:t>
      </w:r>
    </w:p>
    <w:p w14:paraId="023C43B9" w14:textId="77777777" w:rsidR="00AE3B12" w:rsidRPr="00875BAD" w:rsidRDefault="00AE3B12" w:rsidP="00AE3B12">
      <w:pPr>
        <w:pStyle w:val="Equation"/>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k</m:t>
                          </m:r>
                        </m:sub>
                      </m:sSub>
                    </m:sub>
                    <m:sup/>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RU</m:t>
                              </m:r>
                            </m:e>
                            <m:sub>
                              <m:r>
                                <w:rPr>
                                  <w:rFonts w:ascii="Cambria Math" w:hAnsi="Cambria Math"/>
                                </w:rPr>
                                <m:t>i,t</m:t>
                              </m:r>
                            </m:sub>
                          </m:s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CRU</m:t>
                                  </m:r>
                                </m:e>
                                <m:sub>
                                  <m:r>
                                    <w:rPr>
                                      <w:rFonts w:ascii="Cambria Math" w:hAnsi="Cambria Math"/>
                                    </w:rPr>
                                    <m:t>i,t</m:t>
                                  </m:r>
                                </m:sub>
                              </m:sSub>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U</m:t>
                                  </m:r>
                                </m:sub>
                              </m:sSub>
                            </m:e>
                          </m:d>
                          <m:r>
                            <w:rPr>
                              <w:rFonts w:ascii="Cambria Math" w:hAnsi="Cambria Math"/>
                            </w:rPr>
                            <m:t xml:space="preserve"> dp</m:t>
                          </m:r>
                        </m:e>
                      </m:nary>
                    </m:e>
                  </m:nary>
                  <m:r>
                    <w:rPr>
                      <w:rFonts w:ascii="Cambria Math" w:hAnsi="Cambria Math"/>
                    </w:rPr>
                    <m:t xml:space="preserve"> </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k</m:t>
                          </m:r>
                        </m:sub>
                      </m:sSub>
                    </m:sub>
                    <m:sup/>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RD</m:t>
                              </m:r>
                            </m:e>
                            <m:sub>
                              <m:r>
                                <w:rPr>
                                  <w:rFonts w:ascii="Cambria Math" w:hAnsi="Cambria Math"/>
                                </w:rPr>
                                <m:t>i,t</m:t>
                              </m:r>
                            </m:sub>
                          </m:s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CRD</m:t>
                                  </m:r>
                                </m:e>
                                <m:sub>
                                  <m:r>
                                    <w:rPr>
                                      <w:rFonts w:ascii="Cambria Math" w:hAnsi="Cambria Math"/>
                                    </w:rPr>
                                    <m:t>i,t</m:t>
                                  </m:r>
                                </m:sub>
                              </m:sSub>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D</m:t>
                                  </m:r>
                                </m:sub>
                              </m:sSub>
                            </m:e>
                          </m:d>
                          <m:r>
                            <w:rPr>
                              <w:rFonts w:ascii="Cambria Math" w:hAnsi="Cambria Math"/>
                            </w:rPr>
                            <m:t xml:space="preserve"> dp</m:t>
                          </m:r>
                        </m:e>
                      </m:nary>
                    </m:e>
                  </m:nary>
                  <m:r>
                    <w:rPr>
                      <w:rFonts w:ascii="Cambria Math" w:hAnsi="Cambria Math"/>
                    </w:rPr>
                    <m:t xml:space="preserve"> </m:t>
                  </m:r>
                </m:e>
              </m:nary>
            </m:e>
          </m:nary>
        </m:oMath>
      </m:oMathPara>
    </w:p>
    <w:p w14:paraId="5CFEB00D" w14:textId="77777777" w:rsidR="00AE3B12" w:rsidRDefault="00AE3B12" w:rsidP="00877DDB">
      <w:pPr>
        <w:pStyle w:val="BPM"/>
      </w:pPr>
      <w:r>
        <w:t>Where the linear transformation parameters for the economically differentiated penalty prices are derived as follows:</w:t>
      </w:r>
    </w:p>
    <w:p w14:paraId="31B4C422" w14:textId="77777777" w:rsidR="00AE3B12" w:rsidRPr="00E93DE7" w:rsidRDefault="007818F5" w:rsidP="00AE3B12">
      <w:pPr>
        <w:pStyle w:val="Equation"/>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PU</m:t>
                                </m:r>
                              </m:e>
                              <m:sub>
                                <m:r>
                                  <w:rPr>
                                    <w:rFonts w:ascii="Cambria Math" w:hAnsi="Cambria Math"/>
                                  </w:rPr>
                                  <m:t>L</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CRU</m:t>
                                        </m:r>
                                      </m:e>
                                      <m:sub>
                                        <m:r>
                                          <w:rPr>
                                            <w:rFonts w:ascii="Cambria Math" w:hAnsi="Cambria Math"/>
                                          </w:rPr>
                                          <m:t>i,t</m:t>
                                        </m:r>
                                      </m:sub>
                                    </m:sSub>
                                    <m:d>
                                      <m:dPr>
                                        <m:ctrlPr>
                                          <w:rPr>
                                            <w:rFonts w:ascii="Cambria Math" w:hAnsi="Cambria Math"/>
                                            <w:i/>
                                          </w:rPr>
                                        </m:ctrlPr>
                                      </m:dPr>
                                      <m:e>
                                        <m:r>
                                          <w:rPr>
                                            <w:rFonts w:ascii="Cambria Math" w:hAnsi="Cambria Math"/>
                                          </w:rPr>
                                          <m:t>p</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CRU</m:t>
                                        </m:r>
                                      </m:e>
                                      <m:sub>
                                        <m:r>
                                          <w:rPr>
                                            <w:rFonts w:ascii="Cambria Math" w:hAnsi="Cambria Math"/>
                                          </w:rPr>
                                          <m:t>i,t</m:t>
                                        </m:r>
                                      </m:sub>
                                    </m:sSub>
                                    <m:d>
                                      <m:dPr>
                                        <m:ctrlPr>
                                          <w:rPr>
                                            <w:rFonts w:ascii="Cambria Math" w:hAnsi="Cambria Math"/>
                                            <w:i/>
                                          </w:rPr>
                                        </m:ctrlPr>
                                      </m:dPr>
                                      <m:e>
                                        <m:r>
                                          <w:rPr>
                                            <w:rFonts w:ascii="Cambria Math" w:hAnsi="Cambria Math"/>
                                          </w:rPr>
                                          <m:t>p</m:t>
                                        </m:r>
                                      </m:e>
                                    </m:d>
                                  </m:e>
                                </m:d>
                              </m:e>
                            </m:func>
                          </m:den>
                        </m:f>
                      </m:e>
                    </m:d>
                  </m:e>
                </m:func>
              </m:e>
            </m:mr>
            <m:mr>
              <m:e>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CRU</m:t>
                            </m:r>
                          </m:e>
                          <m:sub>
                            <m:r>
                              <w:rPr>
                                <w:rFonts w:ascii="Cambria Math" w:hAnsi="Cambria Math"/>
                              </w:rPr>
                              <m:t>i,t</m:t>
                            </m:r>
                          </m:sub>
                        </m:sSub>
                        <m:d>
                          <m:dPr>
                            <m:ctrlPr>
                              <w:rPr>
                                <w:rFonts w:ascii="Cambria Math" w:hAnsi="Cambria Math"/>
                                <w:i/>
                              </w:rPr>
                            </m:ctrlPr>
                          </m:dPr>
                          <m:e>
                            <m:r>
                              <w:rPr>
                                <w:rFonts w:ascii="Cambria Math" w:hAnsi="Cambria Math"/>
                              </w:rPr>
                              <m:t>p</m:t>
                            </m:r>
                          </m:e>
                        </m:d>
                      </m:e>
                    </m:d>
                  </m:e>
                </m:func>
              </m:e>
            </m:mr>
          </m:m>
        </m:oMath>
      </m:oMathPara>
    </w:p>
    <w:p w14:paraId="7ED51BEC" w14:textId="77777777" w:rsidR="00AE3B12" w:rsidRPr="00E93DE7" w:rsidRDefault="007818F5" w:rsidP="00AE3B12">
      <w:pPr>
        <w:pStyle w:val="Equation"/>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L</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CRD</m:t>
                                        </m:r>
                                      </m:e>
                                      <m:sub>
                                        <m:r>
                                          <w:rPr>
                                            <w:rFonts w:ascii="Cambria Math" w:hAnsi="Cambria Math"/>
                                          </w:rPr>
                                          <m:t>i,t</m:t>
                                        </m:r>
                                      </m:sub>
                                    </m:sSub>
                                    <m:d>
                                      <m:dPr>
                                        <m:ctrlPr>
                                          <w:rPr>
                                            <w:rFonts w:ascii="Cambria Math" w:hAnsi="Cambria Math"/>
                                            <w:i/>
                                          </w:rPr>
                                        </m:ctrlPr>
                                      </m:dPr>
                                      <m:e>
                                        <m:r>
                                          <w:rPr>
                                            <w:rFonts w:ascii="Cambria Math" w:hAnsi="Cambria Math"/>
                                          </w:rPr>
                                          <m:t>p</m:t>
                                        </m:r>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CRD</m:t>
                                        </m:r>
                                      </m:e>
                                      <m:sub>
                                        <m:r>
                                          <w:rPr>
                                            <w:rFonts w:ascii="Cambria Math" w:hAnsi="Cambria Math"/>
                                          </w:rPr>
                                          <m:t>i,t</m:t>
                                        </m:r>
                                      </m:sub>
                                    </m:sSub>
                                    <m:d>
                                      <m:dPr>
                                        <m:ctrlPr>
                                          <w:rPr>
                                            <w:rFonts w:ascii="Cambria Math" w:hAnsi="Cambria Math"/>
                                            <w:i/>
                                          </w:rPr>
                                        </m:ctrlPr>
                                      </m:dPr>
                                      <m:e>
                                        <m:r>
                                          <w:rPr>
                                            <w:rFonts w:ascii="Cambria Math" w:hAnsi="Cambria Math"/>
                                          </w:rPr>
                                          <m:t>p</m:t>
                                        </m:r>
                                      </m:e>
                                    </m:d>
                                  </m:e>
                                </m:d>
                              </m:e>
                            </m:func>
                          </m:den>
                        </m:f>
                      </m:e>
                    </m:d>
                  </m:e>
                </m:func>
              </m:e>
            </m:mr>
            <m:mr>
              <m:e>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i,t</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CRD</m:t>
                            </m:r>
                          </m:e>
                          <m:sub>
                            <m:r>
                              <w:rPr>
                                <w:rFonts w:ascii="Cambria Math" w:hAnsi="Cambria Math"/>
                              </w:rPr>
                              <m:t>i,t</m:t>
                            </m:r>
                          </m:sub>
                        </m:sSub>
                        <m:d>
                          <m:dPr>
                            <m:ctrlPr>
                              <w:rPr>
                                <w:rFonts w:ascii="Cambria Math" w:hAnsi="Cambria Math"/>
                                <w:i/>
                              </w:rPr>
                            </m:ctrlPr>
                          </m:dPr>
                          <m:e>
                            <m:r>
                              <w:rPr>
                                <w:rFonts w:ascii="Cambria Math" w:hAnsi="Cambria Math"/>
                              </w:rPr>
                              <m:t>p</m:t>
                            </m:r>
                          </m:e>
                        </m:d>
                      </m:e>
                    </m:d>
                  </m:e>
                </m:func>
              </m:e>
            </m:mr>
          </m:m>
        </m:oMath>
      </m:oMathPara>
    </w:p>
    <w:p w14:paraId="509D2931" w14:textId="77777777" w:rsidR="00E44654" w:rsidRPr="00E93DE7" w:rsidRDefault="00E44654" w:rsidP="00877DDB">
      <w:pPr>
        <w:pStyle w:val="BPM"/>
      </w:pPr>
      <w:r>
        <w:t>Regulation Up/Down dispatch in the Scheduling Run is prevented when the EIM Transfer is higher/lower than the base EIM Transfer for the EIM BAA as follows:</w:t>
      </w:r>
    </w:p>
    <w:p w14:paraId="38420B67" w14:textId="77777777" w:rsidR="00E44654" w:rsidRPr="003D5F2D" w:rsidRDefault="007818F5" w:rsidP="00E44654">
      <w:pPr>
        <w:pStyle w:val="Paragrap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k,t</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k,t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RU</m:t>
                            </m:r>
                          </m:e>
                          <m:sub>
                            <m:r>
                              <w:rPr>
                                <w:rFonts w:ascii="Cambria Math" w:hAnsi="Cambria Math"/>
                              </w:rPr>
                              <m:t>i,t</m:t>
                            </m:r>
                          </m:sub>
                        </m:sSub>
                      </m:e>
                    </m:nary>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k,t</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k,t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RD</m:t>
                            </m:r>
                          </m:e>
                          <m:sub>
                            <m:r>
                              <w:rPr>
                                <w:rFonts w:ascii="Cambria Math" w:hAnsi="Cambria Math"/>
                              </w:rPr>
                              <m:t>i,t</m:t>
                            </m:r>
                          </m:sub>
                        </m:sSub>
                      </m:e>
                    </m:nary>
                    <m:r>
                      <w:rPr>
                        <w:rFonts w:ascii="Cambria Math" w:hAnsi="Cambria Math"/>
                      </w:rPr>
                      <m:t>=0</m:t>
                    </m:r>
                  </m:e>
                </m:mr>
              </m:m>
            </m:e>
          </m:d>
          <m:r>
            <w:rPr>
              <w:rFonts w:ascii="Cambria Math" w:hAnsi="Cambria Math"/>
            </w:rPr>
            <m:t>, ∀k,t</m:t>
          </m:r>
        </m:oMath>
      </m:oMathPara>
    </w:p>
    <w:p w14:paraId="58BC36A6" w14:textId="77777777" w:rsidR="00E44654" w:rsidRDefault="00E44654" w:rsidP="00877DDB">
      <w:pPr>
        <w:pStyle w:val="BPM"/>
      </w:pPr>
      <w:r>
        <w:t>Regulation Up/Down dispatch in the Scheduling Run is also limited by the base Regulation schedule as follows:</w:t>
      </w:r>
    </w:p>
    <w:p w14:paraId="6F7569FE" w14:textId="77777777" w:rsidR="00AE3B12" w:rsidRPr="003D5F2D" w:rsidRDefault="00AE3B12" w:rsidP="00AE3B12">
      <w:pPr>
        <w:pStyle w:val="Paragraph"/>
      </w:pPr>
      <m:oMathPara>
        <m:oMath>
          <m:r>
            <w:rPr>
              <w:rFonts w:ascii="Cambria Math" w:hAnsi="Cambria Math"/>
            </w:rPr>
            <m:t>0≤</m:t>
          </m:r>
          <m:sSub>
            <m:sSubPr>
              <m:ctrlPr>
                <w:rPr>
                  <w:rFonts w:ascii="Cambria Math" w:hAnsi="Cambria Math"/>
                  <w:i/>
                </w:rPr>
              </m:ctrlPr>
            </m:sSubPr>
            <m:e>
              <m:r>
                <w:rPr>
                  <w:rFonts w:ascii="Cambria Math" w:hAnsi="Cambria Math"/>
                </w:rPr>
                <m:t>RU</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RU</m:t>
                  </m:r>
                </m:e>
              </m:acc>
            </m:e>
            <m:sub>
              <m:r>
                <w:rPr>
                  <w:rFonts w:ascii="Cambria Math" w:hAnsi="Cambria Math"/>
                </w:rPr>
                <m:t>i,t</m:t>
              </m:r>
            </m:sub>
          </m:sSub>
          <m:r>
            <w:rPr>
              <w:rFonts w:ascii="Cambria Math" w:hAnsi="Cambria Math"/>
            </w:rPr>
            <m:t>, ∀i,t</m:t>
          </m:r>
        </m:oMath>
      </m:oMathPara>
    </w:p>
    <w:p w14:paraId="06702213" w14:textId="77777777" w:rsidR="00AE3B12" w:rsidRPr="003D5F2D" w:rsidRDefault="00AE3B12" w:rsidP="00AE3B12">
      <w:pPr>
        <w:pStyle w:val="Paragraph"/>
      </w:pPr>
      <m:oMathPara>
        <m:oMath>
          <m:r>
            <w:rPr>
              <w:rFonts w:ascii="Cambria Math" w:hAnsi="Cambria Math"/>
            </w:rPr>
            <m:t>0≥</m:t>
          </m:r>
          <m:sSub>
            <m:sSubPr>
              <m:ctrlPr>
                <w:rPr>
                  <w:rFonts w:ascii="Cambria Math" w:hAnsi="Cambria Math"/>
                  <w:i/>
                </w:rPr>
              </m:ctrlPr>
            </m:sSubPr>
            <m:e>
              <m:r>
                <w:rPr>
                  <w:rFonts w:ascii="Cambria Math" w:hAnsi="Cambria Math"/>
                </w:rPr>
                <m:t>RD</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RD</m:t>
                  </m:r>
                </m:e>
              </m:acc>
            </m:e>
            <m:sub>
              <m:r>
                <w:rPr>
                  <w:rFonts w:ascii="Cambria Math" w:hAnsi="Cambria Math"/>
                </w:rPr>
                <m:t>i,t</m:t>
              </m:r>
            </m:sub>
          </m:sSub>
          <m:r>
            <w:rPr>
              <w:rFonts w:ascii="Cambria Math" w:hAnsi="Cambria Math"/>
            </w:rPr>
            <m:t>, ∀i,t</m:t>
          </m:r>
        </m:oMath>
      </m:oMathPara>
    </w:p>
    <w:p w14:paraId="16D7DC7E" w14:textId="77777777" w:rsidR="00AE3B12" w:rsidRDefault="00AE3B12" w:rsidP="00877DDB">
      <w:pPr>
        <w:pStyle w:val="BPM"/>
      </w:pPr>
      <w:r>
        <w:t>Whereas the Regulation dispatch in the Pricing Run is limited by the optimal dispatch in the Scheduling Run as follows:</w:t>
      </w:r>
    </w:p>
    <w:p w14:paraId="723279FA" w14:textId="77777777" w:rsidR="00AE3B12" w:rsidRPr="003D5F2D" w:rsidRDefault="00AE3B12" w:rsidP="00AE3B12">
      <w:pPr>
        <w:pStyle w:val="Paragraph"/>
      </w:pPr>
      <m:oMathPara>
        <m:oMath>
          <m:r>
            <w:rPr>
              <w:rFonts w:ascii="Cambria Math" w:hAnsi="Cambria Math"/>
            </w:rPr>
            <m:t>0≤</m:t>
          </m:r>
          <m:sSub>
            <m:sSubPr>
              <m:ctrlPr>
                <w:rPr>
                  <w:rFonts w:ascii="Cambria Math" w:hAnsi="Cambria Math"/>
                  <w:i/>
                </w:rPr>
              </m:ctrlPr>
            </m:sSubPr>
            <m:e>
              <m:r>
                <w:rPr>
                  <w:rFonts w:ascii="Cambria Math" w:hAnsi="Cambria Math"/>
                </w:rPr>
                <m:t>RU</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RU</m:t>
                  </m:r>
                </m:e>
              </m:acc>
            </m:e>
            <m:sub>
              <m:r>
                <w:rPr>
                  <w:rFonts w:ascii="Cambria Math" w:hAnsi="Cambria Math"/>
                </w:rPr>
                <m:t>i,t</m:t>
              </m:r>
            </m:sub>
          </m:sSub>
          <m:r>
            <w:rPr>
              <w:rFonts w:ascii="Cambria Math" w:hAnsi="Cambria Math"/>
            </w:rPr>
            <m:t>, ∀i,t</m:t>
          </m:r>
        </m:oMath>
      </m:oMathPara>
    </w:p>
    <w:p w14:paraId="157E7278" w14:textId="77777777" w:rsidR="00AE3B12" w:rsidRPr="003D5F2D" w:rsidRDefault="00AE3B12" w:rsidP="00AE3B12">
      <w:pPr>
        <w:pStyle w:val="Paragraph"/>
      </w:pPr>
      <m:oMathPara>
        <m:oMath>
          <m:r>
            <w:rPr>
              <w:rFonts w:ascii="Cambria Math" w:hAnsi="Cambria Math"/>
            </w:rPr>
            <m:t>0≥</m:t>
          </m:r>
          <m:sSub>
            <m:sSubPr>
              <m:ctrlPr>
                <w:rPr>
                  <w:rFonts w:ascii="Cambria Math" w:hAnsi="Cambria Math"/>
                  <w:i/>
                </w:rPr>
              </m:ctrlPr>
            </m:sSubPr>
            <m:e>
              <m:r>
                <w:rPr>
                  <w:rFonts w:ascii="Cambria Math" w:hAnsi="Cambria Math"/>
                </w:rPr>
                <m:t>RD</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RD</m:t>
                  </m:r>
                </m:e>
              </m:acc>
            </m:e>
            <m:sub>
              <m:r>
                <w:rPr>
                  <w:rFonts w:ascii="Cambria Math" w:hAnsi="Cambria Math"/>
                </w:rPr>
                <m:t>i,t</m:t>
              </m:r>
            </m:sub>
          </m:sSub>
          <m:r>
            <w:rPr>
              <w:rFonts w:ascii="Cambria Math" w:hAnsi="Cambria Math"/>
            </w:rPr>
            <m:t>, ∀i,t</m:t>
          </m:r>
        </m:oMath>
      </m:oMathPara>
    </w:p>
    <w:p w14:paraId="60E5630B" w14:textId="77777777" w:rsidR="00CB3BFB" w:rsidRPr="00B00E71" w:rsidRDefault="00CB3BFB">
      <w:pPr>
        <w:pStyle w:val="Heading1"/>
        <w:numPr>
          <w:ilvl w:val="0"/>
          <w:numId w:val="0"/>
        </w:numPr>
        <w:rPr>
          <w:szCs w:val="34"/>
        </w:rPr>
      </w:pPr>
    </w:p>
    <w:sectPr w:rsidR="00CB3BFB" w:rsidRPr="00B00E71" w:rsidSect="00F446C9">
      <w:pgSz w:w="12240" w:h="15840"/>
      <w:pgMar w:top="1728" w:right="1440" w:bottom="17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DFEC5" w14:textId="77777777" w:rsidR="00F55122" w:rsidRDefault="00F55122">
      <w:r>
        <w:separator/>
      </w:r>
    </w:p>
  </w:endnote>
  <w:endnote w:type="continuationSeparator" w:id="0">
    <w:p w14:paraId="6ABCF707" w14:textId="77777777" w:rsidR="00F55122" w:rsidRDefault="00F55122">
      <w:r>
        <w:continuationSeparator/>
      </w:r>
    </w:p>
  </w:endnote>
  <w:endnote w:type="continuationNotice" w:id="1">
    <w:p w14:paraId="1DA828DD" w14:textId="77777777" w:rsidR="00F55122" w:rsidRDefault="00F55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525312"/>
      <w:docPartObj>
        <w:docPartGallery w:val="Page Numbers (Bottom of Page)"/>
        <w:docPartUnique/>
      </w:docPartObj>
    </w:sdtPr>
    <w:sdtEndPr/>
    <w:sdtContent>
      <w:sdt>
        <w:sdtPr>
          <w:id w:val="1728636285"/>
          <w:docPartObj>
            <w:docPartGallery w:val="Page Numbers (Top of Page)"/>
            <w:docPartUnique/>
          </w:docPartObj>
        </w:sdtPr>
        <w:sdtEndPr/>
        <w:sdtContent>
          <w:p w14:paraId="5971CEFC" w14:textId="0CD14FAD" w:rsidR="00F55122" w:rsidRDefault="00F55122">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7818F5">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7818F5">
              <w:rPr>
                <w:b/>
                <w:bCs/>
                <w:noProof/>
              </w:rPr>
              <w:t>86</w:t>
            </w:r>
            <w:r>
              <w:rPr>
                <w:b/>
                <w:bCs/>
                <w:sz w:val="24"/>
              </w:rPr>
              <w:fldChar w:fldCharType="end"/>
            </w:r>
          </w:p>
        </w:sdtContent>
      </w:sdt>
    </w:sdtContent>
  </w:sdt>
  <w:p w14:paraId="7E1E8C1C" w14:textId="77777777" w:rsidR="00F55122" w:rsidRDefault="00F55122" w:rsidP="00D174FE">
    <w:pPr>
      <w:pStyle w:val="Footer"/>
      <w:tabs>
        <w:tab w:val="left" w:pos="3600"/>
      </w:tabs>
      <w:rPr>
        <w:i w:val="0"/>
        <w:iCs/>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199790"/>
      <w:docPartObj>
        <w:docPartGallery w:val="Page Numbers (Bottom of Page)"/>
        <w:docPartUnique/>
      </w:docPartObj>
    </w:sdtPr>
    <w:sdtEndPr/>
    <w:sdtContent>
      <w:sdt>
        <w:sdtPr>
          <w:id w:val="-561410965"/>
          <w:docPartObj>
            <w:docPartGallery w:val="Page Numbers (Top of Page)"/>
            <w:docPartUnique/>
          </w:docPartObj>
        </w:sdtPr>
        <w:sdtEndPr/>
        <w:sdtContent>
          <w:p w14:paraId="48D5D729" w14:textId="61949925" w:rsidR="00F55122" w:rsidRDefault="00F55122">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7818F5">
              <w:rPr>
                <w:b/>
                <w:bCs/>
                <w:noProof/>
              </w:rPr>
              <w:t>55</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7818F5">
              <w:rPr>
                <w:b/>
                <w:bCs/>
                <w:noProof/>
              </w:rPr>
              <w:t>86</w:t>
            </w:r>
            <w:r>
              <w:rPr>
                <w:b/>
                <w:bCs/>
                <w:sz w:val="24"/>
              </w:rPr>
              <w:fldChar w:fldCharType="end"/>
            </w:r>
          </w:p>
        </w:sdtContent>
      </w:sdt>
    </w:sdtContent>
  </w:sdt>
  <w:p w14:paraId="4EAC24AC" w14:textId="77777777" w:rsidR="00F55122" w:rsidRDefault="00F55122" w:rsidP="00C33762">
    <w:pPr>
      <w:pStyle w:val="FootnoteText"/>
      <w:rPr>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731BF" w14:textId="77777777" w:rsidR="00F55122" w:rsidRDefault="00F55122">
      <w:r>
        <w:separator/>
      </w:r>
    </w:p>
  </w:footnote>
  <w:footnote w:type="continuationSeparator" w:id="0">
    <w:p w14:paraId="5307FC2E" w14:textId="77777777" w:rsidR="00F55122" w:rsidRDefault="00F55122">
      <w:r>
        <w:continuationSeparator/>
      </w:r>
    </w:p>
  </w:footnote>
  <w:footnote w:type="continuationNotice" w:id="1">
    <w:p w14:paraId="794BBAF8" w14:textId="77777777" w:rsidR="00F55122" w:rsidRDefault="00F55122"/>
  </w:footnote>
  <w:footnote w:id="2">
    <w:p w14:paraId="7BAE635B" w14:textId="77777777" w:rsidR="00F55122" w:rsidRPr="001935C7" w:rsidRDefault="00F55122" w:rsidP="00433896">
      <w:pPr>
        <w:pStyle w:val="FootnoteText"/>
      </w:pPr>
      <w:r>
        <w:rPr>
          <w:rStyle w:val="FootnoteReference"/>
        </w:rPr>
        <w:footnoteRef/>
      </w:r>
      <w:r>
        <w:t xml:space="preserve"> </w:t>
      </w:r>
      <w:r>
        <w:tab/>
        <w:t xml:space="preserve">EIM Incremental Flow is defined by the Coordinated Transmission Agreement as: The aggregate power flow contribution from the dispatch of EIM Participating Resources.  </w:t>
      </w:r>
      <w:r>
        <w:rPr>
          <w:i/>
        </w:rPr>
        <w:t>See</w:t>
      </w:r>
      <w:r>
        <w:t xml:space="preserve"> FERC Letter Order, Docket No. ER17-1493-000, June 20, 2017.</w:t>
      </w:r>
    </w:p>
  </w:footnote>
  <w:footnote w:id="3">
    <w:p w14:paraId="5F6940D8" w14:textId="77777777" w:rsidR="00F55122" w:rsidRDefault="00F55122" w:rsidP="00433896">
      <w:pPr>
        <w:pStyle w:val="FootnoteText"/>
      </w:pPr>
      <w:r>
        <w:rPr>
          <w:rStyle w:val="FootnoteReference"/>
        </w:rPr>
        <w:footnoteRef/>
      </w:r>
      <w:r>
        <w:t xml:space="preserve"> </w:t>
      </w:r>
      <w:r>
        <w:tab/>
        <w:t xml:space="preserve">EIM Area Total Flow is defined by the Coordinated Transmission Agreement as: The aggregate power flow contribution of flows resulting from EIM Base Schedules, Day-Head Schedules, and EIM Area Incremental Flows.  </w:t>
      </w:r>
      <w:r>
        <w:rPr>
          <w:i/>
        </w:rPr>
        <w:t>See</w:t>
      </w:r>
      <w:r>
        <w:t xml:space="preserve"> FERC Letter Order, Docket No. ER17-1493-000, June 20, 2017.</w:t>
      </w:r>
    </w:p>
  </w:footnote>
  <w:footnote w:id="4">
    <w:p w14:paraId="19B5C023" w14:textId="77777777" w:rsidR="00F55122" w:rsidRDefault="00F55122" w:rsidP="002815A0">
      <w:pPr>
        <w:pStyle w:val="FootnoteText"/>
      </w:pPr>
      <w:r>
        <w:rPr>
          <w:rStyle w:val="FootnoteReference"/>
        </w:rPr>
        <w:footnoteRef/>
      </w:r>
      <w:r>
        <w:t xml:space="preserve"> </w:t>
      </w:r>
      <w:r>
        <w:tab/>
        <w:t>Currently, RUC intertie schedules are not part of the base EIM Transfer because no scheduling is allowed from EIM BAA Scheduling Hubs in the Day-Ahead Market, and intertie schedules from existing CISO Scheduling Points in EIM BAAs are not considered EIM transactions; hence the base Energy Transfer schedules with the CISO and the base EIM Transfer for the CISO are all zero.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FA6A6" w14:textId="77777777" w:rsidR="00F55122" w:rsidRDefault="00F55122" w:rsidP="00B00E71">
    <w:pPr>
      <w:pStyle w:val="Header"/>
      <w:pBdr>
        <w:bottom w:val="single" w:sz="12" w:space="2" w:color="auto"/>
      </w:pBdr>
      <w:tabs>
        <w:tab w:val="clear" w:pos="8640"/>
        <w:tab w:val="left" w:pos="5760"/>
        <w:tab w:val="right" w:pos="9360"/>
      </w:tabs>
      <w:jc w:val="right"/>
      <w:rPr>
        <w:b w:val="0"/>
        <w:bCs/>
        <w:sz w:val="16"/>
      </w:rPr>
    </w:pPr>
    <w:r>
      <w:rPr>
        <w:b w:val="0"/>
        <w:bCs/>
        <w:sz w:val="16"/>
      </w:rPr>
      <w:t xml:space="preserve">CAISO Business Practice Manual                                                                         BPM for the Energy Imbalance Market                      </w:t>
    </w:r>
    <w:r>
      <w:rPr>
        <w:b w:val="0"/>
        <w:bCs/>
        <w:sz w:val="16"/>
      </w:rPr>
      <w:tab/>
    </w:r>
    <w:r>
      <w:rPr>
        <w:b w:val="0"/>
        <w:bCs/>
        <w:sz w:val="16"/>
      </w:rPr>
      <w:tab/>
    </w:r>
  </w:p>
  <w:p w14:paraId="5DB9103C" w14:textId="77777777" w:rsidR="00F55122" w:rsidRDefault="00F55122">
    <w:pPr>
      <w:pStyle w:val="Header"/>
      <w:rPr>
        <w:b w:val="0"/>
        <w:bCs/>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EBC87" w14:textId="2626260E" w:rsidR="00F55122" w:rsidRDefault="00F55122">
    <w:pPr>
      <w:pStyle w:val="Header"/>
    </w:pPr>
    <w:r w:rsidRPr="008D505E">
      <w:rPr>
        <w:noProof/>
      </w:rPr>
      <w:drawing>
        <wp:inline distT="0" distB="0" distL="0" distR="0" wp14:anchorId="1C047A83" wp14:editId="46B3E039">
          <wp:extent cx="2059305" cy="381635"/>
          <wp:effectExtent l="0" t="0" r="0" b="0"/>
          <wp:docPr id="94" name="Picture 94" descr="\\myfiles\home\jpayton\profile\Desktop\CAISOLogo-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files\home\jpayton\profile\Desktop\CAISOLogo-2.2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305" cy="3816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1A5C60"/>
    <w:lvl w:ilvl="0">
      <w:start w:val="1"/>
      <w:numFmt w:val="decimal"/>
      <w:pStyle w:val="ListNumber5"/>
      <w:lvlText w:val="%1)"/>
      <w:lvlJc w:val="left"/>
      <w:pPr>
        <w:ind w:left="1800" w:hanging="360"/>
      </w:pPr>
    </w:lvl>
  </w:abstractNum>
  <w:abstractNum w:abstractNumId="1" w15:restartNumberingAfterBreak="0">
    <w:nsid w:val="FFFFFF7D"/>
    <w:multiLevelType w:val="singleLevel"/>
    <w:tmpl w:val="2F1216D4"/>
    <w:lvl w:ilvl="0">
      <w:start w:val="1"/>
      <w:numFmt w:val="decimal"/>
      <w:pStyle w:val="ListNumber4"/>
      <w:lvlText w:val="%1)"/>
      <w:lvlJc w:val="left"/>
      <w:pPr>
        <w:ind w:left="1440" w:hanging="360"/>
      </w:pPr>
    </w:lvl>
  </w:abstractNum>
  <w:abstractNum w:abstractNumId="2" w15:restartNumberingAfterBreak="0">
    <w:nsid w:val="FFFFFF7E"/>
    <w:multiLevelType w:val="singleLevel"/>
    <w:tmpl w:val="589019F2"/>
    <w:lvl w:ilvl="0">
      <w:start w:val="1"/>
      <w:numFmt w:val="decimal"/>
      <w:pStyle w:val="ListNumber3"/>
      <w:lvlText w:val="%1)"/>
      <w:lvlJc w:val="left"/>
      <w:pPr>
        <w:ind w:left="1080" w:hanging="360"/>
      </w:pPr>
    </w:lvl>
  </w:abstractNum>
  <w:abstractNum w:abstractNumId="3" w15:restartNumberingAfterBreak="0">
    <w:nsid w:val="FFFFFF7F"/>
    <w:multiLevelType w:val="singleLevel"/>
    <w:tmpl w:val="351CBBBC"/>
    <w:lvl w:ilvl="0">
      <w:start w:val="1"/>
      <w:numFmt w:val="decimal"/>
      <w:pStyle w:val="ListNumber2"/>
      <w:lvlText w:val="%1)"/>
      <w:lvlJc w:val="left"/>
      <w:pPr>
        <w:ind w:left="720" w:hanging="360"/>
      </w:pPr>
    </w:lvl>
  </w:abstractNum>
  <w:abstractNum w:abstractNumId="4" w15:restartNumberingAfterBreak="0">
    <w:nsid w:val="FFFFFF88"/>
    <w:multiLevelType w:val="singleLevel"/>
    <w:tmpl w:val="E1507CEC"/>
    <w:lvl w:ilvl="0">
      <w:start w:val="1"/>
      <w:numFmt w:val="decimal"/>
      <w:pStyle w:val="ListNumber"/>
      <w:lvlText w:val="%1)"/>
      <w:lvlJc w:val="left"/>
      <w:pPr>
        <w:ind w:left="360" w:hanging="360"/>
      </w:pPr>
    </w:lvl>
  </w:abstractNum>
  <w:abstractNum w:abstractNumId="5" w15:restartNumberingAfterBreak="0">
    <w:nsid w:val="02663A5D"/>
    <w:multiLevelType w:val="hybridMultilevel"/>
    <w:tmpl w:val="41608D1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1E7770"/>
    <w:multiLevelType w:val="hybridMultilevel"/>
    <w:tmpl w:val="EC482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1F3866"/>
    <w:multiLevelType w:val="hybridMultilevel"/>
    <w:tmpl w:val="AE7EA65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F108FE"/>
    <w:multiLevelType w:val="hybridMultilevel"/>
    <w:tmpl w:val="5818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A7CB6"/>
    <w:multiLevelType w:val="hybridMultilevel"/>
    <w:tmpl w:val="33D026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0D407DFA"/>
    <w:multiLevelType w:val="hybridMultilevel"/>
    <w:tmpl w:val="ACEC7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8F5943"/>
    <w:multiLevelType w:val="hybridMultilevel"/>
    <w:tmpl w:val="AD5634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60C2"/>
    <w:multiLevelType w:val="hybridMultilevel"/>
    <w:tmpl w:val="96DA959A"/>
    <w:lvl w:ilvl="0" w:tplc="0724563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FFE301D"/>
    <w:multiLevelType w:val="hybridMultilevel"/>
    <w:tmpl w:val="96E67C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566DFD"/>
    <w:multiLevelType w:val="hybridMultilevel"/>
    <w:tmpl w:val="5EEE50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CA3FD4"/>
    <w:multiLevelType w:val="hybridMultilevel"/>
    <w:tmpl w:val="D1C6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FA4B0B"/>
    <w:multiLevelType w:val="hybridMultilevel"/>
    <w:tmpl w:val="DC3EB8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2016F6A"/>
    <w:multiLevelType w:val="hybridMultilevel"/>
    <w:tmpl w:val="B4BE5DBC"/>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15:restartNumberingAfterBreak="0">
    <w:nsid w:val="12A62B83"/>
    <w:multiLevelType w:val="hybridMultilevel"/>
    <w:tmpl w:val="60C03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F95F8E"/>
    <w:multiLevelType w:val="singleLevel"/>
    <w:tmpl w:val="2C180D4A"/>
    <w:lvl w:ilvl="0">
      <w:start w:val="1"/>
      <w:numFmt w:val="bullet"/>
      <w:pStyle w:val="Bullet1HRt"/>
      <w:lvlText w:val=""/>
      <w:lvlJc w:val="left"/>
      <w:pPr>
        <w:tabs>
          <w:tab w:val="num" w:pos="540"/>
        </w:tabs>
        <w:ind w:left="540" w:hanging="360"/>
      </w:pPr>
      <w:rPr>
        <w:rFonts w:ascii="Wingdings" w:hAnsi="Wingdings" w:hint="default"/>
      </w:rPr>
    </w:lvl>
  </w:abstractNum>
  <w:abstractNum w:abstractNumId="20" w15:restartNumberingAfterBreak="0">
    <w:nsid w:val="158B27A0"/>
    <w:multiLevelType w:val="hybridMultilevel"/>
    <w:tmpl w:val="D7902ED4"/>
    <w:lvl w:ilvl="0" w:tplc="0409000B">
      <w:start w:val="1"/>
      <w:numFmt w:val="bullet"/>
      <w:lvlText w:val=""/>
      <w:lvlJc w:val="left"/>
      <w:pPr>
        <w:tabs>
          <w:tab w:val="num" w:pos="720"/>
        </w:tabs>
        <w:ind w:left="720" w:hanging="360"/>
      </w:pPr>
      <w:rPr>
        <w:rFonts w:ascii="Wingdings" w:hAnsi="Wingdings" w:hint="default"/>
      </w:rPr>
    </w:lvl>
    <w:lvl w:ilvl="1" w:tplc="589E2D94" w:tentative="1">
      <w:start w:val="1"/>
      <w:numFmt w:val="bullet"/>
      <w:lvlText w:val=""/>
      <w:lvlJc w:val="left"/>
      <w:pPr>
        <w:tabs>
          <w:tab w:val="num" w:pos="1440"/>
        </w:tabs>
        <w:ind w:left="1440" w:hanging="360"/>
      </w:pPr>
      <w:rPr>
        <w:rFonts w:ascii="Wingdings" w:hAnsi="Wingdings" w:hint="default"/>
      </w:rPr>
    </w:lvl>
    <w:lvl w:ilvl="2" w:tplc="143A7544" w:tentative="1">
      <w:start w:val="1"/>
      <w:numFmt w:val="bullet"/>
      <w:lvlText w:val=""/>
      <w:lvlJc w:val="left"/>
      <w:pPr>
        <w:tabs>
          <w:tab w:val="num" w:pos="2160"/>
        </w:tabs>
        <w:ind w:left="2160" w:hanging="360"/>
      </w:pPr>
      <w:rPr>
        <w:rFonts w:ascii="Wingdings" w:hAnsi="Wingdings" w:hint="default"/>
      </w:rPr>
    </w:lvl>
    <w:lvl w:ilvl="3" w:tplc="171856A8" w:tentative="1">
      <w:start w:val="1"/>
      <w:numFmt w:val="bullet"/>
      <w:lvlText w:val=""/>
      <w:lvlJc w:val="left"/>
      <w:pPr>
        <w:tabs>
          <w:tab w:val="num" w:pos="2880"/>
        </w:tabs>
        <w:ind w:left="2880" w:hanging="360"/>
      </w:pPr>
      <w:rPr>
        <w:rFonts w:ascii="Wingdings" w:hAnsi="Wingdings" w:hint="default"/>
      </w:rPr>
    </w:lvl>
    <w:lvl w:ilvl="4" w:tplc="D3586314" w:tentative="1">
      <w:start w:val="1"/>
      <w:numFmt w:val="bullet"/>
      <w:lvlText w:val=""/>
      <w:lvlJc w:val="left"/>
      <w:pPr>
        <w:tabs>
          <w:tab w:val="num" w:pos="3600"/>
        </w:tabs>
        <w:ind w:left="3600" w:hanging="360"/>
      </w:pPr>
      <w:rPr>
        <w:rFonts w:ascii="Wingdings" w:hAnsi="Wingdings" w:hint="default"/>
      </w:rPr>
    </w:lvl>
    <w:lvl w:ilvl="5" w:tplc="75B66534" w:tentative="1">
      <w:start w:val="1"/>
      <w:numFmt w:val="bullet"/>
      <w:lvlText w:val=""/>
      <w:lvlJc w:val="left"/>
      <w:pPr>
        <w:tabs>
          <w:tab w:val="num" w:pos="4320"/>
        </w:tabs>
        <w:ind w:left="4320" w:hanging="360"/>
      </w:pPr>
      <w:rPr>
        <w:rFonts w:ascii="Wingdings" w:hAnsi="Wingdings" w:hint="default"/>
      </w:rPr>
    </w:lvl>
    <w:lvl w:ilvl="6" w:tplc="E24ABF7C" w:tentative="1">
      <w:start w:val="1"/>
      <w:numFmt w:val="bullet"/>
      <w:lvlText w:val=""/>
      <w:lvlJc w:val="left"/>
      <w:pPr>
        <w:tabs>
          <w:tab w:val="num" w:pos="5040"/>
        </w:tabs>
        <w:ind w:left="5040" w:hanging="360"/>
      </w:pPr>
      <w:rPr>
        <w:rFonts w:ascii="Wingdings" w:hAnsi="Wingdings" w:hint="default"/>
      </w:rPr>
    </w:lvl>
    <w:lvl w:ilvl="7" w:tplc="8F7E4258" w:tentative="1">
      <w:start w:val="1"/>
      <w:numFmt w:val="bullet"/>
      <w:lvlText w:val=""/>
      <w:lvlJc w:val="left"/>
      <w:pPr>
        <w:tabs>
          <w:tab w:val="num" w:pos="5760"/>
        </w:tabs>
        <w:ind w:left="5760" w:hanging="360"/>
      </w:pPr>
      <w:rPr>
        <w:rFonts w:ascii="Wingdings" w:hAnsi="Wingdings" w:hint="default"/>
      </w:rPr>
    </w:lvl>
    <w:lvl w:ilvl="8" w:tplc="A9F838E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C927E4"/>
    <w:multiLevelType w:val="hybridMultilevel"/>
    <w:tmpl w:val="EDD2530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17FB34EB"/>
    <w:multiLevelType w:val="hybridMultilevel"/>
    <w:tmpl w:val="BD46A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BE6585"/>
    <w:multiLevelType w:val="hybridMultilevel"/>
    <w:tmpl w:val="33D86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1E95779C"/>
    <w:multiLevelType w:val="hybridMultilevel"/>
    <w:tmpl w:val="EB0A9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172322"/>
    <w:multiLevelType w:val="hybridMultilevel"/>
    <w:tmpl w:val="ABD0E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F903A6"/>
    <w:multiLevelType w:val="hybridMultilevel"/>
    <w:tmpl w:val="4254F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225485"/>
    <w:multiLevelType w:val="hybridMultilevel"/>
    <w:tmpl w:val="F86E2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5D1A92"/>
    <w:multiLevelType w:val="hybridMultilevel"/>
    <w:tmpl w:val="EDC2B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94F761E"/>
    <w:multiLevelType w:val="hybridMultilevel"/>
    <w:tmpl w:val="FED003C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56232D"/>
    <w:multiLevelType w:val="hybridMultilevel"/>
    <w:tmpl w:val="E9CE14CE"/>
    <w:lvl w:ilvl="0" w:tplc="2CBEE3CC">
      <w:start w:val="1"/>
      <w:numFmt w:val="decimal"/>
      <w:lvlText w:val="(%1)"/>
      <w:lvlJc w:val="left"/>
      <w:pPr>
        <w:ind w:left="825" w:hanging="360"/>
      </w:pPr>
      <w:rPr>
        <w:rFonts w:hint="default"/>
        <w:b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15:restartNumberingAfterBreak="0">
    <w:nsid w:val="2CCA0BEE"/>
    <w:multiLevelType w:val="hybridMultilevel"/>
    <w:tmpl w:val="C2EEBDD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FCE3115"/>
    <w:multiLevelType w:val="hybridMultilevel"/>
    <w:tmpl w:val="A6CC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D12131"/>
    <w:multiLevelType w:val="hybridMultilevel"/>
    <w:tmpl w:val="8A6A7A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35" w15:restartNumberingAfterBreak="0">
    <w:nsid w:val="349F0108"/>
    <w:multiLevelType w:val="hybridMultilevel"/>
    <w:tmpl w:val="86387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6145E71"/>
    <w:multiLevelType w:val="hybridMultilevel"/>
    <w:tmpl w:val="BB206B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388928F0"/>
    <w:multiLevelType w:val="hybridMultilevel"/>
    <w:tmpl w:val="4F480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037292"/>
    <w:multiLevelType w:val="hybridMultilevel"/>
    <w:tmpl w:val="2476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263847"/>
    <w:multiLevelType w:val="hybridMultilevel"/>
    <w:tmpl w:val="27983B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3919A6"/>
    <w:multiLevelType w:val="hybridMultilevel"/>
    <w:tmpl w:val="3384D4B8"/>
    <w:lvl w:ilvl="0" w:tplc="20FA5D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14779F"/>
    <w:multiLevelType w:val="hybridMultilevel"/>
    <w:tmpl w:val="39DAC9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7E4A22"/>
    <w:multiLevelType w:val="multilevel"/>
    <w:tmpl w:val="3D96F3EE"/>
    <w:lvl w:ilvl="0">
      <w:start w:val="1"/>
      <w:numFmt w:val="decimal"/>
      <w:pStyle w:val="Heading1"/>
      <w:lvlText w:val="%1."/>
      <w:lvlJc w:val="left"/>
      <w:pPr>
        <w:tabs>
          <w:tab w:val="num" w:pos="1080"/>
        </w:tabs>
        <w:ind w:left="1080" w:hanging="1080"/>
      </w:pPr>
      <w:rPr>
        <w:rFonts w:ascii="Arial" w:hAnsi="Arial" w:hint="default"/>
        <w:b/>
        <w:i w:val="0"/>
        <w:sz w:val="34"/>
      </w:rPr>
    </w:lvl>
    <w:lvl w:ilvl="1">
      <w:start w:val="1"/>
      <w:numFmt w:val="decimal"/>
      <w:pStyle w:val="Heading2"/>
      <w:lvlText w:val="%1.%2"/>
      <w:lvlJc w:val="left"/>
      <w:pPr>
        <w:tabs>
          <w:tab w:val="num" w:pos="1080"/>
        </w:tabs>
        <w:ind w:left="1080" w:hanging="1080"/>
      </w:pPr>
      <w:rPr>
        <w:rFonts w:ascii="Arial" w:hAnsi="Arial" w:hint="default"/>
        <w:b/>
        <w:i w:val="0"/>
        <w:sz w:val="30"/>
      </w:rPr>
    </w:lvl>
    <w:lvl w:ilvl="2">
      <w:start w:val="1"/>
      <w:numFmt w:val="decimal"/>
      <w:pStyle w:val="Heading3"/>
      <w:lvlText w:val="%1.%2.%3"/>
      <w:lvlJc w:val="left"/>
      <w:pPr>
        <w:tabs>
          <w:tab w:val="num" w:pos="1980"/>
        </w:tabs>
        <w:ind w:left="198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46962141"/>
    <w:multiLevelType w:val="hybridMultilevel"/>
    <w:tmpl w:val="4C62C70E"/>
    <w:lvl w:ilvl="0" w:tplc="19A8AE9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E15B92"/>
    <w:multiLevelType w:val="hybridMultilevel"/>
    <w:tmpl w:val="019E77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A5311C8"/>
    <w:multiLevelType w:val="hybridMultilevel"/>
    <w:tmpl w:val="26563C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CC1AABD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257C6F"/>
    <w:multiLevelType w:val="hybridMultilevel"/>
    <w:tmpl w:val="E6700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B91FAE"/>
    <w:multiLevelType w:val="hybridMultilevel"/>
    <w:tmpl w:val="190C6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353984"/>
    <w:multiLevelType w:val="hybridMultilevel"/>
    <w:tmpl w:val="96FCC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D77CDD"/>
    <w:multiLevelType w:val="hybridMultilevel"/>
    <w:tmpl w:val="815AF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AF183C"/>
    <w:multiLevelType w:val="hybridMultilevel"/>
    <w:tmpl w:val="C9AC6078"/>
    <w:lvl w:ilvl="0" w:tplc="5F28D6DE">
      <w:start w:val="11"/>
      <w:numFmt w:val="bullet"/>
      <w:lvlText w:val="•"/>
      <w:lvlJc w:val="left"/>
      <w:pPr>
        <w:ind w:left="1440" w:hanging="360"/>
      </w:pPr>
      <w:rPr>
        <w:rFonts w:ascii="Arial" w:eastAsia="Times New Roman" w:hAnsi="Arial" w:cs="Aria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52532A8"/>
    <w:multiLevelType w:val="hybridMultilevel"/>
    <w:tmpl w:val="31F8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54" w15:restartNumberingAfterBreak="0">
    <w:nsid w:val="555A26FB"/>
    <w:multiLevelType w:val="hybridMultilevel"/>
    <w:tmpl w:val="0DD2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91667"/>
    <w:multiLevelType w:val="hybridMultilevel"/>
    <w:tmpl w:val="37B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403DA5"/>
    <w:multiLevelType w:val="hybridMultilevel"/>
    <w:tmpl w:val="8FCAD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E9D6CC9"/>
    <w:multiLevelType w:val="hybridMultilevel"/>
    <w:tmpl w:val="77D6EE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29E051C"/>
    <w:multiLevelType w:val="multilevel"/>
    <w:tmpl w:val="7D00C7B2"/>
    <w:lvl w:ilvl="0">
      <w:start w:val="11"/>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02636E"/>
    <w:multiLevelType w:val="hybridMultilevel"/>
    <w:tmpl w:val="2DEE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2D06E3"/>
    <w:multiLevelType w:val="hybridMultilevel"/>
    <w:tmpl w:val="441C36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71271FE"/>
    <w:multiLevelType w:val="hybridMultilevel"/>
    <w:tmpl w:val="D5026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353AD"/>
    <w:multiLevelType w:val="hybridMultilevel"/>
    <w:tmpl w:val="B9BC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2F7C5B"/>
    <w:multiLevelType w:val="hybridMultilevel"/>
    <w:tmpl w:val="CF16F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756CBC"/>
    <w:multiLevelType w:val="hybridMultilevel"/>
    <w:tmpl w:val="65F27EC8"/>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5" w15:restartNumberingAfterBreak="0">
    <w:nsid w:val="6AB27AFC"/>
    <w:multiLevelType w:val="hybridMultilevel"/>
    <w:tmpl w:val="AFC6D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FD2DC1"/>
    <w:multiLevelType w:val="hybridMultilevel"/>
    <w:tmpl w:val="AEF2152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C7212B0"/>
    <w:multiLevelType w:val="hybridMultilevel"/>
    <w:tmpl w:val="D918F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9" w15:restartNumberingAfterBreak="0">
    <w:nsid w:val="6D6E526D"/>
    <w:multiLevelType w:val="hybridMultilevel"/>
    <w:tmpl w:val="F1E2F8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F35F60"/>
    <w:multiLevelType w:val="hybridMultilevel"/>
    <w:tmpl w:val="480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BA67AE"/>
    <w:multiLevelType w:val="hybridMultilevel"/>
    <w:tmpl w:val="AFE095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2" w15:restartNumberingAfterBreak="0">
    <w:nsid w:val="73206875"/>
    <w:multiLevelType w:val="hybridMultilevel"/>
    <w:tmpl w:val="3044E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57235B"/>
    <w:multiLevelType w:val="hybridMultilevel"/>
    <w:tmpl w:val="83F4C6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C75D80"/>
    <w:multiLevelType w:val="hybridMultilevel"/>
    <w:tmpl w:val="F01C26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FA7DF3"/>
    <w:multiLevelType w:val="hybridMultilevel"/>
    <w:tmpl w:val="28E4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43C608C"/>
    <w:multiLevelType w:val="hybridMultilevel"/>
    <w:tmpl w:val="0A746E8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7" w15:restartNumberingAfterBreak="0">
    <w:nsid w:val="77474077"/>
    <w:multiLevelType w:val="hybridMultilevel"/>
    <w:tmpl w:val="6C7651F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8681099"/>
    <w:multiLevelType w:val="hybridMultilevel"/>
    <w:tmpl w:val="081A0FC6"/>
    <w:lvl w:ilvl="0" w:tplc="76AE78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79045D1A"/>
    <w:multiLevelType w:val="hybridMultilevel"/>
    <w:tmpl w:val="09C406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9410ACD"/>
    <w:multiLevelType w:val="hybridMultilevel"/>
    <w:tmpl w:val="CE3C4A44"/>
    <w:lvl w:ilvl="0" w:tplc="213C5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82" w15:restartNumberingAfterBreak="0">
    <w:nsid w:val="7C8B4277"/>
    <w:multiLevelType w:val="hybridMultilevel"/>
    <w:tmpl w:val="54FEF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EB5F5A"/>
    <w:multiLevelType w:val="hybridMultilevel"/>
    <w:tmpl w:val="FA38002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81"/>
  </w:num>
  <w:num w:numId="2">
    <w:abstractNumId w:val="19"/>
  </w:num>
  <w:num w:numId="3">
    <w:abstractNumId w:val="34"/>
  </w:num>
  <w:num w:numId="4">
    <w:abstractNumId w:val="53"/>
  </w:num>
  <w:num w:numId="5">
    <w:abstractNumId w:val="43"/>
  </w:num>
  <w:num w:numId="6">
    <w:abstractNumId w:val="67"/>
  </w:num>
  <w:num w:numId="7">
    <w:abstractNumId w:val="43"/>
  </w:num>
  <w:num w:numId="8">
    <w:abstractNumId w:val="37"/>
  </w:num>
  <w:num w:numId="9">
    <w:abstractNumId w:val="65"/>
  </w:num>
  <w:num w:numId="10">
    <w:abstractNumId w:val="23"/>
  </w:num>
  <w:num w:numId="11">
    <w:abstractNumId w:val="68"/>
  </w:num>
  <w:num w:numId="12">
    <w:abstractNumId w:val="57"/>
  </w:num>
  <w:num w:numId="13">
    <w:abstractNumId w:val="5"/>
  </w:num>
  <w:num w:numId="14">
    <w:abstractNumId w:val="16"/>
  </w:num>
  <w:num w:numId="15">
    <w:abstractNumId w:val="42"/>
  </w:num>
  <w:num w:numId="16">
    <w:abstractNumId w:val="11"/>
  </w:num>
  <w:num w:numId="17">
    <w:abstractNumId w:val="40"/>
  </w:num>
  <w:num w:numId="18">
    <w:abstractNumId w:val="69"/>
  </w:num>
  <w:num w:numId="19">
    <w:abstractNumId w:val="32"/>
  </w:num>
  <w:num w:numId="20">
    <w:abstractNumId w:val="66"/>
  </w:num>
  <w:num w:numId="21">
    <w:abstractNumId w:val="35"/>
  </w:num>
  <w:num w:numId="22">
    <w:abstractNumId w:val="25"/>
  </w:num>
  <w:num w:numId="23">
    <w:abstractNumId w:val="29"/>
  </w:num>
  <w:num w:numId="24">
    <w:abstractNumId w:val="47"/>
  </w:num>
  <w:num w:numId="25">
    <w:abstractNumId w:val="8"/>
  </w:num>
  <w:num w:numId="26">
    <w:abstractNumId w:val="6"/>
  </w:num>
  <w:num w:numId="27">
    <w:abstractNumId w:val="31"/>
  </w:num>
  <w:num w:numId="28">
    <w:abstractNumId w:val="17"/>
  </w:num>
  <w:num w:numId="29">
    <w:abstractNumId w:val="45"/>
  </w:num>
  <w:num w:numId="30">
    <w:abstractNumId w:val="21"/>
  </w:num>
  <w:num w:numId="31">
    <w:abstractNumId w:val="14"/>
  </w:num>
  <w:num w:numId="32">
    <w:abstractNumId w:val="33"/>
  </w:num>
  <w:num w:numId="33">
    <w:abstractNumId w:val="60"/>
  </w:num>
  <w:num w:numId="34">
    <w:abstractNumId w:val="7"/>
  </w:num>
  <w:num w:numId="35">
    <w:abstractNumId w:val="59"/>
  </w:num>
  <w:num w:numId="36">
    <w:abstractNumId w:val="76"/>
  </w:num>
  <w:num w:numId="37">
    <w:abstractNumId w:val="38"/>
  </w:num>
  <w:num w:numId="38">
    <w:abstractNumId w:val="64"/>
  </w:num>
  <w:num w:numId="39">
    <w:abstractNumId w:val="71"/>
  </w:num>
  <w:num w:numId="40">
    <w:abstractNumId w:val="82"/>
  </w:num>
  <w:num w:numId="41">
    <w:abstractNumId w:val="83"/>
  </w:num>
  <w:num w:numId="42">
    <w:abstractNumId w:val="22"/>
  </w:num>
  <w:num w:numId="43">
    <w:abstractNumId w:val="13"/>
  </w:num>
  <w:num w:numId="44">
    <w:abstractNumId w:val="49"/>
  </w:num>
  <w:num w:numId="45">
    <w:abstractNumId w:val="20"/>
  </w:num>
  <w:num w:numId="46">
    <w:abstractNumId w:val="79"/>
  </w:num>
  <w:num w:numId="47">
    <w:abstractNumId w:val="46"/>
  </w:num>
  <w:num w:numId="48">
    <w:abstractNumId w:val="4"/>
  </w:num>
  <w:num w:numId="49">
    <w:abstractNumId w:val="3"/>
  </w:num>
  <w:num w:numId="50">
    <w:abstractNumId w:val="2"/>
  </w:num>
  <w:num w:numId="51">
    <w:abstractNumId w:val="1"/>
  </w:num>
  <w:num w:numId="52">
    <w:abstractNumId w:val="0"/>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73"/>
  </w:num>
  <w:num w:numId="56">
    <w:abstractNumId w:val="44"/>
  </w:num>
  <w:num w:numId="57">
    <w:abstractNumId w:val="41"/>
  </w:num>
  <w:num w:numId="58">
    <w:abstractNumId w:val="54"/>
  </w:num>
  <w:num w:numId="59">
    <w:abstractNumId w:val="56"/>
  </w:num>
  <w:num w:numId="60">
    <w:abstractNumId w:val="74"/>
  </w:num>
  <w:num w:numId="61">
    <w:abstractNumId w:val="80"/>
  </w:num>
  <w:num w:numId="62">
    <w:abstractNumId w:val="36"/>
  </w:num>
  <w:num w:numId="63">
    <w:abstractNumId w:val="63"/>
  </w:num>
  <w:num w:numId="64">
    <w:abstractNumId w:val="61"/>
  </w:num>
  <w:num w:numId="65">
    <w:abstractNumId w:val="48"/>
  </w:num>
  <w:num w:numId="66">
    <w:abstractNumId w:val="24"/>
  </w:num>
  <w:num w:numId="67">
    <w:abstractNumId w:val="27"/>
  </w:num>
  <w:num w:numId="68">
    <w:abstractNumId w:val="77"/>
  </w:num>
  <w:num w:numId="69">
    <w:abstractNumId w:val="10"/>
  </w:num>
  <w:num w:numId="70">
    <w:abstractNumId w:val="18"/>
  </w:num>
  <w:num w:numId="71">
    <w:abstractNumId w:val="75"/>
  </w:num>
  <w:num w:numId="72">
    <w:abstractNumId w:val="72"/>
  </w:num>
  <w:num w:numId="73">
    <w:abstractNumId w:val="78"/>
  </w:num>
  <w:num w:numId="74">
    <w:abstractNumId w:val="50"/>
  </w:num>
  <w:num w:numId="75">
    <w:abstractNumId w:val="30"/>
  </w:num>
  <w:num w:numId="76">
    <w:abstractNumId w:val="58"/>
  </w:num>
  <w:num w:numId="77">
    <w:abstractNumId w:val="62"/>
  </w:num>
  <w:num w:numId="78">
    <w:abstractNumId w:val="28"/>
  </w:num>
  <w:num w:numId="79">
    <w:abstractNumId w:val="12"/>
  </w:num>
  <w:num w:numId="80">
    <w:abstractNumId w:val="15"/>
  </w:num>
  <w:num w:numId="81">
    <w:abstractNumId w:val="39"/>
  </w:num>
  <w:num w:numId="82">
    <w:abstractNumId w:val="70"/>
  </w:num>
  <w:num w:numId="83">
    <w:abstractNumId w:val="51"/>
  </w:num>
  <w:num w:numId="84">
    <w:abstractNumId w:val="52"/>
  </w:num>
  <w:num w:numId="85">
    <w:abstractNumId w:val="55"/>
  </w:num>
  <w:num w:numId="86">
    <w:abstractNumId w:val="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0593">
      <o:colormru v:ext="edit" colors="#2106c6,#1d05ab,#1052c8,#1379c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footnote_1" w:val="Empty"/>
    <w:docVar w:name="OLE_LINK1" w:val="Empty"/>
    <w:docVar w:name="OLE_LINK2" w:val="Empty"/>
    <w:docVar w:name="OLE_LINK3" w:val="Empty"/>
  </w:docVars>
  <w:rsids>
    <w:rsidRoot w:val="002148AE"/>
    <w:rsid w:val="00000035"/>
    <w:rsid w:val="00000147"/>
    <w:rsid w:val="00000205"/>
    <w:rsid w:val="0000078E"/>
    <w:rsid w:val="000007E5"/>
    <w:rsid w:val="00000AA9"/>
    <w:rsid w:val="00000F70"/>
    <w:rsid w:val="0000106E"/>
    <w:rsid w:val="0000159D"/>
    <w:rsid w:val="0000169E"/>
    <w:rsid w:val="000022CD"/>
    <w:rsid w:val="00002B3F"/>
    <w:rsid w:val="00002C9A"/>
    <w:rsid w:val="000031F5"/>
    <w:rsid w:val="00003458"/>
    <w:rsid w:val="00004111"/>
    <w:rsid w:val="00004200"/>
    <w:rsid w:val="00004A04"/>
    <w:rsid w:val="0000557C"/>
    <w:rsid w:val="00006082"/>
    <w:rsid w:val="0000613F"/>
    <w:rsid w:val="00006335"/>
    <w:rsid w:val="00006791"/>
    <w:rsid w:val="00006AB0"/>
    <w:rsid w:val="00007FE2"/>
    <w:rsid w:val="00011923"/>
    <w:rsid w:val="00011A8A"/>
    <w:rsid w:val="000120F2"/>
    <w:rsid w:val="000122CA"/>
    <w:rsid w:val="000127CC"/>
    <w:rsid w:val="00012A36"/>
    <w:rsid w:val="000141B5"/>
    <w:rsid w:val="00015214"/>
    <w:rsid w:val="00015899"/>
    <w:rsid w:val="00015C8A"/>
    <w:rsid w:val="00016D74"/>
    <w:rsid w:val="00017505"/>
    <w:rsid w:val="00017ACA"/>
    <w:rsid w:val="000205C2"/>
    <w:rsid w:val="00020DEE"/>
    <w:rsid w:val="00020FB3"/>
    <w:rsid w:val="00020FBF"/>
    <w:rsid w:val="000217D0"/>
    <w:rsid w:val="00021DC6"/>
    <w:rsid w:val="00021E09"/>
    <w:rsid w:val="00022144"/>
    <w:rsid w:val="00022791"/>
    <w:rsid w:val="00022893"/>
    <w:rsid w:val="000228B3"/>
    <w:rsid w:val="00022B4E"/>
    <w:rsid w:val="00023281"/>
    <w:rsid w:val="00023829"/>
    <w:rsid w:val="000238D5"/>
    <w:rsid w:val="00023A66"/>
    <w:rsid w:val="00023ACD"/>
    <w:rsid w:val="00024366"/>
    <w:rsid w:val="00024500"/>
    <w:rsid w:val="0002579A"/>
    <w:rsid w:val="000259FF"/>
    <w:rsid w:val="000260F4"/>
    <w:rsid w:val="0002610B"/>
    <w:rsid w:val="000262F8"/>
    <w:rsid w:val="000263C0"/>
    <w:rsid w:val="00026753"/>
    <w:rsid w:val="000267E7"/>
    <w:rsid w:val="00026828"/>
    <w:rsid w:val="00026D9D"/>
    <w:rsid w:val="00026F75"/>
    <w:rsid w:val="00027138"/>
    <w:rsid w:val="00027413"/>
    <w:rsid w:val="000279AC"/>
    <w:rsid w:val="00030153"/>
    <w:rsid w:val="00030505"/>
    <w:rsid w:val="0003163B"/>
    <w:rsid w:val="00031B5A"/>
    <w:rsid w:val="00031BB1"/>
    <w:rsid w:val="0003225C"/>
    <w:rsid w:val="0003458D"/>
    <w:rsid w:val="000351C9"/>
    <w:rsid w:val="000358D8"/>
    <w:rsid w:val="00035DAF"/>
    <w:rsid w:val="00037898"/>
    <w:rsid w:val="000417E3"/>
    <w:rsid w:val="000420F4"/>
    <w:rsid w:val="00042AF0"/>
    <w:rsid w:val="00042C07"/>
    <w:rsid w:val="00042D11"/>
    <w:rsid w:val="0004357B"/>
    <w:rsid w:val="000438AE"/>
    <w:rsid w:val="00043BD7"/>
    <w:rsid w:val="00044206"/>
    <w:rsid w:val="00044C6E"/>
    <w:rsid w:val="0004541C"/>
    <w:rsid w:val="000464FB"/>
    <w:rsid w:val="00046B3E"/>
    <w:rsid w:val="00046CCB"/>
    <w:rsid w:val="0004732B"/>
    <w:rsid w:val="00047681"/>
    <w:rsid w:val="00047EC9"/>
    <w:rsid w:val="00050C58"/>
    <w:rsid w:val="00051927"/>
    <w:rsid w:val="00051A42"/>
    <w:rsid w:val="00052714"/>
    <w:rsid w:val="00053197"/>
    <w:rsid w:val="000532C7"/>
    <w:rsid w:val="00053666"/>
    <w:rsid w:val="000539A9"/>
    <w:rsid w:val="00053A3C"/>
    <w:rsid w:val="00053AEB"/>
    <w:rsid w:val="00053F7A"/>
    <w:rsid w:val="000548F3"/>
    <w:rsid w:val="00054DC1"/>
    <w:rsid w:val="00054FA7"/>
    <w:rsid w:val="0005582A"/>
    <w:rsid w:val="00055A1A"/>
    <w:rsid w:val="00056652"/>
    <w:rsid w:val="000578AE"/>
    <w:rsid w:val="00057B4E"/>
    <w:rsid w:val="00057D44"/>
    <w:rsid w:val="00062913"/>
    <w:rsid w:val="00063252"/>
    <w:rsid w:val="00063EE7"/>
    <w:rsid w:val="000652C2"/>
    <w:rsid w:val="00065606"/>
    <w:rsid w:val="000656E0"/>
    <w:rsid w:val="00065704"/>
    <w:rsid w:val="00065B64"/>
    <w:rsid w:val="00065E05"/>
    <w:rsid w:val="00066167"/>
    <w:rsid w:val="000661C0"/>
    <w:rsid w:val="000663C7"/>
    <w:rsid w:val="00066AAF"/>
    <w:rsid w:val="00066C11"/>
    <w:rsid w:val="00067180"/>
    <w:rsid w:val="000703AF"/>
    <w:rsid w:val="000709E2"/>
    <w:rsid w:val="000712E3"/>
    <w:rsid w:val="00071D2B"/>
    <w:rsid w:val="00072903"/>
    <w:rsid w:val="00072D24"/>
    <w:rsid w:val="0007330A"/>
    <w:rsid w:val="000734EB"/>
    <w:rsid w:val="0007442A"/>
    <w:rsid w:val="000744A7"/>
    <w:rsid w:val="00074C0D"/>
    <w:rsid w:val="00075089"/>
    <w:rsid w:val="0007512E"/>
    <w:rsid w:val="000753B3"/>
    <w:rsid w:val="00075A81"/>
    <w:rsid w:val="00076831"/>
    <w:rsid w:val="000776D0"/>
    <w:rsid w:val="000778EC"/>
    <w:rsid w:val="000779CD"/>
    <w:rsid w:val="00077CE5"/>
    <w:rsid w:val="0008033D"/>
    <w:rsid w:val="0008091A"/>
    <w:rsid w:val="00080EC0"/>
    <w:rsid w:val="00080F4D"/>
    <w:rsid w:val="00081EAE"/>
    <w:rsid w:val="00082265"/>
    <w:rsid w:val="000822F4"/>
    <w:rsid w:val="0008335B"/>
    <w:rsid w:val="00083F00"/>
    <w:rsid w:val="000842A2"/>
    <w:rsid w:val="00084EBE"/>
    <w:rsid w:val="00085157"/>
    <w:rsid w:val="00085308"/>
    <w:rsid w:val="0008621A"/>
    <w:rsid w:val="0008639E"/>
    <w:rsid w:val="00086AD9"/>
    <w:rsid w:val="000879D6"/>
    <w:rsid w:val="00087F2A"/>
    <w:rsid w:val="0009124D"/>
    <w:rsid w:val="000914B7"/>
    <w:rsid w:val="000922A7"/>
    <w:rsid w:val="0009278F"/>
    <w:rsid w:val="00092903"/>
    <w:rsid w:val="00092AEE"/>
    <w:rsid w:val="0009300C"/>
    <w:rsid w:val="00093647"/>
    <w:rsid w:val="00093722"/>
    <w:rsid w:val="00093B8E"/>
    <w:rsid w:val="00093FD3"/>
    <w:rsid w:val="00094AFC"/>
    <w:rsid w:val="000954B2"/>
    <w:rsid w:val="00095C4F"/>
    <w:rsid w:val="00095EDB"/>
    <w:rsid w:val="00096111"/>
    <w:rsid w:val="00096C38"/>
    <w:rsid w:val="00096C76"/>
    <w:rsid w:val="00096D80"/>
    <w:rsid w:val="00097C3D"/>
    <w:rsid w:val="000A08FC"/>
    <w:rsid w:val="000A0E2F"/>
    <w:rsid w:val="000A0E68"/>
    <w:rsid w:val="000A129B"/>
    <w:rsid w:val="000A2177"/>
    <w:rsid w:val="000A3112"/>
    <w:rsid w:val="000A34EB"/>
    <w:rsid w:val="000A35D4"/>
    <w:rsid w:val="000A4722"/>
    <w:rsid w:val="000A4DD8"/>
    <w:rsid w:val="000A4ED9"/>
    <w:rsid w:val="000A5597"/>
    <w:rsid w:val="000A5C37"/>
    <w:rsid w:val="000A5D1A"/>
    <w:rsid w:val="000A6468"/>
    <w:rsid w:val="000A666B"/>
    <w:rsid w:val="000A6A9D"/>
    <w:rsid w:val="000A6E09"/>
    <w:rsid w:val="000A704B"/>
    <w:rsid w:val="000A751B"/>
    <w:rsid w:val="000A78AC"/>
    <w:rsid w:val="000A7919"/>
    <w:rsid w:val="000A794A"/>
    <w:rsid w:val="000B0574"/>
    <w:rsid w:val="000B098D"/>
    <w:rsid w:val="000B1837"/>
    <w:rsid w:val="000B2135"/>
    <w:rsid w:val="000B216A"/>
    <w:rsid w:val="000B2285"/>
    <w:rsid w:val="000B3BB4"/>
    <w:rsid w:val="000B3E8F"/>
    <w:rsid w:val="000B483D"/>
    <w:rsid w:val="000B4FAD"/>
    <w:rsid w:val="000B5108"/>
    <w:rsid w:val="000B52D1"/>
    <w:rsid w:val="000B5618"/>
    <w:rsid w:val="000B6D3C"/>
    <w:rsid w:val="000B6D9A"/>
    <w:rsid w:val="000B754E"/>
    <w:rsid w:val="000C013E"/>
    <w:rsid w:val="000C0247"/>
    <w:rsid w:val="000C089C"/>
    <w:rsid w:val="000C0BBA"/>
    <w:rsid w:val="000C0DDC"/>
    <w:rsid w:val="000C1112"/>
    <w:rsid w:val="000C19F0"/>
    <w:rsid w:val="000C2C14"/>
    <w:rsid w:val="000C2FB2"/>
    <w:rsid w:val="000C31A0"/>
    <w:rsid w:val="000C39E1"/>
    <w:rsid w:val="000C3B4C"/>
    <w:rsid w:val="000C4749"/>
    <w:rsid w:val="000C537B"/>
    <w:rsid w:val="000C542A"/>
    <w:rsid w:val="000C543B"/>
    <w:rsid w:val="000C5557"/>
    <w:rsid w:val="000C6155"/>
    <w:rsid w:val="000C64FC"/>
    <w:rsid w:val="000C6826"/>
    <w:rsid w:val="000C6874"/>
    <w:rsid w:val="000C6C83"/>
    <w:rsid w:val="000C70B0"/>
    <w:rsid w:val="000C77CA"/>
    <w:rsid w:val="000D0B21"/>
    <w:rsid w:val="000D0C70"/>
    <w:rsid w:val="000D1748"/>
    <w:rsid w:val="000D17F1"/>
    <w:rsid w:val="000D1AA1"/>
    <w:rsid w:val="000D2749"/>
    <w:rsid w:val="000D2A45"/>
    <w:rsid w:val="000D2BF9"/>
    <w:rsid w:val="000D2E43"/>
    <w:rsid w:val="000D30A8"/>
    <w:rsid w:val="000D328A"/>
    <w:rsid w:val="000D3882"/>
    <w:rsid w:val="000D3F1B"/>
    <w:rsid w:val="000D4085"/>
    <w:rsid w:val="000D441A"/>
    <w:rsid w:val="000D44AD"/>
    <w:rsid w:val="000D44E7"/>
    <w:rsid w:val="000D4C74"/>
    <w:rsid w:val="000D511F"/>
    <w:rsid w:val="000D53BD"/>
    <w:rsid w:val="000D5539"/>
    <w:rsid w:val="000D670B"/>
    <w:rsid w:val="000D6E11"/>
    <w:rsid w:val="000D71D2"/>
    <w:rsid w:val="000D72C0"/>
    <w:rsid w:val="000D7FC2"/>
    <w:rsid w:val="000E032F"/>
    <w:rsid w:val="000E0AA4"/>
    <w:rsid w:val="000E0D89"/>
    <w:rsid w:val="000E0EF1"/>
    <w:rsid w:val="000E15A1"/>
    <w:rsid w:val="000E16AB"/>
    <w:rsid w:val="000E1F6E"/>
    <w:rsid w:val="000E298F"/>
    <w:rsid w:val="000E2A54"/>
    <w:rsid w:val="000E2E90"/>
    <w:rsid w:val="000E31C9"/>
    <w:rsid w:val="000E3566"/>
    <w:rsid w:val="000E406C"/>
    <w:rsid w:val="000E41A5"/>
    <w:rsid w:val="000E41B9"/>
    <w:rsid w:val="000E463C"/>
    <w:rsid w:val="000E51DD"/>
    <w:rsid w:val="000E54B8"/>
    <w:rsid w:val="000E563F"/>
    <w:rsid w:val="000E61B6"/>
    <w:rsid w:val="000E621B"/>
    <w:rsid w:val="000E624A"/>
    <w:rsid w:val="000E657F"/>
    <w:rsid w:val="000E7CB9"/>
    <w:rsid w:val="000E7D7E"/>
    <w:rsid w:val="000E7F18"/>
    <w:rsid w:val="000F0531"/>
    <w:rsid w:val="000F16DF"/>
    <w:rsid w:val="000F19EA"/>
    <w:rsid w:val="000F1AD7"/>
    <w:rsid w:val="000F299B"/>
    <w:rsid w:val="000F3014"/>
    <w:rsid w:val="000F3103"/>
    <w:rsid w:val="000F328C"/>
    <w:rsid w:val="000F4F8A"/>
    <w:rsid w:val="000F52BB"/>
    <w:rsid w:val="000F5DB7"/>
    <w:rsid w:val="000F6C4B"/>
    <w:rsid w:val="000F771E"/>
    <w:rsid w:val="000F7CE8"/>
    <w:rsid w:val="0010004B"/>
    <w:rsid w:val="00100064"/>
    <w:rsid w:val="00100433"/>
    <w:rsid w:val="00100723"/>
    <w:rsid w:val="001009AA"/>
    <w:rsid w:val="00101C62"/>
    <w:rsid w:val="001021BC"/>
    <w:rsid w:val="00102320"/>
    <w:rsid w:val="001028EC"/>
    <w:rsid w:val="001049F7"/>
    <w:rsid w:val="001062D3"/>
    <w:rsid w:val="00106357"/>
    <w:rsid w:val="00106C35"/>
    <w:rsid w:val="00106E67"/>
    <w:rsid w:val="0010741E"/>
    <w:rsid w:val="0010758E"/>
    <w:rsid w:val="0011078B"/>
    <w:rsid w:val="00110D96"/>
    <w:rsid w:val="0011116E"/>
    <w:rsid w:val="00112E9E"/>
    <w:rsid w:val="0011345E"/>
    <w:rsid w:val="001135EE"/>
    <w:rsid w:val="00113F7C"/>
    <w:rsid w:val="001147F5"/>
    <w:rsid w:val="001154DB"/>
    <w:rsid w:val="00115EEC"/>
    <w:rsid w:val="001160B9"/>
    <w:rsid w:val="001177A2"/>
    <w:rsid w:val="00120076"/>
    <w:rsid w:val="00120BE0"/>
    <w:rsid w:val="00120C89"/>
    <w:rsid w:val="00120F26"/>
    <w:rsid w:val="00120F76"/>
    <w:rsid w:val="00121D83"/>
    <w:rsid w:val="00121ECD"/>
    <w:rsid w:val="00121FE0"/>
    <w:rsid w:val="0012292A"/>
    <w:rsid w:val="00122A1A"/>
    <w:rsid w:val="00122F29"/>
    <w:rsid w:val="001233BF"/>
    <w:rsid w:val="00123564"/>
    <w:rsid w:val="00123754"/>
    <w:rsid w:val="001238AB"/>
    <w:rsid w:val="00123933"/>
    <w:rsid w:val="00123973"/>
    <w:rsid w:val="00124B5F"/>
    <w:rsid w:val="00124B9F"/>
    <w:rsid w:val="00124FAC"/>
    <w:rsid w:val="00125E03"/>
    <w:rsid w:val="0012628F"/>
    <w:rsid w:val="00126795"/>
    <w:rsid w:val="00126E53"/>
    <w:rsid w:val="001272EE"/>
    <w:rsid w:val="0012749A"/>
    <w:rsid w:val="00127527"/>
    <w:rsid w:val="00127AD0"/>
    <w:rsid w:val="001300FB"/>
    <w:rsid w:val="001306E6"/>
    <w:rsid w:val="00130B90"/>
    <w:rsid w:val="00131A24"/>
    <w:rsid w:val="00131CE0"/>
    <w:rsid w:val="00132623"/>
    <w:rsid w:val="00132BEF"/>
    <w:rsid w:val="00132E9C"/>
    <w:rsid w:val="0013389F"/>
    <w:rsid w:val="00133F81"/>
    <w:rsid w:val="00134738"/>
    <w:rsid w:val="00134837"/>
    <w:rsid w:val="00135442"/>
    <w:rsid w:val="00135511"/>
    <w:rsid w:val="00135B31"/>
    <w:rsid w:val="00135C28"/>
    <w:rsid w:val="00135E5B"/>
    <w:rsid w:val="0013601B"/>
    <w:rsid w:val="00136086"/>
    <w:rsid w:val="00136401"/>
    <w:rsid w:val="00136E76"/>
    <w:rsid w:val="0013768C"/>
    <w:rsid w:val="00140A01"/>
    <w:rsid w:val="00141136"/>
    <w:rsid w:val="0014150B"/>
    <w:rsid w:val="00141CC3"/>
    <w:rsid w:val="001425BC"/>
    <w:rsid w:val="001428D6"/>
    <w:rsid w:val="00142E9E"/>
    <w:rsid w:val="0014307A"/>
    <w:rsid w:val="001431EC"/>
    <w:rsid w:val="0014372E"/>
    <w:rsid w:val="001438CF"/>
    <w:rsid w:val="00143C39"/>
    <w:rsid w:val="00143C5D"/>
    <w:rsid w:val="00144053"/>
    <w:rsid w:val="001444AF"/>
    <w:rsid w:val="00144AFD"/>
    <w:rsid w:val="00145B92"/>
    <w:rsid w:val="00145D14"/>
    <w:rsid w:val="001464BE"/>
    <w:rsid w:val="00146BDD"/>
    <w:rsid w:val="00146BFE"/>
    <w:rsid w:val="00146D14"/>
    <w:rsid w:val="00146EBF"/>
    <w:rsid w:val="00147006"/>
    <w:rsid w:val="00150A1F"/>
    <w:rsid w:val="00150ACC"/>
    <w:rsid w:val="00150F07"/>
    <w:rsid w:val="001512F1"/>
    <w:rsid w:val="00151366"/>
    <w:rsid w:val="00152512"/>
    <w:rsid w:val="001526AF"/>
    <w:rsid w:val="001526DD"/>
    <w:rsid w:val="00152FDA"/>
    <w:rsid w:val="001537AE"/>
    <w:rsid w:val="00153C30"/>
    <w:rsid w:val="00153CB5"/>
    <w:rsid w:val="001545F7"/>
    <w:rsid w:val="0015470A"/>
    <w:rsid w:val="00154818"/>
    <w:rsid w:val="00154EB8"/>
    <w:rsid w:val="00155210"/>
    <w:rsid w:val="001555AC"/>
    <w:rsid w:val="00155A06"/>
    <w:rsid w:val="00156373"/>
    <w:rsid w:val="001569DF"/>
    <w:rsid w:val="00156CA6"/>
    <w:rsid w:val="00157411"/>
    <w:rsid w:val="001574C6"/>
    <w:rsid w:val="00157710"/>
    <w:rsid w:val="00157A0B"/>
    <w:rsid w:val="00157A0E"/>
    <w:rsid w:val="00157AC7"/>
    <w:rsid w:val="00160ABE"/>
    <w:rsid w:val="001615F4"/>
    <w:rsid w:val="0016220E"/>
    <w:rsid w:val="001629B2"/>
    <w:rsid w:val="001632E2"/>
    <w:rsid w:val="00163CB1"/>
    <w:rsid w:val="00163DFC"/>
    <w:rsid w:val="00163EC3"/>
    <w:rsid w:val="00164445"/>
    <w:rsid w:val="00164AE0"/>
    <w:rsid w:val="00164FE4"/>
    <w:rsid w:val="0016582B"/>
    <w:rsid w:val="001663A0"/>
    <w:rsid w:val="00166E9F"/>
    <w:rsid w:val="001672A1"/>
    <w:rsid w:val="001672D4"/>
    <w:rsid w:val="00167BAE"/>
    <w:rsid w:val="00170075"/>
    <w:rsid w:val="001709ED"/>
    <w:rsid w:val="00171777"/>
    <w:rsid w:val="00171B5E"/>
    <w:rsid w:val="00171D3A"/>
    <w:rsid w:val="00171E2F"/>
    <w:rsid w:val="001722F1"/>
    <w:rsid w:val="00172436"/>
    <w:rsid w:val="00172778"/>
    <w:rsid w:val="00172943"/>
    <w:rsid w:val="00172D62"/>
    <w:rsid w:val="00173637"/>
    <w:rsid w:val="001737B5"/>
    <w:rsid w:val="00174807"/>
    <w:rsid w:val="00175EEF"/>
    <w:rsid w:val="0017604F"/>
    <w:rsid w:val="001765FC"/>
    <w:rsid w:val="00177BBA"/>
    <w:rsid w:val="00180057"/>
    <w:rsid w:val="0018018C"/>
    <w:rsid w:val="00180A72"/>
    <w:rsid w:val="00180B8F"/>
    <w:rsid w:val="00180C19"/>
    <w:rsid w:val="0018111C"/>
    <w:rsid w:val="00181C2A"/>
    <w:rsid w:val="00181CB0"/>
    <w:rsid w:val="00181F15"/>
    <w:rsid w:val="00183676"/>
    <w:rsid w:val="00183AB9"/>
    <w:rsid w:val="0018494A"/>
    <w:rsid w:val="00184D97"/>
    <w:rsid w:val="0018595D"/>
    <w:rsid w:val="001867D4"/>
    <w:rsid w:val="00186C03"/>
    <w:rsid w:val="0018735C"/>
    <w:rsid w:val="001879D0"/>
    <w:rsid w:val="00187BC1"/>
    <w:rsid w:val="00187DB0"/>
    <w:rsid w:val="001901B9"/>
    <w:rsid w:val="00190C1B"/>
    <w:rsid w:val="00191838"/>
    <w:rsid w:val="00191C60"/>
    <w:rsid w:val="00193093"/>
    <w:rsid w:val="001935B8"/>
    <w:rsid w:val="00193BBA"/>
    <w:rsid w:val="0019464A"/>
    <w:rsid w:val="00194C40"/>
    <w:rsid w:val="0019509C"/>
    <w:rsid w:val="0019559A"/>
    <w:rsid w:val="0019575B"/>
    <w:rsid w:val="00195BA9"/>
    <w:rsid w:val="00196895"/>
    <w:rsid w:val="00197720"/>
    <w:rsid w:val="00197C24"/>
    <w:rsid w:val="001A05E4"/>
    <w:rsid w:val="001A0A9B"/>
    <w:rsid w:val="001A10FF"/>
    <w:rsid w:val="001A1AD4"/>
    <w:rsid w:val="001A3C6B"/>
    <w:rsid w:val="001A4653"/>
    <w:rsid w:val="001A486A"/>
    <w:rsid w:val="001A491A"/>
    <w:rsid w:val="001A5070"/>
    <w:rsid w:val="001A5B49"/>
    <w:rsid w:val="001A5EF4"/>
    <w:rsid w:val="001A6128"/>
    <w:rsid w:val="001A6A14"/>
    <w:rsid w:val="001A6FA0"/>
    <w:rsid w:val="001A7861"/>
    <w:rsid w:val="001A7A61"/>
    <w:rsid w:val="001A7FEF"/>
    <w:rsid w:val="001B05F1"/>
    <w:rsid w:val="001B06BF"/>
    <w:rsid w:val="001B0CE1"/>
    <w:rsid w:val="001B1B96"/>
    <w:rsid w:val="001B2475"/>
    <w:rsid w:val="001B2916"/>
    <w:rsid w:val="001B2A2C"/>
    <w:rsid w:val="001B2A7B"/>
    <w:rsid w:val="001B3290"/>
    <w:rsid w:val="001B454B"/>
    <w:rsid w:val="001B4987"/>
    <w:rsid w:val="001B4C7D"/>
    <w:rsid w:val="001B4D4E"/>
    <w:rsid w:val="001B6889"/>
    <w:rsid w:val="001B7476"/>
    <w:rsid w:val="001B7522"/>
    <w:rsid w:val="001B7821"/>
    <w:rsid w:val="001B7BF0"/>
    <w:rsid w:val="001C00E9"/>
    <w:rsid w:val="001C0C27"/>
    <w:rsid w:val="001C0E7A"/>
    <w:rsid w:val="001C16C5"/>
    <w:rsid w:val="001C2119"/>
    <w:rsid w:val="001C23FA"/>
    <w:rsid w:val="001C2A48"/>
    <w:rsid w:val="001C37A1"/>
    <w:rsid w:val="001C3F4F"/>
    <w:rsid w:val="001C51C3"/>
    <w:rsid w:val="001C57F4"/>
    <w:rsid w:val="001C677C"/>
    <w:rsid w:val="001C68C9"/>
    <w:rsid w:val="001C6997"/>
    <w:rsid w:val="001C6F92"/>
    <w:rsid w:val="001C782D"/>
    <w:rsid w:val="001C78F1"/>
    <w:rsid w:val="001D0126"/>
    <w:rsid w:val="001D0BA0"/>
    <w:rsid w:val="001D0D39"/>
    <w:rsid w:val="001D1451"/>
    <w:rsid w:val="001D146C"/>
    <w:rsid w:val="001D194A"/>
    <w:rsid w:val="001D196C"/>
    <w:rsid w:val="001D24E5"/>
    <w:rsid w:val="001D299D"/>
    <w:rsid w:val="001D2B3F"/>
    <w:rsid w:val="001D2CAD"/>
    <w:rsid w:val="001D2CD7"/>
    <w:rsid w:val="001D2ECC"/>
    <w:rsid w:val="001D354A"/>
    <w:rsid w:val="001D3D9B"/>
    <w:rsid w:val="001D47A2"/>
    <w:rsid w:val="001D4A49"/>
    <w:rsid w:val="001D4BE5"/>
    <w:rsid w:val="001D4E11"/>
    <w:rsid w:val="001D4F7A"/>
    <w:rsid w:val="001D56A0"/>
    <w:rsid w:val="001D5A52"/>
    <w:rsid w:val="001D642A"/>
    <w:rsid w:val="001D6754"/>
    <w:rsid w:val="001D6A50"/>
    <w:rsid w:val="001D75A3"/>
    <w:rsid w:val="001D7E72"/>
    <w:rsid w:val="001E035A"/>
    <w:rsid w:val="001E063F"/>
    <w:rsid w:val="001E0937"/>
    <w:rsid w:val="001E098C"/>
    <w:rsid w:val="001E174C"/>
    <w:rsid w:val="001E2419"/>
    <w:rsid w:val="001E374A"/>
    <w:rsid w:val="001E3C57"/>
    <w:rsid w:val="001E3E0B"/>
    <w:rsid w:val="001E40B2"/>
    <w:rsid w:val="001E49C9"/>
    <w:rsid w:val="001E4BE8"/>
    <w:rsid w:val="001E5613"/>
    <w:rsid w:val="001E5640"/>
    <w:rsid w:val="001E6C27"/>
    <w:rsid w:val="001E7023"/>
    <w:rsid w:val="001E7DCE"/>
    <w:rsid w:val="001F04E5"/>
    <w:rsid w:val="001F154F"/>
    <w:rsid w:val="001F1AB1"/>
    <w:rsid w:val="001F2CD4"/>
    <w:rsid w:val="001F342B"/>
    <w:rsid w:val="001F342E"/>
    <w:rsid w:val="001F396E"/>
    <w:rsid w:val="001F3FD2"/>
    <w:rsid w:val="001F42C0"/>
    <w:rsid w:val="001F4B05"/>
    <w:rsid w:val="001F4C39"/>
    <w:rsid w:val="001F5027"/>
    <w:rsid w:val="001F6AB2"/>
    <w:rsid w:val="001F7004"/>
    <w:rsid w:val="001F78B3"/>
    <w:rsid w:val="001F7B04"/>
    <w:rsid w:val="001F7B18"/>
    <w:rsid w:val="00200326"/>
    <w:rsid w:val="00200905"/>
    <w:rsid w:val="00200933"/>
    <w:rsid w:val="00200F76"/>
    <w:rsid w:val="00201C6B"/>
    <w:rsid w:val="00202D06"/>
    <w:rsid w:val="002033A6"/>
    <w:rsid w:val="002033F2"/>
    <w:rsid w:val="00204572"/>
    <w:rsid w:val="00204905"/>
    <w:rsid w:val="00204D20"/>
    <w:rsid w:val="00205B01"/>
    <w:rsid w:val="00205E95"/>
    <w:rsid w:val="002063EA"/>
    <w:rsid w:val="0020667A"/>
    <w:rsid w:val="002068B3"/>
    <w:rsid w:val="00206F1C"/>
    <w:rsid w:val="002106C2"/>
    <w:rsid w:val="0021186B"/>
    <w:rsid w:val="00211D78"/>
    <w:rsid w:val="00211D91"/>
    <w:rsid w:val="00211DB5"/>
    <w:rsid w:val="0021338D"/>
    <w:rsid w:val="00213455"/>
    <w:rsid w:val="0021347B"/>
    <w:rsid w:val="00213876"/>
    <w:rsid w:val="0021417F"/>
    <w:rsid w:val="002148AE"/>
    <w:rsid w:val="002148E5"/>
    <w:rsid w:val="00214F0B"/>
    <w:rsid w:val="00215561"/>
    <w:rsid w:val="00215704"/>
    <w:rsid w:val="00215731"/>
    <w:rsid w:val="00216219"/>
    <w:rsid w:val="00216A64"/>
    <w:rsid w:val="002178AA"/>
    <w:rsid w:val="00220498"/>
    <w:rsid w:val="0022082B"/>
    <w:rsid w:val="002211F7"/>
    <w:rsid w:val="00221487"/>
    <w:rsid w:val="00222956"/>
    <w:rsid w:val="00222ABE"/>
    <w:rsid w:val="00222B03"/>
    <w:rsid w:val="00222EAE"/>
    <w:rsid w:val="00224D9F"/>
    <w:rsid w:val="00225179"/>
    <w:rsid w:val="002261F9"/>
    <w:rsid w:val="002272F4"/>
    <w:rsid w:val="00227D12"/>
    <w:rsid w:val="00230322"/>
    <w:rsid w:val="00230594"/>
    <w:rsid w:val="00230E3B"/>
    <w:rsid w:val="00230E52"/>
    <w:rsid w:val="002317C7"/>
    <w:rsid w:val="00232E13"/>
    <w:rsid w:val="00233242"/>
    <w:rsid w:val="00233509"/>
    <w:rsid w:val="00233675"/>
    <w:rsid w:val="00233B72"/>
    <w:rsid w:val="00234E86"/>
    <w:rsid w:val="00235279"/>
    <w:rsid w:val="0023574C"/>
    <w:rsid w:val="002358BB"/>
    <w:rsid w:val="00235923"/>
    <w:rsid w:val="002366C4"/>
    <w:rsid w:val="002377DC"/>
    <w:rsid w:val="0024014F"/>
    <w:rsid w:val="00240AE4"/>
    <w:rsid w:val="00240D49"/>
    <w:rsid w:val="0024121A"/>
    <w:rsid w:val="002428E7"/>
    <w:rsid w:val="002433F9"/>
    <w:rsid w:val="0024450B"/>
    <w:rsid w:val="00244C5E"/>
    <w:rsid w:val="00244C8D"/>
    <w:rsid w:val="00244D97"/>
    <w:rsid w:val="002452E0"/>
    <w:rsid w:val="00245370"/>
    <w:rsid w:val="00245CE3"/>
    <w:rsid w:val="002460F2"/>
    <w:rsid w:val="002462E5"/>
    <w:rsid w:val="00246443"/>
    <w:rsid w:val="00246BB9"/>
    <w:rsid w:val="00246D43"/>
    <w:rsid w:val="002477A6"/>
    <w:rsid w:val="002500A7"/>
    <w:rsid w:val="002505C7"/>
    <w:rsid w:val="002507FD"/>
    <w:rsid w:val="002522E7"/>
    <w:rsid w:val="0025238E"/>
    <w:rsid w:val="002524F8"/>
    <w:rsid w:val="00252673"/>
    <w:rsid w:val="002532A8"/>
    <w:rsid w:val="002537FC"/>
    <w:rsid w:val="002548E4"/>
    <w:rsid w:val="002556CA"/>
    <w:rsid w:val="00255797"/>
    <w:rsid w:val="00256064"/>
    <w:rsid w:val="00256672"/>
    <w:rsid w:val="0025727C"/>
    <w:rsid w:val="002579E5"/>
    <w:rsid w:val="00260152"/>
    <w:rsid w:val="00261442"/>
    <w:rsid w:val="00261D31"/>
    <w:rsid w:val="00261F35"/>
    <w:rsid w:val="0026238F"/>
    <w:rsid w:val="00262672"/>
    <w:rsid w:val="002633F7"/>
    <w:rsid w:val="0026372B"/>
    <w:rsid w:val="00263B21"/>
    <w:rsid w:val="00263E4A"/>
    <w:rsid w:val="00264767"/>
    <w:rsid w:val="00264895"/>
    <w:rsid w:val="00264AA1"/>
    <w:rsid w:val="00264D20"/>
    <w:rsid w:val="002650E1"/>
    <w:rsid w:val="00266617"/>
    <w:rsid w:val="002667BF"/>
    <w:rsid w:val="00267CC0"/>
    <w:rsid w:val="002705BC"/>
    <w:rsid w:val="002707D1"/>
    <w:rsid w:val="00270C11"/>
    <w:rsid w:val="00270C54"/>
    <w:rsid w:val="00270D7F"/>
    <w:rsid w:val="00271517"/>
    <w:rsid w:val="0027194C"/>
    <w:rsid w:val="002719B4"/>
    <w:rsid w:val="0027230D"/>
    <w:rsid w:val="002723DD"/>
    <w:rsid w:val="0027311D"/>
    <w:rsid w:val="002732BF"/>
    <w:rsid w:val="002733F2"/>
    <w:rsid w:val="002736D5"/>
    <w:rsid w:val="00273A5B"/>
    <w:rsid w:val="00274150"/>
    <w:rsid w:val="00274443"/>
    <w:rsid w:val="00274452"/>
    <w:rsid w:val="002748DA"/>
    <w:rsid w:val="00274A63"/>
    <w:rsid w:val="00274F6F"/>
    <w:rsid w:val="00275EDF"/>
    <w:rsid w:val="0027605C"/>
    <w:rsid w:val="00276804"/>
    <w:rsid w:val="00276F31"/>
    <w:rsid w:val="0027733A"/>
    <w:rsid w:val="00277EB3"/>
    <w:rsid w:val="0028031A"/>
    <w:rsid w:val="00280CB3"/>
    <w:rsid w:val="002815A0"/>
    <w:rsid w:val="00281E4C"/>
    <w:rsid w:val="0028213D"/>
    <w:rsid w:val="0028240E"/>
    <w:rsid w:val="00282489"/>
    <w:rsid w:val="002834F4"/>
    <w:rsid w:val="00284875"/>
    <w:rsid w:val="002852BA"/>
    <w:rsid w:val="0028532A"/>
    <w:rsid w:val="00285E4D"/>
    <w:rsid w:val="00286264"/>
    <w:rsid w:val="0028635C"/>
    <w:rsid w:val="002866B4"/>
    <w:rsid w:val="00286C8D"/>
    <w:rsid w:val="00286D61"/>
    <w:rsid w:val="00286F10"/>
    <w:rsid w:val="00287E16"/>
    <w:rsid w:val="00287E25"/>
    <w:rsid w:val="00290354"/>
    <w:rsid w:val="0029044A"/>
    <w:rsid w:val="002927DC"/>
    <w:rsid w:val="0029290C"/>
    <w:rsid w:val="0029314D"/>
    <w:rsid w:val="002934EE"/>
    <w:rsid w:val="00293D73"/>
    <w:rsid w:val="002947C9"/>
    <w:rsid w:val="00294981"/>
    <w:rsid w:val="00294EEE"/>
    <w:rsid w:val="00295116"/>
    <w:rsid w:val="0029538F"/>
    <w:rsid w:val="002957E6"/>
    <w:rsid w:val="00296159"/>
    <w:rsid w:val="002961E9"/>
    <w:rsid w:val="002966D9"/>
    <w:rsid w:val="0029679A"/>
    <w:rsid w:val="00296874"/>
    <w:rsid w:val="002969F3"/>
    <w:rsid w:val="00296CD6"/>
    <w:rsid w:val="002979BE"/>
    <w:rsid w:val="00297E28"/>
    <w:rsid w:val="002A078D"/>
    <w:rsid w:val="002A0A6C"/>
    <w:rsid w:val="002A1205"/>
    <w:rsid w:val="002A168E"/>
    <w:rsid w:val="002A1EF4"/>
    <w:rsid w:val="002A234D"/>
    <w:rsid w:val="002A242A"/>
    <w:rsid w:val="002A2EC1"/>
    <w:rsid w:val="002A311D"/>
    <w:rsid w:val="002A315F"/>
    <w:rsid w:val="002A32D5"/>
    <w:rsid w:val="002A3D5D"/>
    <w:rsid w:val="002A3E3E"/>
    <w:rsid w:val="002A468C"/>
    <w:rsid w:val="002A4999"/>
    <w:rsid w:val="002A4B14"/>
    <w:rsid w:val="002A4EA7"/>
    <w:rsid w:val="002A4F9A"/>
    <w:rsid w:val="002A7C46"/>
    <w:rsid w:val="002B2064"/>
    <w:rsid w:val="002B231D"/>
    <w:rsid w:val="002B3599"/>
    <w:rsid w:val="002B392C"/>
    <w:rsid w:val="002B44C6"/>
    <w:rsid w:val="002B4954"/>
    <w:rsid w:val="002B55FD"/>
    <w:rsid w:val="002B56E5"/>
    <w:rsid w:val="002B58FD"/>
    <w:rsid w:val="002B596D"/>
    <w:rsid w:val="002B61CE"/>
    <w:rsid w:val="002B6A83"/>
    <w:rsid w:val="002B6B78"/>
    <w:rsid w:val="002B7033"/>
    <w:rsid w:val="002B7AF1"/>
    <w:rsid w:val="002C085C"/>
    <w:rsid w:val="002C111D"/>
    <w:rsid w:val="002C161A"/>
    <w:rsid w:val="002C1A48"/>
    <w:rsid w:val="002C1E55"/>
    <w:rsid w:val="002C20D4"/>
    <w:rsid w:val="002C219F"/>
    <w:rsid w:val="002C22A8"/>
    <w:rsid w:val="002C27BC"/>
    <w:rsid w:val="002C3088"/>
    <w:rsid w:val="002C3121"/>
    <w:rsid w:val="002C3401"/>
    <w:rsid w:val="002C459D"/>
    <w:rsid w:val="002C4700"/>
    <w:rsid w:val="002C4760"/>
    <w:rsid w:val="002C47FC"/>
    <w:rsid w:val="002C4915"/>
    <w:rsid w:val="002C5101"/>
    <w:rsid w:val="002C55BD"/>
    <w:rsid w:val="002C6325"/>
    <w:rsid w:val="002C63E7"/>
    <w:rsid w:val="002C646A"/>
    <w:rsid w:val="002C6673"/>
    <w:rsid w:val="002C6690"/>
    <w:rsid w:val="002C685E"/>
    <w:rsid w:val="002C6963"/>
    <w:rsid w:val="002C6971"/>
    <w:rsid w:val="002D0769"/>
    <w:rsid w:val="002D0B58"/>
    <w:rsid w:val="002D0E5F"/>
    <w:rsid w:val="002D1FBF"/>
    <w:rsid w:val="002D2099"/>
    <w:rsid w:val="002D270D"/>
    <w:rsid w:val="002D4C72"/>
    <w:rsid w:val="002D5229"/>
    <w:rsid w:val="002D54FC"/>
    <w:rsid w:val="002D59D5"/>
    <w:rsid w:val="002D7264"/>
    <w:rsid w:val="002D74B5"/>
    <w:rsid w:val="002D7943"/>
    <w:rsid w:val="002D79E9"/>
    <w:rsid w:val="002E055C"/>
    <w:rsid w:val="002E0604"/>
    <w:rsid w:val="002E2653"/>
    <w:rsid w:val="002E26E0"/>
    <w:rsid w:val="002E3096"/>
    <w:rsid w:val="002E30EE"/>
    <w:rsid w:val="002E4395"/>
    <w:rsid w:val="002E46E9"/>
    <w:rsid w:val="002E4953"/>
    <w:rsid w:val="002E5D15"/>
    <w:rsid w:val="002E5E7D"/>
    <w:rsid w:val="002E5E91"/>
    <w:rsid w:val="002E5F50"/>
    <w:rsid w:val="002E652A"/>
    <w:rsid w:val="002E6A96"/>
    <w:rsid w:val="002E7486"/>
    <w:rsid w:val="002E74A0"/>
    <w:rsid w:val="002E7B14"/>
    <w:rsid w:val="002F01F7"/>
    <w:rsid w:val="002F0203"/>
    <w:rsid w:val="002F0A59"/>
    <w:rsid w:val="002F2077"/>
    <w:rsid w:val="002F22F7"/>
    <w:rsid w:val="002F2316"/>
    <w:rsid w:val="002F2A89"/>
    <w:rsid w:val="002F2C8E"/>
    <w:rsid w:val="002F2F91"/>
    <w:rsid w:val="002F4C59"/>
    <w:rsid w:val="002F52B9"/>
    <w:rsid w:val="002F562D"/>
    <w:rsid w:val="002F56AD"/>
    <w:rsid w:val="002F583B"/>
    <w:rsid w:val="002F635A"/>
    <w:rsid w:val="002F6485"/>
    <w:rsid w:val="002F7599"/>
    <w:rsid w:val="002F7A22"/>
    <w:rsid w:val="003002C2"/>
    <w:rsid w:val="00300533"/>
    <w:rsid w:val="00300842"/>
    <w:rsid w:val="00301B10"/>
    <w:rsid w:val="00302A50"/>
    <w:rsid w:val="003031D2"/>
    <w:rsid w:val="00303E69"/>
    <w:rsid w:val="00303EEF"/>
    <w:rsid w:val="003044BA"/>
    <w:rsid w:val="00304DEE"/>
    <w:rsid w:val="00304DFF"/>
    <w:rsid w:val="00305572"/>
    <w:rsid w:val="00305625"/>
    <w:rsid w:val="0030562E"/>
    <w:rsid w:val="00305634"/>
    <w:rsid w:val="003063BB"/>
    <w:rsid w:val="00306734"/>
    <w:rsid w:val="00306A24"/>
    <w:rsid w:val="00306C52"/>
    <w:rsid w:val="00307C99"/>
    <w:rsid w:val="00310FAF"/>
    <w:rsid w:val="00311A72"/>
    <w:rsid w:val="00311CC3"/>
    <w:rsid w:val="00311EBF"/>
    <w:rsid w:val="00312035"/>
    <w:rsid w:val="00312277"/>
    <w:rsid w:val="003124A9"/>
    <w:rsid w:val="0031309A"/>
    <w:rsid w:val="0031357C"/>
    <w:rsid w:val="00313AAE"/>
    <w:rsid w:val="00314896"/>
    <w:rsid w:val="003149E8"/>
    <w:rsid w:val="00314EEE"/>
    <w:rsid w:val="00315949"/>
    <w:rsid w:val="00315C91"/>
    <w:rsid w:val="00315E18"/>
    <w:rsid w:val="0031695C"/>
    <w:rsid w:val="003178FD"/>
    <w:rsid w:val="003209D0"/>
    <w:rsid w:val="0032159C"/>
    <w:rsid w:val="0032190E"/>
    <w:rsid w:val="00321949"/>
    <w:rsid w:val="003219CF"/>
    <w:rsid w:val="00321BA8"/>
    <w:rsid w:val="00321E3C"/>
    <w:rsid w:val="003224F7"/>
    <w:rsid w:val="0032275C"/>
    <w:rsid w:val="003227D9"/>
    <w:rsid w:val="00322B1C"/>
    <w:rsid w:val="00322B45"/>
    <w:rsid w:val="00323FB1"/>
    <w:rsid w:val="00325B5D"/>
    <w:rsid w:val="00326367"/>
    <w:rsid w:val="00326CC6"/>
    <w:rsid w:val="00326E7C"/>
    <w:rsid w:val="00327933"/>
    <w:rsid w:val="00327F27"/>
    <w:rsid w:val="00330146"/>
    <w:rsid w:val="00330CA1"/>
    <w:rsid w:val="0033195C"/>
    <w:rsid w:val="00331CD7"/>
    <w:rsid w:val="00331DD7"/>
    <w:rsid w:val="00331EB5"/>
    <w:rsid w:val="003321BD"/>
    <w:rsid w:val="0033230B"/>
    <w:rsid w:val="00332D3D"/>
    <w:rsid w:val="00333491"/>
    <w:rsid w:val="00333680"/>
    <w:rsid w:val="0033486F"/>
    <w:rsid w:val="00335488"/>
    <w:rsid w:val="003358BB"/>
    <w:rsid w:val="00335BA3"/>
    <w:rsid w:val="00335E25"/>
    <w:rsid w:val="003366CA"/>
    <w:rsid w:val="00336C4E"/>
    <w:rsid w:val="0033737B"/>
    <w:rsid w:val="00337454"/>
    <w:rsid w:val="00337EBE"/>
    <w:rsid w:val="00340149"/>
    <w:rsid w:val="003406F7"/>
    <w:rsid w:val="003408B2"/>
    <w:rsid w:val="00340F3E"/>
    <w:rsid w:val="003412E7"/>
    <w:rsid w:val="003416A2"/>
    <w:rsid w:val="00341991"/>
    <w:rsid w:val="00341EBE"/>
    <w:rsid w:val="003427EF"/>
    <w:rsid w:val="00342863"/>
    <w:rsid w:val="003436AE"/>
    <w:rsid w:val="00343EA4"/>
    <w:rsid w:val="00344811"/>
    <w:rsid w:val="0034497A"/>
    <w:rsid w:val="003456DE"/>
    <w:rsid w:val="00345B05"/>
    <w:rsid w:val="00345FC4"/>
    <w:rsid w:val="00347036"/>
    <w:rsid w:val="003470BD"/>
    <w:rsid w:val="00347CDC"/>
    <w:rsid w:val="0035023C"/>
    <w:rsid w:val="003507AA"/>
    <w:rsid w:val="00350849"/>
    <w:rsid w:val="00351AAA"/>
    <w:rsid w:val="00351D92"/>
    <w:rsid w:val="00353838"/>
    <w:rsid w:val="00353CF7"/>
    <w:rsid w:val="0035411F"/>
    <w:rsid w:val="0035477A"/>
    <w:rsid w:val="0035541A"/>
    <w:rsid w:val="00356824"/>
    <w:rsid w:val="0035689B"/>
    <w:rsid w:val="00356F60"/>
    <w:rsid w:val="00356FFA"/>
    <w:rsid w:val="003570AC"/>
    <w:rsid w:val="00357261"/>
    <w:rsid w:val="00357297"/>
    <w:rsid w:val="00357601"/>
    <w:rsid w:val="00357D1C"/>
    <w:rsid w:val="0036021D"/>
    <w:rsid w:val="00360AF6"/>
    <w:rsid w:val="0036107F"/>
    <w:rsid w:val="00361C69"/>
    <w:rsid w:val="00362115"/>
    <w:rsid w:val="00362274"/>
    <w:rsid w:val="00362A1F"/>
    <w:rsid w:val="00362BAF"/>
    <w:rsid w:val="00362BE9"/>
    <w:rsid w:val="00362CB5"/>
    <w:rsid w:val="003637BC"/>
    <w:rsid w:val="003638AA"/>
    <w:rsid w:val="00363CFA"/>
    <w:rsid w:val="003648B6"/>
    <w:rsid w:val="00365B85"/>
    <w:rsid w:val="00365E51"/>
    <w:rsid w:val="00366DC7"/>
    <w:rsid w:val="003673A0"/>
    <w:rsid w:val="00367784"/>
    <w:rsid w:val="003678A8"/>
    <w:rsid w:val="00367EDE"/>
    <w:rsid w:val="003705C6"/>
    <w:rsid w:val="00370EE9"/>
    <w:rsid w:val="00371E0C"/>
    <w:rsid w:val="00372055"/>
    <w:rsid w:val="003720CA"/>
    <w:rsid w:val="00372132"/>
    <w:rsid w:val="003728FE"/>
    <w:rsid w:val="00372ADB"/>
    <w:rsid w:val="003732D1"/>
    <w:rsid w:val="003732D6"/>
    <w:rsid w:val="00373419"/>
    <w:rsid w:val="00374259"/>
    <w:rsid w:val="00374334"/>
    <w:rsid w:val="00374592"/>
    <w:rsid w:val="0037480A"/>
    <w:rsid w:val="00374D1C"/>
    <w:rsid w:val="003753BC"/>
    <w:rsid w:val="003754C5"/>
    <w:rsid w:val="00375C55"/>
    <w:rsid w:val="00375CB7"/>
    <w:rsid w:val="00376139"/>
    <w:rsid w:val="00376ED9"/>
    <w:rsid w:val="0037749B"/>
    <w:rsid w:val="0037775D"/>
    <w:rsid w:val="0038016E"/>
    <w:rsid w:val="0038026D"/>
    <w:rsid w:val="0038134E"/>
    <w:rsid w:val="00381B33"/>
    <w:rsid w:val="0038273D"/>
    <w:rsid w:val="0038273F"/>
    <w:rsid w:val="00382E51"/>
    <w:rsid w:val="00382F08"/>
    <w:rsid w:val="00384157"/>
    <w:rsid w:val="00384639"/>
    <w:rsid w:val="00385050"/>
    <w:rsid w:val="003857E6"/>
    <w:rsid w:val="00386114"/>
    <w:rsid w:val="00386D38"/>
    <w:rsid w:val="0038790D"/>
    <w:rsid w:val="003905D3"/>
    <w:rsid w:val="00390D5C"/>
    <w:rsid w:val="00392366"/>
    <w:rsid w:val="00392832"/>
    <w:rsid w:val="00392EA5"/>
    <w:rsid w:val="003932F5"/>
    <w:rsid w:val="00393956"/>
    <w:rsid w:val="00394EA8"/>
    <w:rsid w:val="00395D31"/>
    <w:rsid w:val="0039613C"/>
    <w:rsid w:val="00396B77"/>
    <w:rsid w:val="00396C56"/>
    <w:rsid w:val="00396E99"/>
    <w:rsid w:val="00396FCD"/>
    <w:rsid w:val="00397102"/>
    <w:rsid w:val="003971F6"/>
    <w:rsid w:val="00397B6F"/>
    <w:rsid w:val="003A0BB4"/>
    <w:rsid w:val="003A0FC9"/>
    <w:rsid w:val="003A1F5D"/>
    <w:rsid w:val="003A3358"/>
    <w:rsid w:val="003A37DE"/>
    <w:rsid w:val="003A4209"/>
    <w:rsid w:val="003A49D3"/>
    <w:rsid w:val="003A573C"/>
    <w:rsid w:val="003A589A"/>
    <w:rsid w:val="003A5BC7"/>
    <w:rsid w:val="003A5C09"/>
    <w:rsid w:val="003A5CA6"/>
    <w:rsid w:val="003A5E33"/>
    <w:rsid w:val="003A5E63"/>
    <w:rsid w:val="003A5EF9"/>
    <w:rsid w:val="003A608E"/>
    <w:rsid w:val="003A6216"/>
    <w:rsid w:val="003A63DD"/>
    <w:rsid w:val="003A6563"/>
    <w:rsid w:val="003A696F"/>
    <w:rsid w:val="003A6F78"/>
    <w:rsid w:val="003A7934"/>
    <w:rsid w:val="003B16AE"/>
    <w:rsid w:val="003B1964"/>
    <w:rsid w:val="003B254B"/>
    <w:rsid w:val="003B2A26"/>
    <w:rsid w:val="003B3AB5"/>
    <w:rsid w:val="003B4689"/>
    <w:rsid w:val="003B49C4"/>
    <w:rsid w:val="003B5B80"/>
    <w:rsid w:val="003B63C9"/>
    <w:rsid w:val="003B6E51"/>
    <w:rsid w:val="003B77EC"/>
    <w:rsid w:val="003C0D3F"/>
    <w:rsid w:val="003C10A2"/>
    <w:rsid w:val="003C13B7"/>
    <w:rsid w:val="003C15E3"/>
    <w:rsid w:val="003C1BC2"/>
    <w:rsid w:val="003C2B3B"/>
    <w:rsid w:val="003C2D59"/>
    <w:rsid w:val="003C300A"/>
    <w:rsid w:val="003C371F"/>
    <w:rsid w:val="003C3B06"/>
    <w:rsid w:val="003C3DCC"/>
    <w:rsid w:val="003C4D17"/>
    <w:rsid w:val="003C4E88"/>
    <w:rsid w:val="003C540E"/>
    <w:rsid w:val="003C7066"/>
    <w:rsid w:val="003C7697"/>
    <w:rsid w:val="003C7C26"/>
    <w:rsid w:val="003C7E04"/>
    <w:rsid w:val="003C7E61"/>
    <w:rsid w:val="003C7E80"/>
    <w:rsid w:val="003D0C7E"/>
    <w:rsid w:val="003D0D48"/>
    <w:rsid w:val="003D0D88"/>
    <w:rsid w:val="003D1307"/>
    <w:rsid w:val="003D1D9B"/>
    <w:rsid w:val="003D21D6"/>
    <w:rsid w:val="003D2963"/>
    <w:rsid w:val="003D2B7B"/>
    <w:rsid w:val="003D2EC1"/>
    <w:rsid w:val="003D3036"/>
    <w:rsid w:val="003D33AD"/>
    <w:rsid w:val="003D379C"/>
    <w:rsid w:val="003D3A82"/>
    <w:rsid w:val="003D44B0"/>
    <w:rsid w:val="003D47A1"/>
    <w:rsid w:val="003D52B4"/>
    <w:rsid w:val="003D55EF"/>
    <w:rsid w:val="003D582D"/>
    <w:rsid w:val="003D6825"/>
    <w:rsid w:val="003D6985"/>
    <w:rsid w:val="003D6E7A"/>
    <w:rsid w:val="003D78D8"/>
    <w:rsid w:val="003D7D4A"/>
    <w:rsid w:val="003E0085"/>
    <w:rsid w:val="003E0BEF"/>
    <w:rsid w:val="003E1330"/>
    <w:rsid w:val="003E1719"/>
    <w:rsid w:val="003E1903"/>
    <w:rsid w:val="003E1F73"/>
    <w:rsid w:val="003E2453"/>
    <w:rsid w:val="003E255D"/>
    <w:rsid w:val="003E2ADD"/>
    <w:rsid w:val="003E31BD"/>
    <w:rsid w:val="003E323F"/>
    <w:rsid w:val="003E3538"/>
    <w:rsid w:val="003E35A5"/>
    <w:rsid w:val="003E36C2"/>
    <w:rsid w:val="003E3CD3"/>
    <w:rsid w:val="003E4C54"/>
    <w:rsid w:val="003E5A43"/>
    <w:rsid w:val="003E640A"/>
    <w:rsid w:val="003F0008"/>
    <w:rsid w:val="003F037B"/>
    <w:rsid w:val="003F05A1"/>
    <w:rsid w:val="003F05BB"/>
    <w:rsid w:val="003F0638"/>
    <w:rsid w:val="003F06EF"/>
    <w:rsid w:val="003F1944"/>
    <w:rsid w:val="003F1982"/>
    <w:rsid w:val="003F20DA"/>
    <w:rsid w:val="003F26A5"/>
    <w:rsid w:val="003F271C"/>
    <w:rsid w:val="003F4818"/>
    <w:rsid w:val="003F485C"/>
    <w:rsid w:val="003F5882"/>
    <w:rsid w:val="003F5AA4"/>
    <w:rsid w:val="003F65BA"/>
    <w:rsid w:val="003F73C6"/>
    <w:rsid w:val="003F7496"/>
    <w:rsid w:val="003F7D7D"/>
    <w:rsid w:val="003F7DDB"/>
    <w:rsid w:val="003F7E91"/>
    <w:rsid w:val="003F7EED"/>
    <w:rsid w:val="0040008D"/>
    <w:rsid w:val="00400263"/>
    <w:rsid w:val="004007C9"/>
    <w:rsid w:val="00400E63"/>
    <w:rsid w:val="0040207A"/>
    <w:rsid w:val="00402856"/>
    <w:rsid w:val="00403D94"/>
    <w:rsid w:val="0040431D"/>
    <w:rsid w:val="004064AB"/>
    <w:rsid w:val="00406EE9"/>
    <w:rsid w:val="00407006"/>
    <w:rsid w:val="00407430"/>
    <w:rsid w:val="00407E4A"/>
    <w:rsid w:val="004105AD"/>
    <w:rsid w:val="00411687"/>
    <w:rsid w:val="00412307"/>
    <w:rsid w:val="0041251A"/>
    <w:rsid w:val="00412EC3"/>
    <w:rsid w:val="00413AB5"/>
    <w:rsid w:val="00413C02"/>
    <w:rsid w:val="00413C2D"/>
    <w:rsid w:val="004142C8"/>
    <w:rsid w:val="00414D3F"/>
    <w:rsid w:val="0041523D"/>
    <w:rsid w:val="004154C3"/>
    <w:rsid w:val="00415A04"/>
    <w:rsid w:val="00416017"/>
    <w:rsid w:val="0041621B"/>
    <w:rsid w:val="00416492"/>
    <w:rsid w:val="00416BF8"/>
    <w:rsid w:val="00416CAC"/>
    <w:rsid w:val="00417850"/>
    <w:rsid w:val="00417A88"/>
    <w:rsid w:val="00417BDC"/>
    <w:rsid w:val="00417DC8"/>
    <w:rsid w:val="00420C8F"/>
    <w:rsid w:val="00420E0C"/>
    <w:rsid w:val="00421FEC"/>
    <w:rsid w:val="00422213"/>
    <w:rsid w:val="004225CB"/>
    <w:rsid w:val="0042276C"/>
    <w:rsid w:val="00422A48"/>
    <w:rsid w:val="00423CC2"/>
    <w:rsid w:val="00424480"/>
    <w:rsid w:val="004248EA"/>
    <w:rsid w:val="004257FC"/>
    <w:rsid w:val="00425E48"/>
    <w:rsid w:val="004260A7"/>
    <w:rsid w:val="00426247"/>
    <w:rsid w:val="004263A5"/>
    <w:rsid w:val="00426F3C"/>
    <w:rsid w:val="0042723D"/>
    <w:rsid w:val="0042762D"/>
    <w:rsid w:val="00427F97"/>
    <w:rsid w:val="00430CC6"/>
    <w:rsid w:val="00430CFA"/>
    <w:rsid w:val="004313EC"/>
    <w:rsid w:val="004316BE"/>
    <w:rsid w:val="004324D0"/>
    <w:rsid w:val="004329D3"/>
    <w:rsid w:val="00433044"/>
    <w:rsid w:val="004332AB"/>
    <w:rsid w:val="00433312"/>
    <w:rsid w:val="00433896"/>
    <w:rsid w:val="004371F5"/>
    <w:rsid w:val="0043741A"/>
    <w:rsid w:val="00437AE0"/>
    <w:rsid w:val="00437CC5"/>
    <w:rsid w:val="00440175"/>
    <w:rsid w:val="00440370"/>
    <w:rsid w:val="00440572"/>
    <w:rsid w:val="0044095D"/>
    <w:rsid w:val="00441C25"/>
    <w:rsid w:val="00441D6C"/>
    <w:rsid w:val="004420D9"/>
    <w:rsid w:val="0044254A"/>
    <w:rsid w:val="00442950"/>
    <w:rsid w:val="00442D8A"/>
    <w:rsid w:val="004430AC"/>
    <w:rsid w:val="004433D6"/>
    <w:rsid w:val="004434EE"/>
    <w:rsid w:val="00443B95"/>
    <w:rsid w:val="004444FA"/>
    <w:rsid w:val="0044482A"/>
    <w:rsid w:val="004461DC"/>
    <w:rsid w:val="00446867"/>
    <w:rsid w:val="00446911"/>
    <w:rsid w:val="004469ED"/>
    <w:rsid w:val="00447056"/>
    <w:rsid w:val="00447C56"/>
    <w:rsid w:val="00450CA3"/>
    <w:rsid w:val="00450F1E"/>
    <w:rsid w:val="0045120E"/>
    <w:rsid w:val="00451595"/>
    <w:rsid w:val="004515FF"/>
    <w:rsid w:val="00451DEC"/>
    <w:rsid w:val="00452059"/>
    <w:rsid w:val="00452D9A"/>
    <w:rsid w:val="00453419"/>
    <w:rsid w:val="004538FE"/>
    <w:rsid w:val="00453DBE"/>
    <w:rsid w:val="00454975"/>
    <w:rsid w:val="00455157"/>
    <w:rsid w:val="004556D5"/>
    <w:rsid w:val="00455C62"/>
    <w:rsid w:val="00456AD6"/>
    <w:rsid w:val="00457947"/>
    <w:rsid w:val="00457BDC"/>
    <w:rsid w:val="004603DC"/>
    <w:rsid w:val="004607F4"/>
    <w:rsid w:val="00460EC5"/>
    <w:rsid w:val="00461452"/>
    <w:rsid w:val="00461968"/>
    <w:rsid w:val="00461AC3"/>
    <w:rsid w:val="00462410"/>
    <w:rsid w:val="004625A4"/>
    <w:rsid w:val="00462BD0"/>
    <w:rsid w:val="00463DF6"/>
    <w:rsid w:val="004645FA"/>
    <w:rsid w:val="0046473E"/>
    <w:rsid w:val="00464B26"/>
    <w:rsid w:val="00464DF8"/>
    <w:rsid w:val="00465302"/>
    <w:rsid w:val="00465460"/>
    <w:rsid w:val="00465E12"/>
    <w:rsid w:val="0046606F"/>
    <w:rsid w:val="00466167"/>
    <w:rsid w:val="00470720"/>
    <w:rsid w:val="00471511"/>
    <w:rsid w:val="004716B4"/>
    <w:rsid w:val="00471DB7"/>
    <w:rsid w:val="00471E9C"/>
    <w:rsid w:val="00472A40"/>
    <w:rsid w:val="00472AFA"/>
    <w:rsid w:val="00472C52"/>
    <w:rsid w:val="004732F6"/>
    <w:rsid w:val="0047402F"/>
    <w:rsid w:val="004740D4"/>
    <w:rsid w:val="004741AC"/>
    <w:rsid w:val="00474B15"/>
    <w:rsid w:val="00476163"/>
    <w:rsid w:val="004766A2"/>
    <w:rsid w:val="00476B3D"/>
    <w:rsid w:val="0047769D"/>
    <w:rsid w:val="00480065"/>
    <w:rsid w:val="004801EC"/>
    <w:rsid w:val="0048117C"/>
    <w:rsid w:val="004813C9"/>
    <w:rsid w:val="00481485"/>
    <w:rsid w:val="004818FD"/>
    <w:rsid w:val="00481EEA"/>
    <w:rsid w:val="00481F19"/>
    <w:rsid w:val="00482E63"/>
    <w:rsid w:val="00483074"/>
    <w:rsid w:val="0048431D"/>
    <w:rsid w:val="004848E7"/>
    <w:rsid w:val="00484A1D"/>
    <w:rsid w:val="00484DE2"/>
    <w:rsid w:val="00485DEC"/>
    <w:rsid w:val="0048661E"/>
    <w:rsid w:val="00486B53"/>
    <w:rsid w:val="004874EF"/>
    <w:rsid w:val="00490EBF"/>
    <w:rsid w:val="0049141D"/>
    <w:rsid w:val="00491E8A"/>
    <w:rsid w:val="0049262A"/>
    <w:rsid w:val="00493677"/>
    <w:rsid w:val="00493E2E"/>
    <w:rsid w:val="00493F7E"/>
    <w:rsid w:val="00493FC7"/>
    <w:rsid w:val="004941E8"/>
    <w:rsid w:val="00494690"/>
    <w:rsid w:val="0049489F"/>
    <w:rsid w:val="00494E80"/>
    <w:rsid w:val="00495D1B"/>
    <w:rsid w:val="004972D5"/>
    <w:rsid w:val="0049730B"/>
    <w:rsid w:val="0049748A"/>
    <w:rsid w:val="004975EF"/>
    <w:rsid w:val="004A04C1"/>
    <w:rsid w:val="004A0718"/>
    <w:rsid w:val="004A1302"/>
    <w:rsid w:val="004A1BDB"/>
    <w:rsid w:val="004A39C0"/>
    <w:rsid w:val="004A4091"/>
    <w:rsid w:val="004A44A5"/>
    <w:rsid w:val="004A49E8"/>
    <w:rsid w:val="004A5051"/>
    <w:rsid w:val="004A5279"/>
    <w:rsid w:val="004A54C4"/>
    <w:rsid w:val="004A5D9E"/>
    <w:rsid w:val="004A5EFD"/>
    <w:rsid w:val="004A6444"/>
    <w:rsid w:val="004A69C9"/>
    <w:rsid w:val="004A7656"/>
    <w:rsid w:val="004B0017"/>
    <w:rsid w:val="004B068D"/>
    <w:rsid w:val="004B0EF2"/>
    <w:rsid w:val="004B128B"/>
    <w:rsid w:val="004B1A8F"/>
    <w:rsid w:val="004B3432"/>
    <w:rsid w:val="004B3806"/>
    <w:rsid w:val="004B3CAA"/>
    <w:rsid w:val="004B44EF"/>
    <w:rsid w:val="004B4B1F"/>
    <w:rsid w:val="004B4ED2"/>
    <w:rsid w:val="004B5C2B"/>
    <w:rsid w:val="004B5ED4"/>
    <w:rsid w:val="004B633D"/>
    <w:rsid w:val="004C013F"/>
    <w:rsid w:val="004C063D"/>
    <w:rsid w:val="004C0D09"/>
    <w:rsid w:val="004C0F50"/>
    <w:rsid w:val="004C12E7"/>
    <w:rsid w:val="004C1432"/>
    <w:rsid w:val="004C23BF"/>
    <w:rsid w:val="004C2528"/>
    <w:rsid w:val="004C2A54"/>
    <w:rsid w:val="004C2B4B"/>
    <w:rsid w:val="004C30B1"/>
    <w:rsid w:val="004C3446"/>
    <w:rsid w:val="004C37AE"/>
    <w:rsid w:val="004C3BCC"/>
    <w:rsid w:val="004C3C5F"/>
    <w:rsid w:val="004C3CFC"/>
    <w:rsid w:val="004C4035"/>
    <w:rsid w:val="004C45FB"/>
    <w:rsid w:val="004C48E8"/>
    <w:rsid w:val="004C4A33"/>
    <w:rsid w:val="004C4EE1"/>
    <w:rsid w:val="004C5E74"/>
    <w:rsid w:val="004C6BE2"/>
    <w:rsid w:val="004C7937"/>
    <w:rsid w:val="004C7B47"/>
    <w:rsid w:val="004C7EAC"/>
    <w:rsid w:val="004D06AE"/>
    <w:rsid w:val="004D0719"/>
    <w:rsid w:val="004D0BC9"/>
    <w:rsid w:val="004D0FD9"/>
    <w:rsid w:val="004D16A5"/>
    <w:rsid w:val="004D16F0"/>
    <w:rsid w:val="004D19B9"/>
    <w:rsid w:val="004D28B9"/>
    <w:rsid w:val="004D2AB4"/>
    <w:rsid w:val="004D3577"/>
    <w:rsid w:val="004D383E"/>
    <w:rsid w:val="004D3FA1"/>
    <w:rsid w:val="004D44E1"/>
    <w:rsid w:val="004D5550"/>
    <w:rsid w:val="004D5AE0"/>
    <w:rsid w:val="004D5B25"/>
    <w:rsid w:val="004D5D76"/>
    <w:rsid w:val="004D6685"/>
    <w:rsid w:val="004D66A8"/>
    <w:rsid w:val="004D67E4"/>
    <w:rsid w:val="004D7752"/>
    <w:rsid w:val="004D7F01"/>
    <w:rsid w:val="004E096D"/>
    <w:rsid w:val="004E168F"/>
    <w:rsid w:val="004E1E28"/>
    <w:rsid w:val="004E2429"/>
    <w:rsid w:val="004E25E5"/>
    <w:rsid w:val="004E2DB5"/>
    <w:rsid w:val="004E327C"/>
    <w:rsid w:val="004E38DA"/>
    <w:rsid w:val="004E47F6"/>
    <w:rsid w:val="004E4871"/>
    <w:rsid w:val="004E5DE0"/>
    <w:rsid w:val="004E5E7A"/>
    <w:rsid w:val="004E5EC9"/>
    <w:rsid w:val="004E61AF"/>
    <w:rsid w:val="004E6476"/>
    <w:rsid w:val="004E699F"/>
    <w:rsid w:val="004E747F"/>
    <w:rsid w:val="004E74AE"/>
    <w:rsid w:val="004E752B"/>
    <w:rsid w:val="004E75DA"/>
    <w:rsid w:val="004E76E0"/>
    <w:rsid w:val="004E78AF"/>
    <w:rsid w:val="004E78D2"/>
    <w:rsid w:val="004E7BF7"/>
    <w:rsid w:val="004E7CA7"/>
    <w:rsid w:val="004E7EBC"/>
    <w:rsid w:val="004F0E5C"/>
    <w:rsid w:val="004F11B8"/>
    <w:rsid w:val="004F1E5F"/>
    <w:rsid w:val="004F1E78"/>
    <w:rsid w:val="004F1F90"/>
    <w:rsid w:val="004F23CE"/>
    <w:rsid w:val="004F263D"/>
    <w:rsid w:val="004F28B5"/>
    <w:rsid w:val="004F2B43"/>
    <w:rsid w:val="004F3267"/>
    <w:rsid w:val="004F4029"/>
    <w:rsid w:val="004F4455"/>
    <w:rsid w:val="004F49BE"/>
    <w:rsid w:val="004F4DE2"/>
    <w:rsid w:val="004F4ECC"/>
    <w:rsid w:val="004F4F93"/>
    <w:rsid w:val="004F5346"/>
    <w:rsid w:val="004F5448"/>
    <w:rsid w:val="004F5532"/>
    <w:rsid w:val="004F5799"/>
    <w:rsid w:val="004F5C73"/>
    <w:rsid w:val="004F5C81"/>
    <w:rsid w:val="004F67C2"/>
    <w:rsid w:val="004F697A"/>
    <w:rsid w:val="004F6C0A"/>
    <w:rsid w:val="004F721B"/>
    <w:rsid w:val="004F79F4"/>
    <w:rsid w:val="00500523"/>
    <w:rsid w:val="005015EF"/>
    <w:rsid w:val="00501740"/>
    <w:rsid w:val="00502B87"/>
    <w:rsid w:val="00503126"/>
    <w:rsid w:val="005033B4"/>
    <w:rsid w:val="00503443"/>
    <w:rsid w:val="0050349F"/>
    <w:rsid w:val="005037BC"/>
    <w:rsid w:val="00503D30"/>
    <w:rsid w:val="00503DF8"/>
    <w:rsid w:val="00503F79"/>
    <w:rsid w:val="00503FED"/>
    <w:rsid w:val="00504199"/>
    <w:rsid w:val="00505DCA"/>
    <w:rsid w:val="005062E1"/>
    <w:rsid w:val="005072AD"/>
    <w:rsid w:val="00507903"/>
    <w:rsid w:val="0050794C"/>
    <w:rsid w:val="00507BEC"/>
    <w:rsid w:val="00507C1E"/>
    <w:rsid w:val="00510717"/>
    <w:rsid w:val="00510A46"/>
    <w:rsid w:val="00511047"/>
    <w:rsid w:val="005116F7"/>
    <w:rsid w:val="00512085"/>
    <w:rsid w:val="005124CF"/>
    <w:rsid w:val="005124D7"/>
    <w:rsid w:val="00512768"/>
    <w:rsid w:val="00512B5E"/>
    <w:rsid w:val="005135E8"/>
    <w:rsid w:val="00514F83"/>
    <w:rsid w:val="00515558"/>
    <w:rsid w:val="00516017"/>
    <w:rsid w:val="0051648C"/>
    <w:rsid w:val="00516E47"/>
    <w:rsid w:val="00517353"/>
    <w:rsid w:val="005174EC"/>
    <w:rsid w:val="005203F0"/>
    <w:rsid w:val="0052066C"/>
    <w:rsid w:val="005209A9"/>
    <w:rsid w:val="00520D64"/>
    <w:rsid w:val="0052107B"/>
    <w:rsid w:val="0052139F"/>
    <w:rsid w:val="0052262B"/>
    <w:rsid w:val="00523530"/>
    <w:rsid w:val="00523D3B"/>
    <w:rsid w:val="00524213"/>
    <w:rsid w:val="005242BC"/>
    <w:rsid w:val="005245A7"/>
    <w:rsid w:val="0052515C"/>
    <w:rsid w:val="00525B8C"/>
    <w:rsid w:val="0052605B"/>
    <w:rsid w:val="0052634A"/>
    <w:rsid w:val="0052698F"/>
    <w:rsid w:val="00526D06"/>
    <w:rsid w:val="00527335"/>
    <w:rsid w:val="00527618"/>
    <w:rsid w:val="0053076C"/>
    <w:rsid w:val="005314DC"/>
    <w:rsid w:val="005317D7"/>
    <w:rsid w:val="00532177"/>
    <w:rsid w:val="0053244C"/>
    <w:rsid w:val="0053247B"/>
    <w:rsid w:val="005326E9"/>
    <w:rsid w:val="00532EE2"/>
    <w:rsid w:val="0053394C"/>
    <w:rsid w:val="00535DCC"/>
    <w:rsid w:val="00536515"/>
    <w:rsid w:val="00536D22"/>
    <w:rsid w:val="00537009"/>
    <w:rsid w:val="005378E0"/>
    <w:rsid w:val="00540585"/>
    <w:rsid w:val="0054174C"/>
    <w:rsid w:val="00541ED1"/>
    <w:rsid w:val="00543329"/>
    <w:rsid w:val="00544066"/>
    <w:rsid w:val="005443A2"/>
    <w:rsid w:val="005449BA"/>
    <w:rsid w:val="00545056"/>
    <w:rsid w:val="00545134"/>
    <w:rsid w:val="00545515"/>
    <w:rsid w:val="00546207"/>
    <w:rsid w:val="00546A71"/>
    <w:rsid w:val="00547B3E"/>
    <w:rsid w:val="00547C5D"/>
    <w:rsid w:val="00550369"/>
    <w:rsid w:val="005505E0"/>
    <w:rsid w:val="00550A3D"/>
    <w:rsid w:val="00550AF5"/>
    <w:rsid w:val="00550DB7"/>
    <w:rsid w:val="005518BF"/>
    <w:rsid w:val="0055197E"/>
    <w:rsid w:val="00551C07"/>
    <w:rsid w:val="005522FA"/>
    <w:rsid w:val="005525C4"/>
    <w:rsid w:val="005527C8"/>
    <w:rsid w:val="00552869"/>
    <w:rsid w:val="0055291D"/>
    <w:rsid w:val="00553637"/>
    <w:rsid w:val="005542E0"/>
    <w:rsid w:val="0055545D"/>
    <w:rsid w:val="0055547A"/>
    <w:rsid w:val="00557011"/>
    <w:rsid w:val="00557789"/>
    <w:rsid w:val="005579CD"/>
    <w:rsid w:val="00560359"/>
    <w:rsid w:val="00560AD6"/>
    <w:rsid w:val="00562195"/>
    <w:rsid w:val="00562B40"/>
    <w:rsid w:val="00563036"/>
    <w:rsid w:val="005638D7"/>
    <w:rsid w:val="005643BA"/>
    <w:rsid w:val="005649D5"/>
    <w:rsid w:val="0056595E"/>
    <w:rsid w:val="00565A51"/>
    <w:rsid w:val="0056637E"/>
    <w:rsid w:val="0056644D"/>
    <w:rsid w:val="005666B9"/>
    <w:rsid w:val="00570CA7"/>
    <w:rsid w:val="00571013"/>
    <w:rsid w:val="00571609"/>
    <w:rsid w:val="00571BB2"/>
    <w:rsid w:val="00572057"/>
    <w:rsid w:val="005721CF"/>
    <w:rsid w:val="00572B69"/>
    <w:rsid w:val="00572C02"/>
    <w:rsid w:val="00573D6B"/>
    <w:rsid w:val="00574099"/>
    <w:rsid w:val="00574E84"/>
    <w:rsid w:val="005758BB"/>
    <w:rsid w:val="00576B57"/>
    <w:rsid w:val="005770A7"/>
    <w:rsid w:val="00577540"/>
    <w:rsid w:val="00577BCD"/>
    <w:rsid w:val="00577EB4"/>
    <w:rsid w:val="005811BC"/>
    <w:rsid w:val="0058134B"/>
    <w:rsid w:val="00581558"/>
    <w:rsid w:val="005819D4"/>
    <w:rsid w:val="00582483"/>
    <w:rsid w:val="005824E5"/>
    <w:rsid w:val="00582534"/>
    <w:rsid w:val="00582FCE"/>
    <w:rsid w:val="005837B0"/>
    <w:rsid w:val="00583B37"/>
    <w:rsid w:val="0058426C"/>
    <w:rsid w:val="00584F4D"/>
    <w:rsid w:val="0058543E"/>
    <w:rsid w:val="0058562B"/>
    <w:rsid w:val="005859DA"/>
    <w:rsid w:val="005860DE"/>
    <w:rsid w:val="005866BC"/>
    <w:rsid w:val="005867C3"/>
    <w:rsid w:val="005869D0"/>
    <w:rsid w:val="00586DE0"/>
    <w:rsid w:val="00587163"/>
    <w:rsid w:val="005875A7"/>
    <w:rsid w:val="00587E28"/>
    <w:rsid w:val="0059039D"/>
    <w:rsid w:val="00590657"/>
    <w:rsid w:val="00590C38"/>
    <w:rsid w:val="00590C5E"/>
    <w:rsid w:val="00591783"/>
    <w:rsid w:val="0059182E"/>
    <w:rsid w:val="00591B7F"/>
    <w:rsid w:val="00591CD4"/>
    <w:rsid w:val="00591D77"/>
    <w:rsid w:val="00592764"/>
    <w:rsid w:val="00593166"/>
    <w:rsid w:val="005932AA"/>
    <w:rsid w:val="00593592"/>
    <w:rsid w:val="00593A22"/>
    <w:rsid w:val="00594692"/>
    <w:rsid w:val="00595077"/>
    <w:rsid w:val="00595E43"/>
    <w:rsid w:val="00595F57"/>
    <w:rsid w:val="005960EE"/>
    <w:rsid w:val="00596474"/>
    <w:rsid w:val="00597053"/>
    <w:rsid w:val="005974C1"/>
    <w:rsid w:val="00597DE0"/>
    <w:rsid w:val="005A0611"/>
    <w:rsid w:val="005A107E"/>
    <w:rsid w:val="005A164A"/>
    <w:rsid w:val="005A16C8"/>
    <w:rsid w:val="005A1EA5"/>
    <w:rsid w:val="005A26D4"/>
    <w:rsid w:val="005A2EC9"/>
    <w:rsid w:val="005A34A0"/>
    <w:rsid w:val="005A3D36"/>
    <w:rsid w:val="005A437B"/>
    <w:rsid w:val="005A472F"/>
    <w:rsid w:val="005A4924"/>
    <w:rsid w:val="005A539D"/>
    <w:rsid w:val="005A56D6"/>
    <w:rsid w:val="005A5D64"/>
    <w:rsid w:val="005A5DD6"/>
    <w:rsid w:val="005A628D"/>
    <w:rsid w:val="005A6494"/>
    <w:rsid w:val="005A7546"/>
    <w:rsid w:val="005A7A13"/>
    <w:rsid w:val="005B0B55"/>
    <w:rsid w:val="005B21F5"/>
    <w:rsid w:val="005B30F9"/>
    <w:rsid w:val="005B3247"/>
    <w:rsid w:val="005B47A1"/>
    <w:rsid w:val="005B483A"/>
    <w:rsid w:val="005B485F"/>
    <w:rsid w:val="005B516C"/>
    <w:rsid w:val="005B57D9"/>
    <w:rsid w:val="005B5A4D"/>
    <w:rsid w:val="005B5D03"/>
    <w:rsid w:val="005B5D17"/>
    <w:rsid w:val="005B5E6D"/>
    <w:rsid w:val="005B7C09"/>
    <w:rsid w:val="005C09A6"/>
    <w:rsid w:val="005C0B76"/>
    <w:rsid w:val="005C0E23"/>
    <w:rsid w:val="005C1407"/>
    <w:rsid w:val="005C15C5"/>
    <w:rsid w:val="005C1C46"/>
    <w:rsid w:val="005C1CC0"/>
    <w:rsid w:val="005C271E"/>
    <w:rsid w:val="005C29C0"/>
    <w:rsid w:val="005C4682"/>
    <w:rsid w:val="005C4824"/>
    <w:rsid w:val="005C49A8"/>
    <w:rsid w:val="005C4F82"/>
    <w:rsid w:val="005C5CA6"/>
    <w:rsid w:val="005C71E4"/>
    <w:rsid w:val="005C74BF"/>
    <w:rsid w:val="005C7503"/>
    <w:rsid w:val="005C7A4A"/>
    <w:rsid w:val="005C7D8C"/>
    <w:rsid w:val="005D0143"/>
    <w:rsid w:val="005D0586"/>
    <w:rsid w:val="005D0E24"/>
    <w:rsid w:val="005D12EB"/>
    <w:rsid w:val="005D147A"/>
    <w:rsid w:val="005D1506"/>
    <w:rsid w:val="005D2000"/>
    <w:rsid w:val="005D2276"/>
    <w:rsid w:val="005D22E9"/>
    <w:rsid w:val="005D260E"/>
    <w:rsid w:val="005D370A"/>
    <w:rsid w:val="005D3C36"/>
    <w:rsid w:val="005D4556"/>
    <w:rsid w:val="005D4A2D"/>
    <w:rsid w:val="005D4B5C"/>
    <w:rsid w:val="005D4C62"/>
    <w:rsid w:val="005D4C7C"/>
    <w:rsid w:val="005D4F0C"/>
    <w:rsid w:val="005D5E47"/>
    <w:rsid w:val="005D71B5"/>
    <w:rsid w:val="005E0FE4"/>
    <w:rsid w:val="005E1169"/>
    <w:rsid w:val="005E1887"/>
    <w:rsid w:val="005E21D3"/>
    <w:rsid w:val="005E2574"/>
    <w:rsid w:val="005E261F"/>
    <w:rsid w:val="005E2ABF"/>
    <w:rsid w:val="005E2AFF"/>
    <w:rsid w:val="005E2D28"/>
    <w:rsid w:val="005E37C9"/>
    <w:rsid w:val="005E3D4D"/>
    <w:rsid w:val="005E40CF"/>
    <w:rsid w:val="005E413B"/>
    <w:rsid w:val="005E49A4"/>
    <w:rsid w:val="005E52D5"/>
    <w:rsid w:val="005E52F7"/>
    <w:rsid w:val="005E587D"/>
    <w:rsid w:val="005E59F2"/>
    <w:rsid w:val="005E6346"/>
    <w:rsid w:val="005E6F92"/>
    <w:rsid w:val="005F000B"/>
    <w:rsid w:val="005F0022"/>
    <w:rsid w:val="005F07B3"/>
    <w:rsid w:val="005F0DAB"/>
    <w:rsid w:val="005F0DEA"/>
    <w:rsid w:val="005F1385"/>
    <w:rsid w:val="005F1836"/>
    <w:rsid w:val="005F1D25"/>
    <w:rsid w:val="005F1FE8"/>
    <w:rsid w:val="005F2022"/>
    <w:rsid w:val="005F20BB"/>
    <w:rsid w:val="005F255B"/>
    <w:rsid w:val="005F256D"/>
    <w:rsid w:val="005F2B1A"/>
    <w:rsid w:val="005F32A9"/>
    <w:rsid w:val="005F32E5"/>
    <w:rsid w:val="005F3308"/>
    <w:rsid w:val="005F3DB7"/>
    <w:rsid w:val="005F4891"/>
    <w:rsid w:val="005F5275"/>
    <w:rsid w:val="005F5440"/>
    <w:rsid w:val="005F5942"/>
    <w:rsid w:val="005F6422"/>
    <w:rsid w:val="005F6CDE"/>
    <w:rsid w:val="005F71AB"/>
    <w:rsid w:val="005F7251"/>
    <w:rsid w:val="005F76CB"/>
    <w:rsid w:val="005F7ABA"/>
    <w:rsid w:val="006001DF"/>
    <w:rsid w:val="006004AF"/>
    <w:rsid w:val="00600BD3"/>
    <w:rsid w:val="00601351"/>
    <w:rsid w:val="00601460"/>
    <w:rsid w:val="00601A4A"/>
    <w:rsid w:val="00601E15"/>
    <w:rsid w:val="0060242B"/>
    <w:rsid w:val="00602BD6"/>
    <w:rsid w:val="00603386"/>
    <w:rsid w:val="00604ADD"/>
    <w:rsid w:val="00604B79"/>
    <w:rsid w:val="00605141"/>
    <w:rsid w:val="00605195"/>
    <w:rsid w:val="006051B6"/>
    <w:rsid w:val="006055F0"/>
    <w:rsid w:val="00605E30"/>
    <w:rsid w:val="00606233"/>
    <w:rsid w:val="006070B5"/>
    <w:rsid w:val="00607541"/>
    <w:rsid w:val="00610BA7"/>
    <w:rsid w:val="00610EE4"/>
    <w:rsid w:val="00611E42"/>
    <w:rsid w:val="0061228C"/>
    <w:rsid w:val="0061268E"/>
    <w:rsid w:val="006127DE"/>
    <w:rsid w:val="0061286D"/>
    <w:rsid w:val="00612CBB"/>
    <w:rsid w:val="00613061"/>
    <w:rsid w:val="0061356E"/>
    <w:rsid w:val="00613D18"/>
    <w:rsid w:val="00614917"/>
    <w:rsid w:val="00614935"/>
    <w:rsid w:val="00614E21"/>
    <w:rsid w:val="00614ECB"/>
    <w:rsid w:val="0061508A"/>
    <w:rsid w:val="006153CD"/>
    <w:rsid w:val="00615507"/>
    <w:rsid w:val="006164AA"/>
    <w:rsid w:val="0061681B"/>
    <w:rsid w:val="006169E8"/>
    <w:rsid w:val="00616C27"/>
    <w:rsid w:val="00616D46"/>
    <w:rsid w:val="00616E66"/>
    <w:rsid w:val="00617EEC"/>
    <w:rsid w:val="0062026E"/>
    <w:rsid w:val="00622F8E"/>
    <w:rsid w:val="00623258"/>
    <w:rsid w:val="00624762"/>
    <w:rsid w:val="0062528A"/>
    <w:rsid w:val="00625B49"/>
    <w:rsid w:val="00625C79"/>
    <w:rsid w:val="0062636A"/>
    <w:rsid w:val="006264FC"/>
    <w:rsid w:val="006276DD"/>
    <w:rsid w:val="00631B8E"/>
    <w:rsid w:val="00631B9E"/>
    <w:rsid w:val="006326FD"/>
    <w:rsid w:val="00632786"/>
    <w:rsid w:val="00632CC7"/>
    <w:rsid w:val="00632D6D"/>
    <w:rsid w:val="006330B7"/>
    <w:rsid w:val="006338C7"/>
    <w:rsid w:val="006342AF"/>
    <w:rsid w:val="00634E86"/>
    <w:rsid w:val="00635A12"/>
    <w:rsid w:val="006362F9"/>
    <w:rsid w:val="006366B3"/>
    <w:rsid w:val="006368E9"/>
    <w:rsid w:val="00637414"/>
    <w:rsid w:val="00637493"/>
    <w:rsid w:val="006375BE"/>
    <w:rsid w:val="00640366"/>
    <w:rsid w:val="00641471"/>
    <w:rsid w:val="006418F6"/>
    <w:rsid w:val="00641A10"/>
    <w:rsid w:val="00642F1C"/>
    <w:rsid w:val="00643DA1"/>
    <w:rsid w:val="00644A72"/>
    <w:rsid w:val="00644ACB"/>
    <w:rsid w:val="00645185"/>
    <w:rsid w:val="00645A4E"/>
    <w:rsid w:val="00645C37"/>
    <w:rsid w:val="006469D8"/>
    <w:rsid w:val="00646D51"/>
    <w:rsid w:val="0064750F"/>
    <w:rsid w:val="006475F1"/>
    <w:rsid w:val="0064791A"/>
    <w:rsid w:val="0065027E"/>
    <w:rsid w:val="006502C9"/>
    <w:rsid w:val="006509A3"/>
    <w:rsid w:val="006513CA"/>
    <w:rsid w:val="00652A58"/>
    <w:rsid w:val="00652AF6"/>
    <w:rsid w:val="00652DF8"/>
    <w:rsid w:val="00652F68"/>
    <w:rsid w:val="00653362"/>
    <w:rsid w:val="0065349D"/>
    <w:rsid w:val="00653716"/>
    <w:rsid w:val="00653C63"/>
    <w:rsid w:val="00654033"/>
    <w:rsid w:val="006548FF"/>
    <w:rsid w:val="00655AFC"/>
    <w:rsid w:val="006566B0"/>
    <w:rsid w:val="006570ED"/>
    <w:rsid w:val="00657E79"/>
    <w:rsid w:val="00657F86"/>
    <w:rsid w:val="0066107F"/>
    <w:rsid w:val="00661A60"/>
    <w:rsid w:val="006623E5"/>
    <w:rsid w:val="00662E89"/>
    <w:rsid w:val="006634CF"/>
    <w:rsid w:val="00664444"/>
    <w:rsid w:val="00664981"/>
    <w:rsid w:val="0066514E"/>
    <w:rsid w:val="00665262"/>
    <w:rsid w:val="00665385"/>
    <w:rsid w:val="00665EE8"/>
    <w:rsid w:val="00665FD6"/>
    <w:rsid w:val="00666BCE"/>
    <w:rsid w:val="00667144"/>
    <w:rsid w:val="00670A3B"/>
    <w:rsid w:val="006714F1"/>
    <w:rsid w:val="0067207F"/>
    <w:rsid w:val="00672208"/>
    <w:rsid w:val="00673349"/>
    <w:rsid w:val="006735DB"/>
    <w:rsid w:val="00673E76"/>
    <w:rsid w:val="006741E7"/>
    <w:rsid w:val="006774F5"/>
    <w:rsid w:val="006776D7"/>
    <w:rsid w:val="00677E95"/>
    <w:rsid w:val="00680806"/>
    <w:rsid w:val="00680EC6"/>
    <w:rsid w:val="00681D19"/>
    <w:rsid w:val="00681E26"/>
    <w:rsid w:val="0068206B"/>
    <w:rsid w:val="00682779"/>
    <w:rsid w:val="00682CD7"/>
    <w:rsid w:val="00683F8E"/>
    <w:rsid w:val="006852D3"/>
    <w:rsid w:val="00685397"/>
    <w:rsid w:val="00685725"/>
    <w:rsid w:val="0068602E"/>
    <w:rsid w:val="00687188"/>
    <w:rsid w:val="00687254"/>
    <w:rsid w:val="006901E2"/>
    <w:rsid w:val="00690C93"/>
    <w:rsid w:val="0069164E"/>
    <w:rsid w:val="00691CE8"/>
    <w:rsid w:val="00691CF9"/>
    <w:rsid w:val="006930FE"/>
    <w:rsid w:val="00693862"/>
    <w:rsid w:val="0069488A"/>
    <w:rsid w:val="00694921"/>
    <w:rsid w:val="00694952"/>
    <w:rsid w:val="00695098"/>
    <w:rsid w:val="006951C4"/>
    <w:rsid w:val="006953E5"/>
    <w:rsid w:val="00695C12"/>
    <w:rsid w:val="00695CD3"/>
    <w:rsid w:val="00695FB7"/>
    <w:rsid w:val="006972DF"/>
    <w:rsid w:val="00697E43"/>
    <w:rsid w:val="00697F70"/>
    <w:rsid w:val="006A0407"/>
    <w:rsid w:val="006A05FA"/>
    <w:rsid w:val="006A0CC9"/>
    <w:rsid w:val="006A0DCC"/>
    <w:rsid w:val="006A101C"/>
    <w:rsid w:val="006A17F8"/>
    <w:rsid w:val="006A26A7"/>
    <w:rsid w:val="006A27B0"/>
    <w:rsid w:val="006A2C15"/>
    <w:rsid w:val="006A3E17"/>
    <w:rsid w:val="006A49E1"/>
    <w:rsid w:val="006A4B98"/>
    <w:rsid w:val="006A582E"/>
    <w:rsid w:val="006A5B19"/>
    <w:rsid w:val="006A600B"/>
    <w:rsid w:val="006A6465"/>
    <w:rsid w:val="006A6B3C"/>
    <w:rsid w:val="006A76A3"/>
    <w:rsid w:val="006A78E8"/>
    <w:rsid w:val="006A79C1"/>
    <w:rsid w:val="006A7A56"/>
    <w:rsid w:val="006B10A2"/>
    <w:rsid w:val="006B1168"/>
    <w:rsid w:val="006B182D"/>
    <w:rsid w:val="006B192A"/>
    <w:rsid w:val="006B19D2"/>
    <w:rsid w:val="006B1BDE"/>
    <w:rsid w:val="006B26C5"/>
    <w:rsid w:val="006B2722"/>
    <w:rsid w:val="006B2C16"/>
    <w:rsid w:val="006B2D5F"/>
    <w:rsid w:val="006B378A"/>
    <w:rsid w:val="006B5CEC"/>
    <w:rsid w:val="006B6150"/>
    <w:rsid w:val="006B61F2"/>
    <w:rsid w:val="006B67AF"/>
    <w:rsid w:val="006B6B13"/>
    <w:rsid w:val="006B6F17"/>
    <w:rsid w:val="006B6F95"/>
    <w:rsid w:val="006B7753"/>
    <w:rsid w:val="006B78D3"/>
    <w:rsid w:val="006B7975"/>
    <w:rsid w:val="006C0394"/>
    <w:rsid w:val="006C077D"/>
    <w:rsid w:val="006C0E53"/>
    <w:rsid w:val="006C0FA0"/>
    <w:rsid w:val="006C1A4B"/>
    <w:rsid w:val="006C254D"/>
    <w:rsid w:val="006C2CAC"/>
    <w:rsid w:val="006C316F"/>
    <w:rsid w:val="006C32DE"/>
    <w:rsid w:val="006C3768"/>
    <w:rsid w:val="006C3DAF"/>
    <w:rsid w:val="006C3F41"/>
    <w:rsid w:val="006C517B"/>
    <w:rsid w:val="006C5560"/>
    <w:rsid w:val="006C5887"/>
    <w:rsid w:val="006C5C5C"/>
    <w:rsid w:val="006C6113"/>
    <w:rsid w:val="006C6355"/>
    <w:rsid w:val="006C649B"/>
    <w:rsid w:val="006C736C"/>
    <w:rsid w:val="006C7989"/>
    <w:rsid w:val="006D001A"/>
    <w:rsid w:val="006D0058"/>
    <w:rsid w:val="006D0170"/>
    <w:rsid w:val="006D04F4"/>
    <w:rsid w:val="006D078A"/>
    <w:rsid w:val="006D116E"/>
    <w:rsid w:val="006D124E"/>
    <w:rsid w:val="006D1737"/>
    <w:rsid w:val="006D1AAB"/>
    <w:rsid w:val="006D1F5D"/>
    <w:rsid w:val="006D268D"/>
    <w:rsid w:val="006D2FE7"/>
    <w:rsid w:val="006D3D8B"/>
    <w:rsid w:val="006D47FF"/>
    <w:rsid w:val="006D50D0"/>
    <w:rsid w:val="006D5304"/>
    <w:rsid w:val="006D5A6D"/>
    <w:rsid w:val="006D5FD2"/>
    <w:rsid w:val="006D6456"/>
    <w:rsid w:val="006D6CF6"/>
    <w:rsid w:val="006D6E70"/>
    <w:rsid w:val="006D6FB0"/>
    <w:rsid w:val="006D744F"/>
    <w:rsid w:val="006D771F"/>
    <w:rsid w:val="006D77FD"/>
    <w:rsid w:val="006D7F79"/>
    <w:rsid w:val="006E035F"/>
    <w:rsid w:val="006E1B1D"/>
    <w:rsid w:val="006E2006"/>
    <w:rsid w:val="006E23EC"/>
    <w:rsid w:val="006E2468"/>
    <w:rsid w:val="006E2755"/>
    <w:rsid w:val="006E3360"/>
    <w:rsid w:val="006E4680"/>
    <w:rsid w:val="006E4AE7"/>
    <w:rsid w:val="006E503C"/>
    <w:rsid w:val="006E5A48"/>
    <w:rsid w:val="006E6A4E"/>
    <w:rsid w:val="006E7772"/>
    <w:rsid w:val="006E79A1"/>
    <w:rsid w:val="006E7A7A"/>
    <w:rsid w:val="006E7C67"/>
    <w:rsid w:val="006E7D7E"/>
    <w:rsid w:val="006F06F2"/>
    <w:rsid w:val="006F077A"/>
    <w:rsid w:val="006F086A"/>
    <w:rsid w:val="006F0CC6"/>
    <w:rsid w:val="006F11D9"/>
    <w:rsid w:val="006F1342"/>
    <w:rsid w:val="006F2039"/>
    <w:rsid w:val="006F235B"/>
    <w:rsid w:val="006F2C93"/>
    <w:rsid w:val="006F3603"/>
    <w:rsid w:val="006F36CE"/>
    <w:rsid w:val="006F3BBD"/>
    <w:rsid w:val="006F3DC4"/>
    <w:rsid w:val="006F440F"/>
    <w:rsid w:val="006F557C"/>
    <w:rsid w:val="006F5A89"/>
    <w:rsid w:val="006F5DD7"/>
    <w:rsid w:val="006F652B"/>
    <w:rsid w:val="006F6776"/>
    <w:rsid w:val="006F6BF7"/>
    <w:rsid w:val="006F6DD6"/>
    <w:rsid w:val="006F71FA"/>
    <w:rsid w:val="006F733B"/>
    <w:rsid w:val="006F7A48"/>
    <w:rsid w:val="006F7C28"/>
    <w:rsid w:val="007007B3"/>
    <w:rsid w:val="00700BA3"/>
    <w:rsid w:val="00700C50"/>
    <w:rsid w:val="00701049"/>
    <w:rsid w:val="0070107F"/>
    <w:rsid w:val="00701AB3"/>
    <w:rsid w:val="00701BB4"/>
    <w:rsid w:val="00701BF1"/>
    <w:rsid w:val="00701D78"/>
    <w:rsid w:val="00702237"/>
    <w:rsid w:val="00702C8D"/>
    <w:rsid w:val="00703DB5"/>
    <w:rsid w:val="00703DFF"/>
    <w:rsid w:val="00704704"/>
    <w:rsid w:val="007049D4"/>
    <w:rsid w:val="007051E4"/>
    <w:rsid w:val="0070523C"/>
    <w:rsid w:val="00705653"/>
    <w:rsid w:val="00705C2E"/>
    <w:rsid w:val="00705DBC"/>
    <w:rsid w:val="0070610E"/>
    <w:rsid w:val="00706544"/>
    <w:rsid w:val="007067A0"/>
    <w:rsid w:val="00706D03"/>
    <w:rsid w:val="00706E63"/>
    <w:rsid w:val="00707804"/>
    <w:rsid w:val="00707BB7"/>
    <w:rsid w:val="00707E57"/>
    <w:rsid w:val="00707F47"/>
    <w:rsid w:val="00710C47"/>
    <w:rsid w:val="00710DD9"/>
    <w:rsid w:val="0071103E"/>
    <w:rsid w:val="007112A5"/>
    <w:rsid w:val="00711904"/>
    <w:rsid w:val="00711B49"/>
    <w:rsid w:val="00712198"/>
    <w:rsid w:val="00713508"/>
    <w:rsid w:val="00713C13"/>
    <w:rsid w:val="007141B1"/>
    <w:rsid w:val="007145B4"/>
    <w:rsid w:val="0071478D"/>
    <w:rsid w:val="0071543E"/>
    <w:rsid w:val="007155EF"/>
    <w:rsid w:val="00715C99"/>
    <w:rsid w:val="00715D53"/>
    <w:rsid w:val="00717648"/>
    <w:rsid w:val="00717C71"/>
    <w:rsid w:val="00717C8F"/>
    <w:rsid w:val="007200E1"/>
    <w:rsid w:val="007210C6"/>
    <w:rsid w:val="00721B00"/>
    <w:rsid w:val="00721F03"/>
    <w:rsid w:val="007230DD"/>
    <w:rsid w:val="007230FC"/>
    <w:rsid w:val="00723C6D"/>
    <w:rsid w:val="00723E54"/>
    <w:rsid w:val="00724402"/>
    <w:rsid w:val="007247D6"/>
    <w:rsid w:val="00724DF7"/>
    <w:rsid w:val="00724F8F"/>
    <w:rsid w:val="00725D0D"/>
    <w:rsid w:val="00725D1A"/>
    <w:rsid w:val="00725EAA"/>
    <w:rsid w:val="007266ED"/>
    <w:rsid w:val="007269CE"/>
    <w:rsid w:val="00726B89"/>
    <w:rsid w:val="007271BF"/>
    <w:rsid w:val="0072794B"/>
    <w:rsid w:val="00727CB3"/>
    <w:rsid w:val="0073147F"/>
    <w:rsid w:val="00731714"/>
    <w:rsid w:val="0073204F"/>
    <w:rsid w:val="007321AC"/>
    <w:rsid w:val="00732328"/>
    <w:rsid w:val="0073370D"/>
    <w:rsid w:val="00734A2B"/>
    <w:rsid w:val="0073559D"/>
    <w:rsid w:val="00736F31"/>
    <w:rsid w:val="00737882"/>
    <w:rsid w:val="00737D21"/>
    <w:rsid w:val="00737E72"/>
    <w:rsid w:val="00737FBF"/>
    <w:rsid w:val="00740A0C"/>
    <w:rsid w:val="00740AE1"/>
    <w:rsid w:val="007419FE"/>
    <w:rsid w:val="00741B7C"/>
    <w:rsid w:val="00742208"/>
    <w:rsid w:val="00742906"/>
    <w:rsid w:val="00742940"/>
    <w:rsid w:val="00743572"/>
    <w:rsid w:val="00743EE9"/>
    <w:rsid w:val="007445EB"/>
    <w:rsid w:val="007446CD"/>
    <w:rsid w:val="00744E10"/>
    <w:rsid w:val="00745227"/>
    <w:rsid w:val="0074635B"/>
    <w:rsid w:val="00746446"/>
    <w:rsid w:val="00746933"/>
    <w:rsid w:val="007472D6"/>
    <w:rsid w:val="00747386"/>
    <w:rsid w:val="007476E0"/>
    <w:rsid w:val="007506E6"/>
    <w:rsid w:val="0075090B"/>
    <w:rsid w:val="00750AA4"/>
    <w:rsid w:val="00750B99"/>
    <w:rsid w:val="00751231"/>
    <w:rsid w:val="00751850"/>
    <w:rsid w:val="00751F41"/>
    <w:rsid w:val="00752472"/>
    <w:rsid w:val="007524D9"/>
    <w:rsid w:val="00752727"/>
    <w:rsid w:val="00753DAA"/>
    <w:rsid w:val="0075519A"/>
    <w:rsid w:val="00755251"/>
    <w:rsid w:val="007553F5"/>
    <w:rsid w:val="007555C3"/>
    <w:rsid w:val="00755BFB"/>
    <w:rsid w:val="00755CA7"/>
    <w:rsid w:val="00755E3F"/>
    <w:rsid w:val="00756DB9"/>
    <w:rsid w:val="00757277"/>
    <w:rsid w:val="00757635"/>
    <w:rsid w:val="00757676"/>
    <w:rsid w:val="00757A4E"/>
    <w:rsid w:val="00757CF6"/>
    <w:rsid w:val="007600DF"/>
    <w:rsid w:val="007606E5"/>
    <w:rsid w:val="007607CC"/>
    <w:rsid w:val="00760F1C"/>
    <w:rsid w:val="0076112A"/>
    <w:rsid w:val="007612E6"/>
    <w:rsid w:val="0076262C"/>
    <w:rsid w:val="00763170"/>
    <w:rsid w:val="00763407"/>
    <w:rsid w:val="0076410F"/>
    <w:rsid w:val="00764E03"/>
    <w:rsid w:val="00765545"/>
    <w:rsid w:val="00765C3F"/>
    <w:rsid w:val="00766001"/>
    <w:rsid w:val="00766749"/>
    <w:rsid w:val="007668BC"/>
    <w:rsid w:val="00766CAB"/>
    <w:rsid w:val="00766CDD"/>
    <w:rsid w:val="0076719C"/>
    <w:rsid w:val="007671EB"/>
    <w:rsid w:val="0076782E"/>
    <w:rsid w:val="00767E3F"/>
    <w:rsid w:val="00770B86"/>
    <w:rsid w:val="00770CC2"/>
    <w:rsid w:val="00771856"/>
    <w:rsid w:val="00771B25"/>
    <w:rsid w:val="00772AC4"/>
    <w:rsid w:val="00772E55"/>
    <w:rsid w:val="00772EE0"/>
    <w:rsid w:val="007734B2"/>
    <w:rsid w:val="00773589"/>
    <w:rsid w:val="0077380C"/>
    <w:rsid w:val="0077435E"/>
    <w:rsid w:val="00774515"/>
    <w:rsid w:val="00775026"/>
    <w:rsid w:val="0077590F"/>
    <w:rsid w:val="00775CF7"/>
    <w:rsid w:val="00775FCA"/>
    <w:rsid w:val="0077608E"/>
    <w:rsid w:val="007765FE"/>
    <w:rsid w:val="007767AC"/>
    <w:rsid w:val="00776FE5"/>
    <w:rsid w:val="007775A9"/>
    <w:rsid w:val="00777B5B"/>
    <w:rsid w:val="00780051"/>
    <w:rsid w:val="00780466"/>
    <w:rsid w:val="007818F5"/>
    <w:rsid w:val="0078265D"/>
    <w:rsid w:val="007826C6"/>
    <w:rsid w:val="00783517"/>
    <w:rsid w:val="007835BE"/>
    <w:rsid w:val="00784664"/>
    <w:rsid w:val="00786423"/>
    <w:rsid w:val="007864CC"/>
    <w:rsid w:val="00786863"/>
    <w:rsid w:val="00786A30"/>
    <w:rsid w:val="00786D03"/>
    <w:rsid w:val="0079002A"/>
    <w:rsid w:val="007919BF"/>
    <w:rsid w:val="00792EA7"/>
    <w:rsid w:val="00793130"/>
    <w:rsid w:val="00793527"/>
    <w:rsid w:val="0079358E"/>
    <w:rsid w:val="007939C7"/>
    <w:rsid w:val="00793AFA"/>
    <w:rsid w:val="00793BA2"/>
    <w:rsid w:val="00794359"/>
    <w:rsid w:val="00794475"/>
    <w:rsid w:val="00795015"/>
    <w:rsid w:val="00795981"/>
    <w:rsid w:val="00795BE8"/>
    <w:rsid w:val="00796871"/>
    <w:rsid w:val="00796E14"/>
    <w:rsid w:val="007970DF"/>
    <w:rsid w:val="00797A1F"/>
    <w:rsid w:val="00797A60"/>
    <w:rsid w:val="007A09C7"/>
    <w:rsid w:val="007A0CF0"/>
    <w:rsid w:val="007A0F21"/>
    <w:rsid w:val="007A1B5F"/>
    <w:rsid w:val="007A1EF3"/>
    <w:rsid w:val="007A2435"/>
    <w:rsid w:val="007A24D6"/>
    <w:rsid w:val="007A2AD5"/>
    <w:rsid w:val="007A3385"/>
    <w:rsid w:val="007A37BC"/>
    <w:rsid w:val="007A3AB6"/>
    <w:rsid w:val="007A4148"/>
    <w:rsid w:val="007A5090"/>
    <w:rsid w:val="007A5EFD"/>
    <w:rsid w:val="007A61D8"/>
    <w:rsid w:val="007A6589"/>
    <w:rsid w:val="007A671D"/>
    <w:rsid w:val="007A67E6"/>
    <w:rsid w:val="007A6D5F"/>
    <w:rsid w:val="007A6D8B"/>
    <w:rsid w:val="007A721E"/>
    <w:rsid w:val="007A78EE"/>
    <w:rsid w:val="007B11C9"/>
    <w:rsid w:val="007B1A85"/>
    <w:rsid w:val="007B1C43"/>
    <w:rsid w:val="007B20C1"/>
    <w:rsid w:val="007B22F2"/>
    <w:rsid w:val="007B2601"/>
    <w:rsid w:val="007B2BF0"/>
    <w:rsid w:val="007B3196"/>
    <w:rsid w:val="007B34A0"/>
    <w:rsid w:val="007B3555"/>
    <w:rsid w:val="007B38EB"/>
    <w:rsid w:val="007B3A63"/>
    <w:rsid w:val="007B4411"/>
    <w:rsid w:val="007B4B61"/>
    <w:rsid w:val="007B530F"/>
    <w:rsid w:val="007B5506"/>
    <w:rsid w:val="007B7476"/>
    <w:rsid w:val="007B7C30"/>
    <w:rsid w:val="007C02D3"/>
    <w:rsid w:val="007C05CE"/>
    <w:rsid w:val="007C07DB"/>
    <w:rsid w:val="007C2331"/>
    <w:rsid w:val="007C2A94"/>
    <w:rsid w:val="007C3DB7"/>
    <w:rsid w:val="007C45A6"/>
    <w:rsid w:val="007C49CF"/>
    <w:rsid w:val="007C4B4F"/>
    <w:rsid w:val="007C5CC1"/>
    <w:rsid w:val="007C7018"/>
    <w:rsid w:val="007C7761"/>
    <w:rsid w:val="007C79CF"/>
    <w:rsid w:val="007C7A35"/>
    <w:rsid w:val="007D0147"/>
    <w:rsid w:val="007D05A3"/>
    <w:rsid w:val="007D061D"/>
    <w:rsid w:val="007D0C5E"/>
    <w:rsid w:val="007D0E12"/>
    <w:rsid w:val="007D10C6"/>
    <w:rsid w:val="007D1A7B"/>
    <w:rsid w:val="007D1E46"/>
    <w:rsid w:val="007D256F"/>
    <w:rsid w:val="007D295A"/>
    <w:rsid w:val="007D2E5A"/>
    <w:rsid w:val="007D40A1"/>
    <w:rsid w:val="007D4123"/>
    <w:rsid w:val="007D4374"/>
    <w:rsid w:val="007D4590"/>
    <w:rsid w:val="007D47E8"/>
    <w:rsid w:val="007D50AB"/>
    <w:rsid w:val="007D543C"/>
    <w:rsid w:val="007D6D9E"/>
    <w:rsid w:val="007D7014"/>
    <w:rsid w:val="007E069E"/>
    <w:rsid w:val="007E0B7F"/>
    <w:rsid w:val="007E0F8D"/>
    <w:rsid w:val="007E153E"/>
    <w:rsid w:val="007E16AF"/>
    <w:rsid w:val="007E1E89"/>
    <w:rsid w:val="007E1F90"/>
    <w:rsid w:val="007E2482"/>
    <w:rsid w:val="007E42EF"/>
    <w:rsid w:val="007E4950"/>
    <w:rsid w:val="007E4ACE"/>
    <w:rsid w:val="007E4E87"/>
    <w:rsid w:val="007E560B"/>
    <w:rsid w:val="007E583D"/>
    <w:rsid w:val="007E5A27"/>
    <w:rsid w:val="007E5A47"/>
    <w:rsid w:val="007E5CA9"/>
    <w:rsid w:val="007E65DD"/>
    <w:rsid w:val="007E68A5"/>
    <w:rsid w:val="007E6A09"/>
    <w:rsid w:val="007E6D5F"/>
    <w:rsid w:val="007E7CA3"/>
    <w:rsid w:val="007F0223"/>
    <w:rsid w:val="007F1795"/>
    <w:rsid w:val="007F17D7"/>
    <w:rsid w:val="007F1C88"/>
    <w:rsid w:val="007F26D8"/>
    <w:rsid w:val="007F306F"/>
    <w:rsid w:val="007F33F4"/>
    <w:rsid w:val="007F38A5"/>
    <w:rsid w:val="007F38AA"/>
    <w:rsid w:val="007F38DD"/>
    <w:rsid w:val="007F3E08"/>
    <w:rsid w:val="007F4501"/>
    <w:rsid w:val="007F4903"/>
    <w:rsid w:val="007F4F6B"/>
    <w:rsid w:val="007F5892"/>
    <w:rsid w:val="007F6554"/>
    <w:rsid w:val="007F67FC"/>
    <w:rsid w:val="007F6DC9"/>
    <w:rsid w:val="007F7083"/>
    <w:rsid w:val="008001B9"/>
    <w:rsid w:val="00800416"/>
    <w:rsid w:val="00802BEE"/>
    <w:rsid w:val="00802DD1"/>
    <w:rsid w:val="00802F96"/>
    <w:rsid w:val="008034D9"/>
    <w:rsid w:val="00803591"/>
    <w:rsid w:val="00803C26"/>
    <w:rsid w:val="008045D3"/>
    <w:rsid w:val="00804BED"/>
    <w:rsid w:val="00805ABF"/>
    <w:rsid w:val="00805E75"/>
    <w:rsid w:val="008060DE"/>
    <w:rsid w:val="0080624E"/>
    <w:rsid w:val="008063DF"/>
    <w:rsid w:val="00806855"/>
    <w:rsid w:val="0080698C"/>
    <w:rsid w:val="0080787D"/>
    <w:rsid w:val="00807FB3"/>
    <w:rsid w:val="00810175"/>
    <w:rsid w:val="00810377"/>
    <w:rsid w:val="0081038E"/>
    <w:rsid w:val="00810640"/>
    <w:rsid w:val="00810850"/>
    <w:rsid w:val="0081181D"/>
    <w:rsid w:val="00812346"/>
    <w:rsid w:val="00813A87"/>
    <w:rsid w:val="00813F8D"/>
    <w:rsid w:val="0081407D"/>
    <w:rsid w:val="00814273"/>
    <w:rsid w:val="0081456F"/>
    <w:rsid w:val="00814C60"/>
    <w:rsid w:val="00814F85"/>
    <w:rsid w:val="0081599F"/>
    <w:rsid w:val="00816472"/>
    <w:rsid w:val="0081668C"/>
    <w:rsid w:val="00816CDC"/>
    <w:rsid w:val="00816DA7"/>
    <w:rsid w:val="00817489"/>
    <w:rsid w:val="00817827"/>
    <w:rsid w:val="00817CBF"/>
    <w:rsid w:val="00820692"/>
    <w:rsid w:val="00820F01"/>
    <w:rsid w:val="0082139D"/>
    <w:rsid w:val="00823235"/>
    <w:rsid w:val="00823615"/>
    <w:rsid w:val="00823A8F"/>
    <w:rsid w:val="00824403"/>
    <w:rsid w:val="008246AD"/>
    <w:rsid w:val="00825ED3"/>
    <w:rsid w:val="0082624E"/>
    <w:rsid w:val="00826B15"/>
    <w:rsid w:val="00827003"/>
    <w:rsid w:val="00827D23"/>
    <w:rsid w:val="00827EFC"/>
    <w:rsid w:val="00830682"/>
    <w:rsid w:val="00830982"/>
    <w:rsid w:val="008309DE"/>
    <w:rsid w:val="00830BF7"/>
    <w:rsid w:val="00831015"/>
    <w:rsid w:val="00831332"/>
    <w:rsid w:val="00831669"/>
    <w:rsid w:val="00831D03"/>
    <w:rsid w:val="008320AB"/>
    <w:rsid w:val="00832BAB"/>
    <w:rsid w:val="008330E6"/>
    <w:rsid w:val="00833387"/>
    <w:rsid w:val="00833BCE"/>
    <w:rsid w:val="00833D1A"/>
    <w:rsid w:val="00833E86"/>
    <w:rsid w:val="00834183"/>
    <w:rsid w:val="008351FC"/>
    <w:rsid w:val="0083551F"/>
    <w:rsid w:val="0083584B"/>
    <w:rsid w:val="008358C8"/>
    <w:rsid w:val="00835A70"/>
    <w:rsid w:val="00836F44"/>
    <w:rsid w:val="0083749E"/>
    <w:rsid w:val="00837AE5"/>
    <w:rsid w:val="00837C71"/>
    <w:rsid w:val="0084007B"/>
    <w:rsid w:val="00840590"/>
    <w:rsid w:val="00840800"/>
    <w:rsid w:val="008408B6"/>
    <w:rsid w:val="00840DB8"/>
    <w:rsid w:val="00840E82"/>
    <w:rsid w:val="008410E3"/>
    <w:rsid w:val="008412CF"/>
    <w:rsid w:val="0084176F"/>
    <w:rsid w:val="00841AE1"/>
    <w:rsid w:val="0084292F"/>
    <w:rsid w:val="00842CCC"/>
    <w:rsid w:val="00843026"/>
    <w:rsid w:val="0084304D"/>
    <w:rsid w:val="00843106"/>
    <w:rsid w:val="008436C6"/>
    <w:rsid w:val="00843710"/>
    <w:rsid w:val="0084434A"/>
    <w:rsid w:val="0084443E"/>
    <w:rsid w:val="00844ABB"/>
    <w:rsid w:val="00844C49"/>
    <w:rsid w:val="00844E5F"/>
    <w:rsid w:val="00844FE1"/>
    <w:rsid w:val="00845172"/>
    <w:rsid w:val="008452D3"/>
    <w:rsid w:val="00845832"/>
    <w:rsid w:val="00845EA5"/>
    <w:rsid w:val="008463DA"/>
    <w:rsid w:val="00846CAB"/>
    <w:rsid w:val="00846EE2"/>
    <w:rsid w:val="0084724B"/>
    <w:rsid w:val="0084748A"/>
    <w:rsid w:val="008475B6"/>
    <w:rsid w:val="008475B8"/>
    <w:rsid w:val="0084767C"/>
    <w:rsid w:val="00847CB1"/>
    <w:rsid w:val="00850666"/>
    <w:rsid w:val="008506FE"/>
    <w:rsid w:val="008508DA"/>
    <w:rsid w:val="00850BD1"/>
    <w:rsid w:val="00850DAF"/>
    <w:rsid w:val="0085105F"/>
    <w:rsid w:val="00851C51"/>
    <w:rsid w:val="0085317D"/>
    <w:rsid w:val="008533BA"/>
    <w:rsid w:val="00853978"/>
    <w:rsid w:val="00854701"/>
    <w:rsid w:val="00854904"/>
    <w:rsid w:val="00854973"/>
    <w:rsid w:val="00856853"/>
    <w:rsid w:val="008571F9"/>
    <w:rsid w:val="00860F46"/>
    <w:rsid w:val="00862540"/>
    <w:rsid w:val="00862A9B"/>
    <w:rsid w:val="00862CA4"/>
    <w:rsid w:val="00862E4E"/>
    <w:rsid w:val="008633DE"/>
    <w:rsid w:val="00863786"/>
    <w:rsid w:val="0086379A"/>
    <w:rsid w:val="00863D20"/>
    <w:rsid w:val="00863E6A"/>
    <w:rsid w:val="0086433A"/>
    <w:rsid w:val="008649BC"/>
    <w:rsid w:val="0086634B"/>
    <w:rsid w:val="0086683C"/>
    <w:rsid w:val="00866ECC"/>
    <w:rsid w:val="0086786A"/>
    <w:rsid w:val="008679EE"/>
    <w:rsid w:val="00867CAB"/>
    <w:rsid w:val="008702FF"/>
    <w:rsid w:val="00870877"/>
    <w:rsid w:val="00870C60"/>
    <w:rsid w:val="00871014"/>
    <w:rsid w:val="0087189C"/>
    <w:rsid w:val="00871E15"/>
    <w:rsid w:val="00872EF5"/>
    <w:rsid w:val="00873080"/>
    <w:rsid w:val="00873907"/>
    <w:rsid w:val="008747A1"/>
    <w:rsid w:val="008749F9"/>
    <w:rsid w:val="0087558B"/>
    <w:rsid w:val="00876B61"/>
    <w:rsid w:val="00876E7C"/>
    <w:rsid w:val="00877C56"/>
    <w:rsid w:val="00877DDB"/>
    <w:rsid w:val="00880D6D"/>
    <w:rsid w:val="00880DC4"/>
    <w:rsid w:val="00880F4E"/>
    <w:rsid w:val="00881292"/>
    <w:rsid w:val="008816BC"/>
    <w:rsid w:val="008817D0"/>
    <w:rsid w:val="00881BB0"/>
    <w:rsid w:val="00881C80"/>
    <w:rsid w:val="008821E5"/>
    <w:rsid w:val="0088228C"/>
    <w:rsid w:val="008826FD"/>
    <w:rsid w:val="00882856"/>
    <w:rsid w:val="00882987"/>
    <w:rsid w:val="00882C7E"/>
    <w:rsid w:val="00883639"/>
    <w:rsid w:val="00883B19"/>
    <w:rsid w:val="008845A0"/>
    <w:rsid w:val="00884D6F"/>
    <w:rsid w:val="00885130"/>
    <w:rsid w:val="00885183"/>
    <w:rsid w:val="00885310"/>
    <w:rsid w:val="00885580"/>
    <w:rsid w:val="00885CFB"/>
    <w:rsid w:val="00886344"/>
    <w:rsid w:val="0088721C"/>
    <w:rsid w:val="00887979"/>
    <w:rsid w:val="0089020D"/>
    <w:rsid w:val="008903D7"/>
    <w:rsid w:val="00890F2B"/>
    <w:rsid w:val="0089140E"/>
    <w:rsid w:val="00891D14"/>
    <w:rsid w:val="00891EC4"/>
    <w:rsid w:val="00894D85"/>
    <w:rsid w:val="00895781"/>
    <w:rsid w:val="00895A2B"/>
    <w:rsid w:val="00896079"/>
    <w:rsid w:val="008960C5"/>
    <w:rsid w:val="00896414"/>
    <w:rsid w:val="008970F5"/>
    <w:rsid w:val="0089716E"/>
    <w:rsid w:val="008974D2"/>
    <w:rsid w:val="008975A1"/>
    <w:rsid w:val="00897691"/>
    <w:rsid w:val="00897E86"/>
    <w:rsid w:val="008A06D3"/>
    <w:rsid w:val="008A1109"/>
    <w:rsid w:val="008A1DCE"/>
    <w:rsid w:val="008A33EA"/>
    <w:rsid w:val="008A3823"/>
    <w:rsid w:val="008A3FB8"/>
    <w:rsid w:val="008A433D"/>
    <w:rsid w:val="008A4349"/>
    <w:rsid w:val="008A75EC"/>
    <w:rsid w:val="008A7A38"/>
    <w:rsid w:val="008A7F95"/>
    <w:rsid w:val="008B04F9"/>
    <w:rsid w:val="008B08B0"/>
    <w:rsid w:val="008B194C"/>
    <w:rsid w:val="008B25CA"/>
    <w:rsid w:val="008B2A93"/>
    <w:rsid w:val="008B3368"/>
    <w:rsid w:val="008B3E0E"/>
    <w:rsid w:val="008B41DA"/>
    <w:rsid w:val="008B47D9"/>
    <w:rsid w:val="008B4C9B"/>
    <w:rsid w:val="008B53E8"/>
    <w:rsid w:val="008B6A3A"/>
    <w:rsid w:val="008B6B4F"/>
    <w:rsid w:val="008B7613"/>
    <w:rsid w:val="008B7E13"/>
    <w:rsid w:val="008C11A0"/>
    <w:rsid w:val="008C1485"/>
    <w:rsid w:val="008C1669"/>
    <w:rsid w:val="008C27C9"/>
    <w:rsid w:val="008C29D0"/>
    <w:rsid w:val="008C3870"/>
    <w:rsid w:val="008C3982"/>
    <w:rsid w:val="008C3DC6"/>
    <w:rsid w:val="008C43A8"/>
    <w:rsid w:val="008C468B"/>
    <w:rsid w:val="008C4F09"/>
    <w:rsid w:val="008C4F60"/>
    <w:rsid w:val="008C5025"/>
    <w:rsid w:val="008C5BA9"/>
    <w:rsid w:val="008C670E"/>
    <w:rsid w:val="008C6848"/>
    <w:rsid w:val="008C6B50"/>
    <w:rsid w:val="008C7019"/>
    <w:rsid w:val="008C75FF"/>
    <w:rsid w:val="008C786B"/>
    <w:rsid w:val="008C7D31"/>
    <w:rsid w:val="008C7E64"/>
    <w:rsid w:val="008D0D5B"/>
    <w:rsid w:val="008D1095"/>
    <w:rsid w:val="008D11CC"/>
    <w:rsid w:val="008D1549"/>
    <w:rsid w:val="008D1B06"/>
    <w:rsid w:val="008D2512"/>
    <w:rsid w:val="008D2E1B"/>
    <w:rsid w:val="008D3202"/>
    <w:rsid w:val="008D33A8"/>
    <w:rsid w:val="008D455F"/>
    <w:rsid w:val="008D505E"/>
    <w:rsid w:val="008D5660"/>
    <w:rsid w:val="008D5C28"/>
    <w:rsid w:val="008D621F"/>
    <w:rsid w:val="008D698D"/>
    <w:rsid w:val="008D6F19"/>
    <w:rsid w:val="008D74F0"/>
    <w:rsid w:val="008D753E"/>
    <w:rsid w:val="008D77B7"/>
    <w:rsid w:val="008D7819"/>
    <w:rsid w:val="008D7A86"/>
    <w:rsid w:val="008D7E16"/>
    <w:rsid w:val="008E0BF7"/>
    <w:rsid w:val="008E11B5"/>
    <w:rsid w:val="008E1C96"/>
    <w:rsid w:val="008E2165"/>
    <w:rsid w:val="008E2755"/>
    <w:rsid w:val="008E2A30"/>
    <w:rsid w:val="008E34F6"/>
    <w:rsid w:val="008E3BD5"/>
    <w:rsid w:val="008E46A5"/>
    <w:rsid w:val="008E558B"/>
    <w:rsid w:val="008E55F2"/>
    <w:rsid w:val="008E5685"/>
    <w:rsid w:val="008E6626"/>
    <w:rsid w:val="008E6690"/>
    <w:rsid w:val="008E6DC4"/>
    <w:rsid w:val="008F095D"/>
    <w:rsid w:val="008F0A15"/>
    <w:rsid w:val="008F0D18"/>
    <w:rsid w:val="008F0F75"/>
    <w:rsid w:val="008F1740"/>
    <w:rsid w:val="008F1F6E"/>
    <w:rsid w:val="008F2E69"/>
    <w:rsid w:val="008F3477"/>
    <w:rsid w:val="008F38C5"/>
    <w:rsid w:val="008F4168"/>
    <w:rsid w:val="008F46B7"/>
    <w:rsid w:val="008F4700"/>
    <w:rsid w:val="008F4D5F"/>
    <w:rsid w:val="008F5368"/>
    <w:rsid w:val="008F57AE"/>
    <w:rsid w:val="008F57E4"/>
    <w:rsid w:val="008F594E"/>
    <w:rsid w:val="008F6BC9"/>
    <w:rsid w:val="008F6F3E"/>
    <w:rsid w:val="008F782A"/>
    <w:rsid w:val="008F7A5E"/>
    <w:rsid w:val="009007C4"/>
    <w:rsid w:val="00900C39"/>
    <w:rsid w:val="0090151F"/>
    <w:rsid w:val="009016FE"/>
    <w:rsid w:val="00902640"/>
    <w:rsid w:val="00902C94"/>
    <w:rsid w:val="0090317F"/>
    <w:rsid w:val="009039F4"/>
    <w:rsid w:val="00903FB7"/>
    <w:rsid w:val="009042D1"/>
    <w:rsid w:val="009044AA"/>
    <w:rsid w:val="009044EA"/>
    <w:rsid w:val="00904B33"/>
    <w:rsid w:val="00906804"/>
    <w:rsid w:val="009068CA"/>
    <w:rsid w:val="00906975"/>
    <w:rsid w:val="00906BFC"/>
    <w:rsid w:val="00907818"/>
    <w:rsid w:val="009108FC"/>
    <w:rsid w:val="00910911"/>
    <w:rsid w:val="0091096E"/>
    <w:rsid w:val="009127D9"/>
    <w:rsid w:val="00912CFE"/>
    <w:rsid w:val="00912DDD"/>
    <w:rsid w:val="00913170"/>
    <w:rsid w:val="009137DC"/>
    <w:rsid w:val="00913BBA"/>
    <w:rsid w:val="009145FA"/>
    <w:rsid w:val="00914FDE"/>
    <w:rsid w:val="0091601A"/>
    <w:rsid w:val="009177E6"/>
    <w:rsid w:val="00917C10"/>
    <w:rsid w:val="00920CFC"/>
    <w:rsid w:val="00920D4C"/>
    <w:rsid w:val="00920E47"/>
    <w:rsid w:val="00920EF6"/>
    <w:rsid w:val="0092123E"/>
    <w:rsid w:val="009215AD"/>
    <w:rsid w:val="00922A6F"/>
    <w:rsid w:val="00922A73"/>
    <w:rsid w:val="00922C2F"/>
    <w:rsid w:val="0092314D"/>
    <w:rsid w:val="0092373C"/>
    <w:rsid w:val="00923BD5"/>
    <w:rsid w:val="0092410C"/>
    <w:rsid w:val="00924267"/>
    <w:rsid w:val="00924849"/>
    <w:rsid w:val="00924870"/>
    <w:rsid w:val="00924ADE"/>
    <w:rsid w:val="009251E7"/>
    <w:rsid w:val="00925871"/>
    <w:rsid w:val="00925B26"/>
    <w:rsid w:val="00925C46"/>
    <w:rsid w:val="0092645A"/>
    <w:rsid w:val="009270A4"/>
    <w:rsid w:val="00927518"/>
    <w:rsid w:val="00930741"/>
    <w:rsid w:val="009312A6"/>
    <w:rsid w:val="00931704"/>
    <w:rsid w:val="009318E9"/>
    <w:rsid w:val="00933037"/>
    <w:rsid w:val="009330EF"/>
    <w:rsid w:val="00933262"/>
    <w:rsid w:val="0093465C"/>
    <w:rsid w:val="00934986"/>
    <w:rsid w:val="009354DB"/>
    <w:rsid w:val="009364B1"/>
    <w:rsid w:val="00936C05"/>
    <w:rsid w:val="00937DB7"/>
    <w:rsid w:val="009406BF"/>
    <w:rsid w:val="0094086A"/>
    <w:rsid w:val="00940AB4"/>
    <w:rsid w:val="0094145A"/>
    <w:rsid w:val="0094166C"/>
    <w:rsid w:val="009419E1"/>
    <w:rsid w:val="00941B42"/>
    <w:rsid w:val="0094226D"/>
    <w:rsid w:val="009425B7"/>
    <w:rsid w:val="009433FA"/>
    <w:rsid w:val="009434F3"/>
    <w:rsid w:val="009445DB"/>
    <w:rsid w:val="00944D06"/>
    <w:rsid w:val="00944E25"/>
    <w:rsid w:val="0094526E"/>
    <w:rsid w:val="009453D5"/>
    <w:rsid w:val="00945FCB"/>
    <w:rsid w:val="00946D6F"/>
    <w:rsid w:val="0094713E"/>
    <w:rsid w:val="009472BD"/>
    <w:rsid w:val="0095154F"/>
    <w:rsid w:val="009539D0"/>
    <w:rsid w:val="009540DF"/>
    <w:rsid w:val="00954530"/>
    <w:rsid w:val="00954B98"/>
    <w:rsid w:val="00954C07"/>
    <w:rsid w:val="00954FD6"/>
    <w:rsid w:val="00955025"/>
    <w:rsid w:val="009551ED"/>
    <w:rsid w:val="00955483"/>
    <w:rsid w:val="0095642D"/>
    <w:rsid w:val="00956CD7"/>
    <w:rsid w:val="009570F1"/>
    <w:rsid w:val="00957718"/>
    <w:rsid w:val="00957872"/>
    <w:rsid w:val="00957B95"/>
    <w:rsid w:val="00957C31"/>
    <w:rsid w:val="00957CFA"/>
    <w:rsid w:val="00960131"/>
    <w:rsid w:val="009604F6"/>
    <w:rsid w:val="009608CD"/>
    <w:rsid w:val="00960D13"/>
    <w:rsid w:val="00961A35"/>
    <w:rsid w:val="00962683"/>
    <w:rsid w:val="00963003"/>
    <w:rsid w:val="009636EE"/>
    <w:rsid w:val="00963966"/>
    <w:rsid w:val="00963B45"/>
    <w:rsid w:val="00965A9A"/>
    <w:rsid w:val="00966102"/>
    <w:rsid w:val="00966B19"/>
    <w:rsid w:val="00966C3D"/>
    <w:rsid w:val="00966E2F"/>
    <w:rsid w:val="00967509"/>
    <w:rsid w:val="009677F8"/>
    <w:rsid w:val="00967ECB"/>
    <w:rsid w:val="009701BB"/>
    <w:rsid w:val="00970A1B"/>
    <w:rsid w:val="00970DB1"/>
    <w:rsid w:val="00970F7A"/>
    <w:rsid w:val="0097101E"/>
    <w:rsid w:val="0097186B"/>
    <w:rsid w:val="00971A04"/>
    <w:rsid w:val="009720E0"/>
    <w:rsid w:val="00972D13"/>
    <w:rsid w:val="00973712"/>
    <w:rsid w:val="00973B9F"/>
    <w:rsid w:val="00975002"/>
    <w:rsid w:val="00975834"/>
    <w:rsid w:val="009762A8"/>
    <w:rsid w:val="00976305"/>
    <w:rsid w:val="009769FA"/>
    <w:rsid w:val="00976BCB"/>
    <w:rsid w:val="00977CC3"/>
    <w:rsid w:val="00980203"/>
    <w:rsid w:val="00980A65"/>
    <w:rsid w:val="0098127B"/>
    <w:rsid w:val="00981EC3"/>
    <w:rsid w:val="00982607"/>
    <w:rsid w:val="00982CB2"/>
    <w:rsid w:val="00983064"/>
    <w:rsid w:val="009831FD"/>
    <w:rsid w:val="009837A0"/>
    <w:rsid w:val="009839BA"/>
    <w:rsid w:val="00984E57"/>
    <w:rsid w:val="00985BFB"/>
    <w:rsid w:val="0098749D"/>
    <w:rsid w:val="009877A6"/>
    <w:rsid w:val="009879C4"/>
    <w:rsid w:val="009907D2"/>
    <w:rsid w:val="0099105E"/>
    <w:rsid w:val="009913F5"/>
    <w:rsid w:val="0099156E"/>
    <w:rsid w:val="00991982"/>
    <w:rsid w:val="00991E25"/>
    <w:rsid w:val="009920B0"/>
    <w:rsid w:val="00992B8E"/>
    <w:rsid w:val="0099327D"/>
    <w:rsid w:val="00993F38"/>
    <w:rsid w:val="00993F6F"/>
    <w:rsid w:val="00994052"/>
    <w:rsid w:val="009940E3"/>
    <w:rsid w:val="009943E5"/>
    <w:rsid w:val="00994496"/>
    <w:rsid w:val="00994A36"/>
    <w:rsid w:val="00994D45"/>
    <w:rsid w:val="00995357"/>
    <w:rsid w:val="009958D7"/>
    <w:rsid w:val="00995B5A"/>
    <w:rsid w:val="00995C1B"/>
    <w:rsid w:val="00995C70"/>
    <w:rsid w:val="00997203"/>
    <w:rsid w:val="0099759B"/>
    <w:rsid w:val="00997CEB"/>
    <w:rsid w:val="009A0B75"/>
    <w:rsid w:val="009A0DB0"/>
    <w:rsid w:val="009A0ECF"/>
    <w:rsid w:val="009A11A8"/>
    <w:rsid w:val="009A1CA0"/>
    <w:rsid w:val="009A2021"/>
    <w:rsid w:val="009A287C"/>
    <w:rsid w:val="009A28B3"/>
    <w:rsid w:val="009A2CD9"/>
    <w:rsid w:val="009A3834"/>
    <w:rsid w:val="009A3F9F"/>
    <w:rsid w:val="009A4333"/>
    <w:rsid w:val="009A4783"/>
    <w:rsid w:val="009A4B7B"/>
    <w:rsid w:val="009A4FAD"/>
    <w:rsid w:val="009A50BF"/>
    <w:rsid w:val="009A54E1"/>
    <w:rsid w:val="009A6179"/>
    <w:rsid w:val="009A6E4B"/>
    <w:rsid w:val="009A7142"/>
    <w:rsid w:val="009A7C45"/>
    <w:rsid w:val="009B0459"/>
    <w:rsid w:val="009B0712"/>
    <w:rsid w:val="009B093E"/>
    <w:rsid w:val="009B1A84"/>
    <w:rsid w:val="009B2039"/>
    <w:rsid w:val="009B2375"/>
    <w:rsid w:val="009B2878"/>
    <w:rsid w:val="009B32DC"/>
    <w:rsid w:val="009B39B3"/>
    <w:rsid w:val="009B43A2"/>
    <w:rsid w:val="009B4A66"/>
    <w:rsid w:val="009B4CB2"/>
    <w:rsid w:val="009B58E7"/>
    <w:rsid w:val="009B5EA4"/>
    <w:rsid w:val="009B61EF"/>
    <w:rsid w:val="009B69E4"/>
    <w:rsid w:val="009C0623"/>
    <w:rsid w:val="009C0EE3"/>
    <w:rsid w:val="009C1542"/>
    <w:rsid w:val="009C1BC9"/>
    <w:rsid w:val="009C33C5"/>
    <w:rsid w:val="009C3E41"/>
    <w:rsid w:val="009C4072"/>
    <w:rsid w:val="009C49D4"/>
    <w:rsid w:val="009C4E19"/>
    <w:rsid w:val="009C4FC1"/>
    <w:rsid w:val="009C53A2"/>
    <w:rsid w:val="009C7196"/>
    <w:rsid w:val="009C72FC"/>
    <w:rsid w:val="009C75D4"/>
    <w:rsid w:val="009C78FC"/>
    <w:rsid w:val="009C7ABA"/>
    <w:rsid w:val="009D0AD3"/>
    <w:rsid w:val="009D0E1E"/>
    <w:rsid w:val="009D11CC"/>
    <w:rsid w:val="009D1307"/>
    <w:rsid w:val="009D192A"/>
    <w:rsid w:val="009D2609"/>
    <w:rsid w:val="009D2EA6"/>
    <w:rsid w:val="009D3271"/>
    <w:rsid w:val="009D3D6D"/>
    <w:rsid w:val="009D42F6"/>
    <w:rsid w:val="009D4780"/>
    <w:rsid w:val="009D4CC6"/>
    <w:rsid w:val="009D4F0E"/>
    <w:rsid w:val="009D4FFA"/>
    <w:rsid w:val="009D507A"/>
    <w:rsid w:val="009D566A"/>
    <w:rsid w:val="009D56C3"/>
    <w:rsid w:val="009D57CA"/>
    <w:rsid w:val="009D5C89"/>
    <w:rsid w:val="009D641B"/>
    <w:rsid w:val="009D69A2"/>
    <w:rsid w:val="009D69EE"/>
    <w:rsid w:val="009E08C9"/>
    <w:rsid w:val="009E1572"/>
    <w:rsid w:val="009E19AC"/>
    <w:rsid w:val="009E2021"/>
    <w:rsid w:val="009E2563"/>
    <w:rsid w:val="009E2572"/>
    <w:rsid w:val="009E26DA"/>
    <w:rsid w:val="009E2FA7"/>
    <w:rsid w:val="009E3660"/>
    <w:rsid w:val="009E36C0"/>
    <w:rsid w:val="009E37E7"/>
    <w:rsid w:val="009E4560"/>
    <w:rsid w:val="009E4FE9"/>
    <w:rsid w:val="009E52E5"/>
    <w:rsid w:val="009E5606"/>
    <w:rsid w:val="009E6067"/>
    <w:rsid w:val="009E60B6"/>
    <w:rsid w:val="009E64AD"/>
    <w:rsid w:val="009E6724"/>
    <w:rsid w:val="009E72A0"/>
    <w:rsid w:val="009F07C0"/>
    <w:rsid w:val="009F0987"/>
    <w:rsid w:val="009F0B31"/>
    <w:rsid w:val="009F0EF7"/>
    <w:rsid w:val="009F118E"/>
    <w:rsid w:val="009F13E2"/>
    <w:rsid w:val="009F2242"/>
    <w:rsid w:val="009F23DB"/>
    <w:rsid w:val="009F3BBC"/>
    <w:rsid w:val="009F3BC9"/>
    <w:rsid w:val="009F3E05"/>
    <w:rsid w:val="009F5DB6"/>
    <w:rsid w:val="009F629F"/>
    <w:rsid w:val="009F65FC"/>
    <w:rsid w:val="009F6AA3"/>
    <w:rsid w:val="009F76BF"/>
    <w:rsid w:val="009F770C"/>
    <w:rsid w:val="009F792D"/>
    <w:rsid w:val="009F7D8F"/>
    <w:rsid w:val="009F7F5F"/>
    <w:rsid w:val="00A00454"/>
    <w:rsid w:val="00A008A8"/>
    <w:rsid w:val="00A00B7C"/>
    <w:rsid w:val="00A019EB"/>
    <w:rsid w:val="00A01AC3"/>
    <w:rsid w:val="00A02935"/>
    <w:rsid w:val="00A03279"/>
    <w:rsid w:val="00A03A9B"/>
    <w:rsid w:val="00A04057"/>
    <w:rsid w:val="00A040EC"/>
    <w:rsid w:val="00A04358"/>
    <w:rsid w:val="00A04379"/>
    <w:rsid w:val="00A0449C"/>
    <w:rsid w:val="00A05342"/>
    <w:rsid w:val="00A057D9"/>
    <w:rsid w:val="00A058E3"/>
    <w:rsid w:val="00A05B6B"/>
    <w:rsid w:val="00A0635D"/>
    <w:rsid w:val="00A06D1C"/>
    <w:rsid w:val="00A072AA"/>
    <w:rsid w:val="00A07583"/>
    <w:rsid w:val="00A079CE"/>
    <w:rsid w:val="00A07CFB"/>
    <w:rsid w:val="00A1021E"/>
    <w:rsid w:val="00A10DA5"/>
    <w:rsid w:val="00A11346"/>
    <w:rsid w:val="00A114EB"/>
    <w:rsid w:val="00A11D87"/>
    <w:rsid w:val="00A11DAB"/>
    <w:rsid w:val="00A12507"/>
    <w:rsid w:val="00A13B82"/>
    <w:rsid w:val="00A14044"/>
    <w:rsid w:val="00A143C6"/>
    <w:rsid w:val="00A1470C"/>
    <w:rsid w:val="00A14D94"/>
    <w:rsid w:val="00A14EC4"/>
    <w:rsid w:val="00A15299"/>
    <w:rsid w:val="00A15638"/>
    <w:rsid w:val="00A16050"/>
    <w:rsid w:val="00A165C4"/>
    <w:rsid w:val="00A16D58"/>
    <w:rsid w:val="00A178CA"/>
    <w:rsid w:val="00A17C17"/>
    <w:rsid w:val="00A202B2"/>
    <w:rsid w:val="00A2065D"/>
    <w:rsid w:val="00A20AB0"/>
    <w:rsid w:val="00A20ED4"/>
    <w:rsid w:val="00A21435"/>
    <w:rsid w:val="00A21E2E"/>
    <w:rsid w:val="00A222A7"/>
    <w:rsid w:val="00A227DA"/>
    <w:rsid w:val="00A22E56"/>
    <w:rsid w:val="00A23984"/>
    <w:rsid w:val="00A2436F"/>
    <w:rsid w:val="00A24506"/>
    <w:rsid w:val="00A24762"/>
    <w:rsid w:val="00A24884"/>
    <w:rsid w:val="00A25046"/>
    <w:rsid w:val="00A25342"/>
    <w:rsid w:val="00A253F6"/>
    <w:rsid w:val="00A25618"/>
    <w:rsid w:val="00A26101"/>
    <w:rsid w:val="00A26C03"/>
    <w:rsid w:val="00A26F2E"/>
    <w:rsid w:val="00A27D4A"/>
    <w:rsid w:val="00A30469"/>
    <w:rsid w:val="00A30810"/>
    <w:rsid w:val="00A30AD7"/>
    <w:rsid w:val="00A323A4"/>
    <w:rsid w:val="00A32645"/>
    <w:rsid w:val="00A33565"/>
    <w:rsid w:val="00A3369A"/>
    <w:rsid w:val="00A339C3"/>
    <w:rsid w:val="00A33CEA"/>
    <w:rsid w:val="00A34380"/>
    <w:rsid w:val="00A344B7"/>
    <w:rsid w:val="00A34A05"/>
    <w:rsid w:val="00A350F6"/>
    <w:rsid w:val="00A36267"/>
    <w:rsid w:val="00A36B45"/>
    <w:rsid w:val="00A36BF0"/>
    <w:rsid w:val="00A37252"/>
    <w:rsid w:val="00A37C94"/>
    <w:rsid w:val="00A405AB"/>
    <w:rsid w:val="00A40D1C"/>
    <w:rsid w:val="00A40D5F"/>
    <w:rsid w:val="00A40D70"/>
    <w:rsid w:val="00A40D89"/>
    <w:rsid w:val="00A40F3A"/>
    <w:rsid w:val="00A4152F"/>
    <w:rsid w:val="00A415BA"/>
    <w:rsid w:val="00A41A0C"/>
    <w:rsid w:val="00A423DD"/>
    <w:rsid w:val="00A42487"/>
    <w:rsid w:val="00A428E9"/>
    <w:rsid w:val="00A43B57"/>
    <w:rsid w:val="00A4429D"/>
    <w:rsid w:val="00A4472D"/>
    <w:rsid w:val="00A44CA9"/>
    <w:rsid w:val="00A4589B"/>
    <w:rsid w:val="00A460FD"/>
    <w:rsid w:val="00A46866"/>
    <w:rsid w:val="00A470FE"/>
    <w:rsid w:val="00A479AD"/>
    <w:rsid w:val="00A47BDA"/>
    <w:rsid w:val="00A47C1E"/>
    <w:rsid w:val="00A5063F"/>
    <w:rsid w:val="00A51421"/>
    <w:rsid w:val="00A51DCD"/>
    <w:rsid w:val="00A528E8"/>
    <w:rsid w:val="00A52E07"/>
    <w:rsid w:val="00A53F1B"/>
    <w:rsid w:val="00A54000"/>
    <w:rsid w:val="00A559CE"/>
    <w:rsid w:val="00A55E15"/>
    <w:rsid w:val="00A56160"/>
    <w:rsid w:val="00A56592"/>
    <w:rsid w:val="00A5697C"/>
    <w:rsid w:val="00A570C1"/>
    <w:rsid w:val="00A575A5"/>
    <w:rsid w:val="00A57C6B"/>
    <w:rsid w:val="00A606A1"/>
    <w:rsid w:val="00A607F9"/>
    <w:rsid w:val="00A60BC8"/>
    <w:rsid w:val="00A60E65"/>
    <w:rsid w:val="00A61163"/>
    <w:rsid w:val="00A61727"/>
    <w:rsid w:val="00A63255"/>
    <w:rsid w:val="00A63555"/>
    <w:rsid w:val="00A648E1"/>
    <w:rsid w:val="00A64E95"/>
    <w:rsid w:val="00A661EB"/>
    <w:rsid w:val="00A664D7"/>
    <w:rsid w:val="00A665AE"/>
    <w:rsid w:val="00A668C3"/>
    <w:rsid w:val="00A66E0D"/>
    <w:rsid w:val="00A66FA0"/>
    <w:rsid w:val="00A67A29"/>
    <w:rsid w:val="00A705EC"/>
    <w:rsid w:val="00A70C0A"/>
    <w:rsid w:val="00A71452"/>
    <w:rsid w:val="00A71F0A"/>
    <w:rsid w:val="00A724D4"/>
    <w:rsid w:val="00A725CF"/>
    <w:rsid w:val="00A738D5"/>
    <w:rsid w:val="00A73ADD"/>
    <w:rsid w:val="00A74267"/>
    <w:rsid w:val="00A74406"/>
    <w:rsid w:val="00A746D3"/>
    <w:rsid w:val="00A74D69"/>
    <w:rsid w:val="00A756B9"/>
    <w:rsid w:val="00A76137"/>
    <w:rsid w:val="00A76346"/>
    <w:rsid w:val="00A769A4"/>
    <w:rsid w:val="00A76A2A"/>
    <w:rsid w:val="00A773E5"/>
    <w:rsid w:val="00A775F8"/>
    <w:rsid w:val="00A7770E"/>
    <w:rsid w:val="00A77D5A"/>
    <w:rsid w:val="00A80C33"/>
    <w:rsid w:val="00A80E2B"/>
    <w:rsid w:val="00A812DF"/>
    <w:rsid w:val="00A8135E"/>
    <w:rsid w:val="00A8178D"/>
    <w:rsid w:val="00A82747"/>
    <w:rsid w:val="00A82EF7"/>
    <w:rsid w:val="00A8323E"/>
    <w:rsid w:val="00A836F6"/>
    <w:rsid w:val="00A83D81"/>
    <w:rsid w:val="00A84223"/>
    <w:rsid w:val="00A846C4"/>
    <w:rsid w:val="00A84CA6"/>
    <w:rsid w:val="00A8587B"/>
    <w:rsid w:val="00A860B7"/>
    <w:rsid w:val="00A86DF0"/>
    <w:rsid w:val="00A86E6C"/>
    <w:rsid w:val="00A878EB"/>
    <w:rsid w:val="00A879A1"/>
    <w:rsid w:val="00A90B95"/>
    <w:rsid w:val="00A914CD"/>
    <w:rsid w:val="00A917B4"/>
    <w:rsid w:val="00A91EA1"/>
    <w:rsid w:val="00A92765"/>
    <w:rsid w:val="00A92BD6"/>
    <w:rsid w:val="00A92E03"/>
    <w:rsid w:val="00A93D37"/>
    <w:rsid w:val="00A94401"/>
    <w:rsid w:val="00A9482E"/>
    <w:rsid w:val="00A94854"/>
    <w:rsid w:val="00A96C8F"/>
    <w:rsid w:val="00A96E31"/>
    <w:rsid w:val="00AA058E"/>
    <w:rsid w:val="00AA0BD8"/>
    <w:rsid w:val="00AA1C65"/>
    <w:rsid w:val="00AA2387"/>
    <w:rsid w:val="00AA3392"/>
    <w:rsid w:val="00AA468F"/>
    <w:rsid w:val="00AA5684"/>
    <w:rsid w:val="00AA579E"/>
    <w:rsid w:val="00AA59D3"/>
    <w:rsid w:val="00AA61E3"/>
    <w:rsid w:val="00AA693E"/>
    <w:rsid w:val="00AA6B0A"/>
    <w:rsid w:val="00AA73E7"/>
    <w:rsid w:val="00AA7E3C"/>
    <w:rsid w:val="00AA7F12"/>
    <w:rsid w:val="00AB1DB8"/>
    <w:rsid w:val="00AB2354"/>
    <w:rsid w:val="00AB2541"/>
    <w:rsid w:val="00AB2FAA"/>
    <w:rsid w:val="00AB3A96"/>
    <w:rsid w:val="00AB3B8F"/>
    <w:rsid w:val="00AB4A9C"/>
    <w:rsid w:val="00AB4DE4"/>
    <w:rsid w:val="00AB50D7"/>
    <w:rsid w:val="00AB52FE"/>
    <w:rsid w:val="00AB6ADA"/>
    <w:rsid w:val="00AB6C23"/>
    <w:rsid w:val="00AB6CA9"/>
    <w:rsid w:val="00AB7127"/>
    <w:rsid w:val="00AB7440"/>
    <w:rsid w:val="00AB765B"/>
    <w:rsid w:val="00AB77A6"/>
    <w:rsid w:val="00AB7986"/>
    <w:rsid w:val="00AB79A0"/>
    <w:rsid w:val="00AC0ABB"/>
    <w:rsid w:val="00AC0FE3"/>
    <w:rsid w:val="00AC11BC"/>
    <w:rsid w:val="00AC1BBB"/>
    <w:rsid w:val="00AC1BC9"/>
    <w:rsid w:val="00AC21ED"/>
    <w:rsid w:val="00AC29C9"/>
    <w:rsid w:val="00AC2C50"/>
    <w:rsid w:val="00AC2E40"/>
    <w:rsid w:val="00AC32F9"/>
    <w:rsid w:val="00AC33F2"/>
    <w:rsid w:val="00AC3493"/>
    <w:rsid w:val="00AC4998"/>
    <w:rsid w:val="00AC4CE3"/>
    <w:rsid w:val="00AC544C"/>
    <w:rsid w:val="00AC5BE4"/>
    <w:rsid w:val="00AC70AD"/>
    <w:rsid w:val="00AC7BD6"/>
    <w:rsid w:val="00AD0DB1"/>
    <w:rsid w:val="00AD10F5"/>
    <w:rsid w:val="00AD16C9"/>
    <w:rsid w:val="00AD19B1"/>
    <w:rsid w:val="00AD2180"/>
    <w:rsid w:val="00AD2CE5"/>
    <w:rsid w:val="00AD2E8B"/>
    <w:rsid w:val="00AD35B0"/>
    <w:rsid w:val="00AD3A98"/>
    <w:rsid w:val="00AD3B08"/>
    <w:rsid w:val="00AD47F8"/>
    <w:rsid w:val="00AD4F9F"/>
    <w:rsid w:val="00AD54BA"/>
    <w:rsid w:val="00AD5840"/>
    <w:rsid w:val="00AD58C5"/>
    <w:rsid w:val="00AD59C2"/>
    <w:rsid w:val="00AD5D24"/>
    <w:rsid w:val="00AD627B"/>
    <w:rsid w:val="00AD63B3"/>
    <w:rsid w:val="00AE012B"/>
    <w:rsid w:val="00AE03BD"/>
    <w:rsid w:val="00AE0FB0"/>
    <w:rsid w:val="00AE1133"/>
    <w:rsid w:val="00AE1149"/>
    <w:rsid w:val="00AE1D0A"/>
    <w:rsid w:val="00AE1EF6"/>
    <w:rsid w:val="00AE23C6"/>
    <w:rsid w:val="00AE2DEE"/>
    <w:rsid w:val="00AE3733"/>
    <w:rsid w:val="00AE3B12"/>
    <w:rsid w:val="00AE3BF0"/>
    <w:rsid w:val="00AE3D3A"/>
    <w:rsid w:val="00AE404B"/>
    <w:rsid w:val="00AE46F3"/>
    <w:rsid w:val="00AE5578"/>
    <w:rsid w:val="00AE5C0A"/>
    <w:rsid w:val="00AE7052"/>
    <w:rsid w:val="00AE72A2"/>
    <w:rsid w:val="00AE7905"/>
    <w:rsid w:val="00AE7B52"/>
    <w:rsid w:val="00AE7E55"/>
    <w:rsid w:val="00AE7F35"/>
    <w:rsid w:val="00AF04BE"/>
    <w:rsid w:val="00AF13CE"/>
    <w:rsid w:val="00AF1EBE"/>
    <w:rsid w:val="00AF25ED"/>
    <w:rsid w:val="00AF28D2"/>
    <w:rsid w:val="00AF348C"/>
    <w:rsid w:val="00AF3C17"/>
    <w:rsid w:val="00AF3E64"/>
    <w:rsid w:val="00AF50D4"/>
    <w:rsid w:val="00AF553A"/>
    <w:rsid w:val="00AF555D"/>
    <w:rsid w:val="00AF5ADD"/>
    <w:rsid w:val="00AF65A0"/>
    <w:rsid w:val="00AF666C"/>
    <w:rsid w:val="00AF6E72"/>
    <w:rsid w:val="00AF79E1"/>
    <w:rsid w:val="00B00904"/>
    <w:rsid w:val="00B00C1C"/>
    <w:rsid w:val="00B00C22"/>
    <w:rsid w:val="00B00E71"/>
    <w:rsid w:val="00B028E7"/>
    <w:rsid w:val="00B03D5B"/>
    <w:rsid w:val="00B04269"/>
    <w:rsid w:val="00B04F4D"/>
    <w:rsid w:val="00B05573"/>
    <w:rsid w:val="00B059CE"/>
    <w:rsid w:val="00B05E0F"/>
    <w:rsid w:val="00B06436"/>
    <w:rsid w:val="00B06DE4"/>
    <w:rsid w:val="00B07DA6"/>
    <w:rsid w:val="00B12512"/>
    <w:rsid w:val="00B126F3"/>
    <w:rsid w:val="00B132CB"/>
    <w:rsid w:val="00B1399B"/>
    <w:rsid w:val="00B13F41"/>
    <w:rsid w:val="00B144A3"/>
    <w:rsid w:val="00B15CEB"/>
    <w:rsid w:val="00B163D5"/>
    <w:rsid w:val="00B165D1"/>
    <w:rsid w:val="00B1671A"/>
    <w:rsid w:val="00B167A4"/>
    <w:rsid w:val="00B17E85"/>
    <w:rsid w:val="00B17ED9"/>
    <w:rsid w:val="00B20B15"/>
    <w:rsid w:val="00B20BBA"/>
    <w:rsid w:val="00B20BD3"/>
    <w:rsid w:val="00B20D8F"/>
    <w:rsid w:val="00B22A8A"/>
    <w:rsid w:val="00B23944"/>
    <w:rsid w:val="00B23B50"/>
    <w:rsid w:val="00B2424C"/>
    <w:rsid w:val="00B255B1"/>
    <w:rsid w:val="00B25ECF"/>
    <w:rsid w:val="00B264D2"/>
    <w:rsid w:val="00B26B1D"/>
    <w:rsid w:val="00B26B6D"/>
    <w:rsid w:val="00B277FB"/>
    <w:rsid w:val="00B27CA2"/>
    <w:rsid w:val="00B27DCF"/>
    <w:rsid w:val="00B30807"/>
    <w:rsid w:val="00B311CA"/>
    <w:rsid w:val="00B31592"/>
    <w:rsid w:val="00B324A6"/>
    <w:rsid w:val="00B32701"/>
    <w:rsid w:val="00B32AE3"/>
    <w:rsid w:val="00B33071"/>
    <w:rsid w:val="00B33955"/>
    <w:rsid w:val="00B33C09"/>
    <w:rsid w:val="00B3432F"/>
    <w:rsid w:val="00B3465B"/>
    <w:rsid w:val="00B34B25"/>
    <w:rsid w:val="00B34B72"/>
    <w:rsid w:val="00B34B9E"/>
    <w:rsid w:val="00B35943"/>
    <w:rsid w:val="00B35F60"/>
    <w:rsid w:val="00B3677D"/>
    <w:rsid w:val="00B36B9C"/>
    <w:rsid w:val="00B36CED"/>
    <w:rsid w:val="00B36E9F"/>
    <w:rsid w:val="00B3726D"/>
    <w:rsid w:val="00B37692"/>
    <w:rsid w:val="00B37ECA"/>
    <w:rsid w:val="00B404C2"/>
    <w:rsid w:val="00B4052D"/>
    <w:rsid w:val="00B406A1"/>
    <w:rsid w:val="00B406F1"/>
    <w:rsid w:val="00B40AE4"/>
    <w:rsid w:val="00B40FF6"/>
    <w:rsid w:val="00B4104C"/>
    <w:rsid w:val="00B414FA"/>
    <w:rsid w:val="00B41B84"/>
    <w:rsid w:val="00B42079"/>
    <w:rsid w:val="00B426F3"/>
    <w:rsid w:val="00B43647"/>
    <w:rsid w:val="00B439D6"/>
    <w:rsid w:val="00B43FE7"/>
    <w:rsid w:val="00B44090"/>
    <w:rsid w:val="00B44175"/>
    <w:rsid w:val="00B4428B"/>
    <w:rsid w:val="00B444E3"/>
    <w:rsid w:val="00B45F65"/>
    <w:rsid w:val="00B4664B"/>
    <w:rsid w:val="00B468C1"/>
    <w:rsid w:val="00B46B90"/>
    <w:rsid w:val="00B46C4A"/>
    <w:rsid w:val="00B46D08"/>
    <w:rsid w:val="00B477C2"/>
    <w:rsid w:val="00B47AE3"/>
    <w:rsid w:val="00B47D9D"/>
    <w:rsid w:val="00B509FC"/>
    <w:rsid w:val="00B51036"/>
    <w:rsid w:val="00B5161B"/>
    <w:rsid w:val="00B51962"/>
    <w:rsid w:val="00B51F96"/>
    <w:rsid w:val="00B5293B"/>
    <w:rsid w:val="00B52D50"/>
    <w:rsid w:val="00B538AB"/>
    <w:rsid w:val="00B539B0"/>
    <w:rsid w:val="00B53C81"/>
    <w:rsid w:val="00B53E8D"/>
    <w:rsid w:val="00B545EB"/>
    <w:rsid w:val="00B54FA6"/>
    <w:rsid w:val="00B551C8"/>
    <w:rsid w:val="00B55A6C"/>
    <w:rsid w:val="00B569CD"/>
    <w:rsid w:val="00B62472"/>
    <w:rsid w:val="00B6360B"/>
    <w:rsid w:val="00B637AA"/>
    <w:rsid w:val="00B637E2"/>
    <w:rsid w:val="00B641B6"/>
    <w:rsid w:val="00B644AF"/>
    <w:rsid w:val="00B645B7"/>
    <w:rsid w:val="00B6471A"/>
    <w:rsid w:val="00B64E7F"/>
    <w:rsid w:val="00B6598D"/>
    <w:rsid w:val="00B659AC"/>
    <w:rsid w:val="00B65E2A"/>
    <w:rsid w:val="00B660CC"/>
    <w:rsid w:val="00B66452"/>
    <w:rsid w:val="00B66D3C"/>
    <w:rsid w:val="00B67392"/>
    <w:rsid w:val="00B67967"/>
    <w:rsid w:val="00B7119B"/>
    <w:rsid w:val="00B71742"/>
    <w:rsid w:val="00B722C6"/>
    <w:rsid w:val="00B726A0"/>
    <w:rsid w:val="00B72C3A"/>
    <w:rsid w:val="00B72FD3"/>
    <w:rsid w:val="00B73C98"/>
    <w:rsid w:val="00B7435A"/>
    <w:rsid w:val="00B746BF"/>
    <w:rsid w:val="00B75DD8"/>
    <w:rsid w:val="00B768B5"/>
    <w:rsid w:val="00B76997"/>
    <w:rsid w:val="00B76AEE"/>
    <w:rsid w:val="00B77913"/>
    <w:rsid w:val="00B77FED"/>
    <w:rsid w:val="00B80550"/>
    <w:rsid w:val="00B8115B"/>
    <w:rsid w:val="00B811B1"/>
    <w:rsid w:val="00B816FC"/>
    <w:rsid w:val="00B81BC1"/>
    <w:rsid w:val="00B827DF"/>
    <w:rsid w:val="00B82AC8"/>
    <w:rsid w:val="00B82B17"/>
    <w:rsid w:val="00B82EDE"/>
    <w:rsid w:val="00B832C0"/>
    <w:rsid w:val="00B83D0E"/>
    <w:rsid w:val="00B83D83"/>
    <w:rsid w:val="00B849EE"/>
    <w:rsid w:val="00B84E9F"/>
    <w:rsid w:val="00B85383"/>
    <w:rsid w:val="00B85B7E"/>
    <w:rsid w:val="00B86CC4"/>
    <w:rsid w:val="00B86EE1"/>
    <w:rsid w:val="00B86F9D"/>
    <w:rsid w:val="00B870BF"/>
    <w:rsid w:val="00B87950"/>
    <w:rsid w:val="00B906E4"/>
    <w:rsid w:val="00B909CA"/>
    <w:rsid w:val="00B90AC6"/>
    <w:rsid w:val="00B90F26"/>
    <w:rsid w:val="00B911DC"/>
    <w:rsid w:val="00B91756"/>
    <w:rsid w:val="00B91DBB"/>
    <w:rsid w:val="00B91FD2"/>
    <w:rsid w:val="00B9221F"/>
    <w:rsid w:val="00B9351E"/>
    <w:rsid w:val="00B93E98"/>
    <w:rsid w:val="00B93F32"/>
    <w:rsid w:val="00B9404E"/>
    <w:rsid w:val="00B940EA"/>
    <w:rsid w:val="00B947CE"/>
    <w:rsid w:val="00B94F9D"/>
    <w:rsid w:val="00B95027"/>
    <w:rsid w:val="00B95396"/>
    <w:rsid w:val="00B95E11"/>
    <w:rsid w:val="00B96223"/>
    <w:rsid w:val="00B96633"/>
    <w:rsid w:val="00B96BB1"/>
    <w:rsid w:val="00B973F7"/>
    <w:rsid w:val="00B975B3"/>
    <w:rsid w:val="00B97701"/>
    <w:rsid w:val="00B97B80"/>
    <w:rsid w:val="00B97D31"/>
    <w:rsid w:val="00B97FDE"/>
    <w:rsid w:val="00BA065C"/>
    <w:rsid w:val="00BA09FA"/>
    <w:rsid w:val="00BA0B0F"/>
    <w:rsid w:val="00BA1098"/>
    <w:rsid w:val="00BA1E5B"/>
    <w:rsid w:val="00BA2E6E"/>
    <w:rsid w:val="00BA318C"/>
    <w:rsid w:val="00BA363A"/>
    <w:rsid w:val="00BA3BD1"/>
    <w:rsid w:val="00BA42F0"/>
    <w:rsid w:val="00BA42FB"/>
    <w:rsid w:val="00BA44DE"/>
    <w:rsid w:val="00BA45CA"/>
    <w:rsid w:val="00BA4F2B"/>
    <w:rsid w:val="00BA52A4"/>
    <w:rsid w:val="00BA557B"/>
    <w:rsid w:val="00BA686A"/>
    <w:rsid w:val="00BA6B10"/>
    <w:rsid w:val="00BA70AC"/>
    <w:rsid w:val="00BA7532"/>
    <w:rsid w:val="00BA7FCD"/>
    <w:rsid w:val="00BB070F"/>
    <w:rsid w:val="00BB1262"/>
    <w:rsid w:val="00BB16D7"/>
    <w:rsid w:val="00BB17E5"/>
    <w:rsid w:val="00BB2F57"/>
    <w:rsid w:val="00BB3052"/>
    <w:rsid w:val="00BB33CE"/>
    <w:rsid w:val="00BB38EE"/>
    <w:rsid w:val="00BB403C"/>
    <w:rsid w:val="00BB47C2"/>
    <w:rsid w:val="00BB4964"/>
    <w:rsid w:val="00BB51A4"/>
    <w:rsid w:val="00BB62EC"/>
    <w:rsid w:val="00BB6670"/>
    <w:rsid w:val="00BB74F7"/>
    <w:rsid w:val="00BB7584"/>
    <w:rsid w:val="00BB7603"/>
    <w:rsid w:val="00BB765B"/>
    <w:rsid w:val="00BC0BE4"/>
    <w:rsid w:val="00BC0BF5"/>
    <w:rsid w:val="00BC15C4"/>
    <w:rsid w:val="00BC1611"/>
    <w:rsid w:val="00BC171D"/>
    <w:rsid w:val="00BC18CC"/>
    <w:rsid w:val="00BC1C2A"/>
    <w:rsid w:val="00BC216F"/>
    <w:rsid w:val="00BC2741"/>
    <w:rsid w:val="00BC3D5E"/>
    <w:rsid w:val="00BC40D3"/>
    <w:rsid w:val="00BC4E99"/>
    <w:rsid w:val="00BC5702"/>
    <w:rsid w:val="00BC5C71"/>
    <w:rsid w:val="00BC6277"/>
    <w:rsid w:val="00BC7036"/>
    <w:rsid w:val="00BC7496"/>
    <w:rsid w:val="00BC796D"/>
    <w:rsid w:val="00BC79D6"/>
    <w:rsid w:val="00BD013A"/>
    <w:rsid w:val="00BD06FA"/>
    <w:rsid w:val="00BD0A9B"/>
    <w:rsid w:val="00BD0DFF"/>
    <w:rsid w:val="00BD11D6"/>
    <w:rsid w:val="00BD153C"/>
    <w:rsid w:val="00BD15CD"/>
    <w:rsid w:val="00BD15CE"/>
    <w:rsid w:val="00BD1B30"/>
    <w:rsid w:val="00BD1EBB"/>
    <w:rsid w:val="00BD2FB1"/>
    <w:rsid w:val="00BD38F3"/>
    <w:rsid w:val="00BD3B23"/>
    <w:rsid w:val="00BD4738"/>
    <w:rsid w:val="00BD4BC7"/>
    <w:rsid w:val="00BD4E58"/>
    <w:rsid w:val="00BD59CE"/>
    <w:rsid w:val="00BD5EE7"/>
    <w:rsid w:val="00BD6784"/>
    <w:rsid w:val="00BD72DA"/>
    <w:rsid w:val="00BD7477"/>
    <w:rsid w:val="00BD7766"/>
    <w:rsid w:val="00BD7D66"/>
    <w:rsid w:val="00BD7E9C"/>
    <w:rsid w:val="00BE02D8"/>
    <w:rsid w:val="00BE09C0"/>
    <w:rsid w:val="00BE185B"/>
    <w:rsid w:val="00BE278B"/>
    <w:rsid w:val="00BE30C5"/>
    <w:rsid w:val="00BE34A8"/>
    <w:rsid w:val="00BE5E27"/>
    <w:rsid w:val="00BE64FD"/>
    <w:rsid w:val="00BE6894"/>
    <w:rsid w:val="00BE7528"/>
    <w:rsid w:val="00BE76B2"/>
    <w:rsid w:val="00BE770E"/>
    <w:rsid w:val="00BE7827"/>
    <w:rsid w:val="00BE7B22"/>
    <w:rsid w:val="00BF03A5"/>
    <w:rsid w:val="00BF0533"/>
    <w:rsid w:val="00BF06BF"/>
    <w:rsid w:val="00BF0C73"/>
    <w:rsid w:val="00BF1144"/>
    <w:rsid w:val="00BF18F9"/>
    <w:rsid w:val="00BF2094"/>
    <w:rsid w:val="00BF2C02"/>
    <w:rsid w:val="00BF347C"/>
    <w:rsid w:val="00BF3C0F"/>
    <w:rsid w:val="00BF3D50"/>
    <w:rsid w:val="00BF508E"/>
    <w:rsid w:val="00BF5B7C"/>
    <w:rsid w:val="00BF5C69"/>
    <w:rsid w:val="00BF5DBE"/>
    <w:rsid w:val="00BF5ECA"/>
    <w:rsid w:val="00BF6435"/>
    <w:rsid w:val="00BF675A"/>
    <w:rsid w:val="00BF6983"/>
    <w:rsid w:val="00BF6E4C"/>
    <w:rsid w:val="00BF7214"/>
    <w:rsid w:val="00BF79A2"/>
    <w:rsid w:val="00C000E6"/>
    <w:rsid w:val="00C0019A"/>
    <w:rsid w:val="00C0040E"/>
    <w:rsid w:val="00C0058E"/>
    <w:rsid w:val="00C0184D"/>
    <w:rsid w:val="00C01BBC"/>
    <w:rsid w:val="00C02CC9"/>
    <w:rsid w:val="00C03221"/>
    <w:rsid w:val="00C03513"/>
    <w:rsid w:val="00C0430B"/>
    <w:rsid w:val="00C04B93"/>
    <w:rsid w:val="00C04C88"/>
    <w:rsid w:val="00C04D78"/>
    <w:rsid w:val="00C05738"/>
    <w:rsid w:val="00C064D7"/>
    <w:rsid w:val="00C06565"/>
    <w:rsid w:val="00C06BDF"/>
    <w:rsid w:val="00C06E82"/>
    <w:rsid w:val="00C0737C"/>
    <w:rsid w:val="00C07457"/>
    <w:rsid w:val="00C07657"/>
    <w:rsid w:val="00C076F3"/>
    <w:rsid w:val="00C07937"/>
    <w:rsid w:val="00C07DE4"/>
    <w:rsid w:val="00C10036"/>
    <w:rsid w:val="00C11532"/>
    <w:rsid w:val="00C12021"/>
    <w:rsid w:val="00C12097"/>
    <w:rsid w:val="00C121D3"/>
    <w:rsid w:val="00C122B6"/>
    <w:rsid w:val="00C12852"/>
    <w:rsid w:val="00C13690"/>
    <w:rsid w:val="00C13DED"/>
    <w:rsid w:val="00C145B3"/>
    <w:rsid w:val="00C148A5"/>
    <w:rsid w:val="00C14D66"/>
    <w:rsid w:val="00C14D74"/>
    <w:rsid w:val="00C1627D"/>
    <w:rsid w:val="00C164E3"/>
    <w:rsid w:val="00C16580"/>
    <w:rsid w:val="00C16675"/>
    <w:rsid w:val="00C16B38"/>
    <w:rsid w:val="00C16B99"/>
    <w:rsid w:val="00C1747A"/>
    <w:rsid w:val="00C17B08"/>
    <w:rsid w:val="00C208DF"/>
    <w:rsid w:val="00C214B7"/>
    <w:rsid w:val="00C21B13"/>
    <w:rsid w:val="00C226F3"/>
    <w:rsid w:val="00C22F05"/>
    <w:rsid w:val="00C23702"/>
    <w:rsid w:val="00C23DE5"/>
    <w:rsid w:val="00C243BF"/>
    <w:rsid w:val="00C24563"/>
    <w:rsid w:val="00C24744"/>
    <w:rsid w:val="00C25A49"/>
    <w:rsid w:val="00C25EE9"/>
    <w:rsid w:val="00C2662A"/>
    <w:rsid w:val="00C26889"/>
    <w:rsid w:val="00C26BB5"/>
    <w:rsid w:val="00C26CE0"/>
    <w:rsid w:val="00C26D8B"/>
    <w:rsid w:val="00C275EC"/>
    <w:rsid w:val="00C2795C"/>
    <w:rsid w:val="00C3006B"/>
    <w:rsid w:val="00C302D6"/>
    <w:rsid w:val="00C30824"/>
    <w:rsid w:val="00C30887"/>
    <w:rsid w:val="00C30A2B"/>
    <w:rsid w:val="00C3120E"/>
    <w:rsid w:val="00C317C2"/>
    <w:rsid w:val="00C31D54"/>
    <w:rsid w:val="00C32841"/>
    <w:rsid w:val="00C333D7"/>
    <w:rsid w:val="00C33762"/>
    <w:rsid w:val="00C33986"/>
    <w:rsid w:val="00C34187"/>
    <w:rsid w:val="00C34872"/>
    <w:rsid w:val="00C348E1"/>
    <w:rsid w:val="00C355FC"/>
    <w:rsid w:val="00C35D4D"/>
    <w:rsid w:val="00C35D84"/>
    <w:rsid w:val="00C3601A"/>
    <w:rsid w:val="00C36023"/>
    <w:rsid w:val="00C36657"/>
    <w:rsid w:val="00C36948"/>
    <w:rsid w:val="00C36B15"/>
    <w:rsid w:val="00C36D90"/>
    <w:rsid w:val="00C37468"/>
    <w:rsid w:val="00C37BAC"/>
    <w:rsid w:val="00C4008F"/>
    <w:rsid w:val="00C4032D"/>
    <w:rsid w:val="00C40C29"/>
    <w:rsid w:val="00C40C35"/>
    <w:rsid w:val="00C40CBA"/>
    <w:rsid w:val="00C40FE8"/>
    <w:rsid w:val="00C417AB"/>
    <w:rsid w:val="00C418EF"/>
    <w:rsid w:val="00C423CE"/>
    <w:rsid w:val="00C42783"/>
    <w:rsid w:val="00C428BC"/>
    <w:rsid w:val="00C42C48"/>
    <w:rsid w:val="00C42F0F"/>
    <w:rsid w:val="00C440B3"/>
    <w:rsid w:val="00C4437B"/>
    <w:rsid w:val="00C443DE"/>
    <w:rsid w:val="00C44667"/>
    <w:rsid w:val="00C45060"/>
    <w:rsid w:val="00C45A94"/>
    <w:rsid w:val="00C45CA7"/>
    <w:rsid w:val="00C45DBA"/>
    <w:rsid w:val="00C4621F"/>
    <w:rsid w:val="00C4657B"/>
    <w:rsid w:val="00C4715D"/>
    <w:rsid w:val="00C508E2"/>
    <w:rsid w:val="00C50C4B"/>
    <w:rsid w:val="00C51338"/>
    <w:rsid w:val="00C51509"/>
    <w:rsid w:val="00C51A2E"/>
    <w:rsid w:val="00C51D2D"/>
    <w:rsid w:val="00C520B8"/>
    <w:rsid w:val="00C52754"/>
    <w:rsid w:val="00C5284A"/>
    <w:rsid w:val="00C52AC7"/>
    <w:rsid w:val="00C52F93"/>
    <w:rsid w:val="00C52FD1"/>
    <w:rsid w:val="00C53EE5"/>
    <w:rsid w:val="00C5450B"/>
    <w:rsid w:val="00C54D4C"/>
    <w:rsid w:val="00C54EED"/>
    <w:rsid w:val="00C5526F"/>
    <w:rsid w:val="00C56335"/>
    <w:rsid w:val="00C56451"/>
    <w:rsid w:val="00C56629"/>
    <w:rsid w:val="00C57135"/>
    <w:rsid w:val="00C61B48"/>
    <w:rsid w:val="00C62B32"/>
    <w:rsid w:val="00C62D5C"/>
    <w:rsid w:val="00C633FF"/>
    <w:rsid w:val="00C6387F"/>
    <w:rsid w:val="00C63A30"/>
    <w:rsid w:val="00C63CF2"/>
    <w:rsid w:val="00C64019"/>
    <w:rsid w:val="00C64482"/>
    <w:rsid w:val="00C646E2"/>
    <w:rsid w:val="00C64BA4"/>
    <w:rsid w:val="00C65566"/>
    <w:rsid w:val="00C6560E"/>
    <w:rsid w:val="00C65A2B"/>
    <w:rsid w:val="00C65D77"/>
    <w:rsid w:val="00C65F23"/>
    <w:rsid w:val="00C6618C"/>
    <w:rsid w:val="00C66359"/>
    <w:rsid w:val="00C67069"/>
    <w:rsid w:val="00C675C6"/>
    <w:rsid w:val="00C7006B"/>
    <w:rsid w:val="00C7022F"/>
    <w:rsid w:val="00C70C9B"/>
    <w:rsid w:val="00C70DF4"/>
    <w:rsid w:val="00C71E16"/>
    <w:rsid w:val="00C735F8"/>
    <w:rsid w:val="00C740A5"/>
    <w:rsid w:val="00C749B1"/>
    <w:rsid w:val="00C756ED"/>
    <w:rsid w:val="00C76E2F"/>
    <w:rsid w:val="00C7737E"/>
    <w:rsid w:val="00C774AF"/>
    <w:rsid w:val="00C77BD2"/>
    <w:rsid w:val="00C77D4B"/>
    <w:rsid w:val="00C806E4"/>
    <w:rsid w:val="00C80A3F"/>
    <w:rsid w:val="00C80B40"/>
    <w:rsid w:val="00C80B72"/>
    <w:rsid w:val="00C80F6D"/>
    <w:rsid w:val="00C81814"/>
    <w:rsid w:val="00C82C40"/>
    <w:rsid w:val="00C82F6E"/>
    <w:rsid w:val="00C8395B"/>
    <w:rsid w:val="00C83B95"/>
    <w:rsid w:val="00C83D09"/>
    <w:rsid w:val="00C8412D"/>
    <w:rsid w:val="00C84907"/>
    <w:rsid w:val="00C84A0A"/>
    <w:rsid w:val="00C85332"/>
    <w:rsid w:val="00C8539B"/>
    <w:rsid w:val="00C85718"/>
    <w:rsid w:val="00C860A8"/>
    <w:rsid w:val="00C8620C"/>
    <w:rsid w:val="00C8708D"/>
    <w:rsid w:val="00C8750E"/>
    <w:rsid w:val="00C87893"/>
    <w:rsid w:val="00C87A04"/>
    <w:rsid w:val="00C87C97"/>
    <w:rsid w:val="00C90849"/>
    <w:rsid w:val="00C90B71"/>
    <w:rsid w:val="00C90ED9"/>
    <w:rsid w:val="00C91443"/>
    <w:rsid w:val="00C91D0C"/>
    <w:rsid w:val="00C9236C"/>
    <w:rsid w:val="00C9250E"/>
    <w:rsid w:val="00C93294"/>
    <w:rsid w:val="00C9344F"/>
    <w:rsid w:val="00C936DB"/>
    <w:rsid w:val="00C93ED8"/>
    <w:rsid w:val="00C93F3A"/>
    <w:rsid w:val="00C94157"/>
    <w:rsid w:val="00C9436F"/>
    <w:rsid w:val="00C9573F"/>
    <w:rsid w:val="00C96499"/>
    <w:rsid w:val="00C96B88"/>
    <w:rsid w:val="00C97D8F"/>
    <w:rsid w:val="00CA0399"/>
    <w:rsid w:val="00CA0D9B"/>
    <w:rsid w:val="00CA1294"/>
    <w:rsid w:val="00CA1BEF"/>
    <w:rsid w:val="00CA47FC"/>
    <w:rsid w:val="00CA502E"/>
    <w:rsid w:val="00CA517E"/>
    <w:rsid w:val="00CA5403"/>
    <w:rsid w:val="00CA659F"/>
    <w:rsid w:val="00CA7618"/>
    <w:rsid w:val="00CA7A9B"/>
    <w:rsid w:val="00CA7BE0"/>
    <w:rsid w:val="00CB05C9"/>
    <w:rsid w:val="00CB141B"/>
    <w:rsid w:val="00CB16D8"/>
    <w:rsid w:val="00CB31F8"/>
    <w:rsid w:val="00CB3482"/>
    <w:rsid w:val="00CB34AE"/>
    <w:rsid w:val="00CB3831"/>
    <w:rsid w:val="00CB3BDB"/>
    <w:rsid w:val="00CB3BFB"/>
    <w:rsid w:val="00CB4896"/>
    <w:rsid w:val="00CB4C4D"/>
    <w:rsid w:val="00CB4D42"/>
    <w:rsid w:val="00CB514F"/>
    <w:rsid w:val="00CB6D6F"/>
    <w:rsid w:val="00CB6ECE"/>
    <w:rsid w:val="00CB7C91"/>
    <w:rsid w:val="00CC0C94"/>
    <w:rsid w:val="00CC176B"/>
    <w:rsid w:val="00CC1B5C"/>
    <w:rsid w:val="00CC1C17"/>
    <w:rsid w:val="00CC29A4"/>
    <w:rsid w:val="00CC2A05"/>
    <w:rsid w:val="00CC346B"/>
    <w:rsid w:val="00CC3ADB"/>
    <w:rsid w:val="00CC457E"/>
    <w:rsid w:val="00CC465E"/>
    <w:rsid w:val="00CC4AD8"/>
    <w:rsid w:val="00CC4BC5"/>
    <w:rsid w:val="00CC4CB7"/>
    <w:rsid w:val="00CC59DC"/>
    <w:rsid w:val="00CC62E1"/>
    <w:rsid w:val="00CC6A4B"/>
    <w:rsid w:val="00CC72C4"/>
    <w:rsid w:val="00CC788E"/>
    <w:rsid w:val="00CD0359"/>
    <w:rsid w:val="00CD036A"/>
    <w:rsid w:val="00CD09B0"/>
    <w:rsid w:val="00CD0A86"/>
    <w:rsid w:val="00CD0B47"/>
    <w:rsid w:val="00CD115C"/>
    <w:rsid w:val="00CD1DCC"/>
    <w:rsid w:val="00CD2150"/>
    <w:rsid w:val="00CD272F"/>
    <w:rsid w:val="00CD2D74"/>
    <w:rsid w:val="00CD31AA"/>
    <w:rsid w:val="00CD35B4"/>
    <w:rsid w:val="00CD37A1"/>
    <w:rsid w:val="00CD3846"/>
    <w:rsid w:val="00CD4631"/>
    <w:rsid w:val="00CD49BD"/>
    <w:rsid w:val="00CD4FEB"/>
    <w:rsid w:val="00CD62C6"/>
    <w:rsid w:val="00CD655E"/>
    <w:rsid w:val="00CD6F97"/>
    <w:rsid w:val="00CD72BE"/>
    <w:rsid w:val="00CE0F93"/>
    <w:rsid w:val="00CE1532"/>
    <w:rsid w:val="00CE15AD"/>
    <w:rsid w:val="00CE1910"/>
    <w:rsid w:val="00CE1A4F"/>
    <w:rsid w:val="00CE1ED6"/>
    <w:rsid w:val="00CE1F2D"/>
    <w:rsid w:val="00CE2149"/>
    <w:rsid w:val="00CE22D4"/>
    <w:rsid w:val="00CE247F"/>
    <w:rsid w:val="00CE248A"/>
    <w:rsid w:val="00CE2AF3"/>
    <w:rsid w:val="00CE2C43"/>
    <w:rsid w:val="00CE52FC"/>
    <w:rsid w:val="00CE5754"/>
    <w:rsid w:val="00CE5E7D"/>
    <w:rsid w:val="00CE64C9"/>
    <w:rsid w:val="00CE6A2C"/>
    <w:rsid w:val="00CE6EB0"/>
    <w:rsid w:val="00CE7FFE"/>
    <w:rsid w:val="00CF1377"/>
    <w:rsid w:val="00CF14F5"/>
    <w:rsid w:val="00CF1AB9"/>
    <w:rsid w:val="00CF1FCB"/>
    <w:rsid w:val="00CF261E"/>
    <w:rsid w:val="00CF27D0"/>
    <w:rsid w:val="00CF323E"/>
    <w:rsid w:val="00CF393E"/>
    <w:rsid w:val="00CF4515"/>
    <w:rsid w:val="00CF4FE6"/>
    <w:rsid w:val="00CF5008"/>
    <w:rsid w:val="00CF554E"/>
    <w:rsid w:val="00CF585C"/>
    <w:rsid w:val="00CF5BDC"/>
    <w:rsid w:val="00CF5C33"/>
    <w:rsid w:val="00CF5FC3"/>
    <w:rsid w:val="00CF6464"/>
    <w:rsid w:val="00CF696D"/>
    <w:rsid w:val="00CF69B4"/>
    <w:rsid w:val="00CF69EE"/>
    <w:rsid w:val="00CF6A5D"/>
    <w:rsid w:val="00CF74A7"/>
    <w:rsid w:val="00CF7F2A"/>
    <w:rsid w:val="00D00182"/>
    <w:rsid w:val="00D002FA"/>
    <w:rsid w:val="00D008FF"/>
    <w:rsid w:val="00D00EC8"/>
    <w:rsid w:val="00D013DD"/>
    <w:rsid w:val="00D015BA"/>
    <w:rsid w:val="00D0191F"/>
    <w:rsid w:val="00D01CBF"/>
    <w:rsid w:val="00D01E3A"/>
    <w:rsid w:val="00D02938"/>
    <w:rsid w:val="00D029C4"/>
    <w:rsid w:val="00D02BD2"/>
    <w:rsid w:val="00D02C2D"/>
    <w:rsid w:val="00D03367"/>
    <w:rsid w:val="00D04CE6"/>
    <w:rsid w:val="00D05077"/>
    <w:rsid w:val="00D05492"/>
    <w:rsid w:val="00D06167"/>
    <w:rsid w:val="00D0695E"/>
    <w:rsid w:val="00D06E36"/>
    <w:rsid w:val="00D06F42"/>
    <w:rsid w:val="00D06F99"/>
    <w:rsid w:val="00D074D1"/>
    <w:rsid w:val="00D07861"/>
    <w:rsid w:val="00D07B1F"/>
    <w:rsid w:val="00D103BB"/>
    <w:rsid w:val="00D107C6"/>
    <w:rsid w:val="00D10C2B"/>
    <w:rsid w:val="00D1116E"/>
    <w:rsid w:val="00D11F6D"/>
    <w:rsid w:val="00D12B44"/>
    <w:rsid w:val="00D12C93"/>
    <w:rsid w:val="00D13757"/>
    <w:rsid w:val="00D13D70"/>
    <w:rsid w:val="00D13F01"/>
    <w:rsid w:val="00D144D0"/>
    <w:rsid w:val="00D146D4"/>
    <w:rsid w:val="00D14727"/>
    <w:rsid w:val="00D15508"/>
    <w:rsid w:val="00D15F3F"/>
    <w:rsid w:val="00D16871"/>
    <w:rsid w:val="00D16F82"/>
    <w:rsid w:val="00D171EA"/>
    <w:rsid w:val="00D174FE"/>
    <w:rsid w:val="00D1773B"/>
    <w:rsid w:val="00D200FC"/>
    <w:rsid w:val="00D211BF"/>
    <w:rsid w:val="00D21C8D"/>
    <w:rsid w:val="00D21EB9"/>
    <w:rsid w:val="00D220F2"/>
    <w:rsid w:val="00D22417"/>
    <w:rsid w:val="00D228A5"/>
    <w:rsid w:val="00D23D0F"/>
    <w:rsid w:val="00D24D00"/>
    <w:rsid w:val="00D265A4"/>
    <w:rsid w:val="00D2674D"/>
    <w:rsid w:val="00D272C0"/>
    <w:rsid w:val="00D27E8F"/>
    <w:rsid w:val="00D300AB"/>
    <w:rsid w:val="00D30877"/>
    <w:rsid w:val="00D30AA6"/>
    <w:rsid w:val="00D30C35"/>
    <w:rsid w:val="00D30C88"/>
    <w:rsid w:val="00D30F73"/>
    <w:rsid w:val="00D31F69"/>
    <w:rsid w:val="00D31F7E"/>
    <w:rsid w:val="00D32102"/>
    <w:rsid w:val="00D323B6"/>
    <w:rsid w:val="00D32ACF"/>
    <w:rsid w:val="00D34491"/>
    <w:rsid w:val="00D34785"/>
    <w:rsid w:val="00D34FAF"/>
    <w:rsid w:val="00D35446"/>
    <w:rsid w:val="00D3764D"/>
    <w:rsid w:val="00D379A1"/>
    <w:rsid w:val="00D37CCE"/>
    <w:rsid w:val="00D402F7"/>
    <w:rsid w:val="00D40714"/>
    <w:rsid w:val="00D40934"/>
    <w:rsid w:val="00D40D82"/>
    <w:rsid w:val="00D413DB"/>
    <w:rsid w:val="00D414C6"/>
    <w:rsid w:val="00D415ED"/>
    <w:rsid w:val="00D41801"/>
    <w:rsid w:val="00D41869"/>
    <w:rsid w:val="00D4186E"/>
    <w:rsid w:val="00D42782"/>
    <w:rsid w:val="00D42B2E"/>
    <w:rsid w:val="00D42CA8"/>
    <w:rsid w:val="00D42E9C"/>
    <w:rsid w:val="00D435A4"/>
    <w:rsid w:val="00D43E75"/>
    <w:rsid w:val="00D462B1"/>
    <w:rsid w:val="00D46758"/>
    <w:rsid w:val="00D46858"/>
    <w:rsid w:val="00D468F4"/>
    <w:rsid w:val="00D46AE0"/>
    <w:rsid w:val="00D47582"/>
    <w:rsid w:val="00D478B9"/>
    <w:rsid w:val="00D47A85"/>
    <w:rsid w:val="00D47C6D"/>
    <w:rsid w:val="00D50B78"/>
    <w:rsid w:val="00D52168"/>
    <w:rsid w:val="00D5231C"/>
    <w:rsid w:val="00D5305B"/>
    <w:rsid w:val="00D533A5"/>
    <w:rsid w:val="00D53D9B"/>
    <w:rsid w:val="00D54104"/>
    <w:rsid w:val="00D541BF"/>
    <w:rsid w:val="00D542A5"/>
    <w:rsid w:val="00D548C8"/>
    <w:rsid w:val="00D55227"/>
    <w:rsid w:val="00D55F3B"/>
    <w:rsid w:val="00D56768"/>
    <w:rsid w:val="00D568D8"/>
    <w:rsid w:val="00D5695C"/>
    <w:rsid w:val="00D56C99"/>
    <w:rsid w:val="00D578BA"/>
    <w:rsid w:val="00D57939"/>
    <w:rsid w:val="00D57980"/>
    <w:rsid w:val="00D57E63"/>
    <w:rsid w:val="00D613D8"/>
    <w:rsid w:val="00D61F2D"/>
    <w:rsid w:val="00D620CE"/>
    <w:rsid w:val="00D62321"/>
    <w:rsid w:val="00D62DCB"/>
    <w:rsid w:val="00D630AA"/>
    <w:rsid w:val="00D63377"/>
    <w:rsid w:val="00D63413"/>
    <w:rsid w:val="00D6381C"/>
    <w:rsid w:val="00D64081"/>
    <w:rsid w:val="00D64F8E"/>
    <w:rsid w:val="00D6641B"/>
    <w:rsid w:val="00D67B9F"/>
    <w:rsid w:val="00D67EB8"/>
    <w:rsid w:val="00D67F2F"/>
    <w:rsid w:val="00D70669"/>
    <w:rsid w:val="00D707EB"/>
    <w:rsid w:val="00D70CCC"/>
    <w:rsid w:val="00D70DC4"/>
    <w:rsid w:val="00D71222"/>
    <w:rsid w:val="00D7124D"/>
    <w:rsid w:val="00D7185F"/>
    <w:rsid w:val="00D71B97"/>
    <w:rsid w:val="00D71FFC"/>
    <w:rsid w:val="00D723BF"/>
    <w:rsid w:val="00D727DA"/>
    <w:rsid w:val="00D72A06"/>
    <w:rsid w:val="00D73102"/>
    <w:rsid w:val="00D731E8"/>
    <w:rsid w:val="00D73561"/>
    <w:rsid w:val="00D738BC"/>
    <w:rsid w:val="00D73CAB"/>
    <w:rsid w:val="00D73F46"/>
    <w:rsid w:val="00D74A7F"/>
    <w:rsid w:val="00D74EB0"/>
    <w:rsid w:val="00D767F7"/>
    <w:rsid w:val="00D769E5"/>
    <w:rsid w:val="00D76A8B"/>
    <w:rsid w:val="00D777E9"/>
    <w:rsid w:val="00D7785E"/>
    <w:rsid w:val="00D77B50"/>
    <w:rsid w:val="00D77F6F"/>
    <w:rsid w:val="00D805E7"/>
    <w:rsid w:val="00D80735"/>
    <w:rsid w:val="00D80B97"/>
    <w:rsid w:val="00D80D9E"/>
    <w:rsid w:val="00D80E2B"/>
    <w:rsid w:val="00D8127F"/>
    <w:rsid w:val="00D81E70"/>
    <w:rsid w:val="00D8261A"/>
    <w:rsid w:val="00D83E5A"/>
    <w:rsid w:val="00D8511B"/>
    <w:rsid w:val="00D85B06"/>
    <w:rsid w:val="00D85B7E"/>
    <w:rsid w:val="00D85DE8"/>
    <w:rsid w:val="00D862D3"/>
    <w:rsid w:val="00D86A6C"/>
    <w:rsid w:val="00D87607"/>
    <w:rsid w:val="00D877BB"/>
    <w:rsid w:val="00D87D61"/>
    <w:rsid w:val="00D90903"/>
    <w:rsid w:val="00D90ED6"/>
    <w:rsid w:val="00D915AB"/>
    <w:rsid w:val="00D91E1D"/>
    <w:rsid w:val="00D92445"/>
    <w:rsid w:val="00D9251F"/>
    <w:rsid w:val="00D925AA"/>
    <w:rsid w:val="00D92B09"/>
    <w:rsid w:val="00D92BB9"/>
    <w:rsid w:val="00D93249"/>
    <w:rsid w:val="00D93843"/>
    <w:rsid w:val="00D9599C"/>
    <w:rsid w:val="00D95B91"/>
    <w:rsid w:val="00D96A2D"/>
    <w:rsid w:val="00D96C46"/>
    <w:rsid w:val="00D971A1"/>
    <w:rsid w:val="00DA1271"/>
    <w:rsid w:val="00DA1A6F"/>
    <w:rsid w:val="00DA2238"/>
    <w:rsid w:val="00DA22FB"/>
    <w:rsid w:val="00DA23D9"/>
    <w:rsid w:val="00DA27C7"/>
    <w:rsid w:val="00DA34CC"/>
    <w:rsid w:val="00DA34DA"/>
    <w:rsid w:val="00DA3FD3"/>
    <w:rsid w:val="00DA4223"/>
    <w:rsid w:val="00DA42A6"/>
    <w:rsid w:val="00DA49BB"/>
    <w:rsid w:val="00DA4E84"/>
    <w:rsid w:val="00DA5207"/>
    <w:rsid w:val="00DA531C"/>
    <w:rsid w:val="00DA5A7F"/>
    <w:rsid w:val="00DA5FC0"/>
    <w:rsid w:val="00DA68BE"/>
    <w:rsid w:val="00DA6CF0"/>
    <w:rsid w:val="00DA6D7B"/>
    <w:rsid w:val="00DA6E19"/>
    <w:rsid w:val="00DA75A3"/>
    <w:rsid w:val="00DA769D"/>
    <w:rsid w:val="00DB03FC"/>
    <w:rsid w:val="00DB0F9E"/>
    <w:rsid w:val="00DB12E1"/>
    <w:rsid w:val="00DB1565"/>
    <w:rsid w:val="00DB1797"/>
    <w:rsid w:val="00DB1AE2"/>
    <w:rsid w:val="00DB28A3"/>
    <w:rsid w:val="00DB2D3F"/>
    <w:rsid w:val="00DB379A"/>
    <w:rsid w:val="00DB38D3"/>
    <w:rsid w:val="00DB39CD"/>
    <w:rsid w:val="00DB3DEC"/>
    <w:rsid w:val="00DB4491"/>
    <w:rsid w:val="00DB49D1"/>
    <w:rsid w:val="00DB5AD7"/>
    <w:rsid w:val="00DB5ADD"/>
    <w:rsid w:val="00DB61D9"/>
    <w:rsid w:val="00DB65D3"/>
    <w:rsid w:val="00DB6EB5"/>
    <w:rsid w:val="00DB75A7"/>
    <w:rsid w:val="00DB75EB"/>
    <w:rsid w:val="00DC081D"/>
    <w:rsid w:val="00DC0A45"/>
    <w:rsid w:val="00DC0B3C"/>
    <w:rsid w:val="00DC0F03"/>
    <w:rsid w:val="00DC131B"/>
    <w:rsid w:val="00DC31B9"/>
    <w:rsid w:val="00DC3717"/>
    <w:rsid w:val="00DC48C0"/>
    <w:rsid w:val="00DC672C"/>
    <w:rsid w:val="00DC727B"/>
    <w:rsid w:val="00DC7969"/>
    <w:rsid w:val="00DD0121"/>
    <w:rsid w:val="00DD0133"/>
    <w:rsid w:val="00DD04FE"/>
    <w:rsid w:val="00DD073E"/>
    <w:rsid w:val="00DD0CB4"/>
    <w:rsid w:val="00DD1882"/>
    <w:rsid w:val="00DD21FE"/>
    <w:rsid w:val="00DD23D7"/>
    <w:rsid w:val="00DD24AE"/>
    <w:rsid w:val="00DD2935"/>
    <w:rsid w:val="00DD308E"/>
    <w:rsid w:val="00DD324D"/>
    <w:rsid w:val="00DD350F"/>
    <w:rsid w:val="00DD3E96"/>
    <w:rsid w:val="00DD545D"/>
    <w:rsid w:val="00DD5666"/>
    <w:rsid w:val="00DD570F"/>
    <w:rsid w:val="00DD592A"/>
    <w:rsid w:val="00DD64FB"/>
    <w:rsid w:val="00DD7487"/>
    <w:rsid w:val="00DD7818"/>
    <w:rsid w:val="00DE03EA"/>
    <w:rsid w:val="00DE0D6C"/>
    <w:rsid w:val="00DE11E3"/>
    <w:rsid w:val="00DE1F2C"/>
    <w:rsid w:val="00DE1FBE"/>
    <w:rsid w:val="00DE2EAB"/>
    <w:rsid w:val="00DE3519"/>
    <w:rsid w:val="00DE4C05"/>
    <w:rsid w:val="00DE4D0A"/>
    <w:rsid w:val="00DE5870"/>
    <w:rsid w:val="00DE6512"/>
    <w:rsid w:val="00DE67C9"/>
    <w:rsid w:val="00DE6ED8"/>
    <w:rsid w:val="00DE6F5F"/>
    <w:rsid w:val="00DE73F4"/>
    <w:rsid w:val="00DE78E9"/>
    <w:rsid w:val="00DF017D"/>
    <w:rsid w:val="00DF02D8"/>
    <w:rsid w:val="00DF06B0"/>
    <w:rsid w:val="00DF0BA1"/>
    <w:rsid w:val="00DF14DC"/>
    <w:rsid w:val="00DF1B28"/>
    <w:rsid w:val="00DF203F"/>
    <w:rsid w:val="00DF2B1D"/>
    <w:rsid w:val="00DF2C32"/>
    <w:rsid w:val="00DF315E"/>
    <w:rsid w:val="00DF31D6"/>
    <w:rsid w:val="00DF334E"/>
    <w:rsid w:val="00DF3A64"/>
    <w:rsid w:val="00DF5618"/>
    <w:rsid w:val="00DF56EA"/>
    <w:rsid w:val="00DF5C47"/>
    <w:rsid w:val="00DF732D"/>
    <w:rsid w:val="00DF7F21"/>
    <w:rsid w:val="00E0040D"/>
    <w:rsid w:val="00E015D4"/>
    <w:rsid w:val="00E019CD"/>
    <w:rsid w:val="00E01F07"/>
    <w:rsid w:val="00E02FC4"/>
    <w:rsid w:val="00E042BD"/>
    <w:rsid w:val="00E04726"/>
    <w:rsid w:val="00E047D3"/>
    <w:rsid w:val="00E04ABD"/>
    <w:rsid w:val="00E05341"/>
    <w:rsid w:val="00E05836"/>
    <w:rsid w:val="00E060D1"/>
    <w:rsid w:val="00E0611D"/>
    <w:rsid w:val="00E06A04"/>
    <w:rsid w:val="00E06DF2"/>
    <w:rsid w:val="00E06F8A"/>
    <w:rsid w:val="00E10DB5"/>
    <w:rsid w:val="00E115CD"/>
    <w:rsid w:val="00E11C55"/>
    <w:rsid w:val="00E12346"/>
    <w:rsid w:val="00E13417"/>
    <w:rsid w:val="00E144A3"/>
    <w:rsid w:val="00E14601"/>
    <w:rsid w:val="00E14973"/>
    <w:rsid w:val="00E149C8"/>
    <w:rsid w:val="00E151B9"/>
    <w:rsid w:val="00E160A7"/>
    <w:rsid w:val="00E16431"/>
    <w:rsid w:val="00E16545"/>
    <w:rsid w:val="00E166C9"/>
    <w:rsid w:val="00E167DC"/>
    <w:rsid w:val="00E16E49"/>
    <w:rsid w:val="00E17342"/>
    <w:rsid w:val="00E177D7"/>
    <w:rsid w:val="00E17EAE"/>
    <w:rsid w:val="00E2049B"/>
    <w:rsid w:val="00E204CB"/>
    <w:rsid w:val="00E20D2F"/>
    <w:rsid w:val="00E22732"/>
    <w:rsid w:val="00E22D45"/>
    <w:rsid w:val="00E23506"/>
    <w:rsid w:val="00E23CFF"/>
    <w:rsid w:val="00E23D82"/>
    <w:rsid w:val="00E23EDC"/>
    <w:rsid w:val="00E243C7"/>
    <w:rsid w:val="00E24550"/>
    <w:rsid w:val="00E25311"/>
    <w:rsid w:val="00E25921"/>
    <w:rsid w:val="00E25A43"/>
    <w:rsid w:val="00E26090"/>
    <w:rsid w:val="00E26236"/>
    <w:rsid w:val="00E262CC"/>
    <w:rsid w:val="00E2671B"/>
    <w:rsid w:val="00E267C2"/>
    <w:rsid w:val="00E26850"/>
    <w:rsid w:val="00E272ED"/>
    <w:rsid w:val="00E27F53"/>
    <w:rsid w:val="00E3010F"/>
    <w:rsid w:val="00E301B6"/>
    <w:rsid w:val="00E309BD"/>
    <w:rsid w:val="00E30AC3"/>
    <w:rsid w:val="00E31169"/>
    <w:rsid w:val="00E32423"/>
    <w:rsid w:val="00E328A5"/>
    <w:rsid w:val="00E32A8C"/>
    <w:rsid w:val="00E32D91"/>
    <w:rsid w:val="00E3323F"/>
    <w:rsid w:val="00E337F1"/>
    <w:rsid w:val="00E339DB"/>
    <w:rsid w:val="00E33AAC"/>
    <w:rsid w:val="00E34ABC"/>
    <w:rsid w:val="00E3518E"/>
    <w:rsid w:val="00E35770"/>
    <w:rsid w:val="00E360A2"/>
    <w:rsid w:val="00E360ED"/>
    <w:rsid w:val="00E36211"/>
    <w:rsid w:val="00E37039"/>
    <w:rsid w:val="00E377E1"/>
    <w:rsid w:val="00E377FC"/>
    <w:rsid w:val="00E379B8"/>
    <w:rsid w:val="00E37B40"/>
    <w:rsid w:val="00E37D66"/>
    <w:rsid w:val="00E41853"/>
    <w:rsid w:val="00E422F3"/>
    <w:rsid w:val="00E42C54"/>
    <w:rsid w:val="00E42D61"/>
    <w:rsid w:val="00E42DE6"/>
    <w:rsid w:val="00E43392"/>
    <w:rsid w:val="00E433BF"/>
    <w:rsid w:val="00E438B7"/>
    <w:rsid w:val="00E43947"/>
    <w:rsid w:val="00E43D68"/>
    <w:rsid w:val="00E440ED"/>
    <w:rsid w:val="00E44654"/>
    <w:rsid w:val="00E44FAA"/>
    <w:rsid w:val="00E453E7"/>
    <w:rsid w:val="00E46024"/>
    <w:rsid w:val="00E460D6"/>
    <w:rsid w:val="00E4613C"/>
    <w:rsid w:val="00E47200"/>
    <w:rsid w:val="00E475F5"/>
    <w:rsid w:val="00E510A2"/>
    <w:rsid w:val="00E510F0"/>
    <w:rsid w:val="00E5174F"/>
    <w:rsid w:val="00E51AD7"/>
    <w:rsid w:val="00E520E4"/>
    <w:rsid w:val="00E52499"/>
    <w:rsid w:val="00E5399E"/>
    <w:rsid w:val="00E539A5"/>
    <w:rsid w:val="00E54440"/>
    <w:rsid w:val="00E54CE2"/>
    <w:rsid w:val="00E54CE5"/>
    <w:rsid w:val="00E54F38"/>
    <w:rsid w:val="00E54F77"/>
    <w:rsid w:val="00E556CC"/>
    <w:rsid w:val="00E55765"/>
    <w:rsid w:val="00E55DBD"/>
    <w:rsid w:val="00E56428"/>
    <w:rsid w:val="00E569F1"/>
    <w:rsid w:val="00E56F6B"/>
    <w:rsid w:val="00E573F1"/>
    <w:rsid w:val="00E605CC"/>
    <w:rsid w:val="00E60EED"/>
    <w:rsid w:val="00E61253"/>
    <w:rsid w:val="00E62C48"/>
    <w:rsid w:val="00E62DB6"/>
    <w:rsid w:val="00E639A5"/>
    <w:rsid w:val="00E63B42"/>
    <w:rsid w:val="00E644D6"/>
    <w:rsid w:val="00E649CE"/>
    <w:rsid w:val="00E64F96"/>
    <w:rsid w:val="00E652DC"/>
    <w:rsid w:val="00E65870"/>
    <w:rsid w:val="00E65B30"/>
    <w:rsid w:val="00E663DC"/>
    <w:rsid w:val="00E6696D"/>
    <w:rsid w:val="00E66B82"/>
    <w:rsid w:val="00E671F6"/>
    <w:rsid w:val="00E677B0"/>
    <w:rsid w:val="00E70110"/>
    <w:rsid w:val="00E71141"/>
    <w:rsid w:val="00E71610"/>
    <w:rsid w:val="00E71766"/>
    <w:rsid w:val="00E71C35"/>
    <w:rsid w:val="00E71ECB"/>
    <w:rsid w:val="00E71F58"/>
    <w:rsid w:val="00E720E1"/>
    <w:rsid w:val="00E7312D"/>
    <w:rsid w:val="00E73C83"/>
    <w:rsid w:val="00E73D29"/>
    <w:rsid w:val="00E742A2"/>
    <w:rsid w:val="00E742DE"/>
    <w:rsid w:val="00E743FE"/>
    <w:rsid w:val="00E749D3"/>
    <w:rsid w:val="00E74B51"/>
    <w:rsid w:val="00E74EE1"/>
    <w:rsid w:val="00E75437"/>
    <w:rsid w:val="00E762ED"/>
    <w:rsid w:val="00E76673"/>
    <w:rsid w:val="00E7704D"/>
    <w:rsid w:val="00E7713C"/>
    <w:rsid w:val="00E7735D"/>
    <w:rsid w:val="00E7783C"/>
    <w:rsid w:val="00E77E45"/>
    <w:rsid w:val="00E8041C"/>
    <w:rsid w:val="00E8103B"/>
    <w:rsid w:val="00E81145"/>
    <w:rsid w:val="00E81586"/>
    <w:rsid w:val="00E81E71"/>
    <w:rsid w:val="00E82324"/>
    <w:rsid w:val="00E827B0"/>
    <w:rsid w:val="00E82BA1"/>
    <w:rsid w:val="00E82BAF"/>
    <w:rsid w:val="00E83574"/>
    <w:rsid w:val="00E83B6C"/>
    <w:rsid w:val="00E83F4B"/>
    <w:rsid w:val="00E83F6D"/>
    <w:rsid w:val="00E84217"/>
    <w:rsid w:val="00E84392"/>
    <w:rsid w:val="00E84968"/>
    <w:rsid w:val="00E84A4C"/>
    <w:rsid w:val="00E84C44"/>
    <w:rsid w:val="00E853BC"/>
    <w:rsid w:val="00E858C4"/>
    <w:rsid w:val="00E8591D"/>
    <w:rsid w:val="00E85D65"/>
    <w:rsid w:val="00E867FC"/>
    <w:rsid w:val="00E868BC"/>
    <w:rsid w:val="00E87054"/>
    <w:rsid w:val="00E87D11"/>
    <w:rsid w:val="00E87FB6"/>
    <w:rsid w:val="00E90210"/>
    <w:rsid w:val="00E9042B"/>
    <w:rsid w:val="00E90C4D"/>
    <w:rsid w:val="00E919C6"/>
    <w:rsid w:val="00E91AD1"/>
    <w:rsid w:val="00E91E47"/>
    <w:rsid w:val="00E930C3"/>
    <w:rsid w:val="00E9337D"/>
    <w:rsid w:val="00E939ED"/>
    <w:rsid w:val="00E96A39"/>
    <w:rsid w:val="00E96AC1"/>
    <w:rsid w:val="00E96D69"/>
    <w:rsid w:val="00E9732E"/>
    <w:rsid w:val="00E97C97"/>
    <w:rsid w:val="00E97DF3"/>
    <w:rsid w:val="00EA0571"/>
    <w:rsid w:val="00EA088F"/>
    <w:rsid w:val="00EA1DD6"/>
    <w:rsid w:val="00EA21EA"/>
    <w:rsid w:val="00EA222F"/>
    <w:rsid w:val="00EA285F"/>
    <w:rsid w:val="00EA2F1E"/>
    <w:rsid w:val="00EA3691"/>
    <w:rsid w:val="00EA4361"/>
    <w:rsid w:val="00EA4925"/>
    <w:rsid w:val="00EA4B56"/>
    <w:rsid w:val="00EA4E81"/>
    <w:rsid w:val="00EA5D66"/>
    <w:rsid w:val="00EA6E8F"/>
    <w:rsid w:val="00EA7C7D"/>
    <w:rsid w:val="00EB04E2"/>
    <w:rsid w:val="00EB114F"/>
    <w:rsid w:val="00EB1CE2"/>
    <w:rsid w:val="00EB22A4"/>
    <w:rsid w:val="00EB2785"/>
    <w:rsid w:val="00EB27CD"/>
    <w:rsid w:val="00EB3A2E"/>
    <w:rsid w:val="00EB4026"/>
    <w:rsid w:val="00EB4162"/>
    <w:rsid w:val="00EB4341"/>
    <w:rsid w:val="00EB4501"/>
    <w:rsid w:val="00EB517E"/>
    <w:rsid w:val="00EB5A5D"/>
    <w:rsid w:val="00EB705A"/>
    <w:rsid w:val="00EB7668"/>
    <w:rsid w:val="00EC0935"/>
    <w:rsid w:val="00EC1890"/>
    <w:rsid w:val="00EC1E65"/>
    <w:rsid w:val="00EC1E73"/>
    <w:rsid w:val="00EC27EC"/>
    <w:rsid w:val="00EC2B87"/>
    <w:rsid w:val="00EC2DDB"/>
    <w:rsid w:val="00EC33C2"/>
    <w:rsid w:val="00EC3750"/>
    <w:rsid w:val="00EC3782"/>
    <w:rsid w:val="00EC3985"/>
    <w:rsid w:val="00EC3DE4"/>
    <w:rsid w:val="00EC48BD"/>
    <w:rsid w:val="00EC4CBC"/>
    <w:rsid w:val="00EC50F2"/>
    <w:rsid w:val="00EC525A"/>
    <w:rsid w:val="00EC52C2"/>
    <w:rsid w:val="00EC5C7D"/>
    <w:rsid w:val="00EC5DED"/>
    <w:rsid w:val="00EC5F94"/>
    <w:rsid w:val="00EC6804"/>
    <w:rsid w:val="00EC6E7D"/>
    <w:rsid w:val="00EC7234"/>
    <w:rsid w:val="00EC7C5D"/>
    <w:rsid w:val="00ED022D"/>
    <w:rsid w:val="00ED0918"/>
    <w:rsid w:val="00ED0E9A"/>
    <w:rsid w:val="00ED10F1"/>
    <w:rsid w:val="00ED306E"/>
    <w:rsid w:val="00ED3C4D"/>
    <w:rsid w:val="00ED42BC"/>
    <w:rsid w:val="00ED46D8"/>
    <w:rsid w:val="00ED5CA0"/>
    <w:rsid w:val="00ED5E79"/>
    <w:rsid w:val="00ED67C4"/>
    <w:rsid w:val="00ED6F63"/>
    <w:rsid w:val="00ED745F"/>
    <w:rsid w:val="00ED7B08"/>
    <w:rsid w:val="00ED7C07"/>
    <w:rsid w:val="00EE0109"/>
    <w:rsid w:val="00EE065A"/>
    <w:rsid w:val="00EE166E"/>
    <w:rsid w:val="00EE1F66"/>
    <w:rsid w:val="00EE298D"/>
    <w:rsid w:val="00EE2BF7"/>
    <w:rsid w:val="00EE2C42"/>
    <w:rsid w:val="00EE2D20"/>
    <w:rsid w:val="00EE32A3"/>
    <w:rsid w:val="00EE35AE"/>
    <w:rsid w:val="00EE49EA"/>
    <w:rsid w:val="00EE52D9"/>
    <w:rsid w:val="00EE5351"/>
    <w:rsid w:val="00EE54E5"/>
    <w:rsid w:val="00EE6A57"/>
    <w:rsid w:val="00EE7420"/>
    <w:rsid w:val="00EF0BDF"/>
    <w:rsid w:val="00EF10BD"/>
    <w:rsid w:val="00EF242D"/>
    <w:rsid w:val="00EF2B2F"/>
    <w:rsid w:val="00EF4137"/>
    <w:rsid w:val="00EF41F3"/>
    <w:rsid w:val="00EF46BA"/>
    <w:rsid w:val="00EF4A59"/>
    <w:rsid w:val="00EF507B"/>
    <w:rsid w:val="00EF6117"/>
    <w:rsid w:val="00EF6681"/>
    <w:rsid w:val="00EF6BE7"/>
    <w:rsid w:val="00EF6CD1"/>
    <w:rsid w:val="00EF7CBF"/>
    <w:rsid w:val="00F00293"/>
    <w:rsid w:val="00F01682"/>
    <w:rsid w:val="00F02000"/>
    <w:rsid w:val="00F02728"/>
    <w:rsid w:val="00F028D0"/>
    <w:rsid w:val="00F0327C"/>
    <w:rsid w:val="00F03554"/>
    <w:rsid w:val="00F0363A"/>
    <w:rsid w:val="00F041A9"/>
    <w:rsid w:val="00F042BE"/>
    <w:rsid w:val="00F044BF"/>
    <w:rsid w:val="00F06452"/>
    <w:rsid w:val="00F066C5"/>
    <w:rsid w:val="00F06893"/>
    <w:rsid w:val="00F06E99"/>
    <w:rsid w:val="00F07A6B"/>
    <w:rsid w:val="00F07AEA"/>
    <w:rsid w:val="00F1046E"/>
    <w:rsid w:val="00F106A8"/>
    <w:rsid w:val="00F10C85"/>
    <w:rsid w:val="00F11752"/>
    <w:rsid w:val="00F11959"/>
    <w:rsid w:val="00F11C3B"/>
    <w:rsid w:val="00F12743"/>
    <w:rsid w:val="00F12963"/>
    <w:rsid w:val="00F13600"/>
    <w:rsid w:val="00F13B63"/>
    <w:rsid w:val="00F147C3"/>
    <w:rsid w:val="00F149F7"/>
    <w:rsid w:val="00F14BD5"/>
    <w:rsid w:val="00F151BA"/>
    <w:rsid w:val="00F1549E"/>
    <w:rsid w:val="00F154C0"/>
    <w:rsid w:val="00F15596"/>
    <w:rsid w:val="00F16A98"/>
    <w:rsid w:val="00F20BD9"/>
    <w:rsid w:val="00F20C97"/>
    <w:rsid w:val="00F21CBB"/>
    <w:rsid w:val="00F21F40"/>
    <w:rsid w:val="00F2256A"/>
    <w:rsid w:val="00F22B78"/>
    <w:rsid w:val="00F22D2E"/>
    <w:rsid w:val="00F22D48"/>
    <w:rsid w:val="00F22DBD"/>
    <w:rsid w:val="00F231CB"/>
    <w:rsid w:val="00F23201"/>
    <w:rsid w:val="00F23EEC"/>
    <w:rsid w:val="00F25728"/>
    <w:rsid w:val="00F26F33"/>
    <w:rsid w:val="00F26F42"/>
    <w:rsid w:val="00F2730E"/>
    <w:rsid w:val="00F3054E"/>
    <w:rsid w:val="00F3055B"/>
    <w:rsid w:val="00F30824"/>
    <w:rsid w:val="00F31A88"/>
    <w:rsid w:val="00F31E60"/>
    <w:rsid w:val="00F32DE6"/>
    <w:rsid w:val="00F33260"/>
    <w:rsid w:val="00F33CA4"/>
    <w:rsid w:val="00F33E89"/>
    <w:rsid w:val="00F342C2"/>
    <w:rsid w:val="00F344FC"/>
    <w:rsid w:val="00F34685"/>
    <w:rsid w:val="00F349D8"/>
    <w:rsid w:val="00F34D6D"/>
    <w:rsid w:val="00F35A51"/>
    <w:rsid w:val="00F3663E"/>
    <w:rsid w:val="00F3706C"/>
    <w:rsid w:val="00F40388"/>
    <w:rsid w:val="00F40490"/>
    <w:rsid w:val="00F40623"/>
    <w:rsid w:val="00F4098C"/>
    <w:rsid w:val="00F40BB2"/>
    <w:rsid w:val="00F40F19"/>
    <w:rsid w:val="00F410D2"/>
    <w:rsid w:val="00F417F8"/>
    <w:rsid w:val="00F429F2"/>
    <w:rsid w:val="00F42CAB"/>
    <w:rsid w:val="00F42EB8"/>
    <w:rsid w:val="00F43672"/>
    <w:rsid w:val="00F43713"/>
    <w:rsid w:val="00F446C9"/>
    <w:rsid w:val="00F44792"/>
    <w:rsid w:val="00F44D9B"/>
    <w:rsid w:val="00F451D0"/>
    <w:rsid w:val="00F461E7"/>
    <w:rsid w:val="00F4734D"/>
    <w:rsid w:val="00F477F6"/>
    <w:rsid w:val="00F50339"/>
    <w:rsid w:val="00F51AAB"/>
    <w:rsid w:val="00F51B1F"/>
    <w:rsid w:val="00F5205B"/>
    <w:rsid w:val="00F5244D"/>
    <w:rsid w:val="00F52AE2"/>
    <w:rsid w:val="00F52D35"/>
    <w:rsid w:val="00F52E72"/>
    <w:rsid w:val="00F53882"/>
    <w:rsid w:val="00F53C39"/>
    <w:rsid w:val="00F54205"/>
    <w:rsid w:val="00F54326"/>
    <w:rsid w:val="00F55122"/>
    <w:rsid w:val="00F5517B"/>
    <w:rsid w:val="00F55595"/>
    <w:rsid w:val="00F555F6"/>
    <w:rsid w:val="00F55A81"/>
    <w:rsid w:val="00F55DF4"/>
    <w:rsid w:val="00F567C0"/>
    <w:rsid w:val="00F56B10"/>
    <w:rsid w:val="00F56DC4"/>
    <w:rsid w:val="00F56E51"/>
    <w:rsid w:val="00F57207"/>
    <w:rsid w:val="00F57961"/>
    <w:rsid w:val="00F57D97"/>
    <w:rsid w:val="00F6071D"/>
    <w:rsid w:val="00F60CD6"/>
    <w:rsid w:val="00F60F2C"/>
    <w:rsid w:val="00F6112A"/>
    <w:rsid w:val="00F61283"/>
    <w:rsid w:val="00F61374"/>
    <w:rsid w:val="00F61883"/>
    <w:rsid w:val="00F63044"/>
    <w:rsid w:val="00F6384E"/>
    <w:rsid w:val="00F6468A"/>
    <w:rsid w:val="00F64C98"/>
    <w:rsid w:val="00F65053"/>
    <w:rsid w:val="00F65BA8"/>
    <w:rsid w:val="00F6628A"/>
    <w:rsid w:val="00F66ADE"/>
    <w:rsid w:val="00F67079"/>
    <w:rsid w:val="00F67396"/>
    <w:rsid w:val="00F676FB"/>
    <w:rsid w:val="00F67BFD"/>
    <w:rsid w:val="00F703D4"/>
    <w:rsid w:val="00F7061B"/>
    <w:rsid w:val="00F70662"/>
    <w:rsid w:val="00F7161A"/>
    <w:rsid w:val="00F7169C"/>
    <w:rsid w:val="00F71AF4"/>
    <w:rsid w:val="00F71F50"/>
    <w:rsid w:val="00F7273B"/>
    <w:rsid w:val="00F72D3E"/>
    <w:rsid w:val="00F72DE6"/>
    <w:rsid w:val="00F7315C"/>
    <w:rsid w:val="00F73368"/>
    <w:rsid w:val="00F73536"/>
    <w:rsid w:val="00F73DA7"/>
    <w:rsid w:val="00F73DAF"/>
    <w:rsid w:val="00F7494A"/>
    <w:rsid w:val="00F767F7"/>
    <w:rsid w:val="00F76994"/>
    <w:rsid w:val="00F76A7C"/>
    <w:rsid w:val="00F76D5C"/>
    <w:rsid w:val="00F76E2F"/>
    <w:rsid w:val="00F77E7C"/>
    <w:rsid w:val="00F80D4F"/>
    <w:rsid w:val="00F81E53"/>
    <w:rsid w:val="00F82281"/>
    <w:rsid w:val="00F82CC6"/>
    <w:rsid w:val="00F842D7"/>
    <w:rsid w:val="00F84505"/>
    <w:rsid w:val="00F847EC"/>
    <w:rsid w:val="00F849F7"/>
    <w:rsid w:val="00F8546B"/>
    <w:rsid w:val="00F85DB9"/>
    <w:rsid w:val="00F85E3E"/>
    <w:rsid w:val="00F85F7E"/>
    <w:rsid w:val="00F862E7"/>
    <w:rsid w:val="00F86434"/>
    <w:rsid w:val="00F866BE"/>
    <w:rsid w:val="00F87074"/>
    <w:rsid w:val="00F8759F"/>
    <w:rsid w:val="00F87DBD"/>
    <w:rsid w:val="00F87F52"/>
    <w:rsid w:val="00F9066C"/>
    <w:rsid w:val="00F90C5F"/>
    <w:rsid w:val="00F92122"/>
    <w:rsid w:val="00F92CDC"/>
    <w:rsid w:val="00F932D6"/>
    <w:rsid w:val="00F93403"/>
    <w:rsid w:val="00F9413B"/>
    <w:rsid w:val="00F9458C"/>
    <w:rsid w:val="00F9482E"/>
    <w:rsid w:val="00F949B0"/>
    <w:rsid w:val="00F94A49"/>
    <w:rsid w:val="00F94C74"/>
    <w:rsid w:val="00F94E74"/>
    <w:rsid w:val="00F94F60"/>
    <w:rsid w:val="00F9524E"/>
    <w:rsid w:val="00F95517"/>
    <w:rsid w:val="00F9589C"/>
    <w:rsid w:val="00F95AB3"/>
    <w:rsid w:val="00F95E10"/>
    <w:rsid w:val="00F96064"/>
    <w:rsid w:val="00F97416"/>
    <w:rsid w:val="00F97BD5"/>
    <w:rsid w:val="00FA0B0D"/>
    <w:rsid w:val="00FA1593"/>
    <w:rsid w:val="00FA16B4"/>
    <w:rsid w:val="00FA1872"/>
    <w:rsid w:val="00FA1AA1"/>
    <w:rsid w:val="00FA251B"/>
    <w:rsid w:val="00FA2FE3"/>
    <w:rsid w:val="00FA3463"/>
    <w:rsid w:val="00FA4B1C"/>
    <w:rsid w:val="00FA4BF2"/>
    <w:rsid w:val="00FA4FB1"/>
    <w:rsid w:val="00FA5958"/>
    <w:rsid w:val="00FA595A"/>
    <w:rsid w:val="00FA61BC"/>
    <w:rsid w:val="00FA648F"/>
    <w:rsid w:val="00FA6B35"/>
    <w:rsid w:val="00FA6BE2"/>
    <w:rsid w:val="00FA72A3"/>
    <w:rsid w:val="00FA7872"/>
    <w:rsid w:val="00FA7C1F"/>
    <w:rsid w:val="00FA7EFD"/>
    <w:rsid w:val="00FB02AC"/>
    <w:rsid w:val="00FB0A0E"/>
    <w:rsid w:val="00FB0E97"/>
    <w:rsid w:val="00FB1110"/>
    <w:rsid w:val="00FB14F1"/>
    <w:rsid w:val="00FB155D"/>
    <w:rsid w:val="00FB17FD"/>
    <w:rsid w:val="00FB27B8"/>
    <w:rsid w:val="00FB2D9D"/>
    <w:rsid w:val="00FB2E04"/>
    <w:rsid w:val="00FB30B2"/>
    <w:rsid w:val="00FB3640"/>
    <w:rsid w:val="00FB4328"/>
    <w:rsid w:val="00FB43F7"/>
    <w:rsid w:val="00FB43F9"/>
    <w:rsid w:val="00FB45EB"/>
    <w:rsid w:val="00FB4D12"/>
    <w:rsid w:val="00FB5DDB"/>
    <w:rsid w:val="00FB72EA"/>
    <w:rsid w:val="00FB75AF"/>
    <w:rsid w:val="00FB76BA"/>
    <w:rsid w:val="00FC01B0"/>
    <w:rsid w:val="00FC0FCB"/>
    <w:rsid w:val="00FC1C36"/>
    <w:rsid w:val="00FC24A6"/>
    <w:rsid w:val="00FC283E"/>
    <w:rsid w:val="00FC30E3"/>
    <w:rsid w:val="00FC35EE"/>
    <w:rsid w:val="00FC36DA"/>
    <w:rsid w:val="00FC37C2"/>
    <w:rsid w:val="00FC3AAD"/>
    <w:rsid w:val="00FC3C8F"/>
    <w:rsid w:val="00FC3CA9"/>
    <w:rsid w:val="00FC4BD0"/>
    <w:rsid w:val="00FC618C"/>
    <w:rsid w:val="00FC63EC"/>
    <w:rsid w:val="00FC6572"/>
    <w:rsid w:val="00FC680B"/>
    <w:rsid w:val="00FC6D6F"/>
    <w:rsid w:val="00FC6E64"/>
    <w:rsid w:val="00FC6F91"/>
    <w:rsid w:val="00FC742F"/>
    <w:rsid w:val="00FC7A91"/>
    <w:rsid w:val="00FC7F46"/>
    <w:rsid w:val="00FC7FCD"/>
    <w:rsid w:val="00FD01EE"/>
    <w:rsid w:val="00FD052A"/>
    <w:rsid w:val="00FD0D9E"/>
    <w:rsid w:val="00FD18BF"/>
    <w:rsid w:val="00FD222E"/>
    <w:rsid w:val="00FD2621"/>
    <w:rsid w:val="00FD2633"/>
    <w:rsid w:val="00FD34EB"/>
    <w:rsid w:val="00FD3510"/>
    <w:rsid w:val="00FD3E20"/>
    <w:rsid w:val="00FD425B"/>
    <w:rsid w:val="00FD4370"/>
    <w:rsid w:val="00FD4A20"/>
    <w:rsid w:val="00FD4D07"/>
    <w:rsid w:val="00FD56AE"/>
    <w:rsid w:val="00FD5B28"/>
    <w:rsid w:val="00FD5D23"/>
    <w:rsid w:val="00FD5ED6"/>
    <w:rsid w:val="00FD7318"/>
    <w:rsid w:val="00FD769D"/>
    <w:rsid w:val="00FD78B0"/>
    <w:rsid w:val="00FE0564"/>
    <w:rsid w:val="00FE0591"/>
    <w:rsid w:val="00FE1CBD"/>
    <w:rsid w:val="00FE1D6E"/>
    <w:rsid w:val="00FE2045"/>
    <w:rsid w:val="00FE2720"/>
    <w:rsid w:val="00FE31C2"/>
    <w:rsid w:val="00FE3476"/>
    <w:rsid w:val="00FE3683"/>
    <w:rsid w:val="00FE3E90"/>
    <w:rsid w:val="00FE4635"/>
    <w:rsid w:val="00FE48B6"/>
    <w:rsid w:val="00FE4A98"/>
    <w:rsid w:val="00FE5600"/>
    <w:rsid w:val="00FE5667"/>
    <w:rsid w:val="00FE5690"/>
    <w:rsid w:val="00FE5CFE"/>
    <w:rsid w:val="00FE5E9F"/>
    <w:rsid w:val="00FE676F"/>
    <w:rsid w:val="00FE6789"/>
    <w:rsid w:val="00FE6ABD"/>
    <w:rsid w:val="00FE7484"/>
    <w:rsid w:val="00FE7D1B"/>
    <w:rsid w:val="00FE7FC2"/>
    <w:rsid w:val="00FF39F0"/>
    <w:rsid w:val="00FF3BBC"/>
    <w:rsid w:val="00FF4643"/>
    <w:rsid w:val="00FF4DD6"/>
    <w:rsid w:val="00FF5A89"/>
    <w:rsid w:val="00FF63D4"/>
    <w:rsid w:val="00FF6F1D"/>
    <w:rsid w:val="00FF705B"/>
    <w:rsid w:val="00FF7243"/>
    <w:rsid w:val="00FF7279"/>
    <w:rsid w:val="00FF7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o:colormru v:ext="edit" colors="#2106c6,#1d05ab,#1052c8,#1379c5"/>
    </o:shapedefaults>
    <o:shapelayout v:ext="edit">
      <o:idmap v:ext="edit" data="1"/>
    </o:shapelayout>
  </w:shapeDefaults>
  <w:decimalSymbol w:val="."/>
  <w:listSeparator w:val=","/>
  <w14:docId w14:val="6466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qFormat="1"/>
    <w:lsdException w:name="caption" w:semiHidden="1" w:uiPriority="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CAD"/>
    <w:pPr>
      <w:spacing w:after="160" w:line="259" w:lineRule="auto"/>
    </w:pPr>
    <w:rPr>
      <w:rFonts w:asciiTheme="minorHAnsi" w:eastAsiaTheme="minorHAnsi" w:hAnsiTheme="minorHAnsi" w:cstheme="minorBidi"/>
      <w:sz w:val="22"/>
      <w:szCs w:val="22"/>
    </w:rPr>
  </w:style>
  <w:style w:type="paragraph" w:styleId="Heading1">
    <w:name w:val="heading 1"/>
    <w:aliases w:val="h1,l1,H1,header 1"/>
    <w:basedOn w:val="Normal"/>
    <w:next w:val="ParaText"/>
    <w:link w:val="Heading1Char"/>
    <w:qFormat/>
    <w:rsid w:val="006475F1"/>
    <w:pPr>
      <w:keepNext/>
      <w:numPr>
        <w:numId w:val="5"/>
      </w:numPr>
      <w:spacing w:after="240"/>
      <w:outlineLvl w:val="0"/>
    </w:pPr>
    <w:rPr>
      <w:b/>
      <w:kern w:val="28"/>
      <w:sz w:val="34"/>
    </w:rPr>
  </w:style>
  <w:style w:type="paragraph" w:styleId="Heading2">
    <w:name w:val="heading 2"/>
    <w:aliases w:val="2,h2,l2,H2,header 2"/>
    <w:basedOn w:val="Normal"/>
    <w:next w:val="ParaText"/>
    <w:link w:val="Heading2Char"/>
    <w:qFormat/>
    <w:rsid w:val="006475F1"/>
    <w:pPr>
      <w:keepNext/>
      <w:numPr>
        <w:ilvl w:val="1"/>
        <w:numId w:val="5"/>
      </w:numPr>
      <w:spacing w:after="240"/>
      <w:outlineLvl w:val="1"/>
    </w:pPr>
    <w:rPr>
      <w:b/>
      <w:sz w:val="30"/>
    </w:rPr>
  </w:style>
  <w:style w:type="paragraph" w:styleId="Heading3">
    <w:name w:val="heading 3"/>
    <w:aliases w:val="3,h3,l3,H3,Heading 3 Char1,h3 Char Char,Heading 3 Char Char,h3 Char"/>
    <w:basedOn w:val="Normal"/>
    <w:next w:val="ParaText"/>
    <w:link w:val="Heading3Char"/>
    <w:qFormat/>
    <w:rsid w:val="006475F1"/>
    <w:pPr>
      <w:keepNext/>
      <w:numPr>
        <w:ilvl w:val="2"/>
        <w:numId w:val="5"/>
      </w:numPr>
      <w:spacing w:after="240"/>
      <w:outlineLvl w:val="2"/>
    </w:pPr>
    <w:rPr>
      <w:b/>
      <w:sz w:val="26"/>
    </w:rPr>
  </w:style>
  <w:style w:type="paragraph" w:styleId="Heading4">
    <w:name w:val="heading 4"/>
    <w:aliases w:val="h4,l4,H4"/>
    <w:basedOn w:val="Normal"/>
    <w:next w:val="ParaText"/>
    <w:link w:val="Heading4Char"/>
    <w:qFormat/>
    <w:rsid w:val="006475F1"/>
    <w:pPr>
      <w:keepNext/>
      <w:numPr>
        <w:ilvl w:val="3"/>
        <w:numId w:val="5"/>
      </w:numPr>
      <w:spacing w:after="240"/>
      <w:outlineLvl w:val="3"/>
    </w:pPr>
    <w:rPr>
      <w:b/>
    </w:rPr>
  </w:style>
  <w:style w:type="paragraph" w:styleId="Heading5">
    <w:name w:val="heading 5"/>
    <w:aliases w:val="h5,l5,H5"/>
    <w:basedOn w:val="Normal"/>
    <w:next w:val="ParaText"/>
    <w:link w:val="Heading5Char"/>
    <w:qFormat/>
    <w:rsid w:val="006475F1"/>
    <w:pPr>
      <w:keepNext/>
      <w:numPr>
        <w:ilvl w:val="4"/>
        <w:numId w:val="5"/>
      </w:numPr>
      <w:spacing w:after="240"/>
      <w:outlineLvl w:val="4"/>
    </w:pPr>
    <w:rPr>
      <w:b/>
    </w:rPr>
  </w:style>
  <w:style w:type="paragraph" w:styleId="Heading6">
    <w:name w:val="heading 6"/>
    <w:basedOn w:val="Normal"/>
    <w:next w:val="ParaText"/>
    <w:link w:val="Heading6Char"/>
    <w:qFormat/>
    <w:rsid w:val="006475F1"/>
    <w:pPr>
      <w:spacing w:after="240"/>
      <w:outlineLvl w:val="5"/>
    </w:pPr>
    <w:rPr>
      <w:b/>
      <w:sz w:val="32"/>
    </w:rPr>
  </w:style>
  <w:style w:type="paragraph" w:styleId="Heading7">
    <w:name w:val="heading 7"/>
    <w:basedOn w:val="Normal"/>
    <w:next w:val="ParaText"/>
    <w:link w:val="Heading7Char"/>
    <w:qFormat/>
    <w:rsid w:val="006475F1"/>
    <w:pPr>
      <w:spacing w:after="240"/>
      <w:outlineLvl w:val="6"/>
    </w:pPr>
    <w:rPr>
      <w:b/>
      <w:i/>
      <w:sz w:val="26"/>
    </w:rPr>
  </w:style>
  <w:style w:type="paragraph" w:styleId="Heading8">
    <w:name w:val="heading 8"/>
    <w:basedOn w:val="Normal"/>
    <w:next w:val="ParaText"/>
    <w:link w:val="Heading8Char"/>
    <w:qFormat/>
    <w:rsid w:val="006475F1"/>
    <w:pPr>
      <w:spacing w:after="240"/>
      <w:outlineLvl w:val="7"/>
    </w:pPr>
    <w:rPr>
      <w:b/>
    </w:rPr>
  </w:style>
  <w:style w:type="paragraph" w:styleId="Heading9">
    <w:name w:val="heading 9"/>
    <w:basedOn w:val="Normal"/>
    <w:next w:val="Normal"/>
    <w:link w:val="Heading9Char"/>
    <w:qFormat/>
    <w:rsid w:val="006475F1"/>
    <w:pPr>
      <w:keepNext/>
      <w:outlineLvl w:val="8"/>
    </w:pPr>
    <w:rPr>
      <w:b/>
      <w:bCs/>
      <w:sz w:val="32"/>
    </w:rPr>
  </w:style>
  <w:style w:type="character" w:default="1" w:styleId="DefaultParagraphFont">
    <w:name w:val="Default Paragraph Font"/>
    <w:uiPriority w:val="1"/>
    <w:semiHidden/>
    <w:unhideWhenUsed/>
    <w:rsid w:val="001D2C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2CAD"/>
  </w:style>
  <w:style w:type="paragraph" w:customStyle="1" w:styleId="ParaText">
    <w:name w:val="ParaText"/>
    <w:basedOn w:val="Normal"/>
    <w:link w:val="ParaTextChar1"/>
    <w:rsid w:val="006475F1"/>
    <w:pPr>
      <w:spacing w:after="240" w:line="300" w:lineRule="auto"/>
    </w:pPr>
  </w:style>
  <w:style w:type="character" w:customStyle="1" w:styleId="ParaTextChar1">
    <w:name w:val="ParaText Char1"/>
    <w:link w:val="ParaText"/>
    <w:rsid w:val="007524D9"/>
    <w:rPr>
      <w:rFonts w:ascii="Arial" w:hAnsi="Arial"/>
      <w:sz w:val="22"/>
    </w:rPr>
  </w:style>
  <w:style w:type="character" w:customStyle="1" w:styleId="Heading1Char">
    <w:name w:val="Heading 1 Char"/>
    <w:aliases w:val="h1 Char,l1 Char,H1 Char,header 1 Char"/>
    <w:link w:val="Heading1"/>
    <w:rsid w:val="007524D9"/>
    <w:rPr>
      <w:rFonts w:asciiTheme="minorHAnsi" w:eastAsiaTheme="minorHAnsi" w:hAnsiTheme="minorHAnsi" w:cstheme="minorBidi"/>
      <w:b/>
      <w:kern w:val="28"/>
      <w:sz w:val="34"/>
      <w:szCs w:val="22"/>
    </w:rPr>
  </w:style>
  <w:style w:type="character" w:customStyle="1" w:styleId="Heading2Char">
    <w:name w:val="Heading 2 Char"/>
    <w:aliases w:val="2 Char,h2 Char,l2 Char,H2 Char,header 2 Char"/>
    <w:link w:val="Heading2"/>
    <w:rsid w:val="00FB27B8"/>
    <w:rPr>
      <w:rFonts w:asciiTheme="minorHAnsi" w:eastAsiaTheme="minorHAnsi" w:hAnsiTheme="minorHAnsi" w:cstheme="minorBidi"/>
      <w:b/>
      <w:sz w:val="30"/>
      <w:szCs w:val="22"/>
    </w:rPr>
  </w:style>
  <w:style w:type="character" w:customStyle="1" w:styleId="Heading3Char">
    <w:name w:val="Heading 3 Char"/>
    <w:aliases w:val="3 Char,h3 Char1,l3 Char,H3 Char,Heading 3 Char1 Char,h3 Char Char Char,Heading 3 Char Char Char,h3 Char Char1"/>
    <w:link w:val="Heading3"/>
    <w:rsid w:val="00FB27B8"/>
    <w:rPr>
      <w:rFonts w:asciiTheme="minorHAnsi" w:eastAsiaTheme="minorHAnsi" w:hAnsiTheme="minorHAnsi" w:cstheme="minorBidi"/>
      <w:b/>
      <w:sz w:val="26"/>
      <w:szCs w:val="22"/>
    </w:rPr>
  </w:style>
  <w:style w:type="character" w:customStyle="1" w:styleId="Heading4Char">
    <w:name w:val="Heading 4 Char"/>
    <w:aliases w:val="h4 Char,l4 Char,H4 Char"/>
    <w:link w:val="Heading4"/>
    <w:rsid w:val="00B46C4A"/>
    <w:rPr>
      <w:rFonts w:asciiTheme="minorHAnsi" w:eastAsiaTheme="minorHAnsi" w:hAnsiTheme="minorHAnsi" w:cstheme="minorBidi"/>
      <w:b/>
      <w:sz w:val="22"/>
      <w:szCs w:val="22"/>
    </w:rPr>
  </w:style>
  <w:style w:type="character" w:customStyle="1" w:styleId="Heading5Char">
    <w:name w:val="Heading 5 Char"/>
    <w:aliases w:val="h5 Char,l5 Char,H5 Char"/>
    <w:basedOn w:val="DefaultParagraphFont"/>
    <w:link w:val="Heading5"/>
    <w:rsid w:val="00143C39"/>
    <w:rPr>
      <w:rFonts w:asciiTheme="minorHAnsi" w:eastAsiaTheme="minorHAnsi" w:hAnsiTheme="minorHAnsi" w:cstheme="minorBidi"/>
      <w:b/>
      <w:sz w:val="22"/>
      <w:szCs w:val="22"/>
    </w:rPr>
  </w:style>
  <w:style w:type="character" w:customStyle="1" w:styleId="Heading6Char">
    <w:name w:val="Heading 6 Char"/>
    <w:basedOn w:val="DefaultParagraphFont"/>
    <w:link w:val="Heading6"/>
    <w:rsid w:val="00143C39"/>
    <w:rPr>
      <w:rFonts w:ascii="Arial" w:hAnsi="Arial"/>
      <w:b/>
      <w:sz w:val="32"/>
    </w:rPr>
  </w:style>
  <w:style w:type="character" w:customStyle="1" w:styleId="Heading7Char">
    <w:name w:val="Heading 7 Char"/>
    <w:basedOn w:val="DefaultParagraphFont"/>
    <w:link w:val="Heading7"/>
    <w:rsid w:val="00143C39"/>
    <w:rPr>
      <w:rFonts w:ascii="Arial" w:hAnsi="Arial"/>
      <w:b/>
      <w:i/>
      <w:sz w:val="26"/>
    </w:rPr>
  </w:style>
  <w:style w:type="character" w:customStyle="1" w:styleId="Heading8Char">
    <w:name w:val="Heading 8 Char"/>
    <w:basedOn w:val="DefaultParagraphFont"/>
    <w:link w:val="Heading8"/>
    <w:rsid w:val="00143C39"/>
    <w:rPr>
      <w:rFonts w:ascii="Arial" w:hAnsi="Arial"/>
      <w:b/>
      <w:sz w:val="22"/>
    </w:rPr>
  </w:style>
  <w:style w:type="character" w:customStyle="1" w:styleId="Heading9Char">
    <w:name w:val="Heading 9 Char"/>
    <w:basedOn w:val="DefaultParagraphFont"/>
    <w:link w:val="Heading9"/>
    <w:rsid w:val="00143C39"/>
    <w:rPr>
      <w:rFonts w:ascii="Arial" w:hAnsi="Arial"/>
      <w:b/>
      <w:bCs/>
      <w:sz w:val="32"/>
    </w:rPr>
  </w:style>
  <w:style w:type="paragraph" w:styleId="Header">
    <w:name w:val="header"/>
    <w:basedOn w:val="Normal"/>
    <w:link w:val="HeaderChar"/>
    <w:uiPriority w:val="99"/>
    <w:qFormat/>
    <w:rsid w:val="006475F1"/>
    <w:pPr>
      <w:tabs>
        <w:tab w:val="center" w:pos="4320"/>
        <w:tab w:val="right" w:pos="8640"/>
      </w:tabs>
    </w:pPr>
    <w:rPr>
      <w:b/>
    </w:rPr>
  </w:style>
  <w:style w:type="character" w:customStyle="1" w:styleId="HeaderChar">
    <w:name w:val="Header Char"/>
    <w:link w:val="Header"/>
    <w:uiPriority w:val="99"/>
    <w:rsid w:val="00924ADE"/>
    <w:rPr>
      <w:rFonts w:ascii="Arial" w:hAnsi="Arial"/>
      <w:b/>
      <w:sz w:val="22"/>
    </w:rPr>
  </w:style>
  <w:style w:type="paragraph" w:styleId="Footer">
    <w:name w:val="footer"/>
    <w:basedOn w:val="Normal"/>
    <w:link w:val="FooterChar"/>
    <w:uiPriority w:val="99"/>
    <w:qFormat/>
    <w:rsid w:val="006475F1"/>
    <w:pPr>
      <w:pBdr>
        <w:top w:val="single" w:sz="12" w:space="1" w:color="auto"/>
      </w:pBdr>
      <w:tabs>
        <w:tab w:val="right" w:pos="9360"/>
      </w:tabs>
    </w:pPr>
    <w:rPr>
      <w:i/>
      <w:sz w:val="18"/>
    </w:rPr>
  </w:style>
  <w:style w:type="character" w:customStyle="1" w:styleId="FooterChar">
    <w:name w:val="Footer Char"/>
    <w:link w:val="Footer"/>
    <w:uiPriority w:val="99"/>
    <w:rsid w:val="00B17E85"/>
    <w:rPr>
      <w:rFonts w:ascii="Arial" w:hAnsi="Arial"/>
      <w:i/>
      <w:sz w:val="18"/>
    </w:rPr>
  </w:style>
  <w:style w:type="character" w:styleId="PageNumber">
    <w:name w:val="page number"/>
    <w:basedOn w:val="DefaultParagraphFont"/>
    <w:rsid w:val="006475F1"/>
  </w:style>
  <w:style w:type="paragraph" w:styleId="TOC1">
    <w:name w:val="toc 1"/>
    <w:basedOn w:val="Normal"/>
    <w:next w:val="Normal"/>
    <w:uiPriority w:val="39"/>
    <w:rsid w:val="006475F1"/>
    <w:pPr>
      <w:tabs>
        <w:tab w:val="left" w:pos="432"/>
        <w:tab w:val="right" w:leader="dot" w:pos="9360"/>
      </w:tabs>
      <w:ind w:left="432" w:hanging="432"/>
    </w:pPr>
    <w:rPr>
      <w:rFonts w:cs="Arial"/>
      <w:b/>
      <w:noProof/>
    </w:rPr>
  </w:style>
  <w:style w:type="paragraph" w:customStyle="1" w:styleId="TOCTitle">
    <w:name w:val="TOC Title"/>
    <w:basedOn w:val="Header"/>
    <w:rsid w:val="006475F1"/>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475F1"/>
    <w:pPr>
      <w:tabs>
        <w:tab w:val="right" w:leader="dot" w:pos="9360"/>
      </w:tabs>
    </w:pPr>
    <w:rPr>
      <w:rFonts w:cs="Arial"/>
      <w:noProof/>
    </w:rPr>
  </w:style>
  <w:style w:type="paragraph" w:customStyle="1" w:styleId="ExhLst">
    <w:name w:val="Exh_Lst"/>
    <w:basedOn w:val="Normal"/>
    <w:rsid w:val="006475F1"/>
    <w:pPr>
      <w:spacing w:after="240"/>
    </w:pPr>
    <w:rPr>
      <w:b/>
      <w:u w:val="single"/>
    </w:rPr>
  </w:style>
  <w:style w:type="paragraph" w:customStyle="1" w:styleId="1">
    <w:name w:val="1"/>
    <w:aliases w:val="a,i Seq"/>
    <w:basedOn w:val="Normal"/>
    <w:rsid w:val="006475F1"/>
    <w:pPr>
      <w:numPr>
        <w:numId w:val="8"/>
      </w:numPr>
      <w:tabs>
        <w:tab w:val="left" w:pos="1800"/>
        <w:tab w:val="left" w:pos="2160"/>
        <w:tab w:val="left" w:pos="2520"/>
      </w:tabs>
      <w:spacing w:after="240" w:line="300" w:lineRule="auto"/>
    </w:pPr>
  </w:style>
  <w:style w:type="paragraph" w:customStyle="1" w:styleId="Bullet1">
    <w:name w:val="Bullet1"/>
    <w:basedOn w:val="Normal"/>
    <w:link w:val="Bullet1Char"/>
    <w:rsid w:val="006475F1"/>
    <w:pPr>
      <w:numPr>
        <w:numId w:val="1"/>
      </w:numPr>
      <w:spacing w:line="300" w:lineRule="auto"/>
    </w:pPr>
  </w:style>
  <w:style w:type="character" w:customStyle="1" w:styleId="Bullet1Char">
    <w:name w:val="Bullet1 Char"/>
    <w:link w:val="Bullet1"/>
    <w:rsid w:val="00770CC2"/>
    <w:rPr>
      <w:rFonts w:asciiTheme="minorHAnsi" w:eastAsiaTheme="minorHAnsi" w:hAnsiTheme="minorHAnsi" w:cstheme="minorBidi"/>
      <w:sz w:val="22"/>
      <w:szCs w:val="22"/>
    </w:rPr>
  </w:style>
  <w:style w:type="paragraph" w:customStyle="1" w:styleId="Bullet1HRt">
    <w:name w:val="Bullet1[HRt]"/>
    <w:basedOn w:val="Normal"/>
    <w:link w:val="Bullet1HRtChar"/>
    <w:rsid w:val="006475F1"/>
    <w:pPr>
      <w:numPr>
        <w:numId w:val="2"/>
      </w:numPr>
      <w:spacing w:after="240" w:line="300" w:lineRule="auto"/>
    </w:pPr>
  </w:style>
  <w:style w:type="character" w:customStyle="1" w:styleId="Bullet1HRtChar">
    <w:name w:val="Bullet1[HRt] Char"/>
    <w:link w:val="Bullet1HRt"/>
    <w:rsid w:val="004848E7"/>
    <w:rPr>
      <w:rFonts w:asciiTheme="minorHAnsi" w:eastAsiaTheme="minorHAnsi" w:hAnsiTheme="minorHAnsi" w:cstheme="minorBidi"/>
      <w:sz w:val="22"/>
      <w:szCs w:val="22"/>
    </w:rPr>
  </w:style>
  <w:style w:type="paragraph" w:customStyle="1" w:styleId="Bullet2">
    <w:name w:val="Bullet2"/>
    <w:basedOn w:val="Normal"/>
    <w:rsid w:val="006475F1"/>
    <w:pPr>
      <w:numPr>
        <w:numId w:val="3"/>
      </w:numPr>
      <w:spacing w:line="300" w:lineRule="auto"/>
    </w:pPr>
  </w:style>
  <w:style w:type="paragraph" w:customStyle="1" w:styleId="Bullet2HRt">
    <w:name w:val="Bullet2[HRt]"/>
    <w:basedOn w:val="Bullet2"/>
    <w:rsid w:val="006475F1"/>
    <w:pPr>
      <w:numPr>
        <w:numId w:val="4"/>
      </w:numPr>
      <w:spacing w:after="240"/>
    </w:pPr>
  </w:style>
  <w:style w:type="paragraph" w:customStyle="1" w:styleId="Exhibit">
    <w:name w:val="Exhibit"/>
    <w:basedOn w:val="Normal"/>
    <w:next w:val="Normal"/>
    <w:rsid w:val="006475F1"/>
    <w:pPr>
      <w:spacing w:after="240"/>
    </w:pPr>
    <w:rPr>
      <w:b/>
    </w:rPr>
  </w:style>
  <w:style w:type="paragraph" w:styleId="TableofFigures">
    <w:name w:val="table of figures"/>
    <w:basedOn w:val="Normal"/>
    <w:next w:val="Normal"/>
    <w:qFormat/>
    <w:rsid w:val="006475F1"/>
    <w:pPr>
      <w:ind w:left="440" w:hanging="440"/>
    </w:pPr>
  </w:style>
  <w:style w:type="paragraph" w:styleId="TOC2">
    <w:name w:val="toc 2"/>
    <w:basedOn w:val="Normal"/>
    <w:next w:val="Normal"/>
    <w:autoRedefine/>
    <w:uiPriority w:val="39"/>
    <w:rsid w:val="007A721E"/>
    <w:pPr>
      <w:tabs>
        <w:tab w:val="left" w:pos="720"/>
        <w:tab w:val="left" w:pos="1008"/>
        <w:tab w:val="right" w:leader="dot" w:pos="9360"/>
      </w:tabs>
      <w:ind w:left="540" w:hanging="540"/>
    </w:pPr>
    <w:rPr>
      <w:b/>
      <w:noProof/>
    </w:rPr>
  </w:style>
  <w:style w:type="paragraph" w:styleId="TOC3">
    <w:name w:val="toc 3"/>
    <w:basedOn w:val="Normal"/>
    <w:next w:val="Normal"/>
    <w:autoRedefine/>
    <w:uiPriority w:val="39"/>
    <w:rsid w:val="002211F7"/>
    <w:pPr>
      <w:tabs>
        <w:tab w:val="left" w:pos="1440"/>
        <w:tab w:val="left" w:pos="1728"/>
        <w:tab w:val="left" w:pos="2448"/>
        <w:tab w:val="right" w:leader="dot" w:pos="9360"/>
      </w:tabs>
      <w:ind w:left="2448" w:hanging="1008"/>
    </w:pPr>
    <w:rPr>
      <w:noProof/>
    </w:rPr>
  </w:style>
  <w:style w:type="paragraph" w:styleId="TOC4">
    <w:name w:val="toc 4"/>
    <w:basedOn w:val="Normal"/>
    <w:next w:val="Normal"/>
    <w:autoRedefine/>
    <w:uiPriority w:val="39"/>
    <w:rsid w:val="006475F1"/>
    <w:pPr>
      <w:tabs>
        <w:tab w:val="left" w:pos="2592"/>
        <w:tab w:val="right" w:leader="dot" w:pos="9360"/>
      </w:tabs>
      <w:ind w:left="-810" w:firstLine="2538"/>
    </w:pPr>
    <w:rPr>
      <w:noProof/>
    </w:rPr>
  </w:style>
  <w:style w:type="paragraph" w:styleId="TOC5">
    <w:name w:val="toc 5"/>
    <w:basedOn w:val="Normal"/>
    <w:next w:val="Normal"/>
    <w:autoRedefine/>
    <w:uiPriority w:val="39"/>
    <w:rsid w:val="006475F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6475F1"/>
    <w:pPr>
      <w:ind w:left="1100"/>
    </w:pPr>
  </w:style>
  <w:style w:type="paragraph" w:styleId="TOC7">
    <w:name w:val="toc 7"/>
    <w:basedOn w:val="Normal"/>
    <w:next w:val="Normal"/>
    <w:autoRedefine/>
    <w:uiPriority w:val="39"/>
    <w:rsid w:val="006475F1"/>
    <w:pPr>
      <w:tabs>
        <w:tab w:val="right" w:leader="dot" w:pos="9360"/>
      </w:tabs>
    </w:pPr>
    <w:rPr>
      <w:b/>
      <w:noProof/>
    </w:rPr>
  </w:style>
  <w:style w:type="paragraph" w:styleId="TOC8">
    <w:name w:val="toc 8"/>
    <w:basedOn w:val="Normal"/>
    <w:next w:val="Normal"/>
    <w:autoRedefine/>
    <w:uiPriority w:val="39"/>
    <w:rsid w:val="006475F1"/>
    <w:pPr>
      <w:ind w:left="1540"/>
    </w:pPr>
  </w:style>
  <w:style w:type="paragraph" w:styleId="Caption">
    <w:name w:val="caption"/>
    <w:basedOn w:val="Normal"/>
    <w:next w:val="ParaText"/>
    <w:autoRedefine/>
    <w:uiPriority w:val="1"/>
    <w:qFormat/>
    <w:rsid w:val="009769FA"/>
    <w:pPr>
      <w:keepNext/>
      <w:spacing w:before="120"/>
      <w:jc w:val="center"/>
    </w:pPr>
    <w:rPr>
      <w:b/>
    </w:rPr>
  </w:style>
  <w:style w:type="paragraph" w:styleId="Title">
    <w:name w:val="Title"/>
    <w:basedOn w:val="Normal"/>
    <w:next w:val="Subtitle"/>
    <w:link w:val="TitleChar"/>
    <w:qFormat/>
    <w:rsid w:val="006475F1"/>
    <w:pPr>
      <w:keepNext/>
      <w:keepLines/>
      <w:tabs>
        <w:tab w:val="left" w:pos="576"/>
      </w:tabs>
      <w:spacing w:before="240" w:after="240"/>
      <w:jc w:val="center"/>
    </w:pPr>
    <w:rPr>
      <w:kern w:val="28"/>
      <w:sz w:val="48"/>
    </w:rPr>
  </w:style>
  <w:style w:type="paragraph" w:styleId="Subtitle">
    <w:name w:val="Subtitle"/>
    <w:basedOn w:val="Normal"/>
    <w:link w:val="SubtitleChar"/>
    <w:qFormat/>
    <w:rsid w:val="006475F1"/>
    <w:pPr>
      <w:spacing w:after="60"/>
      <w:jc w:val="center"/>
      <w:outlineLvl w:val="1"/>
    </w:pPr>
    <w:rPr>
      <w:rFonts w:cs="Arial"/>
    </w:rPr>
  </w:style>
  <w:style w:type="character" w:customStyle="1" w:styleId="SubtitleChar">
    <w:name w:val="Subtitle Char"/>
    <w:basedOn w:val="DefaultParagraphFont"/>
    <w:link w:val="Subtitle"/>
    <w:rsid w:val="00143C39"/>
    <w:rPr>
      <w:rFonts w:ascii="Arial" w:hAnsi="Arial" w:cs="Arial"/>
      <w:sz w:val="24"/>
      <w:szCs w:val="24"/>
    </w:rPr>
  </w:style>
  <w:style w:type="character" w:customStyle="1" w:styleId="TitleChar">
    <w:name w:val="Title Char"/>
    <w:basedOn w:val="DefaultParagraphFont"/>
    <w:link w:val="Title"/>
    <w:rsid w:val="00143C39"/>
    <w:rPr>
      <w:rFonts w:ascii="Arial" w:hAnsi="Arial"/>
      <w:kern w:val="28"/>
      <w:sz w:val="48"/>
    </w:rPr>
  </w:style>
  <w:style w:type="character" w:styleId="Hyperlink">
    <w:name w:val="Hyperlink"/>
    <w:uiPriority w:val="99"/>
    <w:rsid w:val="006475F1"/>
    <w:rPr>
      <w:color w:val="0000FF"/>
      <w:u w:val="single"/>
    </w:rPr>
  </w:style>
  <w:style w:type="paragraph" w:customStyle="1" w:styleId="Bullet3">
    <w:name w:val="Bullet3"/>
    <w:basedOn w:val="Normal"/>
    <w:rsid w:val="006475F1"/>
    <w:pPr>
      <w:numPr>
        <w:numId w:val="6"/>
      </w:numPr>
      <w:tabs>
        <w:tab w:val="clear" w:pos="1080"/>
        <w:tab w:val="num" w:pos="1440"/>
      </w:tabs>
      <w:ind w:left="1440"/>
    </w:pPr>
  </w:style>
  <w:style w:type="paragraph" w:customStyle="1" w:styleId="Bullet3HRt">
    <w:name w:val="Bullet3[HRt]"/>
    <w:basedOn w:val="Bullet3"/>
    <w:rsid w:val="006475F1"/>
    <w:pPr>
      <w:numPr>
        <w:ilvl w:val="1"/>
      </w:numPr>
      <w:spacing w:after="240" w:line="300" w:lineRule="auto"/>
    </w:pPr>
  </w:style>
  <w:style w:type="paragraph" w:customStyle="1" w:styleId="TableCaption">
    <w:name w:val="Table Caption"/>
    <w:basedOn w:val="Caption"/>
    <w:next w:val="Normal"/>
    <w:qFormat/>
    <w:rsid w:val="006475F1"/>
    <w:pPr>
      <w:keepLines/>
      <w:widowControl w:val="0"/>
      <w:suppressAutoHyphens/>
    </w:pPr>
    <w:rPr>
      <w:i/>
      <w:kern w:val="16"/>
    </w:rPr>
  </w:style>
  <w:style w:type="paragraph" w:styleId="FootnoteText">
    <w:name w:val="footnote text"/>
    <w:aliases w:val="ft,Footnote Text Char,fn,Footnote Text Char1,Footnote Text Char Char,Footnote Text Char1 Char,Footnote Text Char Char Char,Footnote Text Char Char1 Char,Footnote Text Char Char1,Footnote Text Char1 Char Char Char1 Char Char,fn Char"/>
    <w:basedOn w:val="Normal"/>
    <w:link w:val="FootnoteTextChar2"/>
    <w:qFormat/>
    <w:rsid w:val="006475F1"/>
    <w:pPr>
      <w:suppressAutoHyphens/>
      <w:spacing w:before="50"/>
      <w:ind w:left="216" w:hanging="216"/>
    </w:pPr>
    <w:rPr>
      <w:kern w:val="16"/>
      <w:sz w:val="18"/>
    </w:rPr>
  </w:style>
  <w:style w:type="character" w:customStyle="1" w:styleId="FootnoteTextChar2">
    <w:name w:val="Footnote Text Char2"/>
    <w:aliases w:val="ft Char,Footnote Text Char Char2,fn Char1,Footnote Text Char1 Char1,Footnote Text Char Char Char1,Footnote Text Char1 Char Char,Footnote Text Char Char Char Char,Footnote Text Char Char1 Char Char,Footnote Text Char Char1 Char1"/>
    <w:link w:val="FootnoteText"/>
    <w:rsid w:val="00924ADE"/>
    <w:rPr>
      <w:rFonts w:ascii="Arial" w:hAnsi="Arial"/>
      <w:kern w:val="16"/>
      <w:sz w:val="18"/>
    </w:rPr>
  </w:style>
  <w:style w:type="character" w:styleId="FootnoteReference">
    <w:name w:val="footnote reference"/>
    <w:aliases w:val="o,fr,o1,o2,o3,o4,o5,o6,o11,o21,o7"/>
    <w:qFormat/>
    <w:rsid w:val="006475F1"/>
    <w:rPr>
      <w:vertAlign w:val="superscript"/>
    </w:rPr>
  </w:style>
  <w:style w:type="character" w:styleId="CommentReference">
    <w:name w:val="annotation reference"/>
    <w:uiPriority w:val="99"/>
    <w:rsid w:val="00DB49D1"/>
    <w:rPr>
      <w:sz w:val="16"/>
      <w:szCs w:val="16"/>
    </w:rPr>
  </w:style>
  <w:style w:type="paragraph" w:customStyle="1" w:styleId="Paragraph">
    <w:name w:val="Paragraph"/>
    <w:basedOn w:val="Normal"/>
    <w:link w:val="ParagraphChar"/>
    <w:qFormat/>
    <w:rsid w:val="006475F1"/>
    <w:pPr>
      <w:suppressAutoHyphens/>
      <w:spacing w:before="120"/>
    </w:pPr>
    <w:rPr>
      <w:kern w:val="16"/>
    </w:rPr>
  </w:style>
  <w:style w:type="character" w:customStyle="1" w:styleId="ParagraphChar">
    <w:name w:val="Paragraph Char"/>
    <w:link w:val="Paragraph"/>
    <w:rsid w:val="008702FF"/>
    <w:rPr>
      <w:kern w:val="16"/>
      <w:sz w:val="24"/>
      <w:lang w:val="en-US" w:eastAsia="en-US" w:bidi="ar-SA"/>
    </w:rPr>
  </w:style>
  <w:style w:type="paragraph" w:styleId="CommentText">
    <w:name w:val="annotation text"/>
    <w:basedOn w:val="Normal"/>
    <w:link w:val="CommentTextChar"/>
    <w:uiPriority w:val="99"/>
    <w:rsid w:val="00DB49D1"/>
    <w:rPr>
      <w:sz w:val="20"/>
    </w:rPr>
  </w:style>
  <w:style w:type="character" w:customStyle="1" w:styleId="CommentTextChar">
    <w:name w:val="Comment Text Char"/>
    <w:link w:val="CommentText"/>
    <w:uiPriority w:val="99"/>
    <w:rsid w:val="007524D9"/>
    <w:rPr>
      <w:rFonts w:ascii="Arial" w:hAnsi="Arial"/>
    </w:rPr>
  </w:style>
  <w:style w:type="character" w:customStyle="1" w:styleId="ParaTextChar">
    <w:name w:val="ParaText Char"/>
    <w:rsid w:val="006475F1"/>
    <w:rPr>
      <w:rFonts w:ascii="Arial" w:hAnsi="Arial"/>
      <w:sz w:val="22"/>
      <w:lang w:val="en-US" w:eastAsia="en-US" w:bidi="ar-SA"/>
    </w:rPr>
  </w:style>
  <w:style w:type="paragraph" w:styleId="BalloonText">
    <w:name w:val="Balloon Text"/>
    <w:basedOn w:val="Normal"/>
    <w:link w:val="BalloonTextChar"/>
    <w:uiPriority w:val="99"/>
    <w:semiHidden/>
    <w:rsid w:val="006475F1"/>
    <w:rPr>
      <w:rFonts w:ascii="Tahoma" w:hAnsi="Tahoma" w:cs="Tahoma"/>
      <w:sz w:val="16"/>
      <w:szCs w:val="16"/>
    </w:rPr>
  </w:style>
  <w:style w:type="character" w:customStyle="1" w:styleId="BalloonTextChar">
    <w:name w:val="Balloon Text Char"/>
    <w:basedOn w:val="DefaultParagraphFont"/>
    <w:link w:val="BalloonText"/>
    <w:uiPriority w:val="99"/>
    <w:semiHidden/>
    <w:rsid w:val="00143C39"/>
    <w:rPr>
      <w:rFonts w:ascii="Tahoma" w:hAnsi="Tahoma" w:cs="Tahoma"/>
      <w:sz w:val="16"/>
      <w:szCs w:val="16"/>
    </w:rPr>
  </w:style>
  <w:style w:type="paragraph" w:styleId="CommentSubject">
    <w:name w:val="annotation subject"/>
    <w:basedOn w:val="CommentText"/>
    <w:next w:val="CommentText"/>
    <w:link w:val="CommentSubjectChar"/>
    <w:rsid w:val="00DB49D1"/>
    <w:rPr>
      <w:b/>
      <w:bCs/>
    </w:rPr>
  </w:style>
  <w:style w:type="character" w:customStyle="1" w:styleId="CommentSubjectChar">
    <w:name w:val="Comment Subject Char"/>
    <w:basedOn w:val="CommentTextChar"/>
    <w:link w:val="CommentSubject"/>
    <w:rsid w:val="00143C39"/>
    <w:rPr>
      <w:rFonts w:ascii="Arial" w:hAnsi="Arial"/>
      <w:b/>
      <w:bCs/>
    </w:rPr>
  </w:style>
  <w:style w:type="table" w:styleId="TableGrid">
    <w:name w:val="Table Grid"/>
    <w:basedOn w:val="TableNormal"/>
    <w:uiPriority w:val="59"/>
    <w:rsid w:val="008246A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9A1CA0"/>
    <w:rPr>
      <w:color w:val="0000FF"/>
      <w:spacing w:val="0"/>
      <w:u w:val="double"/>
    </w:rPr>
  </w:style>
  <w:style w:type="paragraph" w:styleId="DocumentMap">
    <w:name w:val="Document Map"/>
    <w:basedOn w:val="Normal"/>
    <w:semiHidden/>
    <w:rsid w:val="00F767F7"/>
    <w:pPr>
      <w:shd w:val="clear" w:color="auto" w:fill="000080"/>
    </w:pPr>
    <w:rPr>
      <w:rFonts w:ascii="Tahoma" w:hAnsi="Tahoma" w:cs="Tahoma"/>
      <w:sz w:val="20"/>
    </w:rPr>
  </w:style>
  <w:style w:type="paragraph" w:customStyle="1" w:styleId="BPM">
    <w:name w:val="BPM"/>
    <w:basedOn w:val="ParaText"/>
    <w:link w:val="BPMChar"/>
    <w:qFormat/>
    <w:rsid w:val="007524D9"/>
  </w:style>
  <w:style w:type="character" w:customStyle="1" w:styleId="BPMChar">
    <w:name w:val="BPM Char"/>
    <w:link w:val="BPM"/>
    <w:rsid w:val="007524D9"/>
    <w:rPr>
      <w:rFonts w:ascii="Arial" w:hAnsi="Arial" w:cs="Arial"/>
      <w:sz w:val="22"/>
    </w:rPr>
  </w:style>
  <w:style w:type="paragraph" w:styleId="ListParagraph">
    <w:name w:val="List Paragraph"/>
    <w:basedOn w:val="Normal"/>
    <w:uiPriority w:val="34"/>
    <w:qFormat/>
    <w:rsid w:val="004848E7"/>
    <w:pPr>
      <w:ind w:left="720"/>
    </w:pPr>
  </w:style>
  <w:style w:type="paragraph" w:customStyle="1" w:styleId="BPM2">
    <w:name w:val="BPM2"/>
    <w:basedOn w:val="Bullet1HRt"/>
    <w:link w:val="BPM2Char"/>
    <w:qFormat/>
    <w:rsid w:val="004848E7"/>
  </w:style>
  <w:style w:type="character" w:customStyle="1" w:styleId="BPM2Char">
    <w:name w:val="BPM2 Char"/>
    <w:link w:val="BPM2"/>
    <w:rsid w:val="004848E7"/>
    <w:rPr>
      <w:rFonts w:asciiTheme="minorHAnsi" w:eastAsiaTheme="minorHAnsi" w:hAnsiTheme="minorHAnsi" w:cstheme="minorBidi"/>
      <w:sz w:val="22"/>
      <w:szCs w:val="22"/>
    </w:rPr>
  </w:style>
  <w:style w:type="paragraph" w:customStyle="1" w:styleId="BPM3">
    <w:name w:val="BPM 3"/>
    <w:basedOn w:val="Heading4"/>
    <w:link w:val="BPM3Char"/>
    <w:qFormat/>
    <w:rsid w:val="00B46C4A"/>
  </w:style>
  <w:style w:type="character" w:customStyle="1" w:styleId="BPM3Char">
    <w:name w:val="BPM 3 Char"/>
    <w:link w:val="BPM3"/>
    <w:rsid w:val="00B46C4A"/>
    <w:rPr>
      <w:rFonts w:asciiTheme="minorHAnsi" w:eastAsiaTheme="minorHAnsi" w:hAnsiTheme="minorHAnsi" w:cstheme="minorBidi"/>
      <w:b/>
      <w:sz w:val="22"/>
      <w:szCs w:val="22"/>
    </w:rPr>
  </w:style>
  <w:style w:type="paragraph" w:customStyle="1" w:styleId="BPM1">
    <w:name w:val="BPM1"/>
    <w:basedOn w:val="Heading2"/>
    <w:link w:val="BPM1Char"/>
    <w:qFormat/>
    <w:rsid w:val="00FB27B8"/>
  </w:style>
  <w:style w:type="character" w:customStyle="1" w:styleId="BPM1Char">
    <w:name w:val="BPM1 Char"/>
    <w:link w:val="BPM1"/>
    <w:rsid w:val="00FB27B8"/>
    <w:rPr>
      <w:rFonts w:asciiTheme="minorHAnsi" w:eastAsiaTheme="minorHAnsi" w:hAnsiTheme="minorHAnsi" w:cstheme="minorBidi"/>
      <w:b/>
      <w:sz w:val="30"/>
      <w:szCs w:val="22"/>
    </w:rPr>
  </w:style>
  <w:style w:type="paragraph" w:customStyle="1" w:styleId="Style1">
    <w:name w:val="Style1"/>
    <w:basedOn w:val="Heading4"/>
    <w:link w:val="Style1Char"/>
    <w:qFormat/>
    <w:rsid w:val="00FB27B8"/>
  </w:style>
  <w:style w:type="character" w:customStyle="1" w:styleId="Style1Char">
    <w:name w:val="Style1 Char"/>
    <w:link w:val="Style1"/>
    <w:rsid w:val="00FB27B8"/>
    <w:rPr>
      <w:rFonts w:asciiTheme="minorHAnsi" w:eastAsiaTheme="minorHAnsi" w:hAnsiTheme="minorHAnsi" w:cstheme="minorBidi"/>
      <w:b/>
      <w:sz w:val="22"/>
      <w:szCs w:val="22"/>
    </w:rPr>
  </w:style>
  <w:style w:type="paragraph" w:customStyle="1" w:styleId="Style2">
    <w:name w:val="Style2"/>
    <w:basedOn w:val="Heading3"/>
    <w:link w:val="Style2Char"/>
    <w:qFormat/>
    <w:rsid w:val="00FB27B8"/>
  </w:style>
  <w:style w:type="character" w:customStyle="1" w:styleId="Style2Char">
    <w:name w:val="Style2 Char"/>
    <w:link w:val="Style2"/>
    <w:rsid w:val="00FB27B8"/>
    <w:rPr>
      <w:rFonts w:asciiTheme="minorHAnsi" w:eastAsiaTheme="minorHAnsi" w:hAnsiTheme="minorHAnsi" w:cstheme="minorBidi"/>
      <w:b/>
      <w:sz w:val="26"/>
      <w:szCs w:val="22"/>
    </w:rPr>
  </w:style>
  <w:style w:type="paragraph" w:customStyle="1" w:styleId="Style3">
    <w:name w:val="Style3"/>
    <w:basedOn w:val="ParaText"/>
    <w:link w:val="Style3Char"/>
    <w:qFormat/>
    <w:rsid w:val="00D6381C"/>
  </w:style>
  <w:style w:type="character" w:customStyle="1" w:styleId="Style3Char">
    <w:name w:val="Style3 Char"/>
    <w:link w:val="Style3"/>
    <w:rsid w:val="00D6381C"/>
    <w:rPr>
      <w:rFonts w:ascii="Arial" w:hAnsi="Arial" w:cs="Arial"/>
      <w:sz w:val="22"/>
    </w:rPr>
  </w:style>
  <w:style w:type="paragraph" w:customStyle="1" w:styleId="Style4">
    <w:name w:val="Style4"/>
    <w:basedOn w:val="ParaText"/>
    <w:link w:val="Style4Char"/>
    <w:qFormat/>
    <w:rsid w:val="00180B8F"/>
    <w:pPr>
      <w:spacing w:before="120" w:after="0"/>
    </w:pPr>
  </w:style>
  <w:style w:type="character" w:customStyle="1" w:styleId="Style4Char">
    <w:name w:val="Style4 Char"/>
    <w:link w:val="Style4"/>
    <w:rsid w:val="00180B8F"/>
    <w:rPr>
      <w:rFonts w:ascii="Arial" w:hAnsi="Arial" w:cs="Arial"/>
      <w:sz w:val="22"/>
    </w:rPr>
  </w:style>
  <w:style w:type="paragraph" w:customStyle="1" w:styleId="Style5">
    <w:name w:val="Style5"/>
    <w:basedOn w:val="ParaText"/>
    <w:link w:val="Style5Char"/>
    <w:qFormat/>
    <w:rsid w:val="00AC7BD6"/>
  </w:style>
  <w:style w:type="character" w:customStyle="1" w:styleId="Style5Char">
    <w:name w:val="Style5 Char"/>
    <w:link w:val="Style5"/>
    <w:rsid w:val="00AC7BD6"/>
    <w:rPr>
      <w:rFonts w:ascii="Arial" w:hAnsi="Arial" w:cs="Arial"/>
      <w:sz w:val="22"/>
    </w:rPr>
  </w:style>
  <w:style w:type="character" w:customStyle="1" w:styleId="tx1">
    <w:name w:val="tx1"/>
    <w:rsid w:val="001A5EF4"/>
    <w:rPr>
      <w:b/>
      <w:bCs/>
    </w:rPr>
  </w:style>
  <w:style w:type="paragraph" w:customStyle="1" w:styleId="Style6">
    <w:name w:val="Style6"/>
    <w:basedOn w:val="Bullet1"/>
    <w:link w:val="Style6Char"/>
    <w:qFormat/>
    <w:rsid w:val="00770CC2"/>
  </w:style>
  <w:style w:type="character" w:customStyle="1" w:styleId="Style6Char">
    <w:name w:val="Style6 Char"/>
    <w:link w:val="Style6"/>
    <w:rsid w:val="00770CC2"/>
    <w:rPr>
      <w:rFonts w:asciiTheme="minorHAnsi" w:eastAsiaTheme="minorHAnsi" w:hAnsiTheme="minorHAnsi" w:cstheme="minorBidi"/>
      <w:sz w:val="22"/>
      <w:szCs w:val="22"/>
    </w:rPr>
  </w:style>
  <w:style w:type="paragraph" w:styleId="NoSpacing">
    <w:name w:val="No Spacing"/>
    <w:uiPriority w:val="1"/>
    <w:qFormat/>
    <w:rsid w:val="009769FA"/>
    <w:pPr>
      <w:jc w:val="both"/>
    </w:pPr>
    <w:rPr>
      <w:rFonts w:ascii="Arial" w:hAnsi="Arial"/>
      <w:sz w:val="22"/>
    </w:rPr>
  </w:style>
  <w:style w:type="paragraph" w:customStyle="1" w:styleId="Default">
    <w:name w:val="Default"/>
    <w:rsid w:val="00B44090"/>
    <w:pPr>
      <w:autoSpaceDE w:val="0"/>
      <w:autoSpaceDN w:val="0"/>
      <w:adjustRightInd w:val="0"/>
    </w:pPr>
    <w:rPr>
      <w:rFonts w:ascii="Arial" w:hAnsi="Arial" w:cs="Arial"/>
      <w:color w:val="000000"/>
      <w:sz w:val="24"/>
      <w:szCs w:val="24"/>
    </w:rPr>
  </w:style>
  <w:style w:type="character" w:customStyle="1" w:styleId="EmailStyle151">
    <w:name w:val="EmailStyle151"/>
    <w:basedOn w:val="DefaultParagraphFont"/>
    <w:rsid w:val="00C35D4D"/>
    <w:rPr>
      <w:rFonts w:ascii="Arial" w:hAnsi="Arial" w:cs="Arial"/>
      <w:color w:val="auto"/>
      <w:sz w:val="20"/>
    </w:rPr>
  </w:style>
  <w:style w:type="paragraph" w:customStyle="1" w:styleId="TOCHeading1">
    <w:name w:val="TOC Heading1"/>
    <w:basedOn w:val="Heading1"/>
    <w:next w:val="Normal"/>
    <w:uiPriority w:val="39"/>
    <w:semiHidden/>
    <w:unhideWhenUsed/>
    <w:qFormat/>
    <w:rsid w:val="006C2CAC"/>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paragraph" w:styleId="BodyText">
    <w:name w:val="Body Text"/>
    <w:basedOn w:val="Normal"/>
    <w:link w:val="BodyTextChar"/>
    <w:rsid w:val="006C2CAC"/>
    <w:pPr>
      <w:spacing w:before="120"/>
      <w:ind w:left="360"/>
    </w:pPr>
  </w:style>
  <w:style w:type="character" w:customStyle="1" w:styleId="BodyTextChar">
    <w:name w:val="Body Text Char"/>
    <w:link w:val="BodyText"/>
    <w:rsid w:val="006C2CAC"/>
    <w:rPr>
      <w:rFonts w:ascii="Arial" w:hAnsi="Arial"/>
      <w:sz w:val="22"/>
      <w:szCs w:val="24"/>
    </w:rPr>
  </w:style>
  <w:style w:type="paragraph" w:customStyle="1" w:styleId="ColorfulList-Accent11">
    <w:name w:val="Colorful List - Accent 11"/>
    <w:basedOn w:val="Normal"/>
    <w:uiPriority w:val="34"/>
    <w:qFormat/>
    <w:rsid w:val="00CB3BFB"/>
    <w:pPr>
      <w:ind w:left="720"/>
      <w:contextualSpacing/>
    </w:pPr>
  </w:style>
  <w:style w:type="table" w:customStyle="1" w:styleId="TableGrid1">
    <w:name w:val="Table Grid1"/>
    <w:basedOn w:val="TableNormal"/>
    <w:next w:val="TableGrid"/>
    <w:uiPriority w:val="59"/>
    <w:rsid w:val="0061268E"/>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1268E"/>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60D13"/>
    <w:rPr>
      <w:color w:val="800080"/>
      <w:u w:val="single"/>
    </w:rPr>
  </w:style>
  <w:style w:type="character" w:customStyle="1" w:styleId="ContentChar">
    <w:name w:val="Content Char"/>
    <w:link w:val="Content"/>
    <w:locked/>
    <w:rsid w:val="008F7A5E"/>
    <w:rPr>
      <w:rFonts w:ascii="Arial" w:hAnsi="Arial" w:cs="Arial"/>
      <w:sz w:val="22"/>
    </w:rPr>
  </w:style>
  <w:style w:type="paragraph" w:customStyle="1" w:styleId="Content">
    <w:name w:val="Content"/>
    <w:basedOn w:val="Normal"/>
    <w:link w:val="ContentChar"/>
    <w:qFormat/>
    <w:rsid w:val="008F7A5E"/>
    <w:pPr>
      <w:spacing w:after="240" w:line="300" w:lineRule="auto"/>
    </w:pPr>
  </w:style>
  <w:style w:type="character" w:customStyle="1" w:styleId="BulletsChar">
    <w:name w:val="Bullets Char"/>
    <w:link w:val="Bullets"/>
    <w:locked/>
    <w:rsid w:val="008F7A5E"/>
    <w:rPr>
      <w:rFonts w:ascii="Arial" w:hAnsi="Arial" w:cs="Arial"/>
      <w:sz w:val="22"/>
    </w:rPr>
  </w:style>
  <w:style w:type="paragraph" w:customStyle="1" w:styleId="Bullets">
    <w:name w:val="Bullets"/>
    <w:basedOn w:val="Bullet1HRt"/>
    <w:link w:val="BulletsChar"/>
    <w:qFormat/>
    <w:rsid w:val="008F7A5E"/>
    <w:pPr>
      <w:numPr>
        <w:numId w:val="0"/>
      </w:numPr>
      <w:tabs>
        <w:tab w:val="num" w:pos="720"/>
      </w:tabs>
      <w:ind w:left="720" w:hanging="360"/>
    </w:pPr>
  </w:style>
  <w:style w:type="paragraph" w:customStyle="1" w:styleId="hangingsection">
    <w:name w:val="hanging section"/>
    <w:basedOn w:val="Normal"/>
    <w:qFormat/>
    <w:rsid w:val="00C63A30"/>
    <w:pPr>
      <w:widowControl w:val="0"/>
      <w:suppressAutoHyphens/>
      <w:autoSpaceDE w:val="0"/>
      <w:autoSpaceDN w:val="0"/>
      <w:adjustRightInd w:val="0"/>
      <w:spacing w:after="240"/>
      <w:ind w:left="1440" w:hanging="720"/>
    </w:pPr>
    <w:rPr>
      <w:rFonts w:cs="Arial"/>
      <w:kern w:val="16"/>
    </w:rPr>
  </w:style>
  <w:style w:type="character" w:styleId="Emphasis">
    <w:name w:val="Emphasis"/>
    <w:qFormat/>
    <w:rsid w:val="00C63A30"/>
    <w:rPr>
      <w:rFonts w:ascii="Arial" w:hAnsi="Arial"/>
      <w:i/>
      <w:iCs/>
      <w:color w:val="0000FF"/>
      <w:sz w:val="22"/>
      <w:szCs w:val="20"/>
    </w:rPr>
  </w:style>
  <w:style w:type="paragraph" w:styleId="Revision">
    <w:name w:val="Revision"/>
    <w:hidden/>
    <w:uiPriority w:val="99"/>
    <w:semiHidden/>
    <w:rsid w:val="00021E09"/>
    <w:rPr>
      <w:rFonts w:ascii="Arial" w:hAnsi="Arial"/>
      <w:sz w:val="22"/>
    </w:rPr>
  </w:style>
  <w:style w:type="paragraph" w:customStyle="1" w:styleId="AFID">
    <w:name w:val="AFID"/>
    <w:basedOn w:val="Normal"/>
    <w:qFormat/>
    <w:rsid w:val="00924ADE"/>
    <w:pPr>
      <w:spacing w:line="480" w:lineRule="auto"/>
      <w:ind w:firstLine="720"/>
    </w:pPr>
    <w:rPr>
      <w:rFonts w:eastAsia="Calibri" w:cs="Arial"/>
    </w:rPr>
  </w:style>
  <w:style w:type="paragraph" w:styleId="Closing">
    <w:name w:val="Closing"/>
    <w:basedOn w:val="Normal"/>
    <w:link w:val="ClosingChar"/>
    <w:rsid w:val="007C3DB7"/>
    <w:pPr>
      <w:spacing w:line="220" w:lineRule="atLeast"/>
      <w:ind w:left="840" w:right="-360"/>
    </w:pPr>
    <w:rPr>
      <w:sz w:val="20"/>
    </w:rPr>
  </w:style>
  <w:style w:type="character" w:customStyle="1" w:styleId="ClosingChar">
    <w:name w:val="Closing Char"/>
    <w:basedOn w:val="DefaultParagraphFont"/>
    <w:link w:val="Closing"/>
    <w:rsid w:val="007C3DB7"/>
  </w:style>
  <w:style w:type="paragraph" w:styleId="PlainText">
    <w:name w:val="Plain Text"/>
    <w:basedOn w:val="Normal"/>
    <w:link w:val="PlainTextChar"/>
    <w:uiPriority w:val="99"/>
    <w:unhideWhenUsed/>
    <w:rsid w:val="002F635A"/>
    <w:rPr>
      <w:rFonts w:ascii="Calibri" w:eastAsia="Calibri" w:hAnsi="Calibri"/>
      <w:szCs w:val="21"/>
    </w:rPr>
  </w:style>
  <w:style w:type="character" w:customStyle="1" w:styleId="PlainTextChar">
    <w:name w:val="Plain Text Char"/>
    <w:link w:val="PlainText"/>
    <w:uiPriority w:val="99"/>
    <w:rsid w:val="002F635A"/>
    <w:rPr>
      <w:rFonts w:ascii="Calibri" w:eastAsia="Calibri" w:hAnsi="Calibri"/>
      <w:sz w:val="22"/>
      <w:szCs w:val="21"/>
    </w:rPr>
  </w:style>
  <w:style w:type="paragraph" w:customStyle="1" w:styleId="hangingnumber">
    <w:name w:val="hanging number"/>
    <w:basedOn w:val="Normal"/>
    <w:qFormat/>
    <w:rsid w:val="00E87D11"/>
    <w:pPr>
      <w:widowControl w:val="0"/>
      <w:autoSpaceDE w:val="0"/>
      <w:autoSpaceDN w:val="0"/>
      <w:adjustRightInd w:val="0"/>
      <w:spacing w:after="240"/>
      <w:ind w:left="2160" w:hanging="720"/>
    </w:pPr>
    <w:rPr>
      <w:rFonts w:cs="Arial"/>
      <w:kern w:val="16"/>
    </w:rPr>
  </w:style>
  <w:style w:type="table" w:customStyle="1" w:styleId="TableGrid3">
    <w:name w:val="Table Grid3"/>
    <w:basedOn w:val="TableNormal"/>
    <w:next w:val="TableGrid"/>
    <w:uiPriority w:val="59"/>
    <w:rsid w:val="00DB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39CD"/>
    <w:pPr>
      <w:spacing w:before="100" w:beforeAutospacing="1" w:after="100" w:afterAutospacing="1"/>
    </w:pPr>
  </w:style>
  <w:style w:type="paragraph" w:customStyle="1" w:styleId="Figure">
    <w:name w:val="Figure"/>
    <w:basedOn w:val="Normal"/>
    <w:next w:val="Caption"/>
    <w:uiPriority w:val="1"/>
    <w:qFormat/>
    <w:rsid w:val="00DB39CD"/>
    <w:pPr>
      <w:keepNext/>
      <w:keepLines/>
      <w:widowControl w:val="0"/>
      <w:suppressAutoHyphens/>
      <w:spacing w:before="120"/>
      <w:jc w:val="center"/>
    </w:pPr>
    <w:rPr>
      <w:kern w:val="16"/>
    </w:rPr>
  </w:style>
  <w:style w:type="paragraph" w:customStyle="1" w:styleId="bullet">
    <w:name w:val="bullet"/>
    <w:basedOn w:val="Normal"/>
    <w:rsid w:val="00143C39"/>
    <w:pPr>
      <w:spacing w:before="120"/>
    </w:pPr>
    <w:rPr>
      <w:sz w:val="20"/>
    </w:rPr>
  </w:style>
  <w:style w:type="paragraph" w:customStyle="1" w:styleId="heading10">
    <w:name w:val="heading1"/>
    <w:basedOn w:val="Normal"/>
    <w:rsid w:val="00143C39"/>
    <w:pPr>
      <w:tabs>
        <w:tab w:val="left" w:pos="450"/>
        <w:tab w:val="left" w:pos="1080"/>
        <w:tab w:val="left" w:pos="1800"/>
        <w:tab w:val="left" w:pos="2610"/>
      </w:tabs>
      <w:spacing w:before="120"/>
    </w:pPr>
  </w:style>
  <w:style w:type="paragraph" w:customStyle="1" w:styleId="level4">
    <w:name w:val="level 4"/>
    <w:basedOn w:val="Normal"/>
    <w:rsid w:val="00143C39"/>
    <w:pPr>
      <w:spacing w:before="120"/>
      <w:ind w:left="634"/>
    </w:pPr>
  </w:style>
  <w:style w:type="paragraph" w:customStyle="1" w:styleId="level5">
    <w:name w:val="level 5"/>
    <w:basedOn w:val="Normal"/>
    <w:rsid w:val="00143C39"/>
    <w:pPr>
      <w:tabs>
        <w:tab w:val="left" w:pos="2520"/>
      </w:tabs>
      <w:spacing w:before="120"/>
      <w:ind w:left="1440"/>
    </w:pPr>
  </w:style>
  <w:style w:type="paragraph" w:customStyle="1" w:styleId="TOCEntry">
    <w:name w:val="TOCEntry"/>
    <w:basedOn w:val="Normal"/>
    <w:rsid w:val="00143C39"/>
    <w:pPr>
      <w:keepNext/>
      <w:keepLines/>
      <w:spacing w:before="120" w:after="240" w:line="240" w:lineRule="atLeast"/>
    </w:pPr>
    <w:rPr>
      <w:b/>
      <w:sz w:val="36"/>
    </w:rPr>
  </w:style>
  <w:style w:type="paragraph" w:customStyle="1" w:styleId="template">
    <w:name w:val="template"/>
    <w:basedOn w:val="Normal"/>
    <w:rsid w:val="00143C39"/>
    <w:pPr>
      <w:spacing w:before="120"/>
    </w:pPr>
    <w:rPr>
      <w:i/>
    </w:rPr>
  </w:style>
  <w:style w:type="paragraph" w:customStyle="1" w:styleId="level3text">
    <w:name w:val="level 3 text"/>
    <w:basedOn w:val="Normal"/>
    <w:rsid w:val="00143C39"/>
    <w:pPr>
      <w:spacing w:before="120" w:line="220" w:lineRule="exact"/>
      <w:ind w:left="1350" w:hanging="716"/>
    </w:pPr>
    <w:rPr>
      <w:i/>
    </w:rPr>
  </w:style>
  <w:style w:type="paragraph" w:customStyle="1" w:styleId="requirement">
    <w:name w:val="requirement"/>
    <w:basedOn w:val="level4"/>
    <w:rsid w:val="00143C39"/>
    <w:pPr>
      <w:spacing w:before="0"/>
      <w:ind w:left="2348" w:hanging="994"/>
    </w:pPr>
  </w:style>
  <w:style w:type="paragraph" w:customStyle="1" w:styleId="ByLine">
    <w:name w:val="ByLine"/>
    <w:basedOn w:val="Title"/>
    <w:rsid w:val="00143C39"/>
    <w:pPr>
      <w:keepNext w:val="0"/>
      <w:keepLines w:val="0"/>
      <w:tabs>
        <w:tab w:val="clear" w:pos="576"/>
      </w:tabs>
      <w:spacing w:after="720"/>
      <w:jc w:val="right"/>
    </w:pPr>
    <w:rPr>
      <w:b/>
      <w:sz w:val="28"/>
    </w:rPr>
  </w:style>
  <w:style w:type="paragraph" w:customStyle="1" w:styleId="ChangeHistoryTitle">
    <w:name w:val="ChangeHistory Title"/>
    <w:basedOn w:val="Normal"/>
    <w:rsid w:val="00143C39"/>
    <w:pPr>
      <w:keepNext/>
      <w:spacing w:before="60" w:after="60"/>
      <w:jc w:val="center"/>
    </w:pPr>
    <w:rPr>
      <w:b/>
      <w:sz w:val="36"/>
    </w:rPr>
  </w:style>
  <w:style w:type="paragraph" w:customStyle="1" w:styleId="SuperTitle">
    <w:name w:val="SuperTitle"/>
    <w:basedOn w:val="Title"/>
    <w:next w:val="Normal"/>
    <w:rsid w:val="00143C39"/>
    <w:pPr>
      <w:keepNext w:val="0"/>
      <w:keepLines w:val="0"/>
      <w:pBdr>
        <w:top w:val="single" w:sz="48" w:space="1" w:color="auto"/>
      </w:pBdr>
      <w:tabs>
        <w:tab w:val="clear" w:pos="576"/>
      </w:tabs>
      <w:spacing w:before="960" w:after="0"/>
      <w:jc w:val="right"/>
    </w:pPr>
    <w:rPr>
      <w:b/>
      <w:sz w:val="28"/>
    </w:rPr>
  </w:style>
  <w:style w:type="paragraph" w:customStyle="1" w:styleId="line">
    <w:name w:val="line"/>
    <w:basedOn w:val="Title"/>
    <w:rsid w:val="00143C39"/>
    <w:pPr>
      <w:keepNext w:val="0"/>
      <w:keepLines w:val="0"/>
      <w:pBdr>
        <w:top w:val="single" w:sz="36" w:space="1" w:color="auto"/>
      </w:pBdr>
      <w:tabs>
        <w:tab w:val="clear" w:pos="576"/>
      </w:tabs>
      <w:spacing w:after="0"/>
      <w:jc w:val="right"/>
    </w:pPr>
    <w:rPr>
      <w:b/>
      <w:sz w:val="40"/>
    </w:rPr>
  </w:style>
  <w:style w:type="paragraph" w:customStyle="1" w:styleId="Tabletext">
    <w:name w:val="Tabletext"/>
    <w:basedOn w:val="Normal"/>
    <w:rsid w:val="00143C39"/>
    <w:pPr>
      <w:keepLines/>
      <w:widowControl w:val="0"/>
      <w:spacing w:before="120" w:line="240" w:lineRule="atLeast"/>
    </w:pPr>
    <w:rPr>
      <w:sz w:val="20"/>
    </w:rPr>
  </w:style>
  <w:style w:type="paragraph" w:styleId="BodyText2">
    <w:name w:val="Body Text 2"/>
    <w:basedOn w:val="Normal"/>
    <w:link w:val="BodyText2Char"/>
    <w:rsid w:val="00143C39"/>
    <w:pPr>
      <w:spacing w:before="120"/>
    </w:pPr>
    <w:rPr>
      <w:sz w:val="20"/>
    </w:rPr>
  </w:style>
  <w:style w:type="character" w:customStyle="1" w:styleId="BodyText2Char">
    <w:name w:val="Body Text 2 Char"/>
    <w:basedOn w:val="DefaultParagraphFont"/>
    <w:link w:val="BodyText2"/>
    <w:rsid w:val="00143C39"/>
    <w:rPr>
      <w:szCs w:val="24"/>
    </w:rPr>
  </w:style>
  <w:style w:type="paragraph" w:styleId="BodyTextIndent3">
    <w:name w:val="Body Text Indent 3"/>
    <w:basedOn w:val="Normal"/>
    <w:link w:val="BodyTextIndent3Char"/>
    <w:rsid w:val="00143C39"/>
    <w:pPr>
      <w:spacing w:before="120"/>
      <w:ind w:left="360"/>
    </w:pPr>
    <w:rPr>
      <w:sz w:val="16"/>
      <w:szCs w:val="16"/>
    </w:rPr>
  </w:style>
  <w:style w:type="character" w:customStyle="1" w:styleId="BodyTextIndent3Char">
    <w:name w:val="Body Text Indent 3 Char"/>
    <w:basedOn w:val="DefaultParagraphFont"/>
    <w:link w:val="BodyTextIndent3"/>
    <w:rsid w:val="00143C39"/>
    <w:rPr>
      <w:rFonts w:ascii="Arial" w:hAnsi="Arial"/>
      <w:sz w:val="16"/>
      <w:szCs w:val="16"/>
    </w:rPr>
  </w:style>
  <w:style w:type="paragraph" w:styleId="BodyTextIndent">
    <w:name w:val="Body Text Indent"/>
    <w:basedOn w:val="Normal"/>
    <w:link w:val="BodyTextIndentChar"/>
    <w:rsid w:val="00143C39"/>
    <w:pPr>
      <w:spacing w:before="120"/>
      <w:ind w:left="720"/>
    </w:pPr>
    <w:rPr>
      <w:sz w:val="20"/>
    </w:rPr>
  </w:style>
  <w:style w:type="character" w:customStyle="1" w:styleId="BodyTextIndentChar">
    <w:name w:val="Body Text Indent Char"/>
    <w:basedOn w:val="DefaultParagraphFont"/>
    <w:link w:val="BodyTextIndent"/>
    <w:rsid w:val="00143C39"/>
    <w:rPr>
      <w:rFonts w:ascii="Arial" w:hAnsi="Arial"/>
    </w:rPr>
  </w:style>
  <w:style w:type="paragraph" w:customStyle="1" w:styleId="TableColumnHeads">
    <w:name w:val="Table Column Heads"/>
    <w:basedOn w:val="Normal"/>
    <w:rsid w:val="00143C39"/>
    <w:pPr>
      <w:keepLines/>
      <w:spacing w:before="120"/>
    </w:pPr>
    <w:rPr>
      <w:rFonts w:ascii="Arial Narrow" w:hAnsi="Arial Narrow"/>
      <w:b/>
      <w:bCs/>
      <w:smallCaps/>
    </w:rPr>
  </w:style>
  <w:style w:type="paragraph" w:styleId="BodyTextIndent2">
    <w:name w:val="Body Text Indent 2"/>
    <w:basedOn w:val="Normal"/>
    <w:link w:val="BodyTextIndent2Char"/>
    <w:rsid w:val="00143C39"/>
    <w:pPr>
      <w:spacing w:before="120"/>
      <w:ind w:left="720"/>
    </w:pPr>
  </w:style>
  <w:style w:type="character" w:customStyle="1" w:styleId="BodyTextIndent2Char">
    <w:name w:val="Body Text Indent 2 Char"/>
    <w:basedOn w:val="DefaultParagraphFont"/>
    <w:link w:val="BodyTextIndent2"/>
    <w:rsid w:val="00143C39"/>
    <w:rPr>
      <w:rFonts w:ascii="Arial" w:hAnsi="Arial"/>
      <w:sz w:val="22"/>
    </w:rPr>
  </w:style>
  <w:style w:type="paragraph" w:customStyle="1" w:styleId="InfoBlue">
    <w:name w:val="InfoBlue"/>
    <w:basedOn w:val="Normal"/>
    <w:next w:val="BodyText"/>
    <w:autoRedefine/>
    <w:rsid w:val="00143C39"/>
    <w:pPr>
      <w:spacing w:before="120"/>
    </w:pPr>
    <w:rPr>
      <w:b/>
      <w:bCs/>
      <w:i/>
      <w:color w:val="0000FF"/>
      <w:sz w:val="20"/>
    </w:rPr>
  </w:style>
  <w:style w:type="paragraph" w:customStyle="1" w:styleId="SectionLabel">
    <w:name w:val="Section Label"/>
    <w:basedOn w:val="Normal"/>
    <w:next w:val="Normal"/>
    <w:rsid w:val="00143C39"/>
    <w:pPr>
      <w:spacing w:before="2040" w:after="360" w:line="480" w:lineRule="atLeast"/>
    </w:pPr>
    <w:rPr>
      <w:rFonts w:ascii="Arial Black" w:hAnsi="Arial Black"/>
      <w:color w:val="808080"/>
      <w:spacing w:val="-35"/>
      <w:sz w:val="48"/>
    </w:rPr>
  </w:style>
  <w:style w:type="character" w:styleId="LineNumber">
    <w:name w:val="line number"/>
    <w:basedOn w:val="DefaultParagraphFont"/>
    <w:rsid w:val="00143C39"/>
  </w:style>
  <w:style w:type="paragraph" w:customStyle="1" w:styleId="TableText0">
    <w:name w:val="Table Text"/>
    <w:basedOn w:val="Normal"/>
    <w:link w:val="TableTextCharChar"/>
    <w:autoRedefine/>
    <w:rsid w:val="00143C39"/>
    <w:pPr>
      <w:spacing w:before="120"/>
    </w:pPr>
    <w:rPr>
      <w:rFonts w:eastAsia="Calibri"/>
      <w:sz w:val="20"/>
    </w:rPr>
  </w:style>
  <w:style w:type="character" w:customStyle="1" w:styleId="TableTextCharChar">
    <w:name w:val="Table Text Char Char"/>
    <w:basedOn w:val="DefaultParagraphFont"/>
    <w:link w:val="TableText0"/>
    <w:locked/>
    <w:rsid w:val="00143C39"/>
    <w:rPr>
      <w:rFonts w:ascii="Arial" w:eastAsia="Calibri" w:hAnsi="Arial"/>
    </w:rPr>
  </w:style>
  <w:style w:type="character" w:customStyle="1" w:styleId="msoins0">
    <w:name w:val="msoins"/>
    <w:basedOn w:val="DefaultParagraphFont"/>
    <w:rsid w:val="00143C39"/>
  </w:style>
  <w:style w:type="character" w:customStyle="1" w:styleId="content1">
    <w:name w:val="content1"/>
    <w:basedOn w:val="DefaultParagraphFont"/>
    <w:rsid w:val="00143C39"/>
    <w:rPr>
      <w:rFonts w:ascii="Arial" w:hAnsi="Arial" w:cs="Arial" w:hint="default"/>
      <w:color w:val="000000"/>
      <w:sz w:val="17"/>
      <w:szCs w:val="17"/>
    </w:rPr>
  </w:style>
  <w:style w:type="character" w:customStyle="1" w:styleId="EmailStyle161">
    <w:name w:val="EmailStyle161"/>
    <w:basedOn w:val="DefaultParagraphFont"/>
    <w:rsid w:val="00C35D4D"/>
    <w:rPr>
      <w:rFonts w:ascii="Arial" w:hAnsi="Arial" w:cs="Arial"/>
      <w:color w:val="auto"/>
      <w:sz w:val="20"/>
    </w:rPr>
  </w:style>
  <w:style w:type="paragraph" w:styleId="EndnoteText">
    <w:name w:val="endnote text"/>
    <w:basedOn w:val="Paragraph"/>
    <w:link w:val="EndnoteTextChar"/>
    <w:rsid w:val="00143C39"/>
    <w:pPr>
      <w:spacing w:before="55"/>
    </w:pPr>
    <w:rPr>
      <w:kern w:val="0"/>
    </w:rPr>
  </w:style>
  <w:style w:type="character" w:customStyle="1" w:styleId="EndnoteTextChar">
    <w:name w:val="Endnote Text Char"/>
    <w:basedOn w:val="DefaultParagraphFont"/>
    <w:link w:val="EndnoteText"/>
    <w:rsid w:val="00143C39"/>
    <w:rPr>
      <w:sz w:val="22"/>
      <w:szCs w:val="24"/>
    </w:rPr>
  </w:style>
  <w:style w:type="paragraph" w:styleId="EnvelopeAddress">
    <w:name w:val="envelope address"/>
    <w:basedOn w:val="Normal"/>
    <w:rsid w:val="00143C39"/>
    <w:pPr>
      <w:keepNext/>
      <w:keepLines/>
      <w:framePr w:w="7920" w:wrap="around" w:hAnchor="text" w:xAlign="center" w:yAlign="bottom"/>
      <w:widowControl w:val="0"/>
      <w:suppressAutoHyphens/>
      <w:ind w:left="2880"/>
    </w:pPr>
  </w:style>
  <w:style w:type="paragraph" w:styleId="EnvelopeReturn">
    <w:name w:val="envelope return"/>
    <w:basedOn w:val="Normal"/>
    <w:next w:val="EnvelopeAddress"/>
    <w:rsid w:val="00143C39"/>
    <w:pPr>
      <w:keepNext/>
      <w:keepLines/>
      <w:widowControl w:val="0"/>
      <w:suppressAutoHyphens/>
      <w:ind w:right="4320"/>
    </w:pPr>
  </w:style>
  <w:style w:type="paragraph" w:styleId="MessageHeader">
    <w:name w:val="Message Header"/>
    <w:basedOn w:val="Normal"/>
    <w:link w:val="MessageHeaderChar"/>
    <w:qFormat/>
    <w:rsid w:val="00143C39"/>
    <w:pPr>
      <w:widowControl w:val="0"/>
      <w:tabs>
        <w:tab w:val="center" w:pos="4680"/>
        <w:tab w:val="right" w:pos="9360"/>
      </w:tabs>
      <w:suppressAutoHyphens/>
    </w:pPr>
  </w:style>
  <w:style w:type="character" w:customStyle="1" w:styleId="MessageHeaderChar">
    <w:name w:val="Message Header Char"/>
    <w:basedOn w:val="DefaultParagraphFont"/>
    <w:link w:val="MessageHeader"/>
    <w:rsid w:val="00143C39"/>
    <w:rPr>
      <w:sz w:val="24"/>
      <w:szCs w:val="24"/>
    </w:rPr>
  </w:style>
  <w:style w:type="paragraph" w:customStyle="1" w:styleId="Equation">
    <w:name w:val="Equation"/>
    <w:basedOn w:val="MessageHeader"/>
    <w:next w:val="Paragraph"/>
    <w:uiPriority w:val="1"/>
    <w:qFormat/>
    <w:rsid w:val="00143C39"/>
    <w:pPr>
      <w:keepLines/>
      <w:spacing w:before="120"/>
    </w:pPr>
  </w:style>
  <w:style w:type="paragraph" w:customStyle="1" w:styleId="Fill">
    <w:name w:val="Fill"/>
    <w:basedOn w:val="Normal"/>
    <w:uiPriority w:val="1"/>
    <w:rsid w:val="00143C39"/>
    <w:pPr>
      <w:widowControl w:val="0"/>
      <w:tabs>
        <w:tab w:val="right" w:leader="underscore" w:pos="9360"/>
      </w:tabs>
      <w:suppressAutoHyphens/>
    </w:pPr>
  </w:style>
  <w:style w:type="paragraph" w:customStyle="1" w:styleId="FramedCaption">
    <w:name w:val="Framed Caption"/>
    <w:basedOn w:val="Caption"/>
    <w:next w:val="Paragraph"/>
    <w:uiPriority w:val="1"/>
    <w:qFormat/>
    <w:rsid w:val="00143C39"/>
    <w:pPr>
      <w:keepNext w:val="0"/>
      <w:keepLines/>
      <w:framePr w:wrap="notBeside" w:vAnchor="text" w:hAnchor="text" w:xAlign="center" w:y="1"/>
      <w:widowControl w:val="0"/>
      <w:suppressAutoHyphens/>
    </w:pPr>
    <w:rPr>
      <w:i/>
    </w:rPr>
  </w:style>
  <w:style w:type="paragraph" w:customStyle="1" w:styleId="FramedFigure">
    <w:name w:val="Framed Figure"/>
    <w:basedOn w:val="Figure"/>
    <w:next w:val="FramedCaption"/>
    <w:uiPriority w:val="1"/>
    <w:qFormat/>
    <w:rsid w:val="00143C39"/>
    <w:pPr>
      <w:framePr w:wrap="notBeside" w:vAnchor="text" w:hAnchor="text" w:xAlign="center" w:y="1"/>
      <w:spacing w:before="240" w:after="120"/>
    </w:pPr>
    <w:rPr>
      <w:kern w:val="0"/>
    </w:rPr>
  </w:style>
  <w:style w:type="paragraph" w:customStyle="1" w:styleId="Table">
    <w:name w:val="Table"/>
    <w:basedOn w:val="Normal"/>
    <w:qFormat/>
    <w:rsid w:val="00143C39"/>
    <w:pPr>
      <w:widowControl w:val="0"/>
      <w:suppressAutoHyphens/>
      <w:jc w:val="center"/>
    </w:pPr>
  </w:style>
  <w:style w:type="paragraph" w:customStyle="1" w:styleId="FramedTable">
    <w:name w:val="Framed Table"/>
    <w:basedOn w:val="Table"/>
    <w:uiPriority w:val="1"/>
    <w:qFormat/>
    <w:rsid w:val="00143C39"/>
    <w:pPr>
      <w:framePr w:wrap="notBeside" w:vAnchor="text" w:hAnchor="text" w:xAlign="center" w:y="1"/>
    </w:pPr>
  </w:style>
  <w:style w:type="paragraph" w:styleId="Index1">
    <w:name w:val="index 1"/>
    <w:basedOn w:val="BodyText"/>
    <w:rsid w:val="00143C39"/>
    <w:pPr>
      <w:tabs>
        <w:tab w:val="right" w:leader="dot" w:pos="4320"/>
      </w:tabs>
      <w:suppressAutoHyphens/>
      <w:spacing w:before="0"/>
      <w:ind w:hanging="360"/>
    </w:pPr>
  </w:style>
  <w:style w:type="paragraph" w:styleId="Index2">
    <w:name w:val="index 2"/>
    <w:basedOn w:val="Index1"/>
    <w:rsid w:val="00143C39"/>
    <w:pPr>
      <w:ind w:left="720"/>
    </w:pPr>
  </w:style>
  <w:style w:type="paragraph" w:styleId="Index3">
    <w:name w:val="index 3"/>
    <w:basedOn w:val="Index2"/>
    <w:rsid w:val="00143C39"/>
    <w:pPr>
      <w:ind w:left="1080"/>
    </w:pPr>
  </w:style>
  <w:style w:type="paragraph" w:styleId="Index4">
    <w:name w:val="index 4"/>
    <w:basedOn w:val="Index3"/>
    <w:rsid w:val="00143C39"/>
    <w:pPr>
      <w:ind w:left="1440"/>
    </w:pPr>
  </w:style>
  <w:style w:type="paragraph" w:styleId="Index5">
    <w:name w:val="index 5"/>
    <w:basedOn w:val="Index4"/>
    <w:rsid w:val="00143C39"/>
    <w:pPr>
      <w:ind w:left="1800"/>
    </w:pPr>
  </w:style>
  <w:style w:type="paragraph" w:styleId="Index6">
    <w:name w:val="index 6"/>
    <w:basedOn w:val="Index5"/>
    <w:rsid w:val="00143C39"/>
    <w:pPr>
      <w:ind w:left="2160"/>
    </w:pPr>
  </w:style>
  <w:style w:type="paragraph" w:styleId="Index7">
    <w:name w:val="index 7"/>
    <w:basedOn w:val="Index6"/>
    <w:rsid w:val="00143C39"/>
    <w:pPr>
      <w:ind w:left="2520"/>
    </w:pPr>
  </w:style>
  <w:style w:type="paragraph" w:styleId="Index8">
    <w:name w:val="index 8"/>
    <w:basedOn w:val="Index7"/>
    <w:rsid w:val="00143C39"/>
    <w:pPr>
      <w:ind w:left="2880"/>
    </w:pPr>
  </w:style>
  <w:style w:type="paragraph" w:styleId="Index9">
    <w:name w:val="index 9"/>
    <w:basedOn w:val="Index8"/>
    <w:rsid w:val="00143C39"/>
    <w:pPr>
      <w:ind w:left="3240"/>
    </w:pPr>
  </w:style>
  <w:style w:type="paragraph" w:styleId="IndexHeading">
    <w:name w:val="index heading"/>
    <w:basedOn w:val="Normal"/>
    <w:next w:val="Index1"/>
    <w:qFormat/>
    <w:rsid w:val="00143C39"/>
    <w:pPr>
      <w:keepNext/>
      <w:keepLines/>
      <w:widowControl w:val="0"/>
      <w:suppressAutoHyphens/>
      <w:spacing w:before="110" w:after="55"/>
    </w:pPr>
    <w:rPr>
      <w:b/>
      <w:i/>
    </w:rPr>
  </w:style>
  <w:style w:type="paragraph" w:styleId="MacroText">
    <w:name w:val="macro"/>
    <w:basedOn w:val="Normal"/>
    <w:link w:val="MacroTextChar"/>
    <w:rsid w:val="00143C39"/>
    <w:pPr>
      <w:widowControl w:val="0"/>
      <w:suppressAutoHyphens/>
    </w:pPr>
    <w:rPr>
      <w:rFonts w:ascii="Courier New" w:hAnsi="Courier New"/>
      <w:sz w:val="20"/>
    </w:rPr>
  </w:style>
  <w:style w:type="character" w:customStyle="1" w:styleId="MacroTextChar">
    <w:name w:val="Macro Text Char"/>
    <w:basedOn w:val="DefaultParagraphFont"/>
    <w:link w:val="MacroText"/>
    <w:rsid w:val="00143C39"/>
    <w:rPr>
      <w:rFonts w:ascii="Courier New" w:hAnsi="Courier New"/>
      <w:szCs w:val="24"/>
    </w:rPr>
  </w:style>
  <w:style w:type="paragraph" w:customStyle="1" w:styleId="ParagraphFirstIndent">
    <w:name w:val="Paragraph First Indent"/>
    <w:basedOn w:val="Paragraph"/>
    <w:rsid w:val="00143C39"/>
    <w:pPr>
      <w:ind w:firstLine="360"/>
    </w:pPr>
    <w:rPr>
      <w:kern w:val="0"/>
    </w:rPr>
  </w:style>
  <w:style w:type="paragraph" w:customStyle="1" w:styleId="ParagraphHangingIndent">
    <w:name w:val="Paragraph Hanging Indent"/>
    <w:basedOn w:val="Paragraph"/>
    <w:rsid w:val="00143C39"/>
    <w:pPr>
      <w:ind w:left="360" w:hanging="360"/>
    </w:pPr>
    <w:rPr>
      <w:kern w:val="0"/>
    </w:rPr>
  </w:style>
  <w:style w:type="paragraph" w:customStyle="1" w:styleId="ParagraphIndent">
    <w:name w:val="Paragraph Indent"/>
    <w:basedOn w:val="Paragraph"/>
    <w:rsid w:val="00143C39"/>
    <w:pPr>
      <w:ind w:left="360"/>
    </w:pPr>
    <w:rPr>
      <w:kern w:val="0"/>
    </w:rPr>
  </w:style>
  <w:style w:type="paragraph" w:styleId="Quote">
    <w:name w:val="Quote"/>
    <w:basedOn w:val="Paragraph"/>
    <w:next w:val="Paragraph"/>
    <w:link w:val="QuoteChar"/>
    <w:qFormat/>
    <w:rsid w:val="00143C39"/>
    <w:pPr>
      <w:ind w:left="720" w:right="720"/>
    </w:pPr>
    <w:rPr>
      <w:rFonts w:ascii="Arial" w:hAnsi="Arial"/>
      <w:kern w:val="0"/>
    </w:rPr>
  </w:style>
  <w:style w:type="character" w:customStyle="1" w:styleId="QuoteChar">
    <w:name w:val="Quote Char"/>
    <w:basedOn w:val="DefaultParagraphFont"/>
    <w:link w:val="Quote"/>
    <w:rsid w:val="00143C39"/>
    <w:rPr>
      <w:rFonts w:ascii="Arial" w:hAnsi="Arial"/>
      <w:sz w:val="22"/>
      <w:szCs w:val="24"/>
    </w:rPr>
  </w:style>
  <w:style w:type="paragraph" w:customStyle="1" w:styleId="Reference">
    <w:name w:val="Reference"/>
    <w:basedOn w:val="EndnoteText"/>
    <w:qFormat/>
    <w:rsid w:val="00143C39"/>
    <w:pPr>
      <w:ind w:left="360" w:hanging="360"/>
    </w:pPr>
  </w:style>
  <w:style w:type="paragraph" w:customStyle="1" w:styleId="Title2">
    <w:name w:val="Title 2"/>
    <w:basedOn w:val="Heading2"/>
    <w:next w:val="Paragraph"/>
    <w:rsid w:val="00143C39"/>
    <w:pPr>
      <w:keepLines/>
      <w:widowControl w:val="0"/>
      <w:numPr>
        <w:ilvl w:val="0"/>
        <w:numId w:val="0"/>
      </w:numPr>
      <w:suppressAutoHyphens/>
      <w:spacing w:before="360" w:after="60"/>
    </w:pPr>
    <w:rPr>
      <w:rFonts w:ascii="Times New Roman Bold" w:hAnsi="Times New Roman Bold"/>
      <w:sz w:val="24"/>
    </w:rPr>
  </w:style>
  <w:style w:type="paragraph" w:styleId="TableofAuthorities">
    <w:name w:val="table of authorities"/>
    <w:basedOn w:val="Index1"/>
    <w:rsid w:val="00143C39"/>
    <w:pPr>
      <w:tabs>
        <w:tab w:val="clear" w:pos="4320"/>
        <w:tab w:val="right" w:leader="dot" w:pos="9360"/>
      </w:tabs>
    </w:pPr>
  </w:style>
  <w:style w:type="paragraph" w:customStyle="1" w:styleId="Title1">
    <w:name w:val="Title 1"/>
    <w:basedOn w:val="Heading1"/>
    <w:next w:val="Paragraph"/>
    <w:rsid w:val="00143C39"/>
    <w:pPr>
      <w:keepLines/>
      <w:widowControl w:val="0"/>
      <w:numPr>
        <w:numId w:val="0"/>
      </w:numPr>
      <w:suppressAutoHyphens/>
      <w:spacing w:before="480" w:after="60"/>
    </w:pPr>
    <w:rPr>
      <w:rFonts w:ascii="Times New Roman Bold" w:hAnsi="Times New Roman Bold"/>
      <w:kern w:val="0"/>
      <w:sz w:val="24"/>
    </w:rPr>
  </w:style>
  <w:style w:type="paragraph" w:customStyle="1" w:styleId="Title3">
    <w:name w:val="Title 3"/>
    <w:basedOn w:val="Heading3"/>
    <w:next w:val="Paragraph"/>
    <w:rsid w:val="00143C39"/>
    <w:pPr>
      <w:keepLines/>
      <w:widowControl w:val="0"/>
      <w:numPr>
        <w:ilvl w:val="0"/>
        <w:numId w:val="0"/>
      </w:numPr>
      <w:suppressAutoHyphens/>
      <w:spacing w:before="240" w:after="60"/>
    </w:pPr>
    <w:rPr>
      <w:rFonts w:ascii="Times New Roman Bold" w:hAnsi="Times New Roman Bold"/>
      <w:sz w:val="24"/>
    </w:rPr>
  </w:style>
  <w:style w:type="paragraph" w:styleId="TOAHeading">
    <w:name w:val="toa heading"/>
    <w:basedOn w:val="IndexHeading"/>
    <w:next w:val="TableofAuthorities"/>
    <w:rsid w:val="00143C39"/>
  </w:style>
  <w:style w:type="paragraph" w:styleId="TOCHeading">
    <w:name w:val="TOC Heading"/>
    <w:basedOn w:val="Normal"/>
    <w:next w:val="TOC1"/>
    <w:rsid w:val="00143C39"/>
    <w:pPr>
      <w:keepNext/>
      <w:keepLines/>
      <w:widowControl w:val="0"/>
      <w:suppressAutoHyphens/>
      <w:spacing w:before="120"/>
      <w:jc w:val="right"/>
    </w:pPr>
    <w:rPr>
      <w:b/>
      <w:i/>
    </w:rPr>
  </w:style>
  <w:style w:type="paragraph" w:styleId="ListNumber">
    <w:name w:val="List Number"/>
    <w:basedOn w:val="Normal"/>
    <w:uiPriority w:val="99"/>
    <w:unhideWhenUsed/>
    <w:rsid w:val="00143C39"/>
    <w:pPr>
      <w:widowControl w:val="0"/>
      <w:numPr>
        <w:numId w:val="48"/>
      </w:numPr>
      <w:suppressAutoHyphens/>
      <w:contextualSpacing/>
    </w:pPr>
  </w:style>
  <w:style w:type="paragraph" w:styleId="ListNumber2">
    <w:name w:val="List Number 2"/>
    <w:basedOn w:val="Normal"/>
    <w:uiPriority w:val="99"/>
    <w:unhideWhenUsed/>
    <w:rsid w:val="00143C39"/>
    <w:pPr>
      <w:widowControl w:val="0"/>
      <w:numPr>
        <w:numId w:val="49"/>
      </w:numPr>
      <w:suppressAutoHyphens/>
      <w:contextualSpacing/>
    </w:pPr>
  </w:style>
  <w:style w:type="paragraph" w:styleId="ListNumber3">
    <w:name w:val="List Number 3"/>
    <w:basedOn w:val="Normal"/>
    <w:uiPriority w:val="99"/>
    <w:unhideWhenUsed/>
    <w:rsid w:val="00143C39"/>
    <w:pPr>
      <w:widowControl w:val="0"/>
      <w:numPr>
        <w:numId w:val="50"/>
      </w:numPr>
      <w:suppressAutoHyphens/>
      <w:contextualSpacing/>
    </w:pPr>
  </w:style>
  <w:style w:type="paragraph" w:styleId="ListNumber4">
    <w:name w:val="List Number 4"/>
    <w:basedOn w:val="Normal"/>
    <w:uiPriority w:val="99"/>
    <w:unhideWhenUsed/>
    <w:rsid w:val="00143C39"/>
    <w:pPr>
      <w:widowControl w:val="0"/>
      <w:numPr>
        <w:numId w:val="51"/>
      </w:numPr>
      <w:suppressAutoHyphens/>
      <w:contextualSpacing/>
    </w:pPr>
  </w:style>
  <w:style w:type="paragraph" w:styleId="ListNumber5">
    <w:name w:val="List Number 5"/>
    <w:basedOn w:val="Normal"/>
    <w:uiPriority w:val="99"/>
    <w:unhideWhenUsed/>
    <w:rsid w:val="00143C39"/>
    <w:pPr>
      <w:widowControl w:val="0"/>
      <w:numPr>
        <w:numId w:val="52"/>
      </w:numPr>
      <w:suppressAutoHyphens/>
      <w:contextualSpacing/>
    </w:pPr>
  </w:style>
  <w:style w:type="table" w:customStyle="1" w:styleId="TableGrid4">
    <w:name w:val="Table Grid4"/>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B47D9D"/>
    <w:pPr>
      <w:spacing w:before="120" w:after="12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597">
      <w:bodyDiv w:val="1"/>
      <w:marLeft w:val="0"/>
      <w:marRight w:val="0"/>
      <w:marTop w:val="0"/>
      <w:marBottom w:val="0"/>
      <w:divBdr>
        <w:top w:val="none" w:sz="0" w:space="0" w:color="auto"/>
        <w:left w:val="none" w:sz="0" w:space="0" w:color="auto"/>
        <w:bottom w:val="none" w:sz="0" w:space="0" w:color="auto"/>
        <w:right w:val="none" w:sz="0" w:space="0" w:color="auto"/>
      </w:divBdr>
    </w:div>
    <w:div w:id="58288785">
      <w:bodyDiv w:val="1"/>
      <w:marLeft w:val="0"/>
      <w:marRight w:val="0"/>
      <w:marTop w:val="0"/>
      <w:marBottom w:val="0"/>
      <w:divBdr>
        <w:top w:val="none" w:sz="0" w:space="0" w:color="auto"/>
        <w:left w:val="none" w:sz="0" w:space="0" w:color="auto"/>
        <w:bottom w:val="none" w:sz="0" w:space="0" w:color="auto"/>
        <w:right w:val="none" w:sz="0" w:space="0" w:color="auto"/>
      </w:divBdr>
    </w:div>
    <w:div w:id="61418111">
      <w:bodyDiv w:val="1"/>
      <w:marLeft w:val="0"/>
      <w:marRight w:val="0"/>
      <w:marTop w:val="0"/>
      <w:marBottom w:val="0"/>
      <w:divBdr>
        <w:top w:val="none" w:sz="0" w:space="0" w:color="auto"/>
        <w:left w:val="none" w:sz="0" w:space="0" w:color="auto"/>
        <w:bottom w:val="none" w:sz="0" w:space="0" w:color="auto"/>
        <w:right w:val="none" w:sz="0" w:space="0" w:color="auto"/>
      </w:divBdr>
    </w:div>
    <w:div w:id="62488098">
      <w:bodyDiv w:val="1"/>
      <w:marLeft w:val="0"/>
      <w:marRight w:val="0"/>
      <w:marTop w:val="0"/>
      <w:marBottom w:val="0"/>
      <w:divBdr>
        <w:top w:val="none" w:sz="0" w:space="0" w:color="auto"/>
        <w:left w:val="none" w:sz="0" w:space="0" w:color="auto"/>
        <w:bottom w:val="none" w:sz="0" w:space="0" w:color="auto"/>
        <w:right w:val="none" w:sz="0" w:space="0" w:color="auto"/>
      </w:divBdr>
    </w:div>
    <w:div w:id="97333329">
      <w:bodyDiv w:val="1"/>
      <w:marLeft w:val="0"/>
      <w:marRight w:val="0"/>
      <w:marTop w:val="0"/>
      <w:marBottom w:val="0"/>
      <w:divBdr>
        <w:top w:val="none" w:sz="0" w:space="0" w:color="auto"/>
        <w:left w:val="none" w:sz="0" w:space="0" w:color="auto"/>
        <w:bottom w:val="none" w:sz="0" w:space="0" w:color="auto"/>
        <w:right w:val="none" w:sz="0" w:space="0" w:color="auto"/>
      </w:divBdr>
    </w:div>
    <w:div w:id="108474036">
      <w:bodyDiv w:val="1"/>
      <w:marLeft w:val="0"/>
      <w:marRight w:val="0"/>
      <w:marTop w:val="0"/>
      <w:marBottom w:val="0"/>
      <w:divBdr>
        <w:top w:val="none" w:sz="0" w:space="0" w:color="auto"/>
        <w:left w:val="none" w:sz="0" w:space="0" w:color="auto"/>
        <w:bottom w:val="none" w:sz="0" w:space="0" w:color="auto"/>
        <w:right w:val="none" w:sz="0" w:space="0" w:color="auto"/>
      </w:divBdr>
    </w:div>
    <w:div w:id="110830485">
      <w:bodyDiv w:val="1"/>
      <w:marLeft w:val="0"/>
      <w:marRight w:val="0"/>
      <w:marTop w:val="0"/>
      <w:marBottom w:val="0"/>
      <w:divBdr>
        <w:top w:val="none" w:sz="0" w:space="0" w:color="auto"/>
        <w:left w:val="none" w:sz="0" w:space="0" w:color="auto"/>
        <w:bottom w:val="none" w:sz="0" w:space="0" w:color="auto"/>
        <w:right w:val="none" w:sz="0" w:space="0" w:color="auto"/>
      </w:divBdr>
    </w:div>
    <w:div w:id="112217138">
      <w:bodyDiv w:val="1"/>
      <w:marLeft w:val="0"/>
      <w:marRight w:val="0"/>
      <w:marTop w:val="0"/>
      <w:marBottom w:val="0"/>
      <w:divBdr>
        <w:top w:val="none" w:sz="0" w:space="0" w:color="auto"/>
        <w:left w:val="none" w:sz="0" w:space="0" w:color="auto"/>
        <w:bottom w:val="none" w:sz="0" w:space="0" w:color="auto"/>
        <w:right w:val="none" w:sz="0" w:space="0" w:color="auto"/>
      </w:divBdr>
    </w:div>
    <w:div w:id="127942379">
      <w:bodyDiv w:val="1"/>
      <w:marLeft w:val="0"/>
      <w:marRight w:val="0"/>
      <w:marTop w:val="0"/>
      <w:marBottom w:val="0"/>
      <w:divBdr>
        <w:top w:val="none" w:sz="0" w:space="0" w:color="auto"/>
        <w:left w:val="none" w:sz="0" w:space="0" w:color="auto"/>
        <w:bottom w:val="none" w:sz="0" w:space="0" w:color="auto"/>
        <w:right w:val="none" w:sz="0" w:space="0" w:color="auto"/>
      </w:divBdr>
    </w:div>
    <w:div w:id="132794549">
      <w:bodyDiv w:val="1"/>
      <w:marLeft w:val="0"/>
      <w:marRight w:val="0"/>
      <w:marTop w:val="0"/>
      <w:marBottom w:val="0"/>
      <w:divBdr>
        <w:top w:val="none" w:sz="0" w:space="0" w:color="auto"/>
        <w:left w:val="none" w:sz="0" w:space="0" w:color="auto"/>
        <w:bottom w:val="none" w:sz="0" w:space="0" w:color="auto"/>
        <w:right w:val="none" w:sz="0" w:space="0" w:color="auto"/>
      </w:divBdr>
    </w:div>
    <w:div w:id="191387136">
      <w:bodyDiv w:val="1"/>
      <w:marLeft w:val="0"/>
      <w:marRight w:val="0"/>
      <w:marTop w:val="0"/>
      <w:marBottom w:val="0"/>
      <w:divBdr>
        <w:top w:val="none" w:sz="0" w:space="0" w:color="auto"/>
        <w:left w:val="none" w:sz="0" w:space="0" w:color="auto"/>
        <w:bottom w:val="none" w:sz="0" w:space="0" w:color="auto"/>
        <w:right w:val="none" w:sz="0" w:space="0" w:color="auto"/>
      </w:divBdr>
    </w:div>
    <w:div w:id="197662450">
      <w:bodyDiv w:val="1"/>
      <w:marLeft w:val="0"/>
      <w:marRight w:val="0"/>
      <w:marTop w:val="0"/>
      <w:marBottom w:val="0"/>
      <w:divBdr>
        <w:top w:val="none" w:sz="0" w:space="0" w:color="auto"/>
        <w:left w:val="none" w:sz="0" w:space="0" w:color="auto"/>
        <w:bottom w:val="none" w:sz="0" w:space="0" w:color="auto"/>
        <w:right w:val="none" w:sz="0" w:space="0" w:color="auto"/>
      </w:divBdr>
    </w:div>
    <w:div w:id="238637207">
      <w:bodyDiv w:val="1"/>
      <w:marLeft w:val="0"/>
      <w:marRight w:val="0"/>
      <w:marTop w:val="0"/>
      <w:marBottom w:val="0"/>
      <w:divBdr>
        <w:top w:val="none" w:sz="0" w:space="0" w:color="auto"/>
        <w:left w:val="none" w:sz="0" w:space="0" w:color="auto"/>
        <w:bottom w:val="none" w:sz="0" w:space="0" w:color="auto"/>
        <w:right w:val="none" w:sz="0" w:space="0" w:color="auto"/>
      </w:divBdr>
    </w:div>
    <w:div w:id="250546341">
      <w:bodyDiv w:val="1"/>
      <w:marLeft w:val="0"/>
      <w:marRight w:val="0"/>
      <w:marTop w:val="0"/>
      <w:marBottom w:val="0"/>
      <w:divBdr>
        <w:top w:val="none" w:sz="0" w:space="0" w:color="auto"/>
        <w:left w:val="none" w:sz="0" w:space="0" w:color="auto"/>
        <w:bottom w:val="none" w:sz="0" w:space="0" w:color="auto"/>
        <w:right w:val="none" w:sz="0" w:space="0" w:color="auto"/>
      </w:divBdr>
    </w:div>
    <w:div w:id="271672709">
      <w:bodyDiv w:val="1"/>
      <w:marLeft w:val="0"/>
      <w:marRight w:val="0"/>
      <w:marTop w:val="0"/>
      <w:marBottom w:val="0"/>
      <w:divBdr>
        <w:top w:val="none" w:sz="0" w:space="0" w:color="auto"/>
        <w:left w:val="none" w:sz="0" w:space="0" w:color="auto"/>
        <w:bottom w:val="none" w:sz="0" w:space="0" w:color="auto"/>
        <w:right w:val="none" w:sz="0" w:space="0" w:color="auto"/>
      </w:divBdr>
    </w:div>
    <w:div w:id="280382045">
      <w:bodyDiv w:val="1"/>
      <w:marLeft w:val="0"/>
      <w:marRight w:val="0"/>
      <w:marTop w:val="0"/>
      <w:marBottom w:val="0"/>
      <w:divBdr>
        <w:top w:val="none" w:sz="0" w:space="0" w:color="auto"/>
        <w:left w:val="none" w:sz="0" w:space="0" w:color="auto"/>
        <w:bottom w:val="none" w:sz="0" w:space="0" w:color="auto"/>
        <w:right w:val="none" w:sz="0" w:space="0" w:color="auto"/>
      </w:divBdr>
    </w:div>
    <w:div w:id="285892418">
      <w:bodyDiv w:val="1"/>
      <w:marLeft w:val="0"/>
      <w:marRight w:val="0"/>
      <w:marTop w:val="0"/>
      <w:marBottom w:val="0"/>
      <w:divBdr>
        <w:top w:val="none" w:sz="0" w:space="0" w:color="auto"/>
        <w:left w:val="none" w:sz="0" w:space="0" w:color="auto"/>
        <w:bottom w:val="none" w:sz="0" w:space="0" w:color="auto"/>
        <w:right w:val="none" w:sz="0" w:space="0" w:color="auto"/>
      </w:divBdr>
    </w:div>
    <w:div w:id="286393628">
      <w:bodyDiv w:val="1"/>
      <w:marLeft w:val="0"/>
      <w:marRight w:val="0"/>
      <w:marTop w:val="0"/>
      <w:marBottom w:val="0"/>
      <w:divBdr>
        <w:top w:val="none" w:sz="0" w:space="0" w:color="auto"/>
        <w:left w:val="none" w:sz="0" w:space="0" w:color="auto"/>
        <w:bottom w:val="none" w:sz="0" w:space="0" w:color="auto"/>
        <w:right w:val="none" w:sz="0" w:space="0" w:color="auto"/>
      </w:divBdr>
    </w:div>
    <w:div w:id="388892371">
      <w:bodyDiv w:val="1"/>
      <w:marLeft w:val="0"/>
      <w:marRight w:val="0"/>
      <w:marTop w:val="0"/>
      <w:marBottom w:val="0"/>
      <w:divBdr>
        <w:top w:val="none" w:sz="0" w:space="0" w:color="auto"/>
        <w:left w:val="none" w:sz="0" w:space="0" w:color="auto"/>
        <w:bottom w:val="none" w:sz="0" w:space="0" w:color="auto"/>
        <w:right w:val="none" w:sz="0" w:space="0" w:color="auto"/>
      </w:divBdr>
    </w:div>
    <w:div w:id="397439266">
      <w:bodyDiv w:val="1"/>
      <w:marLeft w:val="0"/>
      <w:marRight w:val="0"/>
      <w:marTop w:val="0"/>
      <w:marBottom w:val="0"/>
      <w:divBdr>
        <w:top w:val="none" w:sz="0" w:space="0" w:color="auto"/>
        <w:left w:val="none" w:sz="0" w:space="0" w:color="auto"/>
        <w:bottom w:val="none" w:sz="0" w:space="0" w:color="auto"/>
        <w:right w:val="none" w:sz="0" w:space="0" w:color="auto"/>
      </w:divBdr>
    </w:div>
    <w:div w:id="449859385">
      <w:bodyDiv w:val="1"/>
      <w:marLeft w:val="0"/>
      <w:marRight w:val="0"/>
      <w:marTop w:val="0"/>
      <w:marBottom w:val="0"/>
      <w:divBdr>
        <w:top w:val="none" w:sz="0" w:space="0" w:color="auto"/>
        <w:left w:val="none" w:sz="0" w:space="0" w:color="auto"/>
        <w:bottom w:val="none" w:sz="0" w:space="0" w:color="auto"/>
        <w:right w:val="none" w:sz="0" w:space="0" w:color="auto"/>
      </w:divBdr>
      <w:divsChild>
        <w:div w:id="766386032">
          <w:marLeft w:val="0"/>
          <w:marRight w:val="0"/>
          <w:marTop w:val="0"/>
          <w:marBottom w:val="0"/>
          <w:divBdr>
            <w:top w:val="none" w:sz="0" w:space="0" w:color="auto"/>
            <w:left w:val="none" w:sz="0" w:space="0" w:color="auto"/>
            <w:bottom w:val="none" w:sz="0" w:space="0" w:color="auto"/>
            <w:right w:val="none" w:sz="0" w:space="0" w:color="auto"/>
          </w:divBdr>
        </w:div>
      </w:divsChild>
    </w:div>
    <w:div w:id="452753797">
      <w:bodyDiv w:val="1"/>
      <w:marLeft w:val="0"/>
      <w:marRight w:val="0"/>
      <w:marTop w:val="0"/>
      <w:marBottom w:val="0"/>
      <w:divBdr>
        <w:top w:val="none" w:sz="0" w:space="0" w:color="auto"/>
        <w:left w:val="none" w:sz="0" w:space="0" w:color="auto"/>
        <w:bottom w:val="none" w:sz="0" w:space="0" w:color="auto"/>
        <w:right w:val="none" w:sz="0" w:space="0" w:color="auto"/>
      </w:divBdr>
    </w:div>
    <w:div w:id="469710312">
      <w:bodyDiv w:val="1"/>
      <w:marLeft w:val="0"/>
      <w:marRight w:val="0"/>
      <w:marTop w:val="0"/>
      <w:marBottom w:val="0"/>
      <w:divBdr>
        <w:top w:val="none" w:sz="0" w:space="0" w:color="auto"/>
        <w:left w:val="none" w:sz="0" w:space="0" w:color="auto"/>
        <w:bottom w:val="none" w:sz="0" w:space="0" w:color="auto"/>
        <w:right w:val="none" w:sz="0" w:space="0" w:color="auto"/>
      </w:divBdr>
    </w:div>
    <w:div w:id="478692939">
      <w:bodyDiv w:val="1"/>
      <w:marLeft w:val="0"/>
      <w:marRight w:val="0"/>
      <w:marTop w:val="0"/>
      <w:marBottom w:val="0"/>
      <w:divBdr>
        <w:top w:val="none" w:sz="0" w:space="0" w:color="auto"/>
        <w:left w:val="none" w:sz="0" w:space="0" w:color="auto"/>
        <w:bottom w:val="none" w:sz="0" w:space="0" w:color="auto"/>
        <w:right w:val="none" w:sz="0" w:space="0" w:color="auto"/>
      </w:divBdr>
    </w:div>
    <w:div w:id="485322979">
      <w:bodyDiv w:val="1"/>
      <w:marLeft w:val="0"/>
      <w:marRight w:val="0"/>
      <w:marTop w:val="0"/>
      <w:marBottom w:val="0"/>
      <w:divBdr>
        <w:top w:val="none" w:sz="0" w:space="0" w:color="auto"/>
        <w:left w:val="none" w:sz="0" w:space="0" w:color="auto"/>
        <w:bottom w:val="none" w:sz="0" w:space="0" w:color="auto"/>
        <w:right w:val="none" w:sz="0" w:space="0" w:color="auto"/>
      </w:divBdr>
    </w:div>
    <w:div w:id="487287362">
      <w:bodyDiv w:val="1"/>
      <w:marLeft w:val="0"/>
      <w:marRight w:val="0"/>
      <w:marTop w:val="0"/>
      <w:marBottom w:val="0"/>
      <w:divBdr>
        <w:top w:val="none" w:sz="0" w:space="0" w:color="auto"/>
        <w:left w:val="none" w:sz="0" w:space="0" w:color="auto"/>
        <w:bottom w:val="none" w:sz="0" w:space="0" w:color="auto"/>
        <w:right w:val="none" w:sz="0" w:space="0" w:color="auto"/>
      </w:divBdr>
    </w:div>
    <w:div w:id="516310065">
      <w:bodyDiv w:val="1"/>
      <w:marLeft w:val="0"/>
      <w:marRight w:val="0"/>
      <w:marTop w:val="0"/>
      <w:marBottom w:val="0"/>
      <w:divBdr>
        <w:top w:val="none" w:sz="0" w:space="0" w:color="auto"/>
        <w:left w:val="none" w:sz="0" w:space="0" w:color="auto"/>
        <w:bottom w:val="none" w:sz="0" w:space="0" w:color="auto"/>
        <w:right w:val="none" w:sz="0" w:space="0" w:color="auto"/>
      </w:divBdr>
    </w:div>
    <w:div w:id="531116982">
      <w:bodyDiv w:val="1"/>
      <w:marLeft w:val="0"/>
      <w:marRight w:val="0"/>
      <w:marTop w:val="0"/>
      <w:marBottom w:val="0"/>
      <w:divBdr>
        <w:top w:val="none" w:sz="0" w:space="0" w:color="auto"/>
        <w:left w:val="none" w:sz="0" w:space="0" w:color="auto"/>
        <w:bottom w:val="none" w:sz="0" w:space="0" w:color="auto"/>
        <w:right w:val="none" w:sz="0" w:space="0" w:color="auto"/>
      </w:divBdr>
    </w:div>
    <w:div w:id="531381619">
      <w:bodyDiv w:val="1"/>
      <w:marLeft w:val="0"/>
      <w:marRight w:val="0"/>
      <w:marTop w:val="0"/>
      <w:marBottom w:val="0"/>
      <w:divBdr>
        <w:top w:val="none" w:sz="0" w:space="0" w:color="auto"/>
        <w:left w:val="none" w:sz="0" w:space="0" w:color="auto"/>
        <w:bottom w:val="none" w:sz="0" w:space="0" w:color="auto"/>
        <w:right w:val="none" w:sz="0" w:space="0" w:color="auto"/>
      </w:divBdr>
    </w:div>
    <w:div w:id="543256631">
      <w:bodyDiv w:val="1"/>
      <w:marLeft w:val="0"/>
      <w:marRight w:val="0"/>
      <w:marTop w:val="0"/>
      <w:marBottom w:val="0"/>
      <w:divBdr>
        <w:top w:val="none" w:sz="0" w:space="0" w:color="auto"/>
        <w:left w:val="none" w:sz="0" w:space="0" w:color="auto"/>
        <w:bottom w:val="none" w:sz="0" w:space="0" w:color="auto"/>
        <w:right w:val="none" w:sz="0" w:space="0" w:color="auto"/>
      </w:divBdr>
    </w:div>
    <w:div w:id="612327170">
      <w:bodyDiv w:val="1"/>
      <w:marLeft w:val="0"/>
      <w:marRight w:val="0"/>
      <w:marTop w:val="0"/>
      <w:marBottom w:val="0"/>
      <w:divBdr>
        <w:top w:val="none" w:sz="0" w:space="0" w:color="auto"/>
        <w:left w:val="none" w:sz="0" w:space="0" w:color="auto"/>
        <w:bottom w:val="none" w:sz="0" w:space="0" w:color="auto"/>
        <w:right w:val="none" w:sz="0" w:space="0" w:color="auto"/>
      </w:divBdr>
    </w:div>
    <w:div w:id="612984110">
      <w:bodyDiv w:val="1"/>
      <w:marLeft w:val="0"/>
      <w:marRight w:val="0"/>
      <w:marTop w:val="0"/>
      <w:marBottom w:val="0"/>
      <w:divBdr>
        <w:top w:val="none" w:sz="0" w:space="0" w:color="auto"/>
        <w:left w:val="none" w:sz="0" w:space="0" w:color="auto"/>
        <w:bottom w:val="none" w:sz="0" w:space="0" w:color="auto"/>
        <w:right w:val="none" w:sz="0" w:space="0" w:color="auto"/>
      </w:divBdr>
    </w:div>
    <w:div w:id="656301833">
      <w:bodyDiv w:val="1"/>
      <w:marLeft w:val="0"/>
      <w:marRight w:val="0"/>
      <w:marTop w:val="0"/>
      <w:marBottom w:val="0"/>
      <w:divBdr>
        <w:top w:val="none" w:sz="0" w:space="0" w:color="auto"/>
        <w:left w:val="none" w:sz="0" w:space="0" w:color="auto"/>
        <w:bottom w:val="none" w:sz="0" w:space="0" w:color="auto"/>
        <w:right w:val="none" w:sz="0" w:space="0" w:color="auto"/>
      </w:divBdr>
    </w:div>
    <w:div w:id="685643555">
      <w:bodyDiv w:val="1"/>
      <w:marLeft w:val="0"/>
      <w:marRight w:val="0"/>
      <w:marTop w:val="0"/>
      <w:marBottom w:val="0"/>
      <w:divBdr>
        <w:top w:val="none" w:sz="0" w:space="0" w:color="auto"/>
        <w:left w:val="none" w:sz="0" w:space="0" w:color="auto"/>
        <w:bottom w:val="none" w:sz="0" w:space="0" w:color="auto"/>
        <w:right w:val="none" w:sz="0" w:space="0" w:color="auto"/>
      </w:divBdr>
    </w:div>
    <w:div w:id="697702518">
      <w:bodyDiv w:val="1"/>
      <w:marLeft w:val="0"/>
      <w:marRight w:val="0"/>
      <w:marTop w:val="0"/>
      <w:marBottom w:val="0"/>
      <w:divBdr>
        <w:top w:val="none" w:sz="0" w:space="0" w:color="auto"/>
        <w:left w:val="none" w:sz="0" w:space="0" w:color="auto"/>
        <w:bottom w:val="none" w:sz="0" w:space="0" w:color="auto"/>
        <w:right w:val="none" w:sz="0" w:space="0" w:color="auto"/>
      </w:divBdr>
    </w:div>
    <w:div w:id="703018060">
      <w:bodyDiv w:val="1"/>
      <w:marLeft w:val="0"/>
      <w:marRight w:val="0"/>
      <w:marTop w:val="0"/>
      <w:marBottom w:val="0"/>
      <w:divBdr>
        <w:top w:val="none" w:sz="0" w:space="0" w:color="auto"/>
        <w:left w:val="none" w:sz="0" w:space="0" w:color="auto"/>
        <w:bottom w:val="none" w:sz="0" w:space="0" w:color="auto"/>
        <w:right w:val="none" w:sz="0" w:space="0" w:color="auto"/>
      </w:divBdr>
    </w:div>
    <w:div w:id="812796782">
      <w:bodyDiv w:val="1"/>
      <w:marLeft w:val="0"/>
      <w:marRight w:val="0"/>
      <w:marTop w:val="0"/>
      <w:marBottom w:val="0"/>
      <w:divBdr>
        <w:top w:val="none" w:sz="0" w:space="0" w:color="auto"/>
        <w:left w:val="none" w:sz="0" w:space="0" w:color="auto"/>
        <w:bottom w:val="none" w:sz="0" w:space="0" w:color="auto"/>
        <w:right w:val="none" w:sz="0" w:space="0" w:color="auto"/>
      </w:divBdr>
    </w:div>
    <w:div w:id="862938504">
      <w:bodyDiv w:val="1"/>
      <w:marLeft w:val="0"/>
      <w:marRight w:val="0"/>
      <w:marTop w:val="0"/>
      <w:marBottom w:val="0"/>
      <w:divBdr>
        <w:top w:val="none" w:sz="0" w:space="0" w:color="auto"/>
        <w:left w:val="none" w:sz="0" w:space="0" w:color="auto"/>
        <w:bottom w:val="none" w:sz="0" w:space="0" w:color="auto"/>
        <w:right w:val="none" w:sz="0" w:space="0" w:color="auto"/>
      </w:divBdr>
    </w:div>
    <w:div w:id="908921858">
      <w:bodyDiv w:val="1"/>
      <w:marLeft w:val="0"/>
      <w:marRight w:val="0"/>
      <w:marTop w:val="0"/>
      <w:marBottom w:val="0"/>
      <w:divBdr>
        <w:top w:val="none" w:sz="0" w:space="0" w:color="auto"/>
        <w:left w:val="none" w:sz="0" w:space="0" w:color="auto"/>
        <w:bottom w:val="none" w:sz="0" w:space="0" w:color="auto"/>
        <w:right w:val="none" w:sz="0" w:space="0" w:color="auto"/>
      </w:divBdr>
      <w:divsChild>
        <w:div w:id="275605850">
          <w:marLeft w:val="0"/>
          <w:marRight w:val="0"/>
          <w:marTop w:val="0"/>
          <w:marBottom w:val="0"/>
          <w:divBdr>
            <w:top w:val="none" w:sz="0" w:space="0" w:color="auto"/>
            <w:left w:val="none" w:sz="0" w:space="0" w:color="auto"/>
            <w:bottom w:val="none" w:sz="0" w:space="0" w:color="auto"/>
            <w:right w:val="none" w:sz="0" w:space="0" w:color="auto"/>
          </w:divBdr>
        </w:div>
      </w:divsChild>
    </w:div>
    <w:div w:id="909003849">
      <w:bodyDiv w:val="1"/>
      <w:marLeft w:val="0"/>
      <w:marRight w:val="0"/>
      <w:marTop w:val="0"/>
      <w:marBottom w:val="0"/>
      <w:divBdr>
        <w:top w:val="none" w:sz="0" w:space="0" w:color="auto"/>
        <w:left w:val="none" w:sz="0" w:space="0" w:color="auto"/>
        <w:bottom w:val="none" w:sz="0" w:space="0" w:color="auto"/>
        <w:right w:val="none" w:sz="0" w:space="0" w:color="auto"/>
      </w:divBdr>
    </w:div>
    <w:div w:id="922646253">
      <w:bodyDiv w:val="1"/>
      <w:marLeft w:val="0"/>
      <w:marRight w:val="0"/>
      <w:marTop w:val="0"/>
      <w:marBottom w:val="0"/>
      <w:divBdr>
        <w:top w:val="none" w:sz="0" w:space="0" w:color="auto"/>
        <w:left w:val="none" w:sz="0" w:space="0" w:color="auto"/>
        <w:bottom w:val="none" w:sz="0" w:space="0" w:color="auto"/>
        <w:right w:val="none" w:sz="0" w:space="0" w:color="auto"/>
      </w:divBdr>
    </w:div>
    <w:div w:id="1010834312">
      <w:bodyDiv w:val="1"/>
      <w:marLeft w:val="0"/>
      <w:marRight w:val="0"/>
      <w:marTop w:val="0"/>
      <w:marBottom w:val="0"/>
      <w:divBdr>
        <w:top w:val="none" w:sz="0" w:space="0" w:color="auto"/>
        <w:left w:val="none" w:sz="0" w:space="0" w:color="auto"/>
        <w:bottom w:val="none" w:sz="0" w:space="0" w:color="auto"/>
        <w:right w:val="none" w:sz="0" w:space="0" w:color="auto"/>
      </w:divBdr>
    </w:div>
    <w:div w:id="1035496722">
      <w:bodyDiv w:val="1"/>
      <w:marLeft w:val="0"/>
      <w:marRight w:val="0"/>
      <w:marTop w:val="0"/>
      <w:marBottom w:val="0"/>
      <w:divBdr>
        <w:top w:val="none" w:sz="0" w:space="0" w:color="auto"/>
        <w:left w:val="none" w:sz="0" w:space="0" w:color="auto"/>
        <w:bottom w:val="none" w:sz="0" w:space="0" w:color="auto"/>
        <w:right w:val="none" w:sz="0" w:space="0" w:color="auto"/>
      </w:divBdr>
    </w:div>
    <w:div w:id="1112091860">
      <w:bodyDiv w:val="1"/>
      <w:marLeft w:val="0"/>
      <w:marRight w:val="0"/>
      <w:marTop w:val="0"/>
      <w:marBottom w:val="0"/>
      <w:divBdr>
        <w:top w:val="none" w:sz="0" w:space="0" w:color="auto"/>
        <w:left w:val="none" w:sz="0" w:space="0" w:color="auto"/>
        <w:bottom w:val="none" w:sz="0" w:space="0" w:color="auto"/>
        <w:right w:val="none" w:sz="0" w:space="0" w:color="auto"/>
      </w:divBdr>
    </w:div>
    <w:div w:id="1140685717">
      <w:bodyDiv w:val="1"/>
      <w:marLeft w:val="0"/>
      <w:marRight w:val="0"/>
      <w:marTop w:val="0"/>
      <w:marBottom w:val="0"/>
      <w:divBdr>
        <w:top w:val="none" w:sz="0" w:space="0" w:color="auto"/>
        <w:left w:val="none" w:sz="0" w:space="0" w:color="auto"/>
        <w:bottom w:val="none" w:sz="0" w:space="0" w:color="auto"/>
        <w:right w:val="none" w:sz="0" w:space="0" w:color="auto"/>
      </w:divBdr>
    </w:div>
    <w:div w:id="1144466873">
      <w:bodyDiv w:val="1"/>
      <w:marLeft w:val="0"/>
      <w:marRight w:val="0"/>
      <w:marTop w:val="0"/>
      <w:marBottom w:val="0"/>
      <w:divBdr>
        <w:top w:val="none" w:sz="0" w:space="0" w:color="auto"/>
        <w:left w:val="none" w:sz="0" w:space="0" w:color="auto"/>
        <w:bottom w:val="none" w:sz="0" w:space="0" w:color="auto"/>
        <w:right w:val="none" w:sz="0" w:space="0" w:color="auto"/>
      </w:divBdr>
    </w:div>
    <w:div w:id="1152719843">
      <w:bodyDiv w:val="1"/>
      <w:marLeft w:val="0"/>
      <w:marRight w:val="0"/>
      <w:marTop w:val="0"/>
      <w:marBottom w:val="0"/>
      <w:divBdr>
        <w:top w:val="none" w:sz="0" w:space="0" w:color="auto"/>
        <w:left w:val="none" w:sz="0" w:space="0" w:color="auto"/>
        <w:bottom w:val="none" w:sz="0" w:space="0" w:color="auto"/>
        <w:right w:val="none" w:sz="0" w:space="0" w:color="auto"/>
      </w:divBdr>
    </w:div>
    <w:div w:id="1155412999">
      <w:bodyDiv w:val="1"/>
      <w:marLeft w:val="0"/>
      <w:marRight w:val="0"/>
      <w:marTop w:val="0"/>
      <w:marBottom w:val="0"/>
      <w:divBdr>
        <w:top w:val="none" w:sz="0" w:space="0" w:color="auto"/>
        <w:left w:val="none" w:sz="0" w:space="0" w:color="auto"/>
        <w:bottom w:val="none" w:sz="0" w:space="0" w:color="auto"/>
        <w:right w:val="none" w:sz="0" w:space="0" w:color="auto"/>
      </w:divBdr>
    </w:div>
    <w:div w:id="1203908732">
      <w:bodyDiv w:val="1"/>
      <w:marLeft w:val="0"/>
      <w:marRight w:val="0"/>
      <w:marTop w:val="0"/>
      <w:marBottom w:val="0"/>
      <w:divBdr>
        <w:top w:val="none" w:sz="0" w:space="0" w:color="auto"/>
        <w:left w:val="none" w:sz="0" w:space="0" w:color="auto"/>
        <w:bottom w:val="none" w:sz="0" w:space="0" w:color="auto"/>
        <w:right w:val="none" w:sz="0" w:space="0" w:color="auto"/>
      </w:divBdr>
    </w:div>
    <w:div w:id="1219248487">
      <w:bodyDiv w:val="1"/>
      <w:marLeft w:val="0"/>
      <w:marRight w:val="0"/>
      <w:marTop w:val="0"/>
      <w:marBottom w:val="0"/>
      <w:divBdr>
        <w:top w:val="none" w:sz="0" w:space="0" w:color="auto"/>
        <w:left w:val="none" w:sz="0" w:space="0" w:color="auto"/>
        <w:bottom w:val="none" w:sz="0" w:space="0" w:color="auto"/>
        <w:right w:val="none" w:sz="0" w:space="0" w:color="auto"/>
      </w:divBdr>
    </w:div>
    <w:div w:id="1241215680">
      <w:bodyDiv w:val="1"/>
      <w:marLeft w:val="0"/>
      <w:marRight w:val="0"/>
      <w:marTop w:val="0"/>
      <w:marBottom w:val="0"/>
      <w:divBdr>
        <w:top w:val="none" w:sz="0" w:space="0" w:color="auto"/>
        <w:left w:val="none" w:sz="0" w:space="0" w:color="auto"/>
        <w:bottom w:val="none" w:sz="0" w:space="0" w:color="auto"/>
        <w:right w:val="none" w:sz="0" w:space="0" w:color="auto"/>
      </w:divBdr>
    </w:div>
    <w:div w:id="1248689418">
      <w:bodyDiv w:val="1"/>
      <w:marLeft w:val="0"/>
      <w:marRight w:val="0"/>
      <w:marTop w:val="0"/>
      <w:marBottom w:val="0"/>
      <w:divBdr>
        <w:top w:val="none" w:sz="0" w:space="0" w:color="auto"/>
        <w:left w:val="none" w:sz="0" w:space="0" w:color="auto"/>
        <w:bottom w:val="none" w:sz="0" w:space="0" w:color="auto"/>
        <w:right w:val="none" w:sz="0" w:space="0" w:color="auto"/>
      </w:divBdr>
    </w:div>
    <w:div w:id="1296644246">
      <w:bodyDiv w:val="1"/>
      <w:marLeft w:val="0"/>
      <w:marRight w:val="0"/>
      <w:marTop w:val="0"/>
      <w:marBottom w:val="0"/>
      <w:divBdr>
        <w:top w:val="none" w:sz="0" w:space="0" w:color="auto"/>
        <w:left w:val="none" w:sz="0" w:space="0" w:color="auto"/>
        <w:bottom w:val="none" w:sz="0" w:space="0" w:color="auto"/>
        <w:right w:val="none" w:sz="0" w:space="0" w:color="auto"/>
      </w:divBdr>
    </w:div>
    <w:div w:id="1302685630">
      <w:bodyDiv w:val="1"/>
      <w:marLeft w:val="0"/>
      <w:marRight w:val="0"/>
      <w:marTop w:val="0"/>
      <w:marBottom w:val="0"/>
      <w:divBdr>
        <w:top w:val="none" w:sz="0" w:space="0" w:color="auto"/>
        <w:left w:val="none" w:sz="0" w:space="0" w:color="auto"/>
        <w:bottom w:val="none" w:sz="0" w:space="0" w:color="auto"/>
        <w:right w:val="none" w:sz="0" w:space="0" w:color="auto"/>
      </w:divBdr>
    </w:div>
    <w:div w:id="1323195450">
      <w:bodyDiv w:val="1"/>
      <w:marLeft w:val="0"/>
      <w:marRight w:val="0"/>
      <w:marTop w:val="0"/>
      <w:marBottom w:val="0"/>
      <w:divBdr>
        <w:top w:val="none" w:sz="0" w:space="0" w:color="auto"/>
        <w:left w:val="none" w:sz="0" w:space="0" w:color="auto"/>
        <w:bottom w:val="none" w:sz="0" w:space="0" w:color="auto"/>
        <w:right w:val="none" w:sz="0" w:space="0" w:color="auto"/>
      </w:divBdr>
    </w:div>
    <w:div w:id="1330518768">
      <w:bodyDiv w:val="1"/>
      <w:marLeft w:val="0"/>
      <w:marRight w:val="0"/>
      <w:marTop w:val="0"/>
      <w:marBottom w:val="0"/>
      <w:divBdr>
        <w:top w:val="none" w:sz="0" w:space="0" w:color="auto"/>
        <w:left w:val="none" w:sz="0" w:space="0" w:color="auto"/>
        <w:bottom w:val="none" w:sz="0" w:space="0" w:color="auto"/>
        <w:right w:val="none" w:sz="0" w:space="0" w:color="auto"/>
      </w:divBdr>
    </w:div>
    <w:div w:id="1339116895">
      <w:bodyDiv w:val="1"/>
      <w:marLeft w:val="0"/>
      <w:marRight w:val="0"/>
      <w:marTop w:val="0"/>
      <w:marBottom w:val="0"/>
      <w:divBdr>
        <w:top w:val="none" w:sz="0" w:space="0" w:color="auto"/>
        <w:left w:val="none" w:sz="0" w:space="0" w:color="auto"/>
        <w:bottom w:val="none" w:sz="0" w:space="0" w:color="auto"/>
        <w:right w:val="none" w:sz="0" w:space="0" w:color="auto"/>
      </w:divBdr>
    </w:div>
    <w:div w:id="1353219847">
      <w:bodyDiv w:val="1"/>
      <w:marLeft w:val="0"/>
      <w:marRight w:val="0"/>
      <w:marTop w:val="0"/>
      <w:marBottom w:val="0"/>
      <w:divBdr>
        <w:top w:val="none" w:sz="0" w:space="0" w:color="auto"/>
        <w:left w:val="none" w:sz="0" w:space="0" w:color="auto"/>
        <w:bottom w:val="none" w:sz="0" w:space="0" w:color="auto"/>
        <w:right w:val="none" w:sz="0" w:space="0" w:color="auto"/>
      </w:divBdr>
    </w:div>
    <w:div w:id="1413547777">
      <w:bodyDiv w:val="1"/>
      <w:marLeft w:val="0"/>
      <w:marRight w:val="0"/>
      <w:marTop w:val="0"/>
      <w:marBottom w:val="0"/>
      <w:divBdr>
        <w:top w:val="none" w:sz="0" w:space="0" w:color="auto"/>
        <w:left w:val="none" w:sz="0" w:space="0" w:color="auto"/>
        <w:bottom w:val="none" w:sz="0" w:space="0" w:color="auto"/>
        <w:right w:val="none" w:sz="0" w:space="0" w:color="auto"/>
      </w:divBdr>
    </w:div>
    <w:div w:id="1434129658">
      <w:bodyDiv w:val="1"/>
      <w:marLeft w:val="0"/>
      <w:marRight w:val="0"/>
      <w:marTop w:val="0"/>
      <w:marBottom w:val="0"/>
      <w:divBdr>
        <w:top w:val="none" w:sz="0" w:space="0" w:color="auto"/>
        <w:left w:val="none" w:sz="0" w:space="0" w:color="auto"/>
        <w:bottom w:val="none" w:sz="0" w:space="0" w:color="auto"/>
        <w:right w:val="none" w:sz="0" w:space="0" w:color="auto"/>
      </w:divBdr>
    </w:div>
    <w:div w:id="1466728317">
      <w:bodyDiv w:val="1"/>
      <w:marLeft w:val="0"/>
      <w:marRight w:val="0"/>
      <w:marTop w:val="0"/>
      <w:marBottom w:val="0"/>
      <w:divBdr>
        <w:top w:val="none" w:sz="0" w:space="0" w:color="auto"/>
        <w:left w:val="none" w:sz="0" w:space="0" w:color="auto"/>
        <w:bottom w:val="none" w:sz="0" w:space="0" w:color="auto"/>
        <w:right w:val="none" w:sz="0" w:space="0" w:color="auto"/>
      </w:divBdr>
    </w:div>
    <w:div w:id="1531412416">
      <w:bodyDiv w:val="1"/>
      <w:marLeft w:val="0"/>
      <w:marRight w:val="0"/>
      <w:marTop w:val="0"/>
      <w:marBottom w:val="0"/>
      <w:divBdr>
        <w:top w:val="none" w:sz="0" w:space="0" w:color="auto"/>
        <w:left w:val="none" w:sz="0" w:space="0" w:color="auto"/>
        <w:bottom w:val="none" w:sz="0" w:space="0" w:color="auto"/>
        <w:right w:val="none" w:sz="0" w:space="0" w:color="auto"/>
      </w:divBdr>
    </w:div>
    <w:div w:id="1548058220">
      <w:bodyDiv w:val="1"/>
      <w:marLeft w:val="0"/>
      <w:marRight w:val="0"/>
      <w:marTop w:val="0"/>
      <w:marBottom w:val="0"/>
      <w:divBdr>
        <w:top w:val="none" w:sz="0" w:space="0" w:color="auto"/>
        <w:left w:val="none" w:sz="0" w:space="0" w:color="auto"/>
        <w:bottom w:val="none" w:sz="0" w:space="0" w:color="auto"/>
        <w:right w:val="none" w:sz="0" w:space="0" w:color="auto"/>
      </w:divBdr>
    </w:div>
    <w:div w:id="1557857178">
      <w:bodyDiv w:val="1"/>
      <w:marLeft w:val="0"/>
      <w:marRight w:val="0"/>
      <w:marTop w:val="0"/>
      <w:marBottom w:val="0"/>
      <w:divBdr>
        <w:top w:val="none" w:sz="0" w:space="0" w:color="auto"/>
        <w:left w:val="none" w:sz="0" w:space="0" w:color="auto"/>
        <w:bottom w:val="none" w:sz="0" w:space="0" w:color="auto"/>
        <w:right w:val="none" w:sz="0" w:space="0" w:color="auto"/>
      </w:divBdr>
    </w:div>
    <w:div w:id="1597518502">
      <w:bodyDiv w:val="1"/>
      <w:marLeft w:val="0"/>
      <w:marRight w:val="0"/>
      <w:marTop w:val="0"/>
      <w:marBottom w:val="0"/>
      <w:divBdr>
        <w:top w:val="none" w:sz="0" w:space="0" w:color="auto"/>
        <w:left w:val="none" w:sz="0" w:space="0" w:color="auto"/>
        <w:bottom w:val="none" w:sz="0" w:space="0" w:color="auto"/>
        <w:right w:val="none" w:sz="0" w:space="0" w:color="auto"/>
      </w:divBdr>
      <w:divsChild>
        <w:div w:id="1681545405">
          <w:marLeft w:val="0"/>
          <w:marRight w:val="0"/>
          <w:marTop w:val="0"/>
          <w:marBottom w:val="0"/>
          <w:divBdr>
            <w:top w:val="single" w:sz="6" w:space="0" w:color="161D25"/>
            <w:left w:val="single" w:sz="6" w:space="0" w:color="161D25"/>
            <w:bottom w:val="single" w:sz="6" w:space="0" w:color="161D25"/>
            <w:right w:val="single" w:sz="6" w:space="0" w:color="161D25"/>
          </w:divBdr>
          <w:divsChild>
            <w:div w:id="706609158">
              <w:marLeft w:val="0"/>
              <w:marRight w:val="0"/>
              <w:marTop w:val="0"/>
              <w:marBottom w:val="0"/>
              <w:divBdr>
                <w:top w:val="single" w:sz="6" w:space="0" w:color="0072BC"/>
                <w:left w:val="single" w:sz="6" w:space="0" w:color="0072BC"/>
                <w:bottom w:val="single" w:sz="6" w:space="0" w:color="0072BC"/>
                <w:right w:val="single" w:sz="6" w:space="0" w:color="0072BC"/>
              </w:divBdr>
              <w:divsChild>
                <w:div w:id="2056808636">
                  <w:marLeft w:val="0"/>
                  <w:marRight w:val="0"/>
                  <w:marTop w:val="0"/>
                  <w:marBottom w:val="0"/>
                  <w:divBdr>
                    <w:top w:val="none" w:sz="0" w:space="0" w:color="auto"/>
                    <w:left w:val="none" w:sz="0" w:space="0" w:color="auto"/>
                    <w:bottom w:val="none" w:sz="0" w:space="0" w:color="auto"/>
                    <w:right w:val="none" w:sz="0" w:space="0" w:color="auto"/>
                  </w:divBdr>
                  <w:divsChild>
                    <w:div w:id="234631288">
                      <w:marLeft w:val="0"/>
                      <w:marRight w:val="0"/>
                      <w:marTop w:val="0"/>
                      <w:marBottom w:val="0"/>
                      <w:divBdr>
                        <w:top w:val="none" w:sz="0" w:space="0" w:color="auto"/>
                        <w:left w:val="none" w:sz="0" w:space="0" w:color="auto"/>
                        <w:bottom w:val="none" w:sz="0" w:space="0" w:color="auto"/>
                        <w:right w:val="none" w:sz="0" w:space="0" w:color="auto"/>
                      </w:divBdr>
                      <w:divsChild>
                        <w:div w:id="1528105224">
                          <w:marLeft w:val="0"/>
                          <w:marRight w:val="0"/>
                          <w:marTop w:val="0"/>
                          <w:marBottom w:val="0"/>
                          <w:divBdr>
                            <w:top w:val="none" w:sz="0" w:space="0" w:color="auto"/>
                            <w:left w:val="none" w:sz="0" w:space="0" w:color="auto"/>
                            <w:bottom w:val="none" w:sz="0" w:space="0" w:color="auto"/>
                            <w:right w:val="none" w:sz="0" w:space="0" w:color="auto"/>
                          </w:divBdr>
                          <w:divsChild>
                            <w:div w:id="1747729881">
                              <w:marLeft w:val="0"/>
                              <w:marRight w:val="0"/>
                              <w:marTop w:val="0"/>
                              <w:marBottom w:val="0"/>
                              <w:divBdr>
                                <w:top w:val="none" w:sz="0" w:space="0" w:color="auto"/>
                                <w:left w:val="none" w:sz="0" w:space="0" w:color="auto"/>
                                <w:bottom w:val="none" w:sz="0" w:space="0" w:color="auto"/>
                                <w:right w:val="none" w:sz="0" w:space="0" w:color="auto"/>
                              </w:divBdr>
                              <w:divsChild>
                                <w:div w:id="1754357706">
                                  <w:marLeft w:val="0"/>
                                  <w:marRight w:val="0"/>
                                  <w:marTop w:val="0"/>
                                  <w:marBottom w:val="0"/>
                                  <w:divBdr>
                                    <w:top w:val="none" w:sz="0" w:space="0" w:color="auto"/>
                                    <w:left w:val="none" w:sz="0" w:space="0" w:color="auto"/>
                                    <w:bottom w:val="none" w:sz="0" w:space="0" w:color="auto"/>
                                    <w:right w:val="none" w:sz="0" w:space="0" w:color="auto"/>
                                  </w:divBdr>
                                  <w:divsChild>
                                    <w:div w:id="9327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7999">
      <w:bodyDiv w:val="1"/>
      <w:marLeft w:val="0"/>
      <w:marRight w:val="0"/>
      <w:marTop w:val="0"/>
      <w:marBottom w:val="0"/>
      <w:divBdr>
        <w:top w:val="none" w:sz="0" w:space="0" w:color="auto"/>
        <w:left w:val="none" w:sz="0" w:space="0" w:color="auto"/>
        <w:bottom w:val="none" w:sz="0" w:space="0" w:color="auto"/>
        <w:right w:val="none" w:sz="0" w:space="0" w:color="auto"/>
      </w:divBdr>
    </w:div>
    <w:div w:id="1659191506">
      <w:bodyDiv w:val="1"/>
      <w:marLeft w:val="0"/>
      <w:marRight w:val="0"/>
      <w:marTop w:val="0"/>
      <w:marBottom w:val="0"/>
      <w:divBdr>
        <w:top w:val="none" w:sz="0" w:space="0" w:color="auto"/>
        <w:left w:val="none" w:sz="0" w:space="0" w:color="auto"/>
        <w:bottom w:val="none" w:sz="0" w:space="0" w:color="auto"/>
        <w:right w:val="none" w:sz="0" w:space="0" w:color="auto"/>
      </w:divBdr>
    </w:div>
    <w:div w:id="1726365723">
      <w:bodyDiv w:val="1"/>
      <w:marLeft w:val="0"/>
      <w:marRight w:val="0"/>
      <w:marTop w:val="0"/>
      <w:marBottom w:val="0"/>
      <w:divBdr>
        <w:top w:val="none" w:sz="0" w:space="0" w:color="auto"/>
        <w:left w:val="none" w:sz="0" w:space="0" w:color="auto"/>
        <w:bottom w:val="none" w:sz="0" w:space="0" w:color="auto"/>
        <w:right w:val="none" w:sz="0" w:space="0" w:color="auto"/>
      </w:divBdr>
    </w:div>
    <w:div w:id="1727020842">
      <w:bodyDiv w:val="1"/>
      <w:marLeft w:val="0"/>
      <w:marRight w:val="0"/>
      <w:marTop w:val="0"/>
      <w:marBottom w:val="0"/>
      <w:divBdr>
        <w:top w:val="none" w:sz="0" w:space="0" w:color="auto"/>
        <w:left w:val="none" w:sz="0" w:space="0" w:color="auto"/>
        <w:bottom w:val="none" w:sz="0" w:space="0" w:color="auto"/>
        <w:right w:val="none" w:sz="0" w:space="0" w:color="auto"/>
      </w:divBdr>
    </w:div>
    <w:div w:id="1752241266">
      <w:bodyDiv w:val="1"/>
      <w:marLeft w:val="0"/>
      <w:marRight w:val="0"/>
      <w:marTop w:val="0"/>
      <w:marBottom w:val="0"/>
      <w:divBdr>
        <w:top w:val="none" w:sz="0" w:space="0" w:color="auto"/>
        <w:left w:val="none" w:sz="0" w:space="0" w:color="auto"/>
        <w:bottom w:val="none" w:sz="0" w:space="0" w:color="auto"/>
        <w:right w:val="none" w:sz="0" w:space="0" w:color="auto"/>
      </w:divBdr>
    </w:div>
    <w:div w:id="1755080978">
      <w:bodyDiv w:val="1"/>
      <w:marLeft w:val="0"/>
      <w:marRight w:val="0"/>
      <w:marTop w:val="0"/>
      <w:marBottom w:val="0"/>
      <w:divBdr>
        <w:top w:val="none" w:sz="0" w:space="0" w:color="auto"/>
        <w:left w:val="none" w:sz="0" w:space="0" w:color="auto"/>
        <w:bottom w:val="none" w:sz="0" w:space="0" w:color="auto"/>
        <w:right w:val="none" w:sz="0" w:space="0" w:color="auto"/>
      </w:divBdr>
    </w:div>
    <w:div w:id="1766606786">
      <w:bodyDiv w:val="1"/>
      <w:marLeft w:val="0"/>
      <w:marRight w:val="0"/>
      <w:marTop w:val="0"/>
      <w:marBottom w:val="0"/>
      <w:divBdr>
        <w:top w:val="none" w:sz="0" w:space="0" w:color="auto"/>
        <w:left w:val="none" w:sz="0" w:space="0" w:color="auto"/>
        <w:bottom w:val="none" w:sz="0" w:space="0" w:color="auto"/>
        <w:right w:val="none" w:sz="0" w:space="0" w:color="auto"/>
      </w:divBdr>
    </w:div>
    <w:div w:id="1766807905">
      <w:bodyDiv w:val="1"/>
      <w:marLeft w:val="0"/>
      <w:marRight w:val="0"/>
      <w:marTop w:val="0"/>
      <w:marBottom w:val="0"/>
      <w:divBdr>
        <w:top w:val="none" w:sz="0" w:space="0" w:color="auto"/>
        <w:left w:val="none" w:sz="0" w:space="0" w:color="auto"/>
        <w:bottom w:val="none" w:sz="0" w:space="0" w:color="auto"/>
        <w:right w:val="none" w:sz="0" w:space="0" w:color="auto"/>
      </w:divBdr>
      <w:divsChild>
        <w:div w:id="916287755">
          <w:marLeft w:val="0"/>
          <w:marRight w:val="0"/>
          <w:marTop w:val="0"/>
          <w:marBottom w:val="0"/>
          <w:divBdr>
            <w:top w:val="none" w:sz="0" w:space="0" w:color="auto"/>
            <w:left w:val="none" w:sz="0" w:space="0" w:color="auto"/>
            <w:bottom w:val="none" w:sz="0" w:space="0" w:color="auto"/>
            <w:right w:val="none" w:sz="0" w:space="0" w:color="auto"/>
          </w:divBdr>
        </w:div>
      </w:divsChild>
    </w:div>
    <w:div w:id="1788742609">
      <w:bodyDiv w:val="1"/>
      <w:marLeft w:val="0"/>
      <w:marRight w:val="0"/>
      <w:marTop w:val="0"/>
      <w:marBottom w:val="0"/>
      <w:divBdr>
        <w:top w:val="none" w:sz="0" w:space="0" w:color="auto"/>
        <w:left w:val="none" w:sz="0" w:space="0" w:color="auto"/>
        <w:bottom w:val="none" w:sz="0" w:space="0" w:color="auto"/>
        <w:right w:val="none" w:sz="0" w:space="0" w:color="auto"/>
      </w:divBdr>
    </w:div>
    <w:div w:id="1857109194">
      <w:bodyDiv w:val="1"/>
      <w:marLeft w:val="0"/>
      <w:marRight w:val="0"/>
      <w:marTop w:val="0"/>
      <w:marBottom w:val="0"/>
      <w:divBdr>
        <w:top w:val="none" w:sz="0" w:space="0" w:color="auto"/>
        <w:left w:val="none" w:sz="0" w:space="0" w:color="auto"/>
        <w:bottom w:val="none" w:sz="0" w:space="0" w:color="auto"/>
        <w:right w:val="none" w:sz="0" w:space="0" w:color="auto"/>
      </w:divBdr>
    </w:div>
    <w:div w:id="1868785370">
      <w:bodyDiv w:val="1"/>
      <w:marLeft w:val="0"/>
      <w:marRight w:val="0"/>
      <w:marTop w:val="0"/>
      <w:marBottom w:val="0"/>
      <w:divBdr>
        <w:top w:val="none" w:sz="0" w:space="0" w:color="auto"/>
        <w:left w:val="none" w:sz="0" w:space="0" w:color="auto"/>
        <w:bottom w:val="none" w:sz="0" w:space="0" w:color="auto"/>
        <w:right w:val="none" w:sz="0" w:space="0" w:color="auto"/>
      </w:divBdr>
    </w:div>
    <w:div w:id="1885749645">
      <w:bodyDiv w:val="1"/>
      <w:marLeft w:val="0"/>
      <w:marRight w:val="0"/>
      <w:marTop w:val="0"/>
      <w:marBottom w:val="0"/>
      <w:divBdr>
        <w:top w:val="none" w:sz="0" w:space="0" w:color="auto"/>
        <w:left w:val="none" w:sz="0" w:space="0" w:color="auto"/>
        <w:bottom w:val="none" w:sz="0" w:space="0" w:color="auto"/>
        <w:right w:val="none" w:sz="0" w:space="0" w:color="auto"/>
      </w:divBdr>
    </w:div>
    <w:div w:id="1972468314">
      <w:bodyDiv w:val="1"/>
      <w:marLeft w:val="0"/>
      <w:marRight w:val="0"/>
      <w:marTop w:val="0"/>
      <w:marBottom w:val="0"/>
      <w:divBdr>
        <w:top w:val="none" w:sz="0" w:space="0" w:color="auto"/>
        <w:left w:val="none" w:sz="0" w:space="0" w:color="auto"/>
        <w:bottom w:val="none" w:sz="0" w:space="0" w:color="auto"/>
        <w:right w:val="none" w:sz="0" w:space="0" w:color="auto"/>
      </w:divBdr>
    </w:div>
    <w:div w:id="1974023460">
      <w:bodyDiv w:val="1"/>
      <w:marLeft w:val="0"/>
      <w:marRight w:val="0"/>
      <w:marTop w:val="0"/>
      <w:marBottom w:val="0"/>
      <w:divBdr>
        <w:top w:val="none" w:sz="0" w:space="0" w:color="auto"/>
        <w:left w:val="none" w:sz="0" w:space="0" w:color="auto"/>
        <w:bottom w:val="none" w:sz="0" w:space="0" w:color="auto"/>
        <w:right w:val="none" w:sz="0" w:space="0" w:color="auto"/>
      </w:divBdr>
    </w:div>
    <w:div w:id="1994597685">
      <w:bodyDiv w:val="1"/>
      <w:marLeft w:val="0"/>
      <w:marRight w:val="0"/>
      <w:marTop w:val="0"/>
      <w:marBottom w:val="0"/>
      <w:divBdr>
        <w:top w:val="none" w:sz="0" w:space="0" w:color="auto"/>
        <w:left w:val="none" w:sz="0" w:space="0" w:color="auto"/>
        <w:bottom w:val="none" w:sz="0" w:space="0" w:color="auto"/>
        <w:right w:val="none" w:sz="0" w:space="0" w:color="auto"/>
      </w:divBdr>
    </w:div>
    <w:div w:id="1997412113">
      <w:bodyDiv w:val="1"/>
      <w:marLeft w:val="0"/>
      <w:marRight w:val="0"/>
      <w:marTop w:val="0"/>
      <w:marBottom w:val="0"/>
      <w:divBdr>
        <w:top w:val="none" w:sz="0" w:space="0" w:color="auto"/>
        <w:left w:val="none" w:sz="0" w:space="0" w:color="auto"/>
        <w:bottom w:val="none" w:sz="0" w:space="0" w:color="auto"/>
        <w:right w:val="none" w:sz="0" w:space="0" w:color="auto"/>
      </w:divBdr>
    </w:div>
    <w:div w:id="2031879232">
      <w:bodyDiv w:val="1"/>
      <w:marLeft w:val="0"/>
      <w:marRight w:val="0"/>
      <w:marTop w:val="0"/>
      <w:marBottom w:val="0"/>
      <w:divBdr>
        <w:top w:val="none" w:sz="0" w:space="0" w:color="auto"/>
        <w:left w:val="none" w:sz="0" w:space="0" w:color="auto"/>
        <w:bottom w:val="none" w:sz="0" w:space="0" w:color="auto"/>
        <w:right w:val="none" w:sz="0" w:space="0" w:color="auto"/>
      </w:divBdr>
    </w:div>
    <w:div w:id="21140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pmcm.caiso.com/Pages/BPMLibrary.aspx" TargetMode="Externa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hyperlink" Target="http://www.caiso.com/Documents/EnergyImbalanceMarketParticipatingResourceAgreementSchedule1.xls" TargetMode="External"/><Relationship Id="rId159" Type="http://schemas.openxmlformats.org/officeDocument/2006/relationships/hyperlink" Target="http://bpmcm.caiso.com/Pages/BPMLibrary.aspx" TargetMode="External"/><Relationship Id="rId170" Type="http://schemas.openxmlformats.org/officeDocument/2006/relationships/image" Target="media/image4.emf"/><Relationship Id="rId191" Type="http://schemas.openxmlformats.org/officeDocument/2006/relationships/hyperlink" Target="http://bpmcm.caiso.com/Pages/BPMLibrary.aspx" TargetMode="External"/><Relationship Id="rId107" Type="http://schemas.openxmlformats.org/officeDocument/2006/relationships/footer" Target="footer1.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hyperlink" Target="mailto:SCRequests@caiso.com" TargetMode="External"/><Relationship Id="rId149" Type="http://schemas.openxmlformats.org/officeDocument/2006/relationships/hyperlink" Target="http://bpmcm.caiso.com/Pages/BPMLibrary.aspx" TargetMode="Externa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hyperlink" Target="http://bpmcm.caiso.com/Pages/BPMLibrary.aspx" TargetMode="External"/><Relationship Id="rId181" Type="http://schemas.openxmlformats.org/officeDocument/2006/relationships/hyperlink" Target="http://bpmcm.caiso.com/Pages/BPMLibrary.aspx" TargetMode="Externa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hyperlink" Target="http://bpmcm.caiso.com/Pages/BPMLibrary.aspx" TargetMode="External"/><Relationship Id="rId139" Type="http://schemas.openxmlformats.org/officeDocument/2006/relationships/hyperlink" Target="http://www.caiso.com/Documents/ResourceOwnerLetter_Sept2014.doc" TargetMode="External"/><Relationship Id="rId85" Type="http://schemas.openxmlformats.org/officeDocument/2006/relationships/customXml" Target="../customXml/item85.xml"/><Relationship Id="rId150" Type="http://schemas.openxmlformats.org/officeDocument/2006/relationships/hyperlink" Target="http://bpmcm.caiso.com/Pages/BPMLibrary.aspx" TargetMode="External"/><Relationship Id="rId171" Type="http://schemas.openxmlformats.org/officeDocument/2006/relationships/oleObject" Target="embeddings/Microsoft_Visio_2003-2010_Drawing1.vsd"/><Relationship Id="rId192" Type="http://schemas.openxmlformats.org/officeDocument/2006/relationships/hyperlink" Target="http://bpmcm.caiso.com/Pages/BPMLibrary.aspx" TargetMode="Externa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header" Target="header2.xml"/><Relationship Id="rId129" Type="http://schemas.openxmlformats.org/officeDocument/2006/relationships/hyperlink" Target="mailto:SCRequests@caiso.com" TargetMode="Externa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hyperlink" Target="http://bpmcm.caiso.com/Pages/BPMLibrary.aspx" TargetMode="External"/><Relationship Id="rId161" Type="http://schemas.openxmlformats.org/officeDocument/2006/relationships/hyperlink" Target="http://bpmcm.caiso.com/Pages/BPMLibrary.aspx" TargetMode="External"/><Relationship Id="rId182" Type="http://schemas.openxmlformats.org/officeDocument/2006/relationships/hyperlink" Target="http://bpmcm.caiso.com/Pages/BPMLibrary.aspx" TargetMode="External"/><Relationship Id="rId6" Type="http://schemas.openxmlformats.org/officeDocument/2006/relationships/customXml" Target="../customXml/item6.xml"/><Relationship Id="rId23" Type="http://schemas.openxmlformats.org/officeDocument/2006/relationships/customXml" Target="../customXml/item23.xml"/><Relationship Id="rId119" Type="http://schemas.openxmlformats.org/officeDocument/2006/relationships/hyperlink" Target="http://www.caiso.com/Documents/EnergyImbalanceMarketEntityAgreementInformationRequestSheet.doc" TargetMode="Externa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hyperlink" Target="http://www.caiso.com/Documents/ExistingSchedulingCoordinatorRequestsAdditionalSCID.doc" TargetMode="External"/><Relationship Id="rId151" Type="http://schemas.openxmlformats.org/officeDocument/2006/relationships/hyperlink" Target="http://bpmcm.caiso.com/Pages/BPMLibrary.aspx" TargetMode="External"/><Relationship Id="rId172" Type="http://schemas.openxmlformats.org/officeDocument/2006/relationships/image" Target="media/image5.emf"/><Relationship Id="rId193" Type="http://schemas.openxmlformats.org/officeDocument/2006/relationships/hyperlink" Target="http://www.caiso.com" TargetMode="External"/><Relationship Id="rId13" Type="http://schemas.openxmlformats.org/officeDocument/2006/relationships/customXml" Target="../customXml/item13.xml"/><Relationship Id="rId109" Type="http://schemas.openxmlformats.org/officeDocument/2006/relationships/hyperlink" Target="http://bpmcm.caiso.com/Pages/BPMLibrary.aspx" TargetMode="Externa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hyperlink" Target="mailto:RegulatoryContracts@caiso.com" TargetMode="External"/><Relationship Id="rId141" Type="http://schemas.openxmlformats.org/officeDocument/2006/relationships/hyperlink" Target="http://bpmcm.caiso.com/Pages/BPMLibrary.aspx" TargetMode="External"/><Relationship Id="rId7" Type="http://schemas.openxmlformats.org/officeDocument/2006/relationships/customXml" Target="../customXml/item7.xml"/><Relationship Id="rId162" Type="http://schemas.openxmlformats.org/officeDocument/2006/relationships/hyperlink" Target="http://bpmcm.caiso.com/Pages/BPMLibrary.aspx" TargetMode="External"/><Relationship Id="rId183" Type="http://schemas.openxmlformats.org/officeDocument/2006/relationships/hyperlink" Target="http://bpmcm.caiso.com/Pages/BPMLibrary.aspx" TargetMode="Externa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hyperlink" Target="http://bpmcm.caiso.com/Pages/BPMLibrary.aspx" TargetMode="External"/><Relationship Id="rId115" Type="http://schemas.openxmlformats.org/officeDocument/2006/relationships/hyperlink" Target="http://bpmcm.caiso.com/Pages/BPMLibrary.aspx" TargetMode="External"/><Relationship Id="rId131" Type="http://schemas.openxmlformats.org/officeDocument/2006/relationships/hyperlink" Target="http://www.caiso.com/Documents/SchedulingCoordinatorApplicationFormEIM-SelectionOptions.doc" TargetMode="External"/><Relationship Id="rId136" Type="http://schemas.openxmlformats.org/officeDocument/2006/relationships/hyperlink" Target="mailto:SCRequests@caiso.com" TargetMode="External"/><Relationship Id="rId157" Type="http://schemas.openxmlformats.org/officeDocument/2006/relationships/hyperlink" Target="http://bpmcm.caiso.com/Pages/BPMLibrary.aspx" TargetMode="External"/><Relationship Id="rId178" Type="http://schemas.openxmlformats.org/officeDocument/2006/relationships/image" Target="media/image11.emf"/><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hyperlink" Target="http://bpmcm.caiso.com/Pages/BPMLibrary.aspx" TargetMode="External"/><Relationship Id="rId173" Type="http://schemas.openxmlformats.org/officeDocument/2006/relationships/image" Target="media/image6.emf"/><Relationship Id="rId194" Type="http://schemas.openxmlformats.org/officeDocument/2006/relationships/hyperlink" Target="http://bpmcm.caiso.com/Pages/BPMLibrary.aspx" TargetMode="External"/><Relationship Id="rId199" Type="http://schemas.openxmlformats.org/officeDocument/2006/relationships/fontTable" Target="fontTable.xml"/><Relationship Id="rId203" Type="http://schemas.openxmlformats.org/officeDocument/2006/relationships/customXml" Target="../customXml/item10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numbering" Target="numbering.xml"/><Relationship Id="rId105" Type="http://schemas.openxmlformats.org/officeDocument/2006/relationships/endnotes" Target="endnotes.xml"/><Relationship Id="rId126" Type="http://schemas.openxmlformats.org/officeDocument/2006/relationships/hyperlink" Target="http://www.caiso.com/Documents/ISO_PaymentSelectionInstructions-EFT-Form.doc" TargetMode="External"/><Relationship Id="rId147" Type="http://schemas.openxmlformats.org/officeDocument/2006/relationships/hyperlink" Target="http://bpmcm.caiso.com/Pages/BPMLibrary.aspx" TargetMode="External"/><Relationship Id="rId168" Type="http://schemas.openxmlformats.org/officeDocument/2006/relationships/hyperlink" Target="http://bpmcm.caiso.com/Pages/BPMLibrary.aspx"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mailto:SCRequests@caiso.com" TargetMode="External"/><Relationship Id="rId142" Type="http://schemas.openxmlformats.org/officeDocument/2006/relationships/hyperlink" Target="http://bpmcm.caiso.com/Pages/BPMLibrary.aspx" TargetMode="External"/><Relationship Id="rId163" Type="http://schemas.openxmlformats.org/officeDocument/2006/relationships/hyperlink" Target="http://bpmcm.caiso.com/Pages/BPMLibrary.aspx" TargetMode="External"/><Relationship Id="rId184" Type="http://schemas.openxmlformats.org/officeDocument/2006/relationships/hyperlink" Target="http://bpmcm.caiso.com/Pages/BPMLibrary.aspx" TargetMode="External"/><Relationship Id="rId189" Type="http://schemas.openxmlformats.org/officeDocument/2006/relationships/hyperlink" Target="http://bpmcm.caiso.com/Pages/BPMLibrary.aspx" TargetMode="Externa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hyperlink" Target="http://bpmcm.caiso.com/Pages/BPMLibrary.aspx" TargetMode="External"/><Relationship Id="rId137" Type="http://schemas.openxmlformats.org/officeDocument/2006/relationships/hyperlink" Target="http://www.caiso.com/Documents/EnergyImbalanceMarketParticipatingResourceAgreementInformationRequestSheet.doc" TargetMode="External"/><Relationship Id="rId158" Type="http://schemas.openxmlformats.org/officeDocument/2006/relationships/hyperlink" Target="http://bpmcm.caiso.com/Pages/BPMLibrary.aspx" TargetMode="Externa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hyperlink" Target="http://bpmcm.caiso.com/Pages/BPMLibrary.aspx" TargetMode="External"/><Relationship Id="rId132" Type="http://schemas.openxmlformats.org/officeDocument/2006/relationships/image" Target="media/image3.jpeg"/><Relationship Id="rId153" Type="http://schemas.openxmlformats.org/officeDocument/2006/relationships/hyperlink" Target="http://bpmcm.caiso.com/Pages/BPMLibrary.aspx" TargetMode="External"/><Relationship Id="rId174" Type="http://schemas.openxmlformats.org/officeDocument/2006/relationships/image" Target="media/image7.png"/><Relationship Id="rId179" Type="http://schemas.openxmlformats.org/officeDocument/2006/relationships/hyperlink" Target="http://bpmcm.caiso.com/Pages/BPMLibrary.aspx" TargetMode="External"/><Relationship Id="rId195" Type="http://schemas.openxmlformats.org/officeDocument/2006/relationships/hyperlink" Target="http://bpmcm.caiso.com/Pages/BPMLibrary.aspx" TargetMode="External"/><Relationship Id="rId190" Type="http://schemas.openxmlformats.org/officeDocument/2006/relationships/hyperlink" Target="http://bpmcm.caiso.com/Pages/BPMLibrary.aspx" TargetMode="External"/><Relationship Id="rId204" Type="http://schemas.openxmlformats.org/officeDocument/2006/relationships/customXml" Target="../customXml/item103.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header" Target="header1.xml"/><Relationship Id="rId127" Type="http://schemas.openxmlformats.org/officeDocument/2006/relationships/hyperlink" Target="http://www.caiso.com/Documents/EmergencyPlanForm.doc" TargetMode="Externa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styles" Target="styles.xml"/><Relationship Id="rId122" Type="http://schemas.openxmlformats.org/officeDocument/2006/relationships/hyperlink" Target="http://www.caiso.com/Documents/SchedulingCoordinatorApplicationFormEIM-SelectionOptions.doc" TargetMode="External"/><Relationship Id="rId143" Type="http://schemas.openxmlformats.org/officeDocument/2006/relationships/hyperlink" Target="http://bpmcm.caiso.com/Pages/BPMLibrary.aspx" TargetMode="External"/><Relationship Id="rId148" Type="http://schemas.openxmlformats.org/officeDocument/2006/relationships/hyperlink" Target="http://bpmcm.caiso.com/Pages/BPMLibrary.aspx" TargetMode="External"/><Relationship Id="rId164" Type="http://schemas.openxmlformats.org/officeDocument/2006/relationships/hyperlink" Target="http://bpmcm.caiso.com/Pages/BPMDetails.aspx?BPM=Managing%20Full%20Network%20Model" TargetMode="External"/><Relationship Id="rId169" Type="http://schemas.openxmlformats.org/officeDocument/2006/relationships/hyperlink" Target="http://bpmcm.caiso.com/Pages/BPMLibrary.aspx" TargetMode="External"/><Relationship Id="rId185"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hyperlink" Target="file:///D:/Users/hkelley/AppData/Local/Microsoft/Windows/Temporary%20Internet%20Files/Content.Outlook/IB7JJPS9/ndeb@caiso.com" TargetMode="Externa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hyperlink" Target="http://bpmcm.caiso.com/Pages/BPMLibrary.aspx" TargetMode="External"/><Relationship Id="rId133" Type="http://schemas.openxmlformats.org/officeDocument/2006/relationships/hyperlink" Target="http://www.caiso.com/Documents/EnergyImbalanceMarketParticipatingResourceSchedulingCoordinatorAgreementInformationRequestSheet.doc" TargetMode="External"/><Relationship Id="rId154" Type="http://schemas.openxmlformats.org/officeDocument/2006/relationships/hyperlink" Target="http://bpmcm.caiso.com/Pages/BPMLibrary.aspx" TargetMode="External"/><Relationship Id="rId175" Type="http://schemas.openxmlformats.org/officeDocument/2006/relationships/image" Target="media/image8.png"/><Relationship Id="rId196" Type="http://schemas.openxmlformats.org/officeDocument/2006/relationships/hyperlink" Target="http://bpmcm.caiso.com/Pages/BPMLibrary.aspx" TargetMode="External"/><Relationship Id="rId200" Type="http://schemas.openxmlformats.org/officeDocument/2006/relationships/theme" Target="theme/theme1.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settings" Target="settings.xml"/><Relationship Id="rId123" Type="http://schemas.openxmlformats.org/officeDocument/2006/relationships/image" Target="media/image2.png"/><Relationship Id="rId144" Type="http://schemas.openxmlformats.org/officeDocument/2006/relationships/hyperlink" Target="http://bpmcm.caiso.com/Pages/BPMLibrary.aspx" TargetMode="External"/><Relationship Id="rId90" Type="http://schemas.openxmlformats.org/officeDocument/2006/relationships/customXml" Target="../customXml/item90.xml"/><Relationship Id="rId165" Type="http://schemas.openxmlformats.org/officeDocument/2006/relationships/hyperlink" Target="http://bpmcm.caiso.com/Pages/BPMLibrary.aspx" TargetMode="External"/><Relationship Id="rId186" Type="http://schemas.openxmlformats.org/officeDocument/2006/relationships/image" Target="media/image13.png"/><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hyperlink" Target="http://bpmcm.caiso.com/Pages/BPMLibrary.aspx" TargetMode="External"/><Relationship Id="rId134" Type="http://schemas.openxmlformats.org/officeDocument/2006/relationships/hyperlink" Target="http://www.caiso.com/Documents/ISOAffiliationResourceControlAgreementDisclosureForm.xls" TargetMode="External"/><Relationship Id="rId80" Type="http://schemas.openxmlformats.org/officeDocument/2006/relationships/customXml" Target="../customXml/item80.xml"/><Relationship Id="rId155" Type="http://schemas.openxmlformats.org/officeDocument/2006/relationships/hyperlink" Target="http://bpmcm.caiso.com/Pages/BPMLibrary.aspx" TargetMode="External"/><Relationship Id="rId176" Type="http://schemas.openxmlformats.org/officeDocument/2006/relationships/image" Target="media/image9.png"/><Relationship Id="rId197" Type="http://schemas.openxmlformats.org/officeDocument/2006/relationships/hyperlink" Target="http://bpmcm.caiso.com/Pages/BPMLibrary.aspx" TargetMode="External"/><Relationship Id="rId201" Type="http://schemas.openxmlformats.org/officeDocument/2006/relationships/customXml" Target="../customXml/item100.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webSettings" Target="webSettings.xml"/><Relationship Id="rId124" Type="http://schemas.openxmlformats.org/officeDocument/2006/relationships/hyperlink" Target="http://www.caiso.com/Documents/EnergyImbalanceMarketEntitySchedulingCoordinatorAgreementInformationRequestSheet.doc" TargetMode="Externa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hyperlink" Target="http://bpmcm.caiso.com/Pages/BPMLibrary.aspx" TargetMode="External"/><Relationship Id="rId166" Type="http://schemas.openxmlformats.org/officeDocument/2006/relationships/hyperlink" Target="http://bpmcm.caiso.com/Pages/BPMLibrary.aspx" TargetMode="External"/><Relationship Id="rId187" Type="http://schemas.openxmlformats.org/officeDocument/2006/relationships/image" Target="media/image14.png"/><Relationship Id="rId1" Type="http://schemas.openxmlformats.org/officeDocument/2006/relationships/customXml" Target="../customXml/item1.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hyperlink" Target="http://bpmcm.caiso.com/Pages/BPMLibrary.aspx" TargetMode="Externa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hyperlink" Target="http://www.caiso.com/Documents/NewSCAcceptanceLetter_Sept2014.doc" TargetMode="External"/><Relationship Id="rId156" Type="http://schemas.openxmlformats.org/officeDocument/2006/relationships/hyperlink" Target="http://www.caiso.com/rules/Pages/Regulatory/Default.aspx" TargetMode="External"/><Relationship Id="rId177" Type="http://schemas.openxmlformats.org/officeDocument/2006/relationships/image" Target="media/image10.emf"/><Relationship Id="rId198" Type="http://schemas.openxmlformats.org/officeDocument/2006/relationships/footer" Target="footer2.xml"/><Relationship Id="rId202" Type="http://schemas.openxmlformats.org/officeDocument/2006/relationships/customXml" Target="../customXml/item101.xml"/><Relationship Id="rId18" Type="http://schemas.openxmlformats.org/officeDocument/2006/relationships/customXml" Target="../customXml/item18.xml"/><Relationship Id="rId39" Type="http://schemas.openxmlformats.org/officeDocument/2006/relationships/customXml" Target="../customXml/item39.xml"/><Relationship Id="rId50" Type="http://schemas.openxmlformats.org/officeDocument/2006/relationships/customXml" Target="../customXml/item50.xml"/><Relationship Id="rId104" Type="http://schemas.openxmlformats.org/officeDocument/2006/relationships/footnotes" Target="footnotes.xml"/><Relationship Id="rId125" Type="http://schemas.openxmlformats.org/officeDocument/2006/relationships/hyperlink" Target="http://www.caiso.com/Documents/ISOAffiliationResourceControlAgreementDisclosureForm.xls" TargetMode="External"/><Relationship Id="rId146" Type="http://schemas.openxmlformats.org/officeDocument/2006/relationships/hyperlink" Target="http://bpmcm.caiso.com/Pages/BPMLibrary.aspx" TargetMode="External"/><Relationship Id="rId167" Type="http://schemas.openxmlformats.org/officeDocument/2006/relationships/hyperlink" Target="http://www.caiso.com/Documents/3510.pdf" TargetMode="External"/><Relationship Id="rId188" Type="http://schemas.openxmlformats.org/officeDocument/2006/relationships/image" Target="media/image15.png"/><Relationship Id="rId71" Type="http://schemas.openxmlformats.org/officeDocument/2006/relationships/customXml" Target="../customXml/item71.xml"/><Relationship Id="rId92" Type="http://schemas.openxmlformats.org/officeDocument/2006/relationships/customXml" Target="../customXml/item9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1.xml><?xml version="1.0" encoding="utf-8"?>
<?mso-contentType ?>
<customXsn xmlns="http://schemas.microsoft.com/office/2006/metadata/customXsn">
  <xsnLocation/>
  <cached>True</cached>
  <openByDefault>False</openByDefault>
  <xsnScope/>
</customXsn>
</file>

<file path=customXml/item102.xml><?xml version="1.0" encoding="utf-8"?>
<?mso-contentType ?>
<FormTemplates xmlns="http://schemas.microsoft.com/sharepoint/v3/contenttype/forms">
  <Display>DocumentLibraryForm</Display>
  <Edit>DocumentLibraryForm</Edit>
  <New>DocumentLibraryForm</New>
</FormTemplates>
</file>

<file path=customXml/item10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Energy Imbalance Market</BPM_x0020_Name>
  </documentManagement>
</p:propertie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LongProperties xmlns="http://schemas.microsoft.com/office/2006/metadata/longProperties"/>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FB4E8-48B9-475C-9909-01975FECA4E6}">
  <ds:schemaRefs>
    <ds:schemaRef ds:uri="http://schemas.openxmlformats.org/officeDocument/2006/bibliography"/>
  </ds:schemaRefs>
</ds:datastoreItem>
</file>

<file path=customXml/itemProps10.xml><?xml version="1.0" encoding="utf-8"?>
<ds:datastoreItem xmlns:ds="http://schemas.openxmlformats.org/officeDocument/2006/customXml" ds:itemID="{B80D7D65-63B4-4E36-BB8B-6720887DEA36}">
  <ds:schemaRefs>
    <ds:schemaRef ds:uri="http://schemas.openxmlformats.org/officeDocument/2006/bibliography"/>
  </ds:schemaRefs>
</ds:datastoreItem>
</file>

<file path=customXml/itemProps100.xml><?xml version="1.0" encoding="utf-8"?>
<ds:datastoreItem xmlns:ds="http://schemas.openxmlformats.org/officeDocument/2006/customXml" ds:itemID="{747DAE45-BAF6-49AC-8AAF-9E4D6D3138BE}"/>
</file>

<file path=customXml/itemProps101.xml><?xml version="1.0" encoding="utf-8"?>
<ds:datastoreItem xmlns:ds="http://schemas.openxmlformats.org/officeDocument/2006/customXml" ds:itemID="{2081D072-C14D-4EC6-BB01-3FF855AE8D14}"/>
</file>

<file path=customXml/itemProps102.xml><?xml version="1.0" encoding="utf-8"?>
<ds:datastoreItem xmlns:ds="http://schemas.openxmlformats.org/officeDocument/2006/customXml" ds:itemID="{CACF29E1-4731-4FC0-B386-97023072DB1A}"/>
</file>

<file path=customXml/itemProps103.xml><?xml version="1.0" encoding="utf-8"?>
<ds:datastoreItem xmlns:ds="http://schemas.openxmlformats.org/officeDocument/2006/customXml" ds:itemID="{DC811DCE-46BD-4B46-93F7-4DCAF80FC7FB}"/>
</file>

<file path=customXml/itemProps11.xml><?xml version="1.0" encoding="utf-8"?>
<ds:datastoreItem xmlns:ds="http://schemas.openxmlformats.org/officeDocument/2006/customXml" ds:itemID="{30B2B28C-4E57-4FBF-86A0-04A6A94D9C51}">
  <ds:schemaRefs>
    <ds:schemaRef ds:uri="http://schemas.openxmlformats.org/officeDocument/2006/bibliography"/>
  </ds:schemaRefs>
</ds:datastoreItem>
</file>

<file path=customXml/itemProps12.xml><?xml version="1.0" encoding="utf-8"?>
<ds:datastoreItem xmlns:ds="http://schemas.openxmlformats.org/officeDocument/2006/customXml" ds:itemID="{958F1BF7-2BCF-49D6-A536-6ECF632FA00B}">
  <ds:schemaRefs>
    <ds:schemaRef ds:uri="http://schemas.openxmlformats.org/officeDocument/2006/bibliography"/>
  </ds:schemaRefs>
</ds:datastoreItem>
</file>

<file path=customXml/itemProps13.xml><?xml version="1.0" encoding="utf-8"?>
<ds:datastoreItem xmlns:ds="http://schemas.openxmlformats.org/officeDocument/2006/customXml" ds:itemID="{B78E393F-7327-4E4E-A733-7372010E50EC}">
  <ds:schemaRefs>
    <ds:schemaRef ds:uri="http://schemas.openxmlformats.org/officeDocument/2006/bibliography"/>
  </ds:schemaRefs>
</ds:datastoreItem>
</file>

<file path=customXml/itemProps14.xml><?xml version="1.0" encoding="utf-8"?>
<ds:datastoreItem xmlns:ds="http://schemas.openxmlformats.org/officeDocument/2006/customXml" ds:itemID="{E9E0AAF7-F87F-4217-819D-0DD7C8874C26}">
  <ds:schemaRefs>
    <ds:schemaRef ds:uri="http://schemas.openxmlformats.org/officeDocument/2006/bibliography"/>
  </ds:schemaRefs>
</ds:datastoreItem>
</file>

<file path=customXml/itemProps15.xml><?xml version="1.0" encoding="utf-8"?>
<ds:datastoreItem xmlns:ds="http://schemas.openxmlformats.org/officeDocument/2006/customXml" ds:itemID="{9F31359D-C9D8-4113-A7E3-B19423D3ECE7}">
  <ds:schemaRefs>
    <ds:schemaRef ds:uri="http://schemas.openxmlformats.org/officeDocument/2006/bibliography"/>
  </ds:schemaRefs>
</ds:datastoreItem>
</file>

<file path=customXml/itemProps16.xml><?xml version="1.0" encoding="utf-8"?>
<ds:datastoreItem xmlns:ds="http://schemas.openxmlformats.org/officeDocument/2006/customXml" ds:itemID="{F37F083F-EA21-449C-9FCC-08B968B92B46}">
  <ds:schemaRefs>
    <ds:schemaRef ds:uri="http://schemas.openxmlformats.org/officeDocument/2006/bibliography"/>
  </ds:schemaRefs>
</ds:datastoreItem>
</file>

<file path=customXml/itemProps17.xml><?xml version="1.0" encoding="utf-8"?>
<ds:datastoreItem xmlns:ds="http://schemas.openxmlformats.org/officeDocument/2006/customXml" ds:itemID="{82901AA9-BDD0-41D3-9536-1EA4B99009E2}">
  <ds:schemaRefs>
    <ds:schemaRef ds:uri="http://schemas.openxmlformats.org/officeDocument/2006/bibliography"/>
  </ds:schemaRefs>
</ds:datastoreItem>
</file>

<file path=customXml/itemProps18.xml><?xml version="1.0" encoding="utf-8"?>
<ds:datastoreItem xmlns:ds="http://schemas.openxmlformats.org/officeDocument/2006/customXml" ds:itemID="{38A2554C-3F93-4610-9A82-D14AB046F5FD}">
  <ds:schemaRefs>
    <ds:schemaRef ds:uri="http://schemas.openxmlformats.org/officeDocument/2006/bibliography"/>
  </ds:schemaRefs>
</ds:datastoreItem>
</file>

<file path=customXml/itemProps19.xml><?xml version="1.0" encoding="utf-8"?>
<ds:datastoreItem xmlns:ds="http://schemas.openxmlformats.org/officeDocument/2006/customXml" ds:itemID="{1A6638D4-309B-44D6-8240-590D8F1B20E5}">
  <ds:schemaRefs>
    <ds:schemaRef ds:uri="http://schemas.openxmlformats.org/officeDocument/2006/bibliography"/>
  </ds:schemaRefs>
</ds:datastoreItem>
</file>

<file path=customXml/itemProps2.xml><?xml version="1.0" encoding="utf-8"?>
<ds:datastoreItem xmlns:ds="http://schemas.openxmlformats.org/officeDocument/2006/customXml" ds:itemID="{2650875C-7B24-426B-8432-E0E60570A21F}">
  <ds:schemaRefs>
    <ds:schemaRef ds:uri="http://schemas.openxmlformats.org/officeDocument/2006/bibliography"/>
  </ds:schemaRefs>
</ds:datastoreItem>
</file>

<file path=customXml/itemProps20.xml><?xml version="1.0" encoding="utf-8"?>
<ds:datastoreItem xmlns:ds="http://schemas.openxmlformats.org/officeDocument/2006/customXml" ds:itemID="{CF2A22BD-EADF-48B6-8E45-4D50A95E0B6C}">
  <ds:schemaRefs>
    <ds:schemaRef ds:uri="http://schemas.microsoft.com/office/2006/metadata/longProperties"/>
  </ds:schemaRefs>
</ds:datastoreItem>
</file>

<file path=customXml/itemProps21.xml><?xml version="1.0" encoding="utf-8"?>
<ds:datastoreItem xmlns:ds="http://schemas.openxmlformats.org/officeDocument/2006/customXml" ds:itemID="{9CE63063-DF31-46DC-9C99-F8758A745EEE}">
  <ds:schemaRefs>
    <ds:schemaRef ds:uri="http://schemas.openxmlformats.org/officeDocument/2006/bibliography"/>
  </ds:schemaRefs>
</ds:datastoreItem>
</file>

<file path=customXml/itemProps22.xml><?xml version="1.0" encoding="utf-8"?>
<ds:datastoreItem xmlns:ds="http://schemas.openxmlformats.org/officeDocument/2006/customXml" ds:itemID="{4D327022-8249-429F-8055-67B74707BC91}">
  <ds:schemaRefs>
    <ds:schemaRef ds:uri="http://schemas.openxmlformats.org/officeDocument/2006/bibliography"/>
  </ds:schemaRefs>
</ds:datastoreItem>
</file>

<file path=customXml/itemProps23.xml><?xml version="1.0" encoding="utf-8"?>
<ds:datastoreItem xmlns:ds="http://schemas.openxmlformats.org/officeDocument/2006/customXml" ds:itemID="{852131FF-62CD-420C-B254-DCEC0CF7003A}">
  <ds:schemaRefs>
    <ds:schemaRef ds:uri="http://schemas.openxmlformats.org/officeDocument/2006/bibliography"/>
  </ds:schemaRefs>
</ds:datastoreItem>
</file>

<file path=customXml/itemProps24.xml><?xml version="1.0" encoding="utf-8"?>
<ds:datastoreItem xmlns:ds="http://schemas.openxmlformats.org/officeDocument/2006/customXml" ds:itemID="{0C1AACAA-16B0-4722-A809-B05F44D18D48}">
  <ds:schemaRefs>
    <ds:schemaRef ds:uri="http://schemas.openxmlformats.org/officeDocument/2006/bibliography"/>
  </ds:schemaRefs>
</ds:datastoreItem>
</file>

<file path=customXml/itemProps25.xml><?xml version="1.0" encoding="utf-8"?>
<ds:datastoreItem xmlns:ds="http://schemas.openxmlformats.org/officeDocument/2006/customXml" ds:itemID="{F9656BCD-EDD3-4A09-9C77-9124F6236BDB}">
  <ds:schemaRefs>
    <ds:schemaRef ds:uri="http://schemas.openxmlformats.org/officeDocument/2006/bibliography"/>
  </ds:schemaRefs>
</ds:datastoreItem>
</file>

<file path=customXml/itemProps26.xml><?xml version="1.0" encoding="utf-8"?>
<ds:datastoreItem xmlns:ds="http://schemas.openxmlformats.org/officeDocument/2006/customXml" ds:itemID="{3E2A95D7-727D-4656-8B28-EFBBF4A97630}">
  <ds:schemaRefs>
    <ds:schemaRef ds:uri="http://schemas.openxmlformats.org/officeDocument/2006/bibliography"/>
  </ds:schemaRefs>
</ds:datastoreItem>
</file>

<file path=customXml/itemProps27.xml><?xml version="1.0" encoding="utf-8"?>
<ds:datastoreItem xmlns:ds="http://schemas.openxmlformats.org/officeDocument/2006/customXml" ds:itemID="{0E0F63C3-39C4-44F9-8960-EF1D5D1E792A}">
  <ds:schemaRefs>
    <ds:schemaRef ds:uri="http://schemas.openxmlformats.org/officeDocument/2006/bibliography"/>
  </ds:schemaRefs>
</ds:datastoreItem>
</file>

<file path=customXml/itemProps28.xml><?xml version="1.0" encoding="utf-8"?>
<ds:datastoreItem xmlns:ds="http://schemas.openxmlformats.org/officeDocument/2006/customXml" ds:itemID="{0ACE51DB-92EB-4D27-9A56-DEA599C7C33A}">
  <ds:schemaRefs>
    <ds:schemaRef ds:uri="http://schemas.openxmlformats.org/officeDocument/2006/bibliography"/>
  </ds:schemaRefs>
</ds:datastoreItem>
</file>

<file path=customXml/itemProps29.xml><?xml version="1.0" encoding="utf-8"?>
<ds:datastoreItem xmlns:ds="http://schemas.openxmlformats.org/officeDocument/2006/customXml" ds:itemID="{6B3939EB-84D4-4437-8B5E-A8CB7A60FA3F}">
  <ds:schemaRefs>
    <ds:schemaRef ds:uri="http://schemas.openxmlformats.org/officeDocument/2006/bibliography"/>
  </ds:schemaRefs>
</ds:datastoreItem>
</file>

<file path=customXml/itemProps3.xml><?xml version="1.0" encoding="utf-8"?>
<ds:datastoreItem xmlns:ds="http://schemas.openxmlformats.org/officeDocument/2006/customXml" ds:itemID="{DAC011E1-01F8-48FC-A98C-24CB274EBFF2}">
  <ds:schemaRefs>
    <ds:schemaRef ds:uri="http://schemas.openxmlformats.org/officeDocument/2006/bibliography"/>
  </ds:schemaRefs>
</ds:datastoreItem>
</file>

<file path=customXml/itemProps30.xml><?xml version="1.0" encoding="utf-8"?>
<ds:datastoreItem xmlns:ds="http://schemas.openxmlformats.org/officeDocument/2006/customXml" ds:itemID="{49F40112-BD78-4746-AF1D-78B72E805C72}">
  <ds:schemaRefs>
    <ds:schemaRef ds:uri="http://schemas.openxmlformats.org/officeDocument/2006/bibliography"/>
  </ds:schemaRefs>
</ds:datastoreItem>
</file>

<file path=customXml/itemProps31.xml><?xml version="1.0" encoding="utf-8"?>
<ds:datastoreItem xmlns:ds="http://schemas.openxmlformats.org/officeDocument/2006/customXml" ds:itemID="{CB405CEC-7E65-4B8E-9D39-832AB3D9C585}">
  <ds:schemaRefs>
    <ds:schemaRef ds:uri="http://schemas.openxmlformats.org/officeDocument/2006/bibliography"/>
  </ds:schemaRefs>
</ds:datastoreItem>
</file>

<file path=customXml/itemProps32.xml><?xml version="1.0" encoding="utf-8"?>
<ds:datastoreItem xmlns:ds="http://schemas.openxmlformats.org/officeDocument/2006/customXml" ds:itemID="{6509B839-9FB4-432D-A21D-C7E73CFF31DE}">
  <ds:schemaRefs>
    <ds:schemaRef ds:uri="http://schemas.openxmlformats.org/officeDocument/2006/bibliography"/>
  </ds:schemaRefs>
</ds:datastoreItem>
</file>

<file path=customXml/itemProps33.xml><?xml version="1.0" encoding="utf-8"?>
<ds:datastoreItem xmlns:ds="http://schemas.openxmlformats.org/officeDocument/2006/customXml" ds:itemID="{0F346DFB-0017-4ABC-9E24-E542605B024D}">
  <ds:schemaRefs>
    <ds:schemaRef ds:uri="http://schemas.openxmlformats.org/officeDocument/2006/bibliography"/>
  </ds:schemaRefs>
</ds:datastoreItem>
</file>

<file path=customXml/itemProps34.xml><?xml version="1.0" encoding="utf-8"?>
<ds:datastoreItem xmlns:ds="http://schemas.openxmlformats.org/officeDocument/2006/customXml" ds:itemID="{DE93871B-38CF-42AC-8022-5E86239D0A80}">
  <ds:schemaRefs>
    <ds:schemaRef ds:uri="http://schemas.openxmlformats.org/officeDocument/2006/bibliography"/>
  </ds:schemaRefs>
</ds:datastoreItem>
</file>

<file path=customXml/itemProps35.xml><?xml version="1.0" encoding="utf-8"?>
<ds:datastoreItem xmlns:ds="http://schemas.openxmlformats.org/officeDocument/2006/customXml" ds:itemID="{907D1D39-70B0-4485-ADB6-B98971029EA2}">
  <ds:schemaRefs>
    <ds:schemaRef ds:uri="http://schemas.openxmlformats.org/officeDocument/2006/bibliography"/>
  </ds:schemaRefs>
</ds:datastoreItem>
</file>

<file path=customXml/itemProps36.xml><?xml version="1.0" encoding="utf-8"?>
<ds:datastoreItem xmlns:ds="http://schemas.openxmlformats.org/officeDocument/2006/customXml" ds:itemID="{57538741-4D82-4148-A485-B3A8039FD9C8}">
  <ds:schemaRefs>
    <ds:schemaRef ds:uri="http://schemas.openxmlformats.org/officeDocument/2006/bibliography"/>
  </ds:schemaRefs>
</ds:datastoreItem>
</file>

<file path=customXml/itemProps37.xml><?xml version="1.0" encoding="utf-8"?>
<ds:datastoreItem xmlns:ds="http://schemas.openxmlformats.org/officeDocument/2006/customXml" ds:itemID="{452B5130-14A6-4AE9-A5B7-C65E499FE3E6}">
  <ds:schemaRefs>
    <ds:schemaRef ds:uri="http://schemas.openxmlformats.org/officeDocument/2006/bibliography"/>
  </ds:schemaRefs>
</ds:datastoreItem>
</file>

<file path=customXml/itemProps38.xml><?xml version="1.0" encoding="utf-8"?>
<ds:datastoreItem xmlns:ds="http://schemas.openxmlformats.org/officeDocument/2006/customXml" ds:itemID="{71821A9E-7266-4508-8CFE-1613EBC8BE12}">
  <ds:schemaRefs>
    <ds:schemaRef ds:uri="http://schemas.openxmlformats.org/officeDocument/2006/bibliography"/>
  </ds:schemaRefs>
</ds:datastoreItem>
</file>

<file path=customXml/itemProps39.xml><?xml version="1.0" encoding="utf-8"?>
<ds:datastoreItem xmlns:ds="http://schemas.openxmlformats.org/officeDocument/2006/customXml" ds:itemID="{72920739-563A-4A2B-B3DC-1E9B2E0C3433}">
  <ds:schemaRefs>
    <ds:schemaRef ds:uri="http://schemas.openxmlformats.org/officeDocument/2006/bibliography"/>
  </ds:schemaRefs>
</ds:datastoreItem>
</file>

<file path=customXml/itemProps4.xml><?xml version="1.0" encoding="utf-8"?>
<ds:datastoreItem xmlns:ds="http://schemas.openxmlformats.org/officeDocument/2006/customXml" ds:itemID="{FCDFEB1C-3B61-415C-BC7C-F1132A384ECC}">
  <ds:schemaRefs>
    <ds:schemaRef ds:uri="http://schemas.openxmlformats.org/officeDocument/2006/bibliography"/>
  </ds:schemaRefs>
</ds:datastoreItem>
</file>

<file path=customXml/itemProps40.xml><?xml version="1.0" encoding="utf-8"?>
<ds:datastoreItem xmlns:ds="http://schemas.openxmlformats.org/officeDocument/2006/customXml" ds:itemID="{DFCD70B2-20E6-4615-B04D-37D1368E21A8}">
  <ds:schemaRefs>
    <ds:schemaRef ds:uri="http://schemas.openxmlformats.org/officeDocument/2006/bibliography"/>
  </ds:schemaRefs>
</ds:datastoreItem>
</file>

<file path=customXml/itemProps41.xml><?xml version="1.0" encoding="utf-8"?>
<ds:datastoreItem xmlns:ds="http://schemas.openxmlformats.org/officeDocument/2006/customXml" ds:itemID="{DCACF367-C77A-4BF7-91B1-8D4954C132D1}">
  <ds:schemaRefs>
    <ds:schemaRef ds:uri="http://schemas.openxmlformats.org/officeDocument/2006/bibliography"/>
  </ds:schemaRefs>
</ds:datastoreItem>
</file>

<file path=customXml/itemProps42.xml><?xml version="1.0" encoding="utf-8"?>
<ds:datastoreItem xmlns:ds="http://schemas.openxmlformats.org/officeDocument/2006/customXml" ds:itemID="{DBD8737F-9EF1-4C59-9D74-EBF9330F91C6}">
  <ds:schemaRefs>
    <ds:schemaRef ds:uri="http://schemas.openxmlformats.org/officeDocument/2006/bibliography"/>
  </ds:schemaRefs>
</ds:datastoreItem>
</file>

<file path=customXml/itemProps43.xml><?xml version="1.0" encoding="utf-8"?>
<ds:datastoreItem xmlns:ds="http://schemas.openxmlformats.org/officeDocument/2006/customXml" ds:itemID="{6FCCD20A-BACF-4C36-BAAA-B5B972DE0482}">
  <ds:schemaRefs>
    <ds:schemaRef ds:uri="http://schemas.openxmlformats.org/officeDocument/2006/bibliography"/>
  </ds:schemaRefs>
</ds:datastoreItem>
</file>

<file path=customXml/itemProps44.xml><?xml version="1.0" encoding="utf-8"?>
<ds:datastoreItem xmlns:ds="http://schemas.openxmlformats.org/officeDocument/2006/customXml" ds:itemID="{2813CA96-F555-44ED-9BED-7B8ADE328296}">
  <ds:schemaRefs>
    <ds:schemaRef ds:uri="http://schemas.openxmlformats.org/officeDocument/2006/bibliography"/>
  </ds:schemaRefs>
</ds:datastoreItem>
</file>

<file path=customXml/itemProps45.xml><?xml version="1.0" encoding="utf-8"?>
<ds:datastoreItem xmlns:ds="http://schemas.openxmlformats.org/officeDocument/2006/customXml" ds:itemID="{E1FE6889-675A-4089-84F3-BC0C0FCB99E9}">
  <ds:schemaRefs>
    <ds:schemaRef ds:uri="http://schemas.openxmlformats.org/officeDocument/2006/bibliography"/>
  </ds:schemaRefs>
</ds:datastoreItem>
</file>

<file path=customXml/itemProps46.xml><?xml version="1.0" encoding="utf-8"?>
<ds:datastoreItem xmlns:ds="http://schemas.openxmlformats.org/officeDocument/2006/customXml" ds:itemID="{8FD92202-B45E-41C3-AA77-97FD2A08C14D}">
  <ds:schemaRefs>
    <ds:schemaRef ds:uri="http://schemas.openxmlformats.org/officeDocument/2006/bibliography"/>
  </ds:schemaRefs>
</ds:datastoreItem>
</file>

<file path=customXml/itemProps47.xml><?xml version="1.0" encoding="utf-8"?>
<ds:datastoreItem xmlns:ds="http://schemas.openxmlformats.org/officeDocument/2006/customXml" ds:itemID="{4975A25E-4BD6-4D51-AA72-56056C03773B}">
  <ds:schemaRefs>
    <ds:schemaRef ds:uri="http://schemas.openxmlformats.org/officeDocument/2006/bibliography"/>
  </ds:schemaRefs>
</ds:datastoreItem>
</file>

<file path=customXml/itemProps48.xml><?xml version="1.0" encoding="utf-8"?>
<ds:datastoreItem xmlns:ds="http://schemas.openxmlformats.org/officeDocument/2006/customXml" ds:itemID="{A36CF754-FAB2-429F-A499-FC485DA0619D}">
  <ds:schemaRefs>
    <ds:schemaRef ds:uri="http://schemas.openxmlformats.org/officeDocument/2006/bibliography"/>
  </ds:schemaRefs>
</ds:datastoreItem>
</file>

<file path=customXml/itemProps49.xml><?xml version="1.0" encoding="utf-8"?>
<ds:datastoreItem xmlns:ds="http://schemas.openxmlformats.org/officeDocument/2006/customXml" ds:itemID="{94E32041-93CC-4090-B278-C786805A096E}">
  <ds:schemaRefs>
    <ds:schemaRef ds:uri="http://schemas.openxmlformats.org/officeDocument/2006/bibliography"/>
  </ds:schemaRefs>
</ds:datastoreItem>
</file>

<file path=customXml/itemProps5.xml><?xml version="1.0" encoding="utf-8"?>
<ds:datastoreItem xmlns:ds="http://schemas.openxmlformats.org/officeDocument/2006/customXml" ds:itemID="{A2594924-6E66-4435-BDB4-B25427DF6244}">
  <ds:schemaRefs>
    <ds:schemaRef ds:uri="http://schemas.openxmlformats.org/officeDocument/2006/bibliography"/>
  </ds:schemaRefs>
</ds:datastoreItem>
</file>

<file path=customXml/itemProps50.xml><?xml version="1.0" encoding="utf-8"?>
<ds:datastoreItem xmlns:ds="http://schemas.openxmlformats.org/officeDocument/2006/customXml" ds:itemID="{783E9044-4248-4467-8778-920B9CCDDFBE}">
  <ds:schemaRefs>
    <ds:schemaRef ds:uri="http://schemas.openxmlformats.org/officeDocument/2006/bibliography"/>
  </ds:schemaRefs>
</ds:datastoreItem>
</file>

<file path=customXml/itemProps51.xml><?xml version="1.0" encoding="utf-8"?>
<ds:datastoreItem xmlns:ds="http://schemas.openxmlformats.org/officeDocument/2006/customXml" ds:itemID="{EA34CC49-1D96-4404-A080-192DDD60A315}">
  <ds:schemaRefs>
    <ds:schemaRef ds:uri="http://schemas.openxmlformats.org/officeDocument/2006/bibliography"/>
  </ds:schemaRefs>
</ds:datastoreItem>
</file>

<file path=customXml/itemProps52.xml><?xml version="1.0" encoding="utf-8"?>
<ds:datastoreItem xmlns:ds="http://schemas.openxmlformats.org/officeDocument/2006/customXml" ds:itemID="{1AE8230B-5073-4754-8009-A4B06D1A8AE1}">
  <ds:schemaRefs>
    <ds:schemaRef ds:uri="http://schemas.openxmlformats.org/officeDocument/2006/bibliography"/>
  </ds:schemaRefs>
</ds:datastoreItem>
</file>

<file path=customXml/itemProps53.xml><?xml version="1.0" encoding="utf-8"?>
<ds:datastoreItem xmlns:ds="http://schemas.openxmlformats.org/officeDocument/2006/customXml" ds:itemID="{20F650AA-2243-4868-9FF9-3526055299E4}">
  <ds:schemaRefs>
    <ds:schemaRef ds:uri="http://schemas.openxmlformats.org/officeDocument/2006/bibliography"/>
  </ds:schemaRefs>
</ds:datastoreItem>
</file>

<file path=customXml/itemProps54.xml><?xml version="1.0" encoding="utf-8"?>
<ds:datastoreItem xmlns:ds="http://schemas.openxmlformats.org/officeDocument/2006/customXml" ds:itemID="{FD65F8B9-25E9-492F-B31A-F9F6C88C6AF3}">
  <ds:schemaRefs>
    <ds:schemaRef ds:uri="http://schemas.openxmlformats.org/officeDocument/2006/bibliography"/>
  </ds:schemaRefs>
</ds:datastoreItem>
</file>

<file path=customXml/itemProps55.xml><?xml version="1.0" encoding="utf-8"?>
<ds:datastoreItem xmlns:ds="http://schemas.openxmlformats.org/officeDocument/2006/customXml" ds:itemID="{A37C743B-96AF-44B0-8287-B08994027B82}">
  <ds:schemaRefs>
    <ds:schemaRef ds:uri="http://schemas.openxmlformats.org/officeDocument/2006/bibliography"/>
  </ds:schemaRefs>
</ds:datastoreItem>
</file>

<file path=customXml/itemProps56.xml><?xml version="1.0" encoding="utf-8"?>
<ds:datastoreItem xmlns:ds="http://schemas.openxmlformats.org/officeDocument/2006/customXml" ds:itemID="{B21355F6-863F-40FB-8D01-C31FC583E395}">
  <ds:schemaRefs>
    <ds:schemaRef ds:uri="http://schemas.openxmlformats.org/officeDocument/2006/bibliography"/>
  </ds:schemaRefs>
</ds:datastoreItem>
</file>

<file path=customXml/itemProps57.xml><?xml version="1.0" encoding="utf-8"?>
<ds:datastoreItem xmlns:ds="http://schemas.openxmlformats.org/officeDocument/2006/customXml" ds:itemID="{AD11D6C1-6102-44C0-BB06-5D7B6E1EDCD6}">
  <ds:schemaRefs>
    <ds:schemaRef ds:uri="http://schemas.openxmlformats.org/officeDocument/2006/bibliography"/>
  </ds:schemaRefs>
</ds:datastoreItem>
</file>

<file path=customXml/itemProps58.xml><?xml version="1.0" encoding="utf-8"?>
<ds:datastoreItem xmlns:ds="http://schemas.openxmlformats.org/officeDocument/2006/customXml" ds:itemID="{54CA1F5A-9152-4B20-8214-2F92A4273B20}">
  <ds:schemaRefs>
    <ds:schemaRef ds:uri="http://schemas.openxmlformats.org/officeDocument/2006/bibliography"/>
  </ds:schemaRefs>
</ds:datastoreItem>
</file>

<file path=customXml/itemProps59.xml><?xml version="1.0" encoding="utf-8"?>
<ds:datastoreItem xmlns:ds="http://schemas.openxmlformats.org/officeDocument/2006/customXml" ds:itemID="{F0B1284E-EC2C-4D73-8C10-5DB8990422B3}">
  <ds:schemaRefs>
    <ds:schemaRef ds:uri="http://schemas.openxmlformats.org/officeDocument/2006/bibliography"/>
  </ds:schemaRefs>
</ds:datastoreItem>
</file>

<file path=customXml/itemProps6.xml><?xml version="1.0" encoding="utf-8"?>
<ds:datastoreItem xmlns:ds="http://schemas.openxmlformats.org/officeDocument/2006/customXml" ds:itemID="{5CFA8AEC-39D5-4A2B-AC78-3B09C9851B85}">
  <ds:schemaRefs>
    <ds:schemaRef ds:uri="http://schemas.openxmlformats.org/officeDocument/2006/bibliography"/>
  </ds:schemaRefs>
</ds:datastoreItem>
</file>

<file path=customXml/itemProps60.xml><?xml version="1.0" encoding="utf-8"?>
<ds:datastoreItem xmlns:ds="http://schemas.openxmlformats.org/officeDocument/2006/customXml" ds:itemID="{37D3AEFA-1AC0-4B23-9D9D-18B4ACAE6039}">
  <ds:schemaRefs>
    <ds:schemaRef ds:uri="http://schemas.openxmlformats.org/officeDocument/2006/bibliography"/>
  </ds:schemaRefs>
</ds:datastoreItem>
</file>

<file path=customXml/itemProps61.xml><?xml version="1.0" encoding="utf-8"?>
<ds:datastoreItem xmlns:ds="http://schemas.openxmlformats.org/officeDocument/2006/customXml" ds:itemID="{2C1C9F34-13D2-4FDF-8603-2D1E764FA567}">
  <ds:schemaRefs>
    <ds:schemaRef ds:uri="http://schemas.openxmlformats.org/officeDocument/2006/bibliography"/>
  </ds:schemaRefs>
</ds:datastoreItem>
</file>

<file path=customXml/itemProps62.xml><?xml version="1.0" encoding="utf-8"?>
<ds:datastoreItem xmlns:ds="http://schemas.openxmlformats.org/officeDocument/2006/customXml" ds:itemID="{9D9397FE-71B2-40E9-9A19-3F4E622E1DC4}">
  <ds:schemaRefs>
    <ds:schemaRef ds:uri="http://schemas.openxmlformats.org/officeDocument/2006/bibliography"/>
  </ds:schemaRefs>
</ds:datastoreItem>
</file>

<file path=customXml/itemProps63.xml><?xml version="1.0" encoding="utf-8"?>
<ds:datastoreItem xmlns:ds="http://schemas.openxmlformats.org/officeDocument/2006/customXml" ds:itemID="{EFF88F6F-F99E-4B62-ACDB-F18B34406FE2}">
  <ds:schemaRefs>
    <ds:schemaRef ds:uri="http://schemas.openxmlformats.org/officeDocument/2006/bibliography"/>
  </ds:schemaRefs>
</ds:datastoreItem>
</file>

<file path=customXml/itemProps64.xml><?xml version="1.0" encoding="utf-8"?>
<ds:datastoreItem xmlns:ds="http://schemas.openxmlformats.org/officeDocument/2006/customXml" ds:itemID="{75771299-6648-4833-A659-9232A7350887}">
  <ds:schemaRefs>
    <ds:schemaRef ds:uri="http://schemas.openxmlformats.org/officeDocument/2006/bibliography"/>
  </ds:schemaRefs>
</ds:datastoreItem>
</file>

<file path=customXml/itemProps65.xml><?xml version="1.0" encoding="utf-8"?>
<ds:datastoreItem xmlns:ds="http://schemas.openxmlformats.org/officeDocument/2006/customXml" ds:itemID="{AE11A756-762B-4A2B-A206-9EB5722AE5A4}">
  <ds:schemaRefs>
    <ds:schemaRef ds:uri="http://schemas.openxmlformats.org/officeDocument/2006/bibliography"/>
  </ds:schemaRefs>
</ds:datastoreItem>
</file>

<file path=customXml/itemProps66.xml><?xml version="1.0" encoding="utf-8"?>
<ds:datastoreItem xmlns:ds="http://schemas.openxmlformats.org/officeDocument/2006/customXml" ds:itemID="{63D8256F-7373-4E14-95ED-B41E21C8B0CE}">
  <ds:schemaRefs>
    <ds:schemaRef ds:uri="http://schemas.openxmlformats.org/officeDocument/2006/bibliography"/>
  </ds:schemaRefs>
</ds:datastoreItem>
</file>

<file path=customXml/itemProps67.xml><?xml version="1.0" encoding="utf-8"?>
<ds:datastoreItem xmlns:ds="http://schemas.openxmlformats.org/officeDocument/2006/customXml" ds:itemID="{123FADAD-0DB1-4AFD-BE33-A83198FB5F30}">
  <ds:schemaRefs>
    <ds:schemaRef ds:uri="http://schemas.openxmlformats.org/officeDocument/2006/bibliography"/>
  </ds:schemaRefs>
</ds:datastoreItem>
</file>

<file path=customXml/itemProps68.xml><?xml version="1.0" encoding="utf-8"?>
<ds:datastoreItem xmlns:ds="http://schemas.openxmlformats.org/officeDocument/2006/customXml" ds:itemID="{0EC13ED2-421F-4D05-BAE7-66CAB834F4D2}">
  <ds:schemaRefs>
    <ds:schemaRef ds:uri="http://schemas.openxmlformats.org/officeDocument/2006/bibliography"/>
  </ds:schemaRefs>
</ds:datastoreItem>
</file>

<file path=customXml/itemProps69.xml><?xml version="1.0" encoding="utf-8"?>
<ds:datastoreItem xmlns:ds="http://schemas.openxmlformats.org/officeDocument/2006/customXml" ds:itemID="{EA2D0B6A-CB76-42E4-8FDE-4354FF7889FC}">
  <ds:schemaRefs>
    <ds:schemaRef ds:uri="http://schemas.openxmlformats.org/officeDocument/2006/bibliography"/>
  </ds:schemaRefs>
</ds:datastoreItem>
</file>

<file path=customXml/itemProps7.xml><?xml version="1.0" encoding="utf-8"?>
<ds:datastoreItem xmlns:ds="http://schemas.openxmlformats.org/officeDocument/2006/customXml" ds:itemID="{515B6B78-1F81-4D27-833C-B66350791E11}">
  <ds:schemaRefs>
    <ds:schemaRef ds:uri="http://schemas.openxmlformats.org/officeDocument/2006/bibliography"/>
  </ds:schemaRefs>
</ds:datastoreItem>
</file>

<file path=customXml/itemProps70.xml><?xml version="1.0" encoding="utf-8"?>
<ds:datastoreItem xmlns:ds="http://schemas.openxmlformats.org/officeDocument/2006/customXml" ds:itemID="{24D96651-878B-44EB-95C5-524D6C45E10E}">
  <ds:schemaRefs>
    <ds:schemaRef ds:uri="http://schemas.openxmlformats.org/officeDocument/2006/bibliography"/>
  </ds:schemaRefs>
</ds:datastoreItem>
</file>

<file path=customXml/itemProps71.xml><?xml version="1.0" encoding="utf-8"?>
<ds:datastoreItem xmlns:ds="http://schemas.openxmlformats.org/officeDocument/2006/customXml" ds:itemID="{7FABA185-5B7E-49BD-82CA-9A7CC5D192C6}">
  <ds:schemaRefs>
    <ds:schemaRef ds:uri="http://schemas.openxmlformats.org/officeDocument/2006/bibliography"/>
  </ds:schemaRefs>
</ds:datastoreItem>
</file>

<file path=customXml/itemProps72.xml><?xml version="1.0" encoding="utf-8"?>
<ds:datastoreItem xmlns:ds="http://schemas.openxmlformats.org/officeDocument/2006/customXml" ds:itemID="{A353FBB7-53C1-4300-9D45-4F13F6762299}">
  <ds:schemaRefs>
    <ds:schemaRef ds:uri="http://schemas.openxmlformats.org/officeDocument/2006/bibliography"/>
  </ds:schemaRefs>
</ds:datastoreItem>
</file>

<file path=customXml/itemProps73.xml><?xml version="1.0" encoding="utf-8"?>
<ds:datastoreItem xmlns:ds="http://schemas.openxmlformats.org/officeDocument/2006/customXml" ds:itemID="{E1B2575F-889F-42C8-955C-623B917FAAF4}">
  <ds:schemaRefs>
    <ds:schemaRef ds:uri="http://schemas.openxmlformats.org/officeDocument/2006/bibliography"/>
  </ds:schemaRefs>
</ds:datastoreItem>
</file>

<file path=customXml/itemProps74.xml><?xml version="1.0" encoding="utf-8"?>
<ds:datastoreItem xmlns:ds="http://schemas.openxmlformats.org/officeDocument/2006/customXml" ds:itemID="{7CCFADA7-D439-4CFA-A486-0050E5CFEEFA}">
  <ds:schemaRefs>
    <ds:schemaRef ds:uri="http://schemas.openxmlformats.org/officeDocument/2006/bibliography"/>
  </ds:schemaRefs>
</ds:datastoreItem>
</file>

<file path=customXml/itemProps75.xml><?xml version="1.0" encoding="utf-8"?>
<ds:datastoreItem xmlns:ds="http://schemas.openxmlformats.org/officeDocument/2006/customXml" ds:itemID="{9767F4BF-C5EB-4D25-9CE8-D97DE89AFE97}">
  <ds:schemaRefs>
    <ds:schemaRef ds:uri="http://schemas.openxmlformats.org/officeDocument/2006/bibliography"/>
  </ds:schemaRefs>
</ds:datastoreItem>
</file>

<file path=customXml/itemProps76.xml><?xml version="1.0" encoding="utf-8"?>
<ds:datastoreItem xmlns:ds="http://schemas.openxmlformats.org/officeDocument/2006/customXml" ds:itemID="{B7397156-DEC0-4124-B056-0C3DCE856653}">
  <ds:schemaRefs>
    <ds:schemaRef ds:uri="http://schemas.openxmlformats.org/officeDocument/2006/bibliography"/>
  </ds:schemaRefs>
</ds:datastoreItem>
</file>

<file path=customXml/itemProps77.xml><?xml version="1.0" encoding="utf-8"?>
<ds:datastoreItem xmlns:ds="http://schemas.openxmlformats.org/officeDocument/2006/customXml" ds:itemID="{FDEBB929-DE34-4DF7-AD8F-B3C2AB981092}">
  <ds:schemaRefs>
    <ds:schemaRef ds:uri="http://schemas.openxmlformats.org/officeDocument/2006/bibliography"/>
  </ds:schemaRefs>
</ds:datastoreItem>
</file>

<file path=customXml/itemProps78.xml><?xml version="1.0" encoding="utf-8"?>
<ds:datastoreItem xmlns:ds="http://schemas.openxmlformats.org/officeDocument/2006/customXml" ds:itemID="{40C1A378-A0A2-4707-A5AD-9B9C0CBA6449}">
  <ds:schemaRefs>
    <ds:schemaRef ds:uri="http://schemas.openxmlformats.org/officeDocument/2006/bibliography"/>
  </ds:schemaRefs>
</ds:datastoreItem>
</file>

<file path=customXml/itemProps79.xml><?xml version="1.0" encoding="utf-8"?>
<ds:datastoreItem xmlns:ds="http://schemas.openxmlformats.org/officeDocument/2006/customXml" ds:itemID="{F539A352-EE59-4CBC-838C-9ABBA04A37DC}">
  <ds:schemaRefs>
    <ds:schemaRef ds:uri="http://schemas.openxmlformats.org/officeDocument/2006/bibliography"/>
  </ds:schemaRefs>
</ds:datastoreItem>
</file>

<file path=customXml/itemProps8.xml><?xml version="1.0" encoding="utf-8"?>
<ds:datastoreItem xmlns:ds="http://schemas.openxmlformats.org/officeDocument/2006/customXml" ds:itemID="{1F0D4FCA-C02E-4EBF-8ABD-0EAED939A90E}">
  <ds:schemaRefs>
    <ds:schemaRef ds:uri="http://schemas.openxmlformats.org/officeDocument/2006/bibliography"/>
  </ds:schemaRefs>
</ds:datastoreItem>
</file>

<file path=customXml/itemProps80.xml><?xml version="1.0" encoding="utf-8"?>
<ds:datastoreItem xmlns:ds="http://schemas.openxmlformats.org/officeDocument/2006/customXml" ds:itemID="{AA1CC53C-758A-4AEC-AEFA-C17678B5A95D}">
  <ds:schemaRefs>
    <ds:schemaRef ds:uri="http://schemas.openxmlformats.org/officeDocument/2006/bibliography"/>
  </ds:schemaRefs>
</ds:datastoreItem>
</file>

<file path=customXml/itemProps81.xml><?xml version="1.0" encoding="utf-8"?>
<ds:datastoreItem xmlns:ds="http://schemas.openxmlformats.org/officeDocument/2006/customXml" ds:itemID="{B7245E51-7D2B-4468-8751-F4658788B4C8}">
  <ds:schemaRefs>
    <ds:schemaRef ds:uri="http://schemas.openxmlformats.org/officeDocument/2006/bibliography"/>
  </ds:schemaRefs>
</ds:datastoreItem>
</file>

<file path=customXml/itemProps82.xml><?xml version="1.0" encoding="utf-8"?>
<ds:datastoreItem xmlns:ds="http://schemas.openxmlformats.org/officeDocument/2006/customXml" ds:itemID="{5FC88334-D6CA-4171-B7CB-876D6ECABC8F}">
  <ds:schemaRefs>
    <ds:schemaRef ds:uri="http://schemas.openxmlformats.org/officeDocument/2006/bibliography"/>
  </ds:schemaRefs>
</ds:datastoreItem>
</file>

<file path=customXml/itemProps83.xml><?xml version="1.0" encoding="utf-8"?>
<ds:datastoreItem xmlns:ds="http://schemas.openxmlformats.org/officeDocument/2006/customXml" ds:itemID="{D1A23B21-4115-4648-B3F9-93958B9B6B3F}">
  <ds:schemaRefs>
    <ds:schemaRef ds:uri="http://schemas.openxmlformats.org/officeDocument/2006/bibliography"/>
  </ds:schemaRefs>
</ds:datastoreItem>
</file>

<file path=customXml/itemProps84.xml><?xml version="1.0" encoding="utf-8"?>
<ds:datastoreItem xmlns:ds="http://schemas.openxmlformats.org/officeDocument/2006/customXml" ds:itemID="{4B352A3F-1989-41E6-9AAE-668C71233DC4}">
  <ds:schemaRefs>
    <ds:schemaRef ds:uri="http://schemas.openxmlformats.org/officeDocument/2006/bibliography"/>
  </ds:schemaRefs>
</ds:datastoreItem>
</file>

<file path=customXml/itemProps85.xml><?xml version="1.0" encoding="utf-8"?>
<ds:datastoreItem xmlns:ds="http://schemas.openxmlformats.org/officeDocument/2006/customXml" ds:itemID="{FC379EBC-6BAD-4D45-AB86-0CE8AB2CDF0A}">
  <ds:schemaRefs>
    <ds:schemaRef ds:uri="http://schemas.openxmlformats.org/officeDocument/2006/bibliography"/>
  </ds:schemaRefs>
</ds:datastoreItem>
</file>

<file path=customXml/itemProps86.xml><?xml version="1.0" encoding="utf-8"?>
<ds:datastoreItem xmlns:ds="http://schemas.openxmlformats.org/officeDocument/2006/customXml" ds:itemID="{EE20F902-2CCE-4976-BDD4-350BDAAFC739}">
  <ds:schemaRefs>
    <ds:schemaRef ds:uri="http://schemas.openxmlformats.org/officeDocument/2006/bibliography"/>
  </ds:schemaRefs>
</ds:datastoreItem>
</file>

<file path=customXml/itemProps87.xml><?xml version="1.0" encoding="utf-8"?>
<ds:datastoreItem xmlns:ds="http://schemas.openxmlformats.org/officeDocument/2006/customXml" ds:itemID="{6BE6D5E4-3A5B-4352-B4A4-6E4EA6002002}">
  <ds:schemaRefs>
    <ds:schemaRef ds:uri="http://schemas.openxmlformats.org/officeDocument/2006/bibliography"/>
  </ds:schemaRefs>
</ds:datastoreItem>
</file>

<file path=customXml/itemProps88.xml><?xml version="1.0" encoding="utf-8"?>
<ds:datastoreItem xmlns:ds="http://schemas.openxmlformats.org/officeDocument/2006/customXml" ds:itemID="{537BD3AB-CEDA-4412-98B2-E808DF13F5B2}">
  <ds:schemaRefs>
    <ds:schemaRef ds:uri="http://schemas.openxmlformats.org/officeDocument/2006/bibliography"/>
  </ds:schemaRefs>
</ds:datastoreItem>
</file>

<file path=customXml/itemProps89.xml><?xml version="1.0" encoding="utf-8"?>
<ds:datastoreItem xmlns:ds="http://schemas.openxmlformats.org/officeDocument/2006/customXml" ds:itemID="{977613E2-DECC-474C-BFE4-1FDCF1EF9101}">
  <ds:schemaRefs>
    <ds:schemaRef ds:uri="http://schemas.openxmlformats.org/officeDocument/2006/bibliography"/>
  </ds:schemaRefs>
</ds:datastoreItem>
</file>

<file path=customXml/itemProps9.xml><?xml version="1.0" encoding="utf-8"?>
<ds:datastoreItem xmlns:ds="http://schemas.openxmlformats.org/officeDocument/2006/customXml" ds:itemID="{28C7183E-72C2-4DB0-9292-272EF64887EB}">
  <ds:schemaRefs>
    <ds:schemaRef ds:uri="http://schemas.openxmlformats.org/officeDocument/2006/bibliography"/>
  </ds:schemaRefs>
</ds:datastoreItem>
</file>

<file path=customXml/itemProps90.xml><?xml version="1.0" encoding="utf-8"?>
<ds:datastoreItem xmlns:ds="http://schemas.openxmlformats.org/officeDocument/2006/customXml" ds:itemID="{2A1135A1-A3B8-45F9-9F20-E666BB2DDD37}">
  <ds:schemaRefs>
    <ds:schemaRef ds:uri="http://schemas.openxmlformats.org/officeDocument/2006/bibliography"/>
  </ds:schemaRefs>
</ds:datastoreItem>
</file>

<file path=customXml/itemProps91.xml><?xml version="1.0" encoding="utf-8"?>
<ds:datastoreItem xmlns:ds="http://schemas.openxmlformats.org/officeDocument/2006/customXml" ds:itemID="{3ABA7D64-3EFA-479E-95FB-F2D89EA79B1C}">
  <ds:schemaRefs>
    <ds:schemaRef ds:uri="http://schemas.openxmlformats.org/officeDocument/2006/bibliography"/>
  </ds:schemaRefs>
</ds:datastoreItem>
</file>

<file path=customXml/itemProps92.xml><?xml version="1.0" encoding="utf-8"?>
<ds:datastoreItem xmlns:ds="http://schemas.openxmlformats.org/officeDocument/2006/customXml" ds:itemID="{185D35F5-1238-438B-B0A6-FC400D9F03C8}">
  <ds:schemaRefs>
    <ds:schemaRef ds:uri="http://schemas.openxmlformats.org/officeDocument/2006/bibliography"/>
  </ds:schemaRefs>
</ds:datastoreItem>
</file>

<file path=customXml/itemProps93.xml><?xml version="1.0" encoding="utf-8"?>
<ds:datastoreItem xmlns:ds="http://schemas.openxmlformats.org/officeDocument/2006/customXml" ds:itemID="{A4E57ADB-6C9E-48D8-B9C5-3672FC60085F}">
  <ds:schemaRefs>
    <ds:schemaRef ds:uri="http://schemas.openxmlformats.org/officeDocument/2006/bibliography"/>
  </ds:schemaRefs>
</ds:datastoreItem>
</file>

<file path=customXml/itemProps94.xml><?xml version="1.0" encoding="utf-8"?>
<ds:datastoreItem xmlns:ds="http://schemas.openxmlformats.org/officeDocument/2006/customXml" ds:itemID="{E5578812-B997-4828-80DC-DBD9F7A110C8}">
  <ds:schemaRefs>
    <ds:schemaRef ds:uri="http://schemas.openxmlformats.org/officeDocument/2006/bibliography"/>
  </ds:schemaRefs>
</ds:datastoreItem>
</file>

<file path=customXml/itemProps95.xml><?xml version="1.0" encoding="utf-8"?>
<ds:datastoreItem xmlns:ds="http://schemas.openxmlformats.org/officeDocument/2006/customXml" ds:itemID="{5663EEAB-881C-4066-960C-0DE0AFA39FD6}">
  <ds:schemaRefs>
    <ds:schemaRef ds:uri="http://schemas.openxmlformats.org/officeDocument/2006/bibliography"/>
  </ds:schemaRefs>
</ds:datastoreItem>
</file>

<file path=customXml/itemProps96.xml><?xml version="1.0" encoding="utf-8"?>
<ds:datastoreItem xmlns:ds="http://schemas.openxmlformats.org/officeDocument/2006/customXml" ds:itemID="{D96730A9-124E-49BE-AB8E-59C687E4A960}">
  <ds:schemaRefs>
    <ds:schemaRef ds:uri="http://schemas.openxmlformats.org/officeDocument/2006/bibliography"/>
  </ds:schemaRefs>
</ds:datastoreItem>
</file>

<file path=customXml/itemProps97.xml><?xml version="1.0" encoding="utf-8"?>
<ds:datastoreItem xmlns:ds="http://schemas.openxmlformats.org/officeDocument/2006/customXml" ds:itemID="{71337BF8-3B96-47C9-9389-E5C346B32925}">
  <ds:schemaRefs>
    <ds:schemaRef ds:uri="http://schemas.openxmlformats.org/officeDocument/2006/bibliography"/>
  </ds:schemaRefs>
</ds:datastoreItem>
</file>

<file path=customXml/itemProps98.xml><?xml version="1.0" encoding="utf-8"?>
<ds:datastoreItem xmlns:ds="http://schemas.openxmlformats.org/officeDocument/2006/customXml" ds:itemID="{ED0C466D-55A9-4B9F-AE95-F8891BD8BBE2}">
  <ds:schemaRefs>
    <ds:schemaRef ds:uri="http://schemas.openxmlformats.org/officeDocument/2006/bibliography"/>
  </ds:schemaRefs>
</ds:datastoreItem>
</file>

<file path=customXml/itemProps99.xml><?xml version="1.0" encoding="utf-8"?>
<ds:datastoreItem xmlns:ds="http://schemas.openxmlformats.org/officeDocument/2006/customXml" ds:itemID="{F4C856D4-92FD-4869-AEF1-AFBA2D19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A86DF54B</Template>
  <TotalTime>0</TotalTime>
  <Pages>86</Pages>
  <Words>44093</Words>
  <Characters>251331</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294835</CharactersWithSpaces>
  <SharedDoc>false</SharedDoc>
  <HLinks>
    <vt:vector size="696" baseType="variant">
      <vt:variant>
        <vt:i4>327700</vt:i4>
      </vt:variant>
      <vt:variant>
        <vt:i4>579</vt:i4>
      </vt:variant>
      <vt:variant>
        <vt:i4>0</vt:i4>
      </vt:variant>
      <vt:variant>
        <vt:i4>5</vt:i4>
      </vt:variant>
      <vt:variant>
        <vt:lpwstr>http://bpmcm.caiso.com/Pages/BPMLibrary.aspx</vt:lpwstr>
      </vt:variant>
      <vt:variant>
        <vt:lpwstr/>
      </vt:variant>
      <vt:variant>
        <vt:i4>327700</vt:i4>
      </vt:variant>
      <vt:variant>
        <vt:i4>576</vt:i4>
      </vt:variant>
      <vt:variant>
        <vt:i4>0</vt:i4>
      </vt:variant>
      <vt:variant>
        <vt:i4>5</vt:i4>
      </vt:variant>
      <vt:variant>
        <vt:lpwstr>http://bpmcm.caiso.com/Pages/BPMLibrary.aspx</vt:lpwstr>
      </vt:variant>
      <vt:variant>
        <vt:lpwstr/>
      </vt:variant>
      <vt:variant>
        <vt:i4>327700</vt:i4>
      </vt:variant>
      <vt:variant>
        <vt:i4>573</vt:i4>
      </vt:variant>
      <vt:variant>
        <vt:i4>0</vt:i4>
      </vt:variant>
      <vt:variant>
        <vt:i4>5</vt:i4>
      </vt:variant>
      <vt:variant>
        <vt:lpwstr>http://bpmcm.caiso.com/Pages/BPMLibrary.aspx</vt:lpwstr>
      </vt:variant>
      <vt:variant>
        <vt:lpwstr/>
      </vt:variant>
      <vt:variant>
        <vt:i4>327700</vt:i4>
      </vt:variant>
      <vt:variant>
        <vt:i4>570</vt:i4>
      </vt:variant>
      <vt:variant>
        <vt:i4>0</vt:i4>
      </vt:variant>
      <vt:variant>
        <vt:i4>5</vt:i4>
      </vt:variant>
      <vt:variant>
        <vt:lpwstr>http://bpmcm.caiso.com/Pages/BPMLibrary.aspx</vt:lpwstr>
      </vt:variant>
      <vt:variant>
        <vt:lpwstr/>
      </vt:variant>
      <vt:variant>
        <vt:i4>327700</vt:i4>
      </vt:variant>
      <vt:variant>
        <vt:i4>567</vt:i4>
      </vt:variant>
      <vt:variant>
        <vt:i4>0</vt:i4>
      </vt:variant>
      <vt:variant>
        <vt:i4>5</vt:i4>
      </vt:variant>
      <vt:variant>
        <vt:lpwstr>http://bpmcm.caiso.com/Pages/BPMLibrary.aspx</vt:lpwstr>
      </vt:variant>
      <vt:variant>
        <vt:lpwstr/>
      </vt:variant>
      <vt:variant>
        <vt:i4>327700</vt:i4>
      </vt:variant>
      <vt:variant>
        <vt:i4>564</vt:i4>
      </vt:variant>
      <vt:variant>
        <vt:i4>0</vt:i4>
      </vt:variant>
      <vt:variant>
        <vt:i4>5</vt:i4>
      </vt:variant>
      <vt:variant>
        <vt:lpwstr>http://bpmcm.caiso.com/Pages/BPMLibrary.aspx</vt:lpwstr>
      </vt:variant>
      <vt:variant>
        <vt:lpwstr/>
      </vt:variant>
      <vt:variant>
        <vt:i4>327700</vt:i4>
      </vt:variant>
      <vt:variant>
        <vt:i4>561</vt:i4>
      </vt:variant>
      <vt:variant>
        <vt:i4>0</vt:i4>
      </vt:variant>
      <vt:variant>
        <vt:i4>5</vt:i4>
      </vt:variant>
      <vt:variant>
        <vt:lpwstr>http://bpmcm.caiso.com/Pages/BPMLibrary.aspx</vt:lpwstr>
      </vt:variant>
      <vt:variant>
        <vt:lpwstr/>
      </vt:variant>
      <vt:variant>
        <vt:i4>327700</vt:i4>
      </vt:variant>
      <vt:variant>
        <vt:i4>558</vt:i4>
      </vt:variant>
      <vt:variant>
        <vt:i4>0</vt:i4>
      </vt:variant>
      <vt:variant>
        <vt:i4>5</vt:i4>
      </vt:variant>
      <vt:variant>
        <vt:lpwstr>http://bpmcm.caiso.com/Pages/BPMLibrary.aspx</vt:lpwstr>
      </vt:variant>
      <vt:variant>
        <vt:lpwstr/>
      </vt:variant>
      <vt:variant>
        <vt:i4>327700</vt:i4>
      </vt:variant>
      <vt:variant>
        <vt:i4>555</vt:i4>
      </vt:variant>
      <vt:variant>
        <vt:i4>0</vt:i4>
      </vt:variant>
      <vt:variant>
        <vt:i4>5</vt:i4>
      </vt:variant>
      <vt:variant>
        <vt:lpwstr>http://bpmcm.caiso.com/Pages/BPMLibrary.aspx</vt:lpwstr>
      </vt:variant>
      <vt:variant>
        <vt:lpwstr/>
      </vt:variant>
      <vt:variant>
        <vt:i4>327700</vt:i4>
      </vt:variant>
      <vt:variant>
        <vt:i4>552</vt:i4>
      </vt:variant>
      <vt:variant>
        <vt:i4>0</vt:i4>
      </vt:variant>
      <vt:variant>
        <vt:i4>5</vt:i4>
      </vt:variant>
      <vt:variant>
        <vt:lpwstr>http://bpmcm.caiso.com/Pages/BPMLibrary.aspx</vt:lpwstr>
      </vt:variant>
      <vt:variant>
        <vt:lpwstr/>
      </vt:variant>
      <vt:variant>
        <vt:i4>327700</vt:i4>
      </vt:variant>
      <vt:variant>
        <vt:i4>528</vt:i4>
      </vt:variant>
      <vt:variant>
        <vt:i4>0</vt:i4>
      </vt:variant>
      <vt:variant>
        <vt:i4>5</vt:i4>
      </vt:variant>
      <vt:variant>
        <vt:lpwstr>http://bpmcm.caiso.com/Pages/BPMLibrary.aspx</vt:lpwstr>
      </vt:variant>
      <vt:variant>
        <vt:lpwstr/>
      </vt:variant>
      <vt:variant>
        <vt:i4>327700</vt:i4>
      </vt:variant>
      <vt:variant>
        <vt:i4>525</vt:i4>
      </vt:variant>
      <vt:variant>
        <vt:i4>0</vt:i4>
      </vt:variant>
      <vt:variant>
        <vt:i4>5</vt:i4>
      </vt:variant>
      <vt:variant>
        <vt:lpwstr>http://bpmcm.caiso.com/Pages/BPMLibrary.aspx</vt:lpwstr>
      </vt:variant>
      <vt:variant>
        <vt:lpwstr/>
      </vt:variant>
      <vt:variant>
        <vt:i4>5177355</vt:i4>
      </vt:variant>
      <vt:variant>
        <vt:i4>522</vt:i4>
      </vt:variant>
      <vt:variant>
        <vt:i4>0</vt:i4>
      </vt:variant>
      <vt:variant>
        <vt:i4>5</vt:i4>
      </vt:variant>
      <vt:variant>
        <vt:lpwstr>http://www.caiso.com/Pages/documentsbygroup.aspx?GroupID=38C13435-DB5D-40E5-9F15-56559A526D5A</vt:lpwstr>
      </vt:variant>
      <vt:variant>
        <vt:lpwstr/>
      </vt:variant>
      <vt:variant>
        <vt:i4>327700</vt:i4>
      </vt:variant>
      <vt:variant>
        <vt:i4>519</vt:i4>
      </vt:variant>
      <vt:variant>
        <vt:i4>0</vt:i4>
      </vt:variant>
      <vt:variant>
        <vt:i4>5</vt:i4>
      </vt:variant>
      <vt:variant>
        <vt:lpwstr>http://bpmcm.caiso.com/Pages/BPMLibrary.aspx</vt:lpwstr>
      </vt:variant>
      <vt:variant>
        <vt:lpwstr/>
      </vt:variant>
      <vt:variant>
        <vt:i4>7733286</vt:i4>
      </vt:variant>
      <vt:variant>
        <vt:i4>516</vt:i4>
      </vt:variant>
      <vt:variant>
        <vt:i4>0</vt:i4>
      </vt:variant>
      <vt:variant>
        <vt:i4>5</vt:i4>
      </vt:variant>
      <vt:variant>
        <vt:lpwstr>http://bpmcm.caiso.com/Pages/BPMDetails.aspx?BPM=Managing%20Full%20Network%20Model</vt:lpwstr>
      </vt:variant>
      <vt:variant>
        <vt:lpwstr/>
      </vt:variant>
      <vt:variant>
        <vt:i4>327700</vt:i4>
      </vt:variant>
      <vt:variant>
        <vt:i4>513</vt:i4>
      </vt:variant>
      <vt:variant>
        <vt:i4>0</vt:i4>
      </vt:variant>
      <vt:variant>
        <vt:i4>5</vt:i4>
      </vt:variant>
      <vt:variant>
        <vt:lpwstr>http://bpmcm.caiso.com/Pages/BPMLibrary.aspx</vt:lpwstr>
      </vt:variant>
      <vt:variant>
        <vt:lpwstr/>
      </vt:variant>
      <vt:variant>
        <vt:i4>327700</vt:i4>
      </vt:variant>
      <vt:variant>
        <vt:i4>510</vt:i4>
      </vt:variant>
      <vt:variant>
        <vt:i4>0</vt:i4>
      </vt:variant>
      <vt:variant>
        <vt:i4>5</vt:i4>
      </vt:variant>
      <vt:variant>
        <vt:lpwstr>http://bpmcm.caiso.com/Pages/BPMLibrary.aspx</vt:lpwstr>
      </vt:variant>
      <vt:variant>
        <vt:lpwstr/>
      </vt:variant>
      <vt:variant>
        <vt:i4>327700</vt:i4>
      </vt:variant>
      <vt:variant>
        <vt:i4>507</vt:i4>
      </vt:variant>
      <vt:variant>
        <vt:i4>0</vt:i4>
      </vt:variant>
      <vt:variant>
        <vt:i4>5</vt:i4>
      </vt:variant>
      <vt:variant>
        <vt:lpwstr>http://bpmcm.caiso.com/Pages/BPMLibrary.aspx</vt:lpwstr>
      </vt:variant>
      <vt:variant>
        <vt:lpwstr/>
      </vt:variant>
      <vt:variant>
        <vt:i4>327700</vt:i4>
      </vt:variant>
      <vt:variant>
        <vt:i4>504</vt:i4>
      </vt:variant>
      <vt:variant>
        <vt:i4>0</vt:i4>
      </vt:variant>
      <vt:variant>
        <vt:i4>5</vt:i4>
      </vt:variant>
      <vt:variant>
        <vt:lpwstr>http://bpmcm.caiso.com/Pages/BPMLibrary.aspx</vt:lpwstr>
      </vt:variant>
      <vt:variant>
        <vt:lpwstr/>
      </vt:variant>
      <vt:variant>
        <vt:i4>327700</vt:i4>
      </vt:variant>
      <vt:variant>
        <vt:i4>501</vt:i4>
      </vt:variant>
      <vt:variant>
        <vt:i4>0</vt:i4>
      </vt:variant>
      <vt:variant>
        <vt:i4>5</vt:i4>
      </vt:variant>
      <vt:variant>
        <vt:lpwstr>http://bpmcm.caiso.com/Pages/BPMLibrary.aspx</vt:lpwstr>
      </vt:variant>
      <vt:variant>
        <vt:lpwstr/>
      </vt:variant>
      <vt:variant>
        <vt:i4>5505101</vt:i4>
      </vt:variant>
      <vt:variant>
        <vt:i4>498</vt:i4>
      </vt:variant>
      <vt:variant>
        <vt:i4>0</vt:i4>
      </vt:variant>
      <vt:variant>
        <vt:i4>5</vt:i4>
      </vt:variant>
      <vt:variant>
        <vt:lpwstr>http://www.caiso.com/rules/Pages/Regulatory/Default.aspx</vt:lpwstr>
      </vt:variant>
      <vt:variant>
        <vt:lpwstr/>
      </vt:variant>
      <vt:variant>
        <vt:i4>327700</vt:i4>
      </vt:variant>
      <vt:variant>
        <vt:i4>495</vt:i4>
      </vt:variant>
      <vt:variant>
        <vt:i4>0</vt:i4>
      </vt:variant>
      <vt:variant>
        <vt:i4>5</vt:i4>
      </vt:variant>
      <vt:variant>
        <vt:lpwstr>http://bpmcm.caiso.com/Pages/BPMLibrary.aspx</vt:lpwstr>
      </vt:variant>
      <vt:variant>
        <vt:lpwstr/>
      </vt:variant>
      <vt:variant>
        <vt:i4>327700</vt:i4>
      </vt:variant>
      <vt:variant>
        <vt:i4>492</vt:i4>
      </vt:variant>
      <vt:variant>
        <vt:i4>0</vt:i4>
      </vt:variant>
      <vt:variant>
        <vt:i4>5</vt:i4>
      </vt:variant>
      <vt:variant>
        <vt:lpwstr>http://bpmcm.caiso.com/Pages/BPMLibrary.aspx</vt:lpwstr>
      </vt:variant>
      <vt:variant>
        <vt:lpwstr/>
      </vt:variant>
      <vt:variant>
        <vt:i4>327700</vt:i4>
      </vt:variant>
      <vt:variant>
        <vt:i4>489</vt:i4>
      </vt:variant>
      <vt:variant>
        <vt:i4>0</vt:i4>
      </vt:variant>
      <vt:variant>
        <vt:i4>5</vt:i4>
      </vt:variant>
      <vt:variant>
        <vt:lpwstr>http://bpmcm.caiso.com/Pages/BPMLibrary.aspx</vt:lpwstr>
      </vt:variant>
      <vt:variant>
        <vt:lpwstr/>
      </vt:variant>
      <vt:variant>
        <vt:i4>327700</vt:i4>
      </vt:variant>
      <vt:variant>
        <vt:i4>486</vt:i4>
      </vt:variant>
      <vt:variant>
        <vt:i4>0</vt:i4>
      </vt:variant>
      <vt:variant>
        <vt:i4>5</vt:i4>
      </vt:variant>
      <vt:variant>
        <vt:lpwstr>http://bpmcm.caiso.com/Pages/BPMLibrary.aspx</vt:lpwstr>
      </vt:variant>
      <vt:variant>
        <vt:lpwstr/>
      </vt:variant>
      <vt:variant>
        <vt:i4>327700</vt:i4>
      </vt:variant>
      <vt:variant>
        <vt:i4>483</vt:i4>
      </vt:variant>
      <vt:variant>
        <vt:i4>0</vt:i4>
      </vt:variant>
      <vt:variant>
        <vt:i4>5</vt:i4>
      </vt:variant>
      <vt:variant>
        <vt:lpwstr>http://bpmcm.caiso.com/Pages/BPMLibrary.aspx</vt:lpwstr>
      </vt:variant>
      <vt:variant>
        <vt:lpwstr/>
      </vt:variant>
      <vt:variant>
        <vt:i4>327700</vt:i4>
      </vt:variant>
      <vt:variant>
        <vt:i4>480</vt:i4>
      </vt:variant>
      <vt:variant>
        <vt:i4>0</vt:i4>
      </vt:variant>
      <vt:variant>
        <vt:i4>5</vt:i4>
      </vt:variant>
      <vt:variant>
        <vt:lpwstr>http://bpmcm.caiso.com/Pages/BPMLibrary.aspx</vt:lpwstr>
      </vt:variant>
      <vt:variant>
        <vt:lpwstr/>
      </vt:variant>
      <vt:variant>
        <vt:i4>327700</vt:i4>
      </vt:variant>
      <vt:variant>
        <vt:i4>477</vt:i4>
      </vt:variant>
      <vt:variant>
        <vt:i4>0</vt:i4>
      </vt:variant>
      <vt:variant>
        <vt:i4>5</vt:i4>
      </vt:variant>
      <vt:variant>
        <vt:lpwstr>http://bpmcm.caiso.com/Pages/BPMLibrary.aspx</vt:lpwstr>
      </vt:variant>
      <vt:variant>
        <vt:lpwstr/>
      </vt:variant>
      <vt:variant>
        <vt:i4>327700</vt:i4>
      </vt:variant>
      <vt:variant>
        <vt:i4>474</vt:i4>
      </vt:variant>
      <vt:variant>
        <vt:i4>0</vt:i4>
      </vt:variant>
      <vt:variant>
        <vt:i4>5</vt:i4>
      </vt:variant>
      <vt:variant>
        <vt:lpwstr>http://bpmcm.caiso.com/Pages/BPMLibrary.aspx</vt:lpwstr>
      </vt:variant>
      <vt:variant>
        <vt:lpwstr/>
      </vt:variant>
      <vt:variant>
        <vt:i4>327700</vt:i4>
      </vt:variant>
      <vt:variant>
        <vt:i4>471</vt:i4>
      </vt:variant>
      <vt:variant>
        <vt:i4>0</vt:i4>
      </vt:variant>
      <vt:variant>
        <vt:i4>5</vt:i4>
      </vt:variant>
      <vt:variant>
        <vt:lpwstr>http://bpmcm.caiso.com/Pages/BPMLibrary.aspx</vt:lpwstr>
      </vt:variant>
      <vt:variant>
        <vt:lpwstr/>
      </vt:variant>
      <vt:variant>
        <vt:i4>327700</vt:i4>
      </vt:variant>
      <vt:variant>
        <vt:i4>468</vt:i4>
      </vt:variant>
      <vt:variant>
        <vt:i4>0</vt:i4>
      </vt:variant>
      <vt:variant>
        <vt:i4>5</vt:i4>
      </vt:variant>
      <vt:variant>
        <vt:lpwstr>http://bpmcm.caiso.com/Pages/BPMLibrary.aspx</vt:lpwstr>
      </vt:variant>
      <vt:variant>
        <vt:lpwstr/>
      </vt:variant>
      <vt:variant>
        <vt:i4>327700</vt:i4>
      </vt:variant>
      <vt:variant>
        <vt:i4>465</vt:i4>
      </vt:variant>
      <vt:variant>
        <vt:i4>0</vt:i4>
      </vt:variant>
      <vt:variant>
        <vt:i4>5</vt:i4>
      </vt:variant>
      <vt:variant>
        <vt:lpwstr>http://bpmcm.caiso.com/Pages/BPMLibrary.aspx</vt:lpwstr>
      </vt:variant>
      <vt:variant>
        <vt:lpwstr/>
      </vt:variant>
      <vt:variant>
        <vt:i4>327700</vt:i4>
      </vt:variant>
      <vt:variant>
        <vt:i4>462</vt:i4>
      </vt:variant>
      <vt:variant>
        <vt:i4>0</vt:i4>
      </vt:variant>
      <vt:variant>
        <vt:i4>5</vt:i4>
      </vt:variant>
      <vt:variant>
        <vt:lpwstr>http://bpmcm.caiso.com/Pages/BPMLibrary.aspx</vt:lpwstr>
      </vt:variant>
      <vt:variant>
        <vt:lpwstr/>
      </vt:variant>
      <vt:variant>
        <vt:i4>327700</vt:i4>
      </vt:variant>
      <vt:variant>
        <vt:i4>459</vt:i4>
      </vt:variant>
      <vt:variant>
        <vt:i4>0</vt:i4>
      </vt:variant>
      <vt:variant>
        <vt:i4>5</vt:i4>
      </vt:variant>
      <vt:variant>
        <vt:lpwstr>http://bpmcm.caiso.com/Pages/BPMLibrary.aspx</vt:lpwstr>
      </vt:variant>
      <vt:variant>
        <vt:lpwstr/>
      </vt:variant>
      <vt:variant>
        <vt:i4>327700</vt:i4>
      </vt:variant>
      <vt:variant>
        <vt:i4>456</vt:i4>
      </vt:variant>
      <vt:variant>
        <vt:i4>0</vt:i4>
      </vt:variant>
      <vt:variant>
        <vt:i4>5</vt:i4>
      </vt:variant>
      <vt:variant>
        <vt:lpwstr>http://bpmcm.caiso.com/Pages/BPMLibrary.aspx</vt:lpwstr>
      </vt:variant>
      <vt:variant>
        <vt:lpwstr/>
      </vt:variant>
      <vt:variant>
        <vt:i4>327700</vt:i4>
      </vt:variant>
      <vt:variant>
        <vt:i4>453</vt:i4>
      </vt:variant>
      <vt:variant>
        <vt:i4>0</vt:i4>
      </vt:variant>
      <vt:variant>
        <vt:i4>5</vt:i4>
      </vt:variant>
      <vt:variant>
        <vt:lpwstr>http://bpmcm.caiso.com/Pages/BPMLibrary.aspx</vt:lpwstr>
      </vt:variant>
      <vt:variant>
        <vt:lpwstr/>
      </vt:variant>
      <vt:variant>
        <vt:i4>327700</vt:i4>
      </vt:variant>
      <vt:variant>
        <vt:i4>450</vt:i4>
      </vt:variant>
      <vt:variant>
        <vt:i4>0</vt:i4>
      </vt:variant>
      <vt:variant>
        <vt:i4>5</vt:i4>
      </vt:variant>
      <vt:variant>
        <vt:lpwstr>http://bpmcm.caiso.com/Pages/BPMLibrary.aspx</vt:lpwstr>
      </vt:variant>
      <vt:variant>
        <vt:lpwstr/>
      </vt:variant>
      <vt:variant>
        <vt:i4>327700</vt:i4>
      </vt:variant>
      <vt:variant>
        <vt:i4>447</vt:i4>
      </vt:variant>
      <vt:variant>
        <vt:i4>0</vt:i4>
      </vt:variant>
      <vt:variant>
        <vt:i4>5</vt:i4>
      </vt:variant>
      <vt:variant>
        <vt:lpwstr>http://bpmcm.caiso.com/Pages/BPMLibrary.aspx</vt:lpwstr>
      </vt:variant>
      <vt:variant>
        <vt:lpwstr/>
      </vt:variant>
      <vt:variant>
        <vt:i4>327700</vt:i4>
      </vt:variant>
      <vt:variant>
        <vt:i4>444</vt:i4>
      </vt:variant>
      <vt:variant>
        <vt:i4>0</vt:i4>
      </vt:variant>
      <vt:variant>
        <vt:i4>5</vt:i4>
      </vt:variant>
      <vt:variant>
        <vt:lpwstr>http://bpmcm.caiso.com/Pages/BPMLibrary.aspx</vt:lpwstr>
      </vt:variant>
      <vt:variant>
        <vt:lpwstr/>
      </vt:variant>
      <vt:variant>
        <vt:i4>327700</vt:i4>
      </vt:variant>
      <vt:variant>
        <vt:i4>441</vt:i4>
      </vt:variant>
      <vt:variant>
        <vt:i4>0</vt:i4>
      </vt:variant>
      <vt:variant>
        <vt:i4>5</vt:i4>
      </vt:variant>
      <vt:variant>
        <vt:lpwstr>http://bpmcm.caiso.com/Pages/BPMLibrary.aspx</vt:lpwstr>
      </vt:variant>
      <vt:variant>
        <vt:lpwstr/>
      </vt:variant>
      <vt:variant>
        <vt:i4>327700</vt:i4>
      </vt:variant>
      <vt:variant>
        <vt:i4>438</vt:i4>
      </vt:variant>
      <vt:variant>
        <vt:i4>0</vt:i4>
      </vt:variant>
      <vt:variant>
        <vt:i4>5</vt:i4>
      </vt:variant>
      <vt:variant>
        <vt:lpwstr>http://bpmcm.caiso.com/Pages/BPMLibrary.aspx</vt:lpwstr>
      </vt:variant>
      <vt:variant>
        <vt:lpwstr/>
      </vt:variant>
      <vt:variant>
        <vt:i4>327700</vt:i4>
      </vt:variant>
      <vt:variant>
        <vt:i4>435</vt:i4>
      </vt:variant>
      <vt:variant>
        <vt:i4>0</vt:i4>
      </vt:variant>
      <vt:variant>
        <vt:i4>5</vt:i4>
      </vt:variant>
      <vt:variant>
        <vt:lpwstr>http://bpmcm.caiso.com/Pages/BPMLibrary.aspx</vt:lpwstr>
      </vt:variant>
      <vt:variant>
        <vt:lpwstr/>
      </vt:variant>
      <vt:variant>
        <vt:i4>327700</vt:i4>
      </vt:variant>
      <vt:variant>
        <vt:i4>432</vt:i4>
      </vt:variant>
      <vt:variant>
        <vt:i4>0</vt:i4>
      </vt:variant>
      <vt:variant>
        <vt:i4>5</vt:i4>
      </vt:variant>
      <vt:variant>
        <vt:lpwstr>http://bpmcm.caiso.com/Pages/BPMLibrary.aspx</vt:lpwstr>
      </vt:variant>
      <vt:variant>
        <vt:lpwstr/>
      </vt:variant>
      <vt:variant>
        <vt:i4>327700</vt:i4>
      </vt:variant>
      <vt:variant>
        <vt:i4>429</vt:i4>
      </vt:variant>
      <vt:variant>
        <vt:i4>0</vt:i4>
      </vt:variant>
      <vt:variant>
        <vt:i4>5</vt:i4>
      </vt:variant>
      <vt:variant>
        <vt:lpwstr>http://bpmcm.caiso.com/Pages/BPMLibrary.aspx</vt:lpwstr>
      </vt:variant>
      <vt:variant>
        <vt:lpwstr/>
      </vt:variant>
      <vt:variant>
        <vt:i4>327700</vt:i4>
      </vt:variant>
      <vt:variant>
        <vt:i4>426</vt:i4>
      </vt:variant>
      <vt:variant>
        <vt:i4>0</vt:i4>
      </vt:variant>
      <vt:variant>
        <vt:i4>5</vt:i4>
      </vt:variant>
      <vt:variant>
        <vt:lpwstr>http://bpmcm.caiso.com/Pages/BPMLibrary.aspx</vt:lpwstr>
      </vt:variant>
      <vt:variant>
        <vt:lpwstr/>
      </vt:variant>
      <vt:variant>
        <vt:i4>327700</vt:i4>
      </vt:variant>
      <vt:variant>
        <vt:i4>423</vt:i4>
      </vt:variant>
      <vt:variant>
        <vt:i4>0</vt:i4>
      </vt:variant>
      <vt:variant>
        <vt:i4>5</vt:i4>
      </vt:variant>
      <vt:variant>
        <vt:lpwstr>http://bpmcm.caiso.com/Pages/BPMLibrary.aspx</vt:lpwstr>
      </vt:variant>
      <vt:variant>
        <vt:lpwstr/>
      </vt:variant>
      <vt:variant>
        <vt:i4>1572915</vt:i4>
      </vt:variant>
      <vt:variant>
        <vt:i4>416</vt:i4>
      </vt:variant>
      <vt:variant>
        <vt:i4>0</vt:i4>
      </vt:variant>
      <vt:variant>
        <vt:i4>5</vt:i4>
      </vt:variant>
      <vt:variant>
        <vt:lpwstr/>
      </vt:variant>
      <vt:variant>
        <vt:lpwstr>_Toc391638283</vt:lpwstr>
      </vt:variant>
      <vt:variant>
        <vt:i4>1572915</vt:i4>
      </vt:variant>
      <vt:variant>
        <vt:i4>410</vt:i4>
      </vt:variant>
      <vt:variant>
        <vt:i4>0</vt:i4>
      </vt:variant>
      <vt:variant>
        <vt:i4>5</vt:i4>
      </vt:variant>
      <vt:variant>
        <vt:lpwstr/>
      </vt:variant>
      <vt:variant>
        <vt:lpwstr>_Toc391638282</vt:lpwstr>
      </vt:variant>
      <vt:variant>
        <vt:i4>1572915</vt:i4>
      </vt:variant>
      <vt:variant>
        <vt:i4>404</vt:i4>
      </vt:variant>
      <vt:variant>
        <vt:i4>0</vt:i4>
      </vt:variant>
      <vt:variant>
        <vt:i4>5</vt:i4>
      </vt:variant>
      <vt:variant>
        <vt:lpwstr/>
      </vt:variant>
      <vt:variant>
        <vt:lpwstr>_Toc391638281</vt:lpwstr>
      </vt:variant>
      <vt:variant>
        <vt:i4>1572915</vt:i4>
      </vt:variant>
      <vt:variant>
        <vt:i4>398</vt:i4>
      </vt:variant>
      <vt:variant>
        <vt:i4>0</vt:i4>
      </vt:variant>
      <vt:variant>
        <vt:i4>5</vt:i4>
      </vt:variant>
      <vt:variant>
        <vt:lpwstr/>
      </vt:variant>
      <vt:variant>
        <vt:lpwstr>_Toc391638280</vt:lpwstr>
      </vt:variant>
      <vt:variant>
        <vt:i4>1507379</vt:i4>
      </vt:variant>
      <vt:variant>
        <vt:i4>392</vt:i4>
      </vt:variant>
      <vt:variant>
        <vt:i4>0</vt:i4>
      </vt:variant>
      <vt:variant>
        <vt:i4>5</vt:i4>
      </vt:variant>
      <vt:variant>
        <vt:lpwstr/>
      </vt:variant>
      <vt:variant>
        <vt:lpwstr>_Toc391638279</vt:lpwstr>
      </vt:variant>
      <vt:variant>
        <vt:i4>1507379</vt:i4>
      </vt:variant>
      <vt:variant>
        <vt:i4>386</vt:i4>
      </vt:variant>
      <vt:variant>
        <vt:i4>0</vt:i4>
      </vt:variant>
      <vt:variant>
        <vt:i4>5</vt:i4>
      </vt:variant>
      <vt:variant>
        <vt:lpwstr/>
      </vt:variant>
      <vt:variant>
        <vt:lpwstr>_Toc391638278</vt:lpwstr>
      </vt:variant>
      <vt:variant>
        <vt:i4>1507379</vt:i4>
      </vt:variant>
      <vt:variant>
        <vt:i4>380</vt:i4>
      </vt:variant>
      <vt:variant>
        <vt:i4>0</vt:i4>
      </vt:variant>
      <vt:variant>
        <vt:i4>5</vt:i4>
      </vt:variant>
      <vt:variant>
        <vt:lpwstr/>
      </vt:variant>
      <vt:variant>
        <vt:lpwstr>_Toc391638277</vt:lpwstr>
      </vt:variant>
      <vt:variant>
        <vt:i4>1507379</vt:i4>
      </vt:variant>
      <vt:variant>
        <vt:i4>374</vt:i4>
      </vt:variant>
      <vt:variant>
        <vt:i4>0</vt:i4>
      </vt:variant>
      <vt:variant>
        <vt:i4>5</vt:i4>
      </vt:variant>
      <vt:variant>
        <vt:lpwstr/>
      </vt:variant>
      <vt:variant>
        <vt:lpwstr>_Toc391638276</vt:lpwstr>
      </vt:variant>
      <vt:variant>
        <vt:i4>1507379</vt:i4>
      </vt:variant>
      <vt:variant>
        <vt:i4>368</vt:i4>
      </vt:variant>
      <vt:variant>
        <vt:i4>0</vt:i4>
      </vt:variant>
      <vt:variant>
        <vt:i4>5</vt:i4>
      </vt:variant>
      <vt:variant>
        <vt:lpwstr/>
      </vt:variant>
      <vt:variant>
        <vt:lpwstr>_Toc391638275</vt:lpwstr>
      </vt:variant>
      <vt:variant>
        <vt:i4>1507379</vt:i4>
      </vt:variant>
      <vt:variant>
        <vt:i4>362</vt:i4>
      </vt:variant>
      <vt:variant>
        <vt:i4>0</vt:i4>
      </vt:variant>
      <vt:variant>
        <vt:i4>5</vt:i4>
      </vt:variant>
      <vt:variant>
        <vt:lpwstr/>
      </vt:variant>
      <vt:variant>
        <vt:lpwstr>_Toc391638274</vt:lpwstr>
      </vt:variant>
      <vt:variant>
        <vt:i4>1507379</vt:i4>
      </vt:variant>
      <vt:variant>
        <vt:i4>356</vt:i4>
      </vt:variant>
      <vt:variant>
        <vt:i4>0</vt:i4>
      </vt:variant>
      <vt:variant>
        <vt:i4>5</vt:i4>
      </vt:variant>
      <vt:variant>
        <vt:lpwstr/>
      </vt:variant>
      <vt:variant>
        <vt:lpwstr>_Toc391638273</vt:lpwstr>
      </vt:variant>
      <vt:variant>
        <vt:i4>1507379</vt:i4>
      </vt:variant>
      <vt:variant>
        <vt:i4>350</vt:i4>
      </vt:variant>
      <vt:variant>
        <vt:i4>0</vt:i4>
      </vt:variant>
      <vt:variant>
        <vt:i4>5</vt:i4>
      </vt:variant>
      <vt:variant>
        <vt:lpwstr/>
      </vt:variant>
      <vt:variant>
        <vt:lpwstr>_Toc391638272</vt:lpwstr>
      </vt:variant>
      <vt:variant>
        <vt:i4>1507379</vt:i4>
      </vt:variant>
      <vt:variant>
        <vt:i4>344</vt:i4>
      </vt:variant>
      <vt:variant>
        <vt:i4>0</vt:i4>
      </vt:variant>
      <vt:variant>
        <vt:i4>5</vt:i4>
      </vt:variant>
      <vt:variant>
        <vt:lpwstr/>
      </vt:variant>
      <vt:variant>
        <vt:lpwstr>_Toc391638271</vt:lpwstr>
      </vt:variant>
      <vt:variant>
        <vt:i4>1507379</vt:i4>
      </vt:variant>
      <vt:variant>
        <vt:i4>338</vt:i4>
      </vt:variant>
      <vt:variant>
        <vt:i4>0</vt:i4>
      </vt:variant>
      <vt:variant>
        <vt:i4>5</vt:i4>
      </vt:variant>
      <vt:variant>
        <vt:lpwstr/>
      </vt:variant>
      <vt:variant>
        <vt:lpwstr>_Toc391638270</vt:lpwstr>
      </vt:variant>
      <vt:variant>
        <vt:i4>1441843</vt:i4>
      </vt:variant>
      <vt:variant>
        <vt:i4>332</vt:i4>
      </vt:variant>
      <vt:variant>
        <vt:i4>0</vt:i4>
      </vt:variant>
      <vt:variant>
        <vt:i4>5</vt:i4>
      </vt:variant>
      <vt:variant>
        <vt:lpwstr/>
      </vt:variant>
      <vt:variant>
        <vt:lpwstr>_Toc391638269</vt:lpwstr>
      </vt:variant>
      <vt:variant>
        <vt:i4>1441843</vt:i4>
      </vt:variant>
      <vt:variant>
        <vt:i4>326</vt:i4>
      </vt:variant>
      <vt:variant>
        <vt:i4>0</vt:i4>
      </vt:variant>
      <vt:variant>
        <vt:i4>5</vt:i4>
      </vt:variant>
      <vt:variant>
        <vt:lpwstr/>
      </vt:variant>
      <vt:variant>
        <vt:lpwstr>_Toc391638268</vt:lpwstr>
      </vt:variant>
      <vt:variant>
        <vt:i4>1441843</vt:i4>
      </vt:variant>
      <vt:variant>
        <vt:i4>320</vt:i4>
      </vt:variant>
      <vt:variant>
        <vt:i4>0</vt:i4>
      </vt:variant>
      <vt:variant>
        <vt:i4>5</vt:i4>
      </vt:variant>
      <vt:variant>
        <vt:lpwstr/>
      </vt:variant>
      <vt:variant>
        <vt:lpwstr>_Toc391638267</vt:lpwstr>
      </vt:variant>
      <vt:variant>
        <vt:i4>1441843</vt:i4>
      </vt:variant>
      <vt:variant>
        <vt:i4>314</vt:i4>
      </vt:variant>
      <vt:variant>
        <vt:i4>0</vt:i4>
      </vt:variant>
      <vt:variant>
        <vt:i4>5</vt:i4>
      </vt:variant>
      <vt:variant>
        <vt:lpwstr/>
      </vt:variant>
      <vt:variant>
        <vt:lpwstr>_Toc391638266</vt:lpwstr>
      </vt:variant>
      <vt:variant>
        <vt:i4>1441843</vt:i4>
      </vt:variant>
      <vt:variant>
        <vt:i4>308</vt:i4>
      </vt:variant>
      <vt:variant>
        <vt:i4>0</vt:i4>
      </vt:variant>
      <vt:variant>
        <vt:i4>5</vt:i4>
      </vt:variant>
      <vt:variant>
        <vt:lpwstr/>
      </vt:variant>
      <vt:variant>
        <vt:lpwstr>_Toc391638265</vt:lpwstr>
      </vt:variant>
      <vt:variant>
        <vt:i4>1441843</vt:i4>
      </vt:variant>
      <vt:variant>
        <vt:i4>302</vt:i4>
      </vt:variant>
      <vt:variant>
        <vt:i4>0</vt:i4>
      </vt:variant>
      <vt:variant>
        <vt:i4>5</vt:i4>
      </vt:variant>
      <vt:variant>
        <vt:lpwstr/>
      </vt:variant>
      <vt:variant>
        <vt:lpwstr>_Toc391638264</vt:lpwstr>
      </vt:variant>
      <vt:variant>
        <vt:i4>1441843</vt:i4>
      </vt:variant>
      <vt:variant>
        <vt:i4>296</vt:i4>
      </vt:variant>
      <vt:variant>
        <vt:i4>0</vt:i4>
      </vt:variant>
      <vt:variant>
        <vt:i4>5</vt:i4>
      </vt:variant>
      <vt:variant>
        <vt:lpwstr/>
      </vt:variant>
      <vt:variant>
        <vt:lpwstr>_Toc391638263</vt:lpwstr>
      </vt:variant>
      <vt:variant>
        <vt:i4>1441843</vt:i4>
      </vt:variant>
      <vt:variant>
        <vt:i4>290</vt:i4>
      </vt:variant>
      <vt:variant>
        <vt:i4>0</vt:i4>
      </vt:variant>
      <vt:variant>
        <vt:i4>5</vt:i4>
      </vt:variant>
      <vt:variant>
        <vt:lpwstr/>
      </vt:variant>
      <vt:variant>
        <vt:lpwstr>_Toc391638262</vt:lpwstr>
      </vt:variant>
      <vt:variant>
        <vt:i4>1441843</vt:i4>
      </vt:variant>
      <vt:variant>
        <vt:i4>284</vt:i4>
      </vt:variant>
      <vt:variant>
        <vt:i4>0</vt:i4>
      </vt:variant>
      <vt:variant>
        <vt:i4>5</vt:i4>
      </vt:variant>
      <vt:variant>
        <vt:lpwstr/>
      </vt:variant>
      <vt:variant>
        <vt:lpwstr>_Toc391638261</vt:lpwstr>
      </vt:variant>
      <vt:variant>
        <vt:i4>1441843</vt:i4>
      </vt:variant>
      <vt:variant>
        <vt:i4>278</vt:i4>
      </vt:variant>
      <vt:variant>
        <vt:i4>0</vt:i4>
      </vt:variant>
      <vt:variant>
        <vt:i4>5</vt:i4>
      </vt:variant>
      <vt:variant>
        <vt:lpwstr/>
      </vt:variant>
      <vt:variant>
        <vt:lpwstr>_Toc391638260</vt:lpwstr>
      </vt:variant>
      <vt:variant>
        <vt:i4>1376307</vt:i4>
      </vt:variant>
      <vt:variant>
        <vt:i4>272</vt:i4>
      </vt:variant>
      <vt:variant>
        <vt:i4>0</vt:i4>
      </vt:variant>
      <vt:variant>
        <vt:i4>5</vt:i4>
      </vt:variant>
      <vt:variant>
        <vt:lpwstr/>
      </vt:variant>
      <vt:variant>
        <vt:lpwstr>_Toc391638259</vt:lpwstr>
      </vt:variant>
      <vt:variant>
        <vt:i4>1376307</vt:i4>
      </vt:variant>
      <vt:variant>
        <vt:i4>266</vt:i4>
      </vt:variant>
      <vt:variant>
        <vt:i4>0</vt:i4>
      </vt:variant>
      <vt:variant>
        <vt:i4>5</vt:i4>
      </vt:variant>
      <vt:variant>
        <vt:lpwstr/>
      </vt:variant>
      <vt:variant>
        <vt:lpwstr>_Toc391638258</vt:lpwstr>
      </vt:variant>
      <vt:variant>
        <vt:i4>1376307</vt:i4>
      </vt:variant>
      <vt:variant>
        <vt:i4>260</vt:i4>
      </vt:variant>
      <vt:variant>
        <vt:i4>0</vt:i4>
      </vt:variant>
      <vt:variant>
        <vt:i4>5</vt:i4>
      </vt:variant>
      <vt:variant>
        <vt:lpwstr/>
      </vt:variant>
      <vt:variant>
        <vt:lpwstr>_Toc391638257</vt:lpwstr>
      </vt:variant>
      <vt:variant>
        <vt:i4>1376307</vt:i4>
      </vt:variant>
      <vt:variant>
        <vt:i4>254</vt:i4>
      </vt:variant>
      <vt:variant>
        <vt:i4>0</vt:i4>
      </vt:variant>
      <vt:variant>
        <vt:i4>5</vt:i4>
      </vt:variant>
      <vt:variant>
        <vt:lpwstr/>
      </vt:variant>
      <vt:variant>
        <vt:lpwstr>_Toc391638256</vt:lpwstr>
      </vt:variant>
      <vt:variant>
        <vt:i4>1376307</vt:i4>
      </vt:variant>
      <vt:variant>
        <vt:i4>248</vt:i4>
      </vt:variant>
      <vt:variant>
        <vt:i4>0</vt:i4>
      </vt:variant>
      <vt:variant>
        <vt:i4>5</vt:i4>
      </vt:variant>
      <vt:variant>
        <vt:lpwstr/>
      </vt:variant>
      <vt:variant>
        <vt:lpwstr>_Toc391638255</vt:lpwstr>
      </vt:variant>
      <vt:variant>
        <vt:i4>1376307</vt:i4>
      </vt:variant>
      <vt:variant>
        <vt:i4>242</vt:i4>
      </vt:variant>
      <vt:variant>
        <vt:i4>0</vt:i4>
      </vt:variant>
      <vt:variant>
        <vt:i4>5</vt:i4>
      </vt:variant>
      <vt:variant>
        <vt:lpwstr/>
      </vt:variant>
      <vt:variant>
        <vt:lpwstr>_Toc391638254</vt:lpwstr>
      </vt:variant>
      <vt:variant>
        <vt:i4>1376307</vt:i4>
      </vt:variant>
      <vt:variant>
        <vt:i4>236</vt:i4>
      </vt:variant>
      <vt:variant>
        <vt:i4>0</vt:i4>
      </vt:variant>
      <vt:variant>
        <vt:i4>5</vt:i4>
      </vt:variant>
      <vt:variant>
        <vt:lpwstr/>
      </vt:variant>
      <vt:variant>
        <vt:lpwstr>_Toc391638253</vt:lpwstr>
      </vt:variant>
      <vt:variant>
        <vt:i4>1376307</vt:i4>
      </vt:variant>
      <vt:variant>
        <vt:i4>230</vt:i4>
      </vt:variant>
      <vt:variant>
        <vt:i4>0</vt:i4>
      </vt:variant>
      <vt:variant>
        <vt:i4>5</vt:i4>
      </vt:variant>
      <vt:variant>
        <vt:lpwstr/>
      </vt:variant>
      <vt:variant>
        <vt:lpwstr>_Toc391638252</vt:lpwstr>
      </vt:variant>
      <vt:variant>
        <vt:i4>1376307</vt:i4>
      </vt:variant>
      <vt:variant>
        <vt:i4>224</vt:i4>
      </vt:variant>
      <vt:variant>
        <vt:i4>0</vt:i4>
      </vt:variant>
      <vt:variant>
        <vt:i4>5</vt:i4>
      </vt:variant>
      <vt:variant>
        <vt:lpwstr/>
      </vt:variant>
      <vt:variant>
        <vt:lpwstr>_Toc391638251</vt:lpwstr>
      </vt:variant>
      <vt:variant>
        <vt:i4>1376307</vt:i4>
      </vt:variant>
      <vt:variant>
        <vt:i4>218</vt:i4>
      </vt:variant>
      <vt:variant>
        <vt:i4>0</vt:i4>
      </vt:variant>
      <vt:variant>
        <vt:i4>5</vt:i4>
      </vt:variant>
      <vt:variant>
        <vt:lpwstr/>
      </vt:variant>
      <vt:variant>
        <vt:lpwstr>_Toc391638250</vt:lpwstr>
      </vt:variant>
      <vt:variant>
        <vt:i4>1310771</vt:i4>
      </vt:variant>
      <vt:variant>
        <vt:i4>212</vt:i4>
      </vt:variant>
      <vt:variant>
        <vt:i4>0</vt:i4>
      </vt:variant>
      <vt:variant>
        <vt:i4>5</vt:i4>
      </vt:variant>
      <vt:variant>
        <vt:lpwstr/>
      </vt:variant>
      <vt:variant>
        <vt:lpwstr>_Toc391638249</vt:lpwstr>
      </vt:variant>
      <vt:variant>
        <vt:i4>1310771</vt:i4>
      </vt:variant>
      <vt:variant>
        <vt:i4>206</vt:i4>
      </vt:variant>
      <vt:variant>
        <vt:i4>0</vt:i4>
      </vt:variant>
      <vt:variant>
        <vt:i4>5</vt:i4>
      </vt:variant>
      <vt:variant>
        <vt:lpwstr/>
      </vt:variant>
      <vt:variant>
        <vt:lpwstr>_Toc391638248</vt:lpwstr>
      </vt:variant>
      <vt:variant>
        <vt:i4>1310771</vt:i4>
      </vt:variant>
      <vt:variant>
        <vt:i4>200</vt:i4>
      </vt:variant>
      <vt:variant>
        <vt:i4>0</vt:i4>
      </vt:variant>
      <vt:variant>
        <vt:i4>5</vt:i4>
      </vt:variant>
      <vt:variant>
        <vt:lpwstr/>
      </vt:variant>
      <vt:variant>
        <vt:lpwstr>_Toc391638247</vt:lpwstr>
      </vt:variant>
      <vt:variant>
        <vt:i4>1310771</vt:i4>
      </vt:variant>
      <vt:variant>
        <vt:i4>194</vt:i4>
      </vt:variant>
      <vt:variant>
        <vt:i4>0</vt:i4>
      </vt:variant>
      <vt:variant>
        <vt:i4>5</vt:i4>
      </vt:variant>
      <vt:variant>
        <vt:lpwstr/>
      </vt:variant>
      <vt:variant>
        <vt:lpwstr>_Toc391638246</vt:lpwstr>
      </vt:variant>
      <vt:variant>
        <vt:i4>1310771</vt:i4>
      </vt:variant>
      <vt:variant>
        <vt:i4>188</vt:i4>
      </vt:variant>
      <vt:variant>
        <vt:i4>0</vt:i4>
      </vt:variant>
      <vt:variant>
        <vt:i4>5</vt:i4>
      </vt:variant>
      <vt:variant>
        <vt:lpwstr/>
      </vt:variant>
      <vt:variant>
        <vt:lpwstr>_Toc391638245</vt:lpwstr>
      </vt:variant>
      <vt:variant>
        <vt:i4>1310771</vt:i4>
      </vt:variant>
      <vt:variant>
        <vt:i4>182</vt:i4>
      </vt:variant>
      <vt:variant>
        <vt:i4>0</vt:i4>
      </vt:variant>
      <vt:variant>
        <vt:i4>5</vt:i4>
      </vt:variant>
      <vt:variant>
        <vt:lpwstr/>
      </vt:variant>
      <vt:variant>
        <vt:lpwstr>_Toc391638244</vt:lpwstr>
      </vt:variant>
      <vt:variant>
        <vt:i4>1310771</vt:i4>
      </vt:variant>
      <vt:variant>
        <vt:i4>176</vt:i4>
      </vt:variant>
      <vt:variant>
        <vt:i4>0</vt:i4>
      </vt:variant>
      <vt:variant>
        <vt:i4>5</vt:i4>
      </vt:variant>
      <vt:variant>
        <vt:lpwstr/>
      </vt:variant>
      <vt:variant>
        <vt:lpwstr>_Toc391638243</vt:lpwstr>
      </vt:variant>
      <vt:variant>
        <vt:i4>1310771</vt:i4>
      </vt:variant>
      <vt:variant>
        <vt:i4>170</vt:i4>
      </vt:variant>
      <vt:variant>
        <vt:i4>0</vt:i4>
      </vt:variant>
      <vt:variant>
        <vt:i4>5</vt:i4>
      </vt:variant>
      <vt:variant>
        <vt:lpwstr/>
      </vt:variant>
      <vt:variant>
        <vt:lpwstr>_Toc391638242</vt:lpwstr>
      </vt:variant>
      <vt:variant>
        <vt:i4>1310771</vt:i4>
      </vt:variant>
      <vt:variant>
        <vt:i4>164</vt:i4>
      </vt:variant>
      <vt:variant>
        <vt:i4>0</vt:i4>
      </vt:variant>
      <vt:variant>
        <vt:i4>5</vt:i4>
      </vt:variant>
      <vt:variant>
        <vt:lpwstr/>
      </vt:variant>
      <vt:variant>
        <vt:lpwstr>_Toc391638241</vt:lpwstr>
      </vt:variant>
      <vt:variant>
        <vt:i4>1310771</vt:i4>
      </vt:variant>
      <vt:variant>
        <vt:i4>158</vt:i4>
      </vt:variant>
      <vt:variant>
        <vt:i4>0</vt:i4>
      </vt:variant>
      <vt:variant>
        <vt:i4>5</vt:i4>
      </vt:variant>
      <vt:variant>
        <vt:lpwstr/>
      </vt:variant>
      <vt:variant>
        <vt:lpwstr>_Toc391638240</vt:lpwstr>
      </vt:variant>
      <vt:variant>
        <vt:i4>1245235</vt:i4>
      </vt:variant>
      <vt:variant>
        <vt:i4>152</vt:i4>
      </vt:variant>
      <vt:variant>
        <vt:i4>0</vt:i4>
      </vt:variant>
      <vt:variant>
        <vt:i4>5</vt:i4>
      </vt:variant>
      <vt:variant>
        <vt:lpwstr/>
      </vt:variant>
      <vt:variant>
        <vt:lpwstr>_Toc391638239</vt:lpwstr>
      </vt:variant>
      <vt:variant>
        <vt:i4>1245235</vt:i4>
      </vt:variant>
      <vt:variant>
        <vt:i4>146</vt:i4>
      </vt:variant>
      <vt:variant>
        <vt:i4>0</vt:i4>
      </vt:variant>
      <vt:variant>
        <vt:i4>5</vt:i4>
      </vt:variant>
      <vt:variant>
        <vt:lpwstr/>
      </vt:variant>
      <vt:variant>
        <vt:lpwstr>_Toc391638238</vt:lpwstr>
      </vt:variant>
      <vt:variant>
        <vt:i4>1245235</vt:i4>
      </vt:variant>
      <vt:variant>
        <vt:i4>140</vt:i4>
      </vt:variant>
      <vt:variant>
        <vt:i4>0</vt:i4>
      </vt:variant>
      <vt:variant>
        <vt:i4>5</vt:i4>
      </vt:variant>
      <vt:variant>
        <vt:lpwstr/>
      </vt:variant>
      <vt:variant>
        <vt:lpwstr>_Toc391638237</vt:lpwstr>
      </vt:variant>
      <vt:variant>
        <vt:i4>1245235</vt:i4>
      </vt:variant>
      <vt:variant>
        <vt:i4>134</vt:i4>
      </vt:variant>
      <vt:variant>
        <vt:i4>0</vt:i4>
      </vt:variant>
      <vt:variant>
        <vt:i4>5</vt:i4>
      </vt:variant>
      <vt:variant>
        <vt:lpwstr/>
      </vt:variant>
      <vt:variant>
        <vt:lpwstr>_Toc391638236</vt:lpwstr>
      </vt:variant>
      <vt:variant>
        <vt:i4>1245235</vt:i4>
      </vt:variant>
      <vt:variant>
        <vt:i4>128</vt:i4>
      </vt:variant>
      <vt:variant>
        <vt:i4>0</vt:i4>
      </vt:variant>
      <vt:variant>
        <vt:i4>5</vt:i4>
      </vt:variant>
      <vt:variant>
        <vt:lpwstr/>
      </vt:variant>
      <vt:variant>
        <vt:lpwstr>_Toc391638235</vt:lpwstr>
      </vt:variant>
      <vt:variant>
        <vt:i4>1245235</vt:i4>
      </vt:variant>
      <vt:variant>
        <vt:i4>122</vt:i4>
      </vt:variant>
      <vt:variant>
        <vt:i4>0</vt:i4>
      </vt:variant>
      <vt:variant>
        <vt:i4>5</vt:i4>
      </vt:variant>
      <vt:variant>
        <vt:lpwstr/>
      </vt:variant>
      <vt:variant>
        <vt:lpwstr>_Toc391638234</vt:lpwstr>
      </vt:variant>
      <vt:variant>
        <vt:i4>1245235</vt:i4>
      </vt:variant>
      <vt:variant>
        <vt:i4>116</vt:i4>
      </vt:variant>
      <vt:variant>
        <vt:i4>0</vt:i4>
      </vt:variant>
      <vt:variant>
        <vt:i4>5</vt:i4>
      </vt:variant>
      <vt:variant>
        <vt:lpwstr/>
      </vt:variant>
      <vt:variant>
        <vt:lpwstr>_Toc391638233</vt:lpwstr>
      </vt:variant>
      <vt:variant>
        <vt:i4>1245235</vt:i4>
      </vt:variant>
      <vt:variant>
        <vt:i4>110</vt:i4>
      </vt:variant>
      <vt:variant>
        <vt:i4>0</vt:i4>
      </vt:variant>
      <vt:variant>
        <vt:i4>5</vt:i4>
      </vt:variant>
      <vt:variant>
        <vt:lpwstr/>
      </vt:variant>
      <vt:variant>
        <vt:lpwstr>_Toc391638232</vt:lpwstr>
      </vt:variant>
      <vt:variant>
        <vt:i4>1245235</vt:i4>
      </vt:variant>
      <vt:variant>
        <vt:i4>104</vt:i4>
      </vt:variant>
      <vt:variant>
        <vt:i4>0</vt:i4>
      </vt:variant>
      <vt:variant>
        <vt:i4>5</vt:i4>
      </vt:variant>
      <vt:variant>
        <vt:lpwstr/>
      </vt:variant>
      <vt:variant>
        <vt:lpwstr>_Toc391638231</vt:lpwstr>
      </vt:variant>
      <vt:variant>
        <vt:i4>1245235</vt:i4>
      </vt:variant>
      <vt:variant>
        <vt:i4>98</vt:i4>
      </vt:variant>
      <vt:variant>
        <vt:i4>0</vt:i4>
      </vt:variant>
      <vt:variant>
        <vt:i4>5</vt:i4>
      </vt:variant>
      <vt:variant>
        <vt:lpwstr/>
      </vt:variant>
      <vt:variant>
        <vt:lpwstr>_Toc391638230</vt:lpwstr>
      </vt:variant>
      <vt:variant>
        <vt:i4>1179699</vt:i4>
      </vt:variant>
      <vt:variant>
        <vt:i4>92</vt:i4>
      </vt:variant>
      <vt:variant>
        <vt:i4>0</vt:i4>
      </vt:variant>
      <vt:variant>
        <vt:i4>5</vt:i4>
      </vt:variant>
      <vt:variant>
        <vt:lpwstr/>
      </vt:variant>
      <vt:variant>
        <vt:lpwstr>_Toc391638229</vt:lpwstr>
      </vt:variant>
      <vt:variant>
        <vt:i4>1179699</vt:i4>
      </vt:variant>
      <vt:variant>
        <vt:i4>86</vt:i4>
      </vt:variant>
      <vt:variant>
        <vt:i4>0</vt:i4>
      </vt:variant>
      <vt:variant>
        <vt:i4>5</vt:i4>
      </vt:variant>
      <vt:variant>
        <vt:lpwstr/>
      </vt:variant>
      <vt:variant>
        <vt:lpwstr>_Toc391638228</vt:lpwstr>
      </vt:variant>
      <vt:variant>
        <vt:i4>1179699</vt:i4>
      </vt:variant>
      <vt:variant>
        <vt:i4>80</vt:i4>
      </vt:variant>
      <vt:variant>
        <vt:i4>0</vt:i4>
      </vt:variant>
      <vt:variant>
        <vt:i4>5</vt:i4>
      </vt:variant>
      <vt:variant>
        <vt:lpwstr/>
      </vt:variant>
      <vt:variant>
        <vt:lpwstr>_Toc391638227</vt:lpwstr>
      </vt:variant>
      <vt:variant>
        <vt:i4>1179699</vt:i4>
      </vt:variant>
      <vt:variant>
        <vt:i4>74</vt:i4>
      </vt:variant>
      <vt:variant>
        <vt:i4>0</vt:i4>
      </vt:variant>
      <vt:variant>
        <vt:i4>5</vt:i4>
      </vt:variant>
      <vt:variant>
        <vt:lpwstr/>
      </vt:variant>
      <vt:variant>
        <vt:lpwstr>_Toc391638226</vt:lpwstr>
      </vt:variant>
      <vt:variant>
        <vt:i4>1179699</vt:i4>
      </vt:variant>
      <vt:variant>
        <vt:i4>68</vt:i4>
      </vt:variant>
      <vt:variant>
        <vt:i4>0</vt:i4>
      </vt:variant>
      <vt:variant>
        <vt:i4>5</vt:i4>
      </vt:variant>
      <vt:variant>
        <vt:lpwstr/>
      </vt:variant>
      <vt:variant>
        <vt:lpwstr>_Toc391638225</vt:lpwstr>
      </vt:variant>
      <vt:variant>
        <vt:i4>1179699</vt:i4>
      </vt:variant>
      <vt:variant>
        <vt:i4>62</vt:i4>
      </vt:variant>
      <vt:variant>
        <vt:i4>0</vt:i4>
      </vt:variant>
      <vt:variant>
        <vt:i4>5</vt:i4>
      </vt:variant>
      <vt:variant>
        <vt:lpwstr/>
      </vt:variant>
      <vt:variant>
        <vt:lpwstr>_Toc391638224</vt:lpwstr>
      </vt:variant>
      <vt:variant>
        <vt:i4>1179699</vt:i4>
      </vt:variant>
      <vt:variant>
        <vt:i4>56</vt:i4>
      </vt:variant>
      <vt:variant>
        <vt:i4>0</vt:i4>
      </vt:variant>
      <vt:variant>
        <vt:i4>5</vt:i4>
      </vt:variant>
      <vt:variant>
        <vt:lpwstr/>
      </vt:variant>
      <vt:variant>
        <vt:lpwstr>_Toc391638223</vt:lpwstr>
      </vt:variant>
      <vt:variant>
        <vt:i4>1179699</vt:i4>
      </vt:variant>
      <vt:variant>
        <vt:i4>50</vt:i4>
      </vt:variant>
      <vt:variant>
        <vt:i4>0</vt:i4>
      </vt:variant>
      <vt:variant>
        <vt:i4>5</vt:i4>
      </vt:variant>
      <vt:variant>
        <vt:lpwstr/>
      </vt:variant>
      <vt:variant>
        <vt:lpwstr>_Toc391638222</vt:lpwstr>
      </vt:variant>
      <vt:variant>
        <vt:i4>1179699</vt:i4>
      </vt:variant>
      <vt:variant>
        <vt:i4>44</vt:i4>
      </vt:variant>
      <vt:variant>
        <vt:i4>0</vt:i4>
      </vt:variant>
      <vt:variant>
        <vt:i4>5</vt:i4>
      </vt:variant>
      <vt:variant>
        <vt:lpwstr/>
      </vt:variant>
      <vt:variant>
        <vt:lpwstr>_Toc391638221</vt:lpwstr>
      </vt:variant>
      <vt:variant>
        <vt:i4>1179699</vt:i4>
      </vt:variant>
      <vt:variant>
        <vt:i4>38</vt:i4>
      </vt:variant>
      <vt:variant>
        <vt:i4>0</vt:i4>
      </vt:variant>
      <vt:variant>
        <vt:i4>5</vt:i4>
      </vt:variant>
      <vt:variant>
        <vt:lpwstr/>
      </vt:variant>
      <vt:variant>
        <vt:lpwstr>_Toc391638220</vt:lpwstr>
      </vt:variant>
      <vt:variant>
        <vt:i4>1114163</vt:i4>
      </vt:variant>
      <vt:variant>
        <vt:i4>32</vt:i4>
      </vt:variant>
      <vt:variant>
        <vt:i4>0</vt:i4>
      </vt:variant>
      <vt:variant>
        <vt:i4>5</vt:i4>
      </vt:variant>
      <vt:variant>
        <vt:lpwstr/>
      </vt:variant>
      <vt:variant>
        <vt:lpwstr>_Toc391638219</vt:lpwstr>
      </vt:variant>
      <vt:variant>
        <vt:i4>1114163</vt:i4>
      </vt:variant>
      <vt:variant>
        <vt:i4>26</vt:i4>
      </vt:variant>
      <vt:variant>
        <vt:i4>0</vt:i4>
      </vt:variant>
      <vt:variant>
        <vt:i4>5</vt:i4>
      </vt:variant>
      <vt:variant>
        <vt:lpwstr/>
      </vt:variant>
      <vt:variant>
        <vt:lpwstr>_Toc391638218</vt:lpwstr>
      </vt:variant>
      <vt:variant>
        <vt:i4>1114163</vt:i4>
      </vt:variant>
      <vt:variant>
        <vt:i4>20</vt:i4>
      </vt:variant>
      <vt:variant>
        <vt:i4>0</vt:i4>
      </vt:variant>
      <vt:variant>
        <vt:i4>5</vt:i4>
      </vt:variant>
      <vt:variant>
        <vt:lpwstr/>
      </vt:variant>
      <vt:variant>
        <vt:lpwstr>_Toc391638217</vt:lpwstr>
      </vt:variant>
      <vt:variant>
        <vt:i4>1114163</vt:i4>
      </vt:variant>
      <vt:variant>
        <vt:i4>14</vt:i4>
      </vt:variant>
      <vt:variant>
        <vt:i4>0</vt:i4>
      </vt:variant>
      <vt:variant>
        <vt:i4>5</vt:i4>
      </vt:variant>
      <vt:variant>
        <vt:lpwstr/>
      </vt:variant>
      <vt:variant>
        <vt:lpwstr>_Toc391638216</vt:lpwstr>
      </vt:variant>
      <vt:variant>
        <vt:i4>1114163</vt:i4>
      </vt:variant>
      <vt:variant>
        <vt:i4>8</vt:i4>
      </vt:variant>
      <vt:variant>
        <vt:i4>0</vt:i4>
      </vt:variant>
      <vt:variant>
        <vt:i4>5</vt:i4>
      </vt:variant>
      <vt:variant>
        <vt:lpwstr/>
      </vt:variant>
      <vt:variant>
        <vt:lpwstr>_Toc391638215</vt:lpwstr>
      </vt:variant>
      <vt:variant>
        <vt:i4>1114163</vt:i4>
      </vt:variant>
      <vt:variant>
        <vt:i4>2</vt:i4>
      </vt:variant>
      <vt:variant>
        <vt:i4>0</vt:i4>
      </vt:variant>
      <vt:variant>
        <vt:i4>5</vt:i4>
      </vt:variant>
      <vt:variant>
        <vt:lpwstr/>
      </vt:variant>
      <vt:variant>
        <vt:lpwstr>_Toc391638214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
  <cp:keywords/>
  <cp:lastModifiedBy/>
  <cp:revision>1</cp:revision>
  <dcterms:created xsi:type="dcterms:W3CDTF">2019-09-26T20:03:00Z</dcterms:created>
  <dcterms:modified xsi:type="dcterms:W3CDTF">2019-09-26T20:04:00Z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0x010100F4DE1AACB87EAA4BB22C173C8FC48D4D</vt:lpwstr>
  </property>
</Properties>
</file>