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Avalon A10 矿机 API说明手册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版本号：v0.1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Canaan</w:t>
      </w:r>
      <w:r>
        <w:rPr>
          <w:rFonts w:hint="eastAsia" w:ascii="微软雅黑" w:hAnsi="微软雅黑" w:eastAsia="微软雅黑" w:cs="微软雅黑"/>
          <w:sz w:val="30"/>
          <w:szCs w:val="30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版本说明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7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890"/>
        <w:gridCol w:w="5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v0.1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2019-8-31</w:t>
            </w: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创建文档。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br w:type="page"/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综述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API命令使用TCP短连接发送和接收。一次命令发送和返回在一个TCP连接中完成。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API的发送和接收需要单线程执行，不支持并发。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必须等待上一条API命令返回结果，才能发起下一个API通信。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API通信端口为4028。</w:t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命令说明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查询版本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lang w:val="en-US" w:eastAsia="zh-CN"/>
              </w:rPr>
              <w:t>控制板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版本相关信息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version|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version|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重启矿机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无条件重启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矿机。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ascset|0,reboot,0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"ascset|0,reboot,0"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LED灯控制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点亮/关闭矿机面板上白色LED。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-0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关灯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-1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开灯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-255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返回当前LED灯的状态。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-255"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配置工作模式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配置或查询矿机的工作模式（重启后生效）。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0   31T 普通模式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37T高性能模式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ascset|0,workmode,255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查询当前工作模式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4"/>
          <w:rFonts w:hint="eastAsia" w:ascii="微软雅黑" w:hAnsi="微软雅黑" w:eastAsia="微软雅黑" w:cs="微软雅黑"/>
          <w:i w:val="0"/>
          <w:caps w:val="0"/>
          <w:color w:val="172B4D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配置矿池信息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配置矿机的矿池（重启后生效）。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ascset|0,setpool,&lt;username&gt;,&lt;password&gt;,&lt;pooladdr&gt;,&lt;worker&gt;,&lt;workerpasswd&gt;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&lt;username&gt;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矿机登录用户名（与web登录相同）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&lt;password&gt;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矿机登录密码（与web登录相同）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&lt;pooladdr&gt;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配置的矿池地址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&lt;worker&gt;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配置的矿工名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&lt;workerpasswd&gt;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矿工密码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设置矿机使用矿池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stratum+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instrText xml:space="preserve"> HYPERLINK "tcp://btc.ss.poolin.com:443"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separate"/>
            </w:r>
            <w:r>
              <w:rPr>
                <w:rStyle w:val="15"/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t>tcp://btc.ss.poolin.com:443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end"/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使用矿工名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cctrix.001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并且密码为123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假设矿机的登录名和密码都是默认的root，root。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"ascset|0,setpool,root,root,stratum+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instrText xml:space="preserve"> HYPERLINK "tcp://btc.ss.poolin.com:443,cctrix.001,123"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separate"/>
            </w:r>
            <w:r>
              <w:rPr>
                <w:rStyle w:val="15"/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t>tcp://btc.ss.poolin.com:443,cctrix.001,123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4"/>
          <w:rFonts w:hint="eastAsia" w:ascii="微软雅黑" w:hAnsi="微软雅黑" w:eastAsia="微软雅黑" w:cs="微软雅黑"/>
          <w:i w:val="0"/>
          <w:caps w:val="0"/>
          <w:color w:val="172B4D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关闭HASH电源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关闭HASH电源使矿机进入关机状态，要回到工作状态请使用重启矿机API命令。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ascset|0,hashpower,0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"ascset|0,hashpower,0" | socat -t 30 stdio tcp:192.168.189.135:4028,shut-none &amp;&amp; echo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查询HASH电源状态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读取电源状态。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命令格式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ascset|0,hashpower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结果解析举例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发送API得到如下返回：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STATUS=I,When=1052,Code=118,Msg=ASC 0 set info: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24"/>
                <w:szCs w:val="24"/>
                <w:shd w:val="clear" w:fill="FCFCFC"/>
              </w:rPr>
              <w:t>PS[0 1220 1314 140 1839 1308]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,Description=cgminer 4.11.1|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对于PS字段解析如下：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0：错误码 ，当前无错误。（详见附录”电源错误码表“）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1220：提供给控制板的电压，12.2V。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1314：提供给HASH板的电压，13.14V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140：输出电流 140A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1839：输出功率 1839W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1308：对HASH板输出电源的设定值。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举例（使用linux socat）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"ascset|0,hashpower,0" | socat -t 30 stdio tcp:192.168.189.135:4028,shut-none &amp;&amp; echo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210" w:afterAutospacing="0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24"/>
          <w:szCs w:val="24"/>
          <w:shd w:val="clear" w:fill="FCFCFC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 电源返回值表</w:t>
      </w:r>
    </w:p>
    <w:tbl>
      <w:tblPr>
        <w:tblStyle w:val="16"/>
        <w:tblW w:w="6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870"/>
        <w:gridCol w:w="4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kern w:val="0"/>
                <w:sz w:val="24"/>
                <w:szCs w:val="24"/>
                <w:lang w:val="en-US" w:eastAsia="zh-CN" w:bidi="ar"/>
              </w:rPr>
              <w:t>Definition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一切正常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Input_UV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输入欠压（AV电不正常）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OT1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过温保护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OT2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过温保护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OT3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过温保护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OC_Pri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原边过流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UV_out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输出欠压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OC_out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输出过流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CS_error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OC_IOSA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OC_IOSB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OC_IOSC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FAN_error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风扇故障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4C66"/>
          <w:spacing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54DBD"/>
    <w:multiLevelType w:val="singleLevel"/>
    <w:tmpl w:val="B1C54D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4510A9"/>
    <w:multiLevelType w:val="multilevel"/>
    <w:tmpl w:val="09451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72BECB"/>
    <w:multiLevelType w:val="multilevel"/>
    <w:tmpl w:val="5F72BE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E54F2"/>
    <w:rsid w:val="503C4015"/>
    <w:rsid w:val="58A97396"/>
    <w:rsid w:val="6D7E61E5"/>
    <w:rsid w:val="791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energy</dc:creator>
  <cp:lastModifiedBy>莉</cp:lastModifiedBy>
  <dcterms:modified xsi:type="dcterms:W3CDTF">2019-09-01T15:30:48Z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