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h:introduction"/>
    <w:p>
      <w:pPr>
        <w:pStyle w:val="Heading1"/>
      </w:pPr>
      <w:r>
        <w:t xml:space="preserve">Introduction</w:t>
      </w:r>
    </w:p>
    <w:bookmarkStart w:id="20" w:name="context-and-motivation"/>
    <w:p>
      <w:pPr>
        <w:pStyle w:val="Heading2"/>
      </w:pPr>
      <w:r>
        <w:t xml:space="preserve">Context and Motivation</w:t>
      </w:r>
    </w:p>
    <w:p>
      <w:pPr>
        <w:pStyle w:val="FirstParagraph"/>
      </w:pPr>
      <w:r>
        <w:t xml:space="preserve">Urban energy planning faces an increasingly critical challenge: First create an standard information model of the buildings from sparse data and second ease of use with the complexity of spatial data.</w:t>
      </w:r>
    </w:p>
    <w:p>
      <w:pPr>
        <w:pStyle w:val="BodyText"/>
      </w:pPr>
      <w:r>
        <w:t xml:space="preserve">analyzing and optimizing energy consumption across complex city infrastructures requires sophisticated spatial database queries that remain largely inaccessible to domain experts. Energy researchers, urban planners, and policymakers possess deep domain knowledge but often lack the technical expertise to formulate complex PostGIS spatial SQL queries needed to extract insights from urban databases.</w:t>
      </w:r>
    </w:p>
    <w:p>
      <w:pPr>
        <w:pStyle w:val="BodyText"/>
      </w:pPr>
      <w:r>
        <w:t xml:space="preserve">This accessibility gap has significant practical implications. Questions such as</w:t>
      </w:r>
      <w:r>
        <w:t xml:space="preserve"> </w:t>
      </w:r>
      <w:r>
        <w:t xml:space="preserve">“</w:t>
      </w:r>
      <w:r>
        <w:t xml:space="preserve">Show me all buildings within 500 meters of a subway station with annual energy consumption above 100 kWh/m</w:t>
      </w:r>
      <m:oMath>
        <m:sSup>
          <m:e>
            <m:r>
              <m:t>​</m:t>
            </m:r>
          </m:e>
          <m:sup>
            <m:r>
              <m:t>2</m:t>
            </m:r>
          </m:sup>
        </m:sSup>
      </m:oMath>
      <w:r>
        <w:t xml:space="preserve">”</w:t>
      </w:r>
      <w:r>
        <w:t xml:space="preserve"> </w:t>
      </w:r>
      <w:r>
        <w:t xml:space="preserve">or</w:t>
      </w:r>
      <w:r>
        <w:t xml:space="preserve"> </w:t>
      </w:r>
      <w:r>
        <w:t xml:space="preserve">“</w:t>
      </w:r>
      <w:r>
        <w:t xml:space="preserve">Calculate the average solar potential for buildings in districts with population density exceeding 5000 people per km</w:t>
      </w:r>
      <m:oMath>
        <m:sSup>
          <m:e>
            <m:r>
              <m:t>​</m:t>
            </m:r>
          </m:e>
          <m:sup>
            <m:r>
              <m:t>2</m:t>
            </m:r>
          </m:sup>
        </m:sSup>
      </m:oMath>
      <w:r>
        <w:t xml:space="preserve">”</w:t>
      </w:r>
      <w:r>
        <w:t xml:space="preserve"> </w:t>
      </w:r>
      <w:r>
        <w:t xml:space="preserve">require intricate spatial joins, aggregations, and domain-specific calculations that are beyond the reach of non-technical users.</w:t>
      </w:r>
    </w:p>
    <w:p>
      <w:pPr>
        <w:pStyle w:val="BodyText"/>
      </w:pPr>
      <w:r>
        <w:t xml:space="preserve">Traditional approaches to this problem have relied on either pre-built dashboards with limited flexibility or requiring users to learn SQL—neither solution adequately addresses the need for ad-hoc exploratory analysis in urban energy research.</w:t>
      </w:r>
    </w:p>
    <w:p>
      <w:pPr>
        <w:pStyle w:val="BodyText"/>
      </w:pPr>
      <w:r>
        <w:t xml:space="preserve">A fundamental insight underlying this work is that any truly intelligent built environment requires not only sensors and data collection infrastructure, but crucially an</w:t>
      </w:r>
      <w:r>
        <w:t xml:space="preserve"> </w:t>
      </w:r>
      <w:r>
        <w:rPr>
          <w:bCs/>
          <w:b/>
        </w:rPr>
        <w:t xml:space="preserve">information model generator that maintains structured representations of spatial objects</w:t>
      </w:r>
      <w:r>
        <w:t xml:space="preserve">. Buildings, infrastructure elements, census regions, and environmental features must exist as first-class objects with well-defined properties, relationships, and computational methods. Without such an information model generator holding the place of objects—their geometries, attributes, dependencies, and calculation strategies—intelligent environments lack the semantic foundation necessary for sophisticated reasoning and analysis. This thesis demonstrates that combining CIM Wizard’s object-oriented calculator architecture (providing the information model generator) with CIM Assist’s natural language interface (enabling accessible interaction) creates an integrated intelligent environment where complex spatial-temporal queries become accessible to domain experts without sacrificing analytical rigor.</w:t>
      </w:r>
    </w:p>
    <w:bookmarkEnd w:id="20"/>
    <w:bookmarkStart w:id="21" w:name="research-problem"/>
    <w:p>
      <w:pPr>
        <w:pStyle w:val="Heading2"/>
      </w:pPr>
      <w:r>
        <w:t xml:space="preserve">Research Problem</w:t>
      </w:r>
    </w:p>
    <w:p>
      <w:pPr>
        <w:pStyle w:val="FirstParagraph"/>
      </w:pPr>
      <w:r>
        <w:t xml:space="preserve">This thesis addresses the challenge of building a flexible platform to create standard information models of buildings from sparse data and a production-ready natural language interface for spatial SQL generation, specifically targeting the City Information Modeling (CIM) domain. The problem encompasses three interrelated challenges that span platform architecture, data generation, and model optimization.</w:t>
      </w:r>
    </w:p>
    <w:p>
      <w:pPr>
        <w:pStyle w:val="BodyText"/>
      </w:pPr>
      <w:r>
        <w:t xml:space="preserve">The</w:t>
      </w:r>
      <w:r>
        <w:t xml:space="preserve"> </w:t>
      </w:r>
      <w:r>
        <w:rPr>
          <w:bCs/>
          <w:b/>
        </w:rPr>
        <w:t xml:space="preserve">platform challenge</w:t>
      </w:r>
      <w:r>
        <w:t xml:space="preserve"> </w:t>
      </w:r>
      <w:r>
        <w:t xml:space="preserve">arises from the need for an extensible object-oriented framework enabling researchers to define custom building property calculators without modifying core infrastructure. Existing solutions either lack flexibility through fixed dashboard interfaces or demand extensive programming knowledge for custom script development, creating a significant accessibility barrier for domain experts in urban energy research.</w:t>
      </w:r>
    </w:p>
    <w:p>
      <w:pPr>
        <w:pStyle w:val="BodyText"/>
      </w:pPr>
      <w:r>
        <w:t xml:space="preserve">The</w:t>
      </w:r>
      <w:r>
        <w:t xml:space="preserve"> </w:t>
      </w:r>
      <w:r>
        <w:rPr>
          <w:bCs/>
          <w:b/>
        </w:rPr>
        <w:t xml:space="preserve">data challenge</w:t>
      </w:r>
      <w:r>
        <w:t xml:space="preserve"> </w:t>
      </w:r>
      <w:r>
        <w:t xml:space="preserve">stems from the requirement for large-scale, high-quality datasets combining natural language questions with correct PostGIS spatial queries. Manual annotation proves prohibitively expensive at $0.50-1.00 per sample, while existing Text-to-SQL benchmarks like Spider and BIRD focus predominantly on standard relational SQL with minimal coverage of spatial database operations essential for urban analytics.</w:t>
      </w:r>
    </w:p>
    <w:p>
      <w:pPr>
        <w:pStyle w:val="BodyText"/>
      </w:pPr>
      <w:r>
        <w:t xml:space="preserve">The</w:t>
      </w:r>
      <w:r>
        <w:t xml:space="preserve"> </w:t>
      </w:r>
      <w:r>
        <w:rPr>
          <w:bCs/>
          <w:b/>
        </w:rPr>
        <w:t xml:space="preserve">model challenge</w:t>
      </w:r>
      <w:r>
        <w:t xml:space="preserve"> </w:t>
      </w:r>
      <w:r>
        <w:t xml:space="preserve">involves achieving production-ready accuracy for domain-specific spatial SQL generation, where general-purpose language models demonstrate insufficient performance (35-65% accuracy baseline). The architectural decision between multi-agent RAG systems leveraging frontier models (1T+ parameters) with external knowledge retrieval versus fine-tuning local models (7-32B parameters) to internalize domain-specific knowledge presents critical trade-offs across multiple dimensions including data privacy, initial and ongoing costs, environmental impact (CO</w:t>
      </w:r>
      <w:r>
        <w:rPr>
          <w:vertAlign w:val="subscript"/>
        </w:rPr>
        <w:t xml:space="preserve">2</w:t>
      </w:r>
      <w:r>
        <w:t xml:space="preserve"> </w:t>
      </w:r>
      <w:r>
        <w:t xml:space="preserve">footprint), and sustained performance quality.</w:t>
      </w:r>
    </w:p>
    <w:bookmarkEnd w:id="21"/>
    <w:bookmarkStart w:id="27" w:name="proposed-solution"/>
    <w:p>
      <w:pPr>
        <w:pStyle w:val="Heading2"/>
      </w:pPr>
      <w:r>
        <w:t xml:space="preserve">Proposed Solution</w:t>
      </w:r>
    </w:p>
    <w:p>
      <w:pPr>
        <w:pStyle w:val="FirstParagraph"/>
      </w:pPr>
      <w:r>
        <w:t xml:space="preserve">This thesis presents an integrated framework comprising two complementary systems:</w:t>
      </w:r>
    </w:p>
    <w:bookmarkStart w:id="22" w:name="cim-wizard-object-oriented-platform"/>
    <w:p>
      <w:pPr>
        <w:pStyle w:val="Heading3"/>
      </w:pPr>
      <w:r>
        <w:t xml:space="preserve">CIM Wizard: Object-Oriented Platform</w:t>
      </w:r>
    </w:p>
    <w:p>
      <w:pPr>
        <w:pStyle w:val="FirstParagraph"/>
      </w:pPr>
      <w:r>
        <w:t xml:space="preserve">CIM Wizard Integrated provides an extensible FastAPI framework addressing the platform challenge through a calculator-based architecture comprising 17 modular calculators for building properties including height, area, energetic characteristics, and census information, with each calculator supporting multiple calculation methods per feature. The framework enables seamless multi-schema integration providing unified access to vector geometries, census demographics, and raster elevation models through PostGIS spatial database operations. Automatic orchestration handles dependency resolution, fallback strategies, and flexible pipeline execution modes, while the modular design ensures research extensibility allowing energy researchers to add new calculators and methods without modifying core infrastructure code.</w:t>
      </w:r>
    </w:p>
    <w:bookmarkEnd w:id="22"/>
    <w:bookmarkStart w:id="26" w:name="cim-assist-llm-powered-interface"/>
    <w:p>
      <w:pPr>
        <w:pStyle w:val="Heading3"/>
      </w:pPr>
      <w:r>
        <w:t xml:space="preserve">CIM Assist: LLM-Powered Interface</w:t>
      </w:r>
    </w:p>
    <w:p>
      <w:pPr>
        <w:pStyle w:val="FirstParagraph"/>
      </w:pPr>
      <w:r>
        <w:t xml:space="preserve">CIM Assist addresses the interaction complexity through a three-steps approach:</w:t>
      </w:r>
    </w:p>
    <w:bookmarkStart w:id="23" w:name="step-1-dataset-generation"/>
    <w:p>
      <w:pPr>
        <w:pStyle w:val="Heading5"/>
      </w:pPr>
      <w:r>
        <w:t xml:space="preserve">Step 1: Dataset Generation</w:t>
      </w:r>
    </w:p>
    <w:p>
      <w:pPr>
        <w:pStyle w:val="FirstParagraph"/>
      </w:pPr>
      <w:r>
        <w:t xml:space="preserve">A novel two-stage pipeline generates high-quality training data cost-effectively. Stage 1 employs rule-based templates with 52 handcrafted patterns covering 11 SQL operation types through systematic parameter variation, producing 10,800 samples at 98-100% NoErr rate with zero computational cost. Stage 2 applies multi-strategy LLM augmentation where GPT-4o-mini generates diverse natural language questions through five complementary strategies (question paraphrase, SQL-to-question, question-to-SQL, SQL rewrite, and parameter variation), producing 88,480 curated training samples at $20 total cost while maintaining high executability through validation-first methodology achieving 71.5% retention rate.</w:t>
      </w:r>
    </w:p>
    <w:bookmarkEnd w:id="23"/>
    <w:bookmarkStart w:id="24" w:name="step-2-fine-tuning"/>
    <w:p>
      <w:pPr>
        <w:pStyle w:val="Heading5"/>
      </w:pPr>
      <w:r>
        <w:t xml:space="preserve">Step 2: Fine-Tuning</w:t>
      </w:r>
    </w:p>
    <w:p>
      <w:pPr>
        <w:pStyle w:val="FirstParagraph"/>
      </w:pPr>
      <w:r>
        <w:t xml:space="preserve">Direct Q2SQL fine-tuning using parameter-efficient QLoRA enables domain adaptation on consumer hardware. The primary approach employs single-stage Question</w:t>
      </w:r>
      <w:r>
        <w:t xml:space="preserve"> </w:t>
      </w:r>
      <m:oMath>
        <m:r>
          <m:rPr>
            <m:sty m:val="p"/>
          </m:rPr>
          <m:t>→</m:t>
        </m:r>
      </m:oMath>
      <w:r>
        <w:t xml:space="preserve"> </w:t>
      </w:r>
      <w:r>
        <w:t xml:space="preserve">SQL architecture providing optimal balance between accuracy, simplicity, and inference speed. SQLCoder 7B was selected as the base model due to its SQL-specific pre-training on BIRD benchmark, achieving superior performance-to-cost ratio compared to larger general-purpose models. QLoRA quantization enables 7-14B parameter model training on single 24GB GPUs through 4-bit quantization with low-rank adaptation, requiring 8-12 hours training time for 7B models. An alternative two-stage architecture (Question</w:t>
      </w:r>
      <w:r>
        <w:t xml:space="preserve"> </w:t>
      </w:r>
      <m:oMath>
        <m:r>
          <m:rPr>
            <m:sty m:val="p"/>
          </m:rPr>
          <m:t>→</m:t>
        </m:r>
      </m:oMath>
      <w:r>
        <w:t xml:space="preserve"> </w:t>
      </w:r>
      <w:r>
        <w:t xml:space="preserve">Instruction</w:t>
      </w:r>
      <w:r>
        <w:t xml:space="preserve"> </w:t>
      </w:r>
      <m:oMath>
        <m:r>
          <m:rPr>
            <m:sty m:val="p"/>
          </m:rPr>
          <m:t>→</m:t>
        </m:r>
      </m:oMath>
      <w:r>
        <w:t xml:space="preserve"> </w:t>
      </w:r>
      <w:r>
        <w:t xml:space="preserve">SQL) was systematically evaluated but showed only marginal accuracy improvement (+3-5%) with 2-3x latency increase, making direct Q2SQL the pragmatic choice for production deployment.</w:t>
      </w:r>
    </w:p>
    <w:bookmarkEnd w:id="24"/>
    <w:bookmarkStart w:id="25" w:name="step-3-agent-integration-for-evaluation"/>
    <w:p>
      <w:pPr>
        <w:pStyle w:val="Heading5"/>
      </w:pPr>
      <w:r>
        <w:t xml:space="preserve">Step 3: Agent Integration for Evaluation</w:t>
      </w:r>
    </w:p>
    <w:p>
      <w:pPr>
        <w:pStyle w:val="FirstParagraph"/>
      </w:pPr>
      <w:r>
        <w:t xml:space="preserve">LangGraph-based agent orchestration enables comprehensive evaluation through tool-augmented iterative refinement. The agent framework integrates database introspection tools for schema exploration and table inspection, query validation tools for syntax checking before execution, execution feedback mechanisms enabling self-correction through error message analysis, and iterative refinement allowing up to 5 correction attempts with automatic geometry column detection. This agent mode evaluation reveals that fine-tuned models achieve minimal self-correction improvement (0-7 percentage points), indicating high first-shot quality where iterative refinement provides diminishing returns, validating the effectiveness of direct Q2SQL fine-tuning for production deployment.</w:t>
      </w:r>
    </w:p>
    <w:bookmarkEnd w:id="25"/>
    <w:bookmarkEnd w:id="26"/>
    <w:bookmarkEnd w:id="27"/>
    <w:bookmarkStart w:id="28" w:name="main-contributions"/>
    <w:p>
      <w:pPr>
        <w:pStyle w:val="Heading2"/>
      </w:pPr>
      <w:r>
        <w:t xml:space="preserve">Main Contributions</w:t>
      </w:r>
    </w:p>
    <w:p>
      <w:pPr>
        <w:pStyle w:val="FirstParagraph"/>
      </w:pPr>
      <w:r>
        <w:t xml:space="preserve">This work makes the following contributions to the fields of urban energy informatics and natural language interfaces for databases:</w:t>
      </w:r>
    </w:p>
    <w:p>
      <w:pPr>
        <w:numPr>
          <w:ilvl w:val="0"/>
          <w:numId w:val="1001"/>
        </w:numPr>
      </w:pPr>
      <w:r>
        <w:rPr>
          <w:bCs/>
          <w:b/>
        </w:rPr>
        <w:t xml:space="preserve">Integrated CIM Platform</w:t>
      </w:r>
      <w:r>
        <w:t xml:space="preserve">: Object-oriented calculator-based architecture enabling extensible urban energy modeling with multi-schema PostGIS integration (vector, census, raster), allowing researchers to extend functionality without core infrastructure modifications.</w:t>
      </w:r>
    </w:p>
    <w:p>
      <w:pPr>
        <w:numPr>
          <w:ilvl w:val="0"/>
          <w:numId w:val="1001"/>
        </w:numPr>
      </w:pPr>
      <w:r>
        <w:rPr>
          <w:bCs/>
          <w:b/>
        </w:rPr>
        <w:t xml:space="preserve">Cost-Effective Dataset Generation</w:t>
      </w:r>
      <w:r>
        <w:t xml:space="preserve">: Two-stage pipeline (templates</w:t>
      </w:r>
      <w:r>
        <w:t xml:space="preserve"> </w:t>
      </w:r>
      <m:oMath>
        <m:r>
          <m:rPr>
            <m:sty m:val="p"/>
          </m:rPr>
          <m:t>→</m:t>
        </m:r>
      </m:oMath>
      <w:r>
        <w:t xml:space="preserve"> </w:t>
      </w:r>
      <w:r>
        <w:t xml:space="preserve">multi-strategy LLM augmentation) producing 88,480 training samples at $20 total cost with 98-100% Stage 1 NoErr rate, demonstrating 4,400x cost reduction versus human annotation.</w:t>
      </w:r>
    </w:p>
    <w:p>
      <w:pPr>
        <w:numPr>
          <w:ilvl w:val="0"/>
          <w:numId w:val="1001"/>
        </w:numPr>
      </w:pPr>
      <w:r>
        <w:rPr>
          <w:bCs/>
          <w:b/>
        </w:rPr>
        <w:t xml:space="preserve">Validation-First Methodology</w:t>
      </w:r>
      <w:r>
        <w:t xml:space="preserve">: Stage-wise quality validation achieving 71.5% curation retention (14-18x improvement over sequential validation approaches) through inherited SQL correctness, preventing error propagation across pipeline stages.</w:t>
      </w:r>
    </w:p>
    <w:p>
      <w:pPr>
        <w:numPr>
          <w:ilvl w:val="0"/>
          <w:numId w:val="1001"/>
        </w:numPr>
      </w:pPr>
      <w:r>
        <w:rPr>
          <w:bCs/>
          <w:b/>
        </w:rPr>
        <w:t xml:space="preserve">Production-Ready Fine-Tuned Models</w:t>
      </w:r>
      <w:r>
        <w:t xml:space="preserve">: SQLCoder 7B achieving 75.7% execution accuracy (exceeding 70% production threshold), outperforming frontier API models by 15-21 percentage points through domain-specific fine-tuning with QLoRA on single 24GB GPU.</w:t>
      </w:r>
    </w:p>
    <w:p>
      <w:pPr>
        <w:numPr>
          <w:ilvl w:val="0"/>
          <w:numId w:val="1001"/>
        </w:numPr>
      </w:pPr>
      <w:r>
        <w:rPr>
          <w:bCs/>
          <w:b/>
        </w:rPr>
        <w:t xml:space="preserve">Comprehensive Evaluation Framework</w:t>
      </w:r>
      <w:r>
        <w:t xml:space="preserve">: Seven complementary metrics (NoErr, EM, Deep EM, EX, SC, EA, plus robustness metrics OOS/AD/ST) with taxonomy-based analysis enabling systematic assessment across query complexity, spatial operations, and schema patterns.</w:t>
      </w:r>
    </w:p>
    <w:p>
      <w:pPr>
        <w:numPr>
          <w:ilvl w:val="0"/>
          <w:numId w:val="1001"/>
        </w:numPr>
      </w:pPr>
      <w:r>
        <w:rPr>
          <w:bCs/>
          <w:b/>
        </w:rPr>
        <w:t xml:space="preserve">Open-Source Implementation</w:t>
      </w:r>
      <w:r>
        <w:t xml:space="preserve">: Complete framework including CIM Wizard platform (13,522 LOC), AI4DB dataset generation pipeline, fine-tuning scripts, agent integration, and HuggingFace dataset (taherdoust/ai4cimdb) enabling reproducible research and community extension.</w:t>
      </w:r>
    </w:p>
    <w:bookmarkEnd w:id="28"/>
    <w:bookmarkStart w:id="29" w:name="methodology-overview"/>
    <w:p>
      <w:pPr>
        <w:pStyle w:val="Heading2"/>
      </w:pPr>
      <w:r>
        <w:t xml:space="preserve">Methodology Overview</w:t>
      </w:r>
    </w:p>
    <w:p>
      <w:pPr>
        <w:pStyle w:val="FirstParagraph"/>
      </w:pPr>
      <w:r>
        <w:t xml:space="preserve">The research methodology follows a systematic pipeline progressing from platform development through evaluation and comparative analysis. Initial platform development designs and implements CIM Wizard Integrated with calculator-based architecture, providing the foundational spatial database infrastructure. Dataset generation executes a two-stage pipeline with validation-first quality control at each stage, ensuring high-quality training data. Fine-tuning trains specialized models using QLoRA parameter-efficient adaptation on the curated dataset, enabling 7-14B parameter model training on single consumer GPUs. Agent integration deploys fine-tuned models through LangGraph-based orchestration with database introspection tools, enabling systematic evaluation through both standard first-shot and iterative self-correction modes. Systematic evaluation creates taxonomy-based benchmarks and applies seven complementary metrics (NoErr, EM, Deep EM, EX, SC, EA, OOS/AD/ST) to assess model performance across complexity dimensions. Comparative analysis evaluates fine-tuned models against baseline open-source models and frontier API services, validating architecture choices through empirical performance measurements. The methodology emphasizes reproducibility through open-source implementation, cost-effectiveness through academic infrastructure utilization, and production readiness through comprehensive quality validation.</w:t>
      </w:r>
    </w:p>
    <w:bookmarkEnd w:id="29"/>
    <w:bookmarkStart w:id="30" w:name="key-results"/>
    <w:p>
      <w:pPr>
        <w:pStyle w:val="Heading2"/>
      </w:pPr>
      <w:r>
        <w:t xml:space="preserve">Key Results</w:t>
      </w:r>
    </w:p>
    <w:p>
      <w:pPr>
        <w:pStyle w:val="FirstParagraph"/>
      </w:pPr>
      <w:r>
        <w:t xml:space="preserve">The implemented framework demonstrates production-ready performance across all evaluation dimensions. Dataset generation achieves 98-100% Stage 1 NoErr rate through rule-based templates and 71.5% curation retention through validation-first methodology, producing 88,480 training samples at $20 total cost representing 4,400x cost reduction versus human annotation. Training efficiency improvements enable SQLCoder 7B fine-tuning in 8-12 hours on single 24GB GPU through QLoRA parameter-efficient adaptation, with 14B models requiring 20-30 hours, demonstrating accessibility of large model fine-tuning on consumer hardware. Model performance results show SQLCoder 7B achieving 75.7% execution accuracy (EX), 91.7% Deep EM structural correctness, and 86.1% semantic correctness (SC), exceeding the 70% production readiness threshold. Domain-specific fine-tuning provides substantial improvement over baselines, with the fine-tuned SQLCoder outperforming GPT-4o-mini by 15 percentage points and Claude 3.5 by 21 percentage points despite smaller model size. Agent-based self-correction reveals minimal improvement (0-7 percentage points EA over EX), indicating high first-shot quality where iterative refinement provides diminishing returns. The complete framework required 655 hours expert time and 579 hours computation (343 GPU-hours training), with total monetary cost of $20 for dataset generation plus $0 for training using academic GPU infrastructure, demonstrating feasibility of cost-effective production-ready spatial SQL interfaces.</w:t>
      </w:r>
    </w:p>
    <w:bookmarkEnd w:id="30"/>
    <w:bookmarkStart w:id="31" w:name="thesis-organization"/>
    <w:p>
      <w:pPr>
        <w:pStyle w:val="Heading2"/>
      </w:pPr>
      <w:r>
        <w:t xml:space="preserve">Thesis Organization</w:t>
      </w:r>
    </w:p>
    <w:p>
      <w:pPr>
        <w:pStyle w:val="FirstParagraph"/>
      </w:pPr>
      <w:r>
        <w:t xml:space="preserve">The remainder of this thesis proceeds through four complementary chapters. Chapter </w:t>
      </w:r>
      <w:hyperlink w:anchor="ch:sota">
        <w:r>
          <w:rPr>
            <w:rStyle w:val="Hyperlink"/>
          </w:rPr>
          <w:t xml:space="preserve">2</w:t>
        </w:r>
      </w:hyperlink>
      <w:r>
        <w:t xml:space="preserve"> </w:t>
      </w:r>
      <w:r>
        <w:t xml:space="preserve">reviews the state of the art in urban informatics platforms, Text-to-SQL research, and spatial database interfaces, identifying the research gaps this work addresses. Chapter </w:t>
      </w:r>
      <w:hyperlink w:anchor="ch:background">
        <w:r>
          <w:rPr>
            <w:rStyle w:val="Hyperlink"/>
          </w:rPr>
          <w:t xml:space="preserve">3</w:t>
        </w:r>
      </w:hyperlink>
      <w:r>
        <w:t xml:space="preserve"> </w:t>
      </w:r>
      <w:r>
        <w:t xml:space="preserve">presents foundational technologies including PostGIS spatial databases, large language models, parameter-efficient fine-tuning techniques (QLoRA), and AI agent frameworks (LangGraph), providing the technical background necessary to understand the implementation. Chapter </w:t>
      </w:r>
      <w:hyperlink w:anchor="ch:methodology">
        <w:r>
          <w:rPr>
            <w:rStyle w:val="Hyperlink"/>
          </w:rPr>
          <w:t xml:space="preserve">[ch:methodology]</w:t>
        </w:r>
      </w:hyperlink>
      <w:r>
        <w:t xml:space="preserve"> </w:t>
      </w:r>
      <w:r>
        <w:t xml:space="preserve">describes the complete methodology including CIM Wizard calculator-based architecture, two-stage dataset generation pipeline with validation-first quality control, direct Q2SQL fine-tuning approach with alternative two-stage evaluation, agent integration for iterative evaluation, and comprehensive seven-metric evaluation framework with taxonomy-based analysis. Chapter </w:t>
      </w:r>
      <w:hyperlink w:anchor="ch:results">
        <w:r>
          <w:rPr>
            <w:rStyle w:val="Hyperlink"/>
          </w:rPr>
          <w:t xml:space="preserve">[ch:results]</w:t>
        </w:r>
      </w:hyperlink>
      <w:r>
        <w:t xml:space="preserve"> </w:t>
      </w:r>
      <w:r>
        <w:t xml:space="preserve">presents experimental validation across all methodology phases including dataset generation quality (NoErr rates, curation retention), fine-tuning efficiency (training times, convergence analysis), model performance evaluation (EX, Deep EM, SC, EA metrics with taxonomy breakdowns), comparative analysis against baseline and frontier models, and resource analysis (development effort, computational costs, environmental impact). Chapter </w:t>
      </w:r>
      <w:hyperlink w:anchor="ch:conclusion">
        <w:r>
          <w:rPr>
            <w:rStyle w:val="Hyperlink"/>
          </w:rPr>
          <w:t xml:space="preserve">[ch:conclusion]</w:t>
        </w:r>
      </w:hyperlink>
      <w:r>
        <w:t xml:space="preserve"> </w:t>
      </w:r>
      <w:r>
        <w:t xml:space="preserve">synthesizes contributions, key findings, and technical insights while proposing future research directions including multi-database evaluation, parallel Stage 3 generation, and cross-domain applications.</w:t>
      </w:r>
    </w:p>
    <w:p>
      <w:pPr>
        <w:pStyle w:val="BodyText"/>
      </w:pPr>
      <w:r>
        <w:t xml:space="preserve">This structure enables readers with different backgrounds to navigate effectively: domain experts in urban energy modeling may focus on Chapters </w:t>
      </w:r>
      <w:hyperlink w:anchor="ch:sota">
        <w:r>
          <w:rPr>
            <w:rStyle w:val="Hyperlink"/>
          </w:rPr>
          <w:t xml:space="preserve">2</w:t>
        </w:r>
      </w:hyperlink>
      <w:r>
        <w:t xml:space="preserve">,</w:t>
      </w:r>
      <w:r>
        <w:t xml:space="preserve"> </w:t>
      </w:r>
      <w:hyperlink w:anchor="ch:methodology">
        <w:r>
          <w:rPr>
            <w:rStyle w:val="Hyperlink"/>
          </w:rPr>
          <w:t xml:space="preserve">[ch:methodology]</w:t>
        </w:r>
      </w:hyperlink>
      <w:r>
        <w:t xml:space="preserve">, and </w:t>
      </w:r>
      <w:hyperlink w:anchor="ch:results">
        <w:r>
          <w:rPr>
            <w:rStyle w:val="Hyperlink"/>
          </w:rPr>
          <w:t xml:space="preserve">[ch:results]</w:t>
        </w:r>
      </w:hyperlink>
      <w:r>
        <w:t xml:space="preserve"> </w:t>
      </w:r>
      <w:r>
        <w:t xml:space="preserve">for platform capabilities and performance validation, while technical readers interested in NLP and LLM engineering may emphasize Chapters </w:t>
      </w:r>
      <w:hyperlink w:anchor="ch:background">
        <w:r>
          <w:rPr>
            <w:rStyle w:val="Hyperlink"/>
          </w:rPr>
          <w:t xml:space="preserve">3</w:t>
        </w:r>
      </w:hyperlink>
      <w:r>
        <w:t xml:space="preserve">,</w:t>
      </w:r>
      <w:r>
        <w:t xml:space="preserve"> </w:t>
      </w:r>
      <w:hyperlink w:anchor="ch:methodology">
        <w:r>
          <w:rPr>
            <w:rStyle w:val="Hyperlink"/>
          </w:rPr>
          <w:t xml:space="preserve">[ch:methodology]</w:t>
        </w:r>
      </w:hyperlink>
      <w:r>
        <w:t xml:space="preserve">, and </w:t>
      </w:r>
      <w:hyperlink w:anchor="ch:results">
        <w:r>
          <w:rPr>
            <w:rStyle w:val="Hyperlink"/>
          </w:rPr>
          <w:t xml:space="preserve">[ch:results]</w:t>
        </w:r>
      </w:hyperlink>
      <w:r>
        <w:t xml:space="preserve"> </w:t>
      </w:r>
      <w:r>
        <w:t xml:space="preserve">for implementation details and systematic evaluation methodology.</w:t>
      </w:r>
    </w:p>
    <w:bookmarkEnd w:id="31"/>
    <w:bookmarkEnd w:id="32"/>
    <w:bookmarkStart w:id="80" w:name="ch:sota"/>
    <w:p>
      <w:pPr>
        <w:pStyle w:val="Heading1"/>
      </w:pPr>
      <w:r>
        <w:t xml:space="preserve">State of the Art</w:t>
      </w:r>
    </w:p>
    <w:p>
      <w:pPr>
        <w:pStyle w:val="FirstParagraph"/>
      </w:pPr>
      <w:r>
        <w:t xml:space="preserve">This chapter reviews existing research in urban informatics platforms, Text-to-SQL and, spatial database interfaces, positioning our work within the broader research landscape and identifying the gaps this thesis addresses.</w:t>
      </w:r>
    </w:p>
    <w:bookmarkStart w:id="41" w:name="X4ad9c8d588d95a8ac6fd98e44c8296c7e5858f7"/>
    <w:p>
      <w:pPr>
        <w:pStyle w:val="Heading2"/>
      </w:pPr>
      <w:r>
        <w:t xml:space="preserve">Urban Energy Modeling and City Information Models</w:t>
      </w:r>
    </w:p>
    <w:bookmarkStart w:id="36" w:name="urban-energy-modeling-landscape"/>
    <w:p>
      <w:pPr>
        <w:pStyle w:val="Heading3"/>
      </w:pPr>
      <w:r>
        <w:t xml:space="preserve">Urban Energy Modeling Landscape</w:t>
      </w:r>
    </w:p>
    <w:p>
      <w:pPr>
        <w:pStyle w:val="FirstParagraph"/>
      </w:pPr>
      <w:r>
        <w:t xml:space="preserve">The shift toward low-carbon and resilient cities increasingly depends on the ability to model and optimize interactions among buildings, infrastructures, and energy networks. In this context, Urban Energy Modelling (UEM) and its related fields—Urban Building Energy Modelling (UBEM) and Urban Energy System Modelling (UESM)—have become key instruments for planning sustainable interventions, improving energy efficiency, and supporting climate mitigation strategies </w:t>
      </w:r>
      <w:r>
        <w:t xml:space="preserve">. UEM plays a strategic role in policy design </w:t>
      </w:r>
      <w:r>
        <w:t xml:space="preserve"> </w:t>
      </w:r>
      <w:r>
        <w:t xml:space="preserve">while demonstrating relevance for evaluating large-scale retrofit scenarios and urban-scale energy planning.</w:t>
      </w:r>
    </w:p>
    <w:p>
      <w:pPr>
        <w:pStyle w:val="BodyText"/>
      </w:pPr>
      <w:r>
        <w:t xml:space="preserve">UEM frameworks are broadly classified into top-down and bottom-up approaches </w:t>
      </w:r>
      <w:r>
        <w:t xml:space="preserve">. Top-down methods use aggregated socio-economic or sectoral data to estimate urban energy demand, typically lacking spatial detail at the building scale </w:t>
      </w:r>
      <w:r>
        <w:t xml:space="preserve">. Conversely, bottom-up approaches model energy use from the ground up, using detailed physical, geometric, and operational data at the individual building level. These methods are increasingly preferred for their ability to produce high-resolution, scenario-specific analyses </w:t>
      </w:r>
      <w:r>
        <w:t xml:space="preserve">. However, their effectiveness is often constrained by inconsistent data quality and fragmented sources </w:t>
      </w:r>
      <w:r>
        <w:t xml:space="preserve"> </w:t>
      </w:r>
      <w:r>
        <w:t xml:space="preserve">as well as the lack of common standards </w:t>
      </w:r>
      <w:r>
        <w:t xml:space="preserve">.</w:t>
      </w:r>
    </w:p>
    <w:p>
      <w:pPr>
        <w:pStyle w:val="BodyText"/>
      </w:pPr>
      <w:r>
        <w:t xml:space="preserve">When approaching a real-world Urban Energy System (UES), all needed information must be gathered and processed into a structured City Information Model (CIM) as illustrated in Figure </w:t>
      </w:r>
      <w:hyperlink w:anchor="fig:uem_workflow">
        <w:r>
          <w:rPr>
            <w:rStyle w:val="Hyperlink"/>
          </w:rPr>
          <w:t xml:space="preserve">2.1</w:t>
        </w:r>
      </w:hyperlink>
      <w:r>
        <w:t xml:space="preserve">. The CIM or whatever data structure is used serves as the starting point for instantiating and performing simulations. While most UEM frameworks cover all steps, this thesis focuses particularly on the data processing, enrichment, and query interaction phases.</w:t>
      </w:r>
    </w:p>
    <w:p>
      <w:pPr>
        <w:pStyle w:val="CaptionedFigure"/>
      </w:pPr>
      <w:r>
        <w:drawing>
          <wp:inline>
            <wp:extent cx="3200400" cy="1518737"/>
            <wp:effectExtent b="0" l="0" r="0" t="0"/>
            <wp:docPr descr="" title="" id="34" name="Picture"/>
            <a:graphic>
              <a:graphicData uri="http://schemas.openxmlformats.org/drawingml/2006/picture">
                <pic:pic>
                  <pic:nvPicPr>
                    <pic:cNvPr descr="intro_workflow.png" id="35" name="Picture"/>
                    <pic:cNvPicPr>
                      <a:picLocks noChangeArrowheads="1" noChangeAspect="1"/>
                    </pic:cNvPicPr>
                  </pic:nvPicPr>
                  <pic:blipFill>
                    <a:blip r:embed="rId33"/>
                    <a:stretch>
                      <a:fillRect/>
                    </a:stretch>
                  </pic:blipFill>
                  <pic:spPr bwMode="auto">
                    <a:xfrm>
                      <a:off x="0" y="0"/>
                      <a:ext cx="3200400" cy="1518737"/>
                    </a:xfrm>
                    <a:prstGeom prst="rect">
                      <a:avLst/>
                    </a:prstGeom>
                    <a:noFill/>
                    <a:ln w="9525">
                      <a:noFill/>
                      <a:headEnd/>
                      <a:tailEnd/>
                    </a:ln>
                  </pic:spPr>
                </pic:pic>
              </a:graphicData>
            </a:graphic>
          </wp:inline>
        </w:drawing>
      </w:r>
    </w:p>
    <w:p>
      <w:pPr>
        <w:pStyle w:val="ImageCaption"/>
      </w:pPr>
      <w:r>
        <w:t xml:space="preserve">Conceptual steps of Urban Energy System Modeling (UESM) showing the flow from raw data through City Information Model generation to simulation and analysis.</w:t>
      </w:r>
    </w:p>
    <w:bookmarkEnd w:id="36"/>
    <w:bookmarkStart w:id="37" w:name="existing-urban-energy-modeling-platforms"/>
    <w:p>
      <w:pPr>
        <w:pStyle w:val="Heading3"/>
      </w:pPr>
      <w:r>
        <w:t xml:space="preserve">Existing Urban Energy Modeling Platforms</w:t>
      </w:r>
    </w:p>
    <w:p>
      <w:pPr>
        <w:pStyle w:val="FirstParagraph"/>
      </w:pPr>
      <w:r>
        <w:t xml:space="preserve">Several modeling platforms have significantly advanced the field; however, notable limitations remain. Frameworks such as CityBES </w:t>
      </w:r>
      <w:r>
        <w:t xml:space="preserve">, UBEM.io </w:t>
      </w:r>
      <w:r>
        <w:t xml:space="preserve">, City Energy Analyst (CEA) </w:t>
      </w:r>
      <w:r>
        <w:t xml:space="preserve">, Simstadt </w:t>
      </w:r>
      <w:r>
        <w:t xml:space="preserve">, and UrbanOpt </w:t>
      </w:r>
      <w:r>
        <w:t xml:space="preserve"> </w:t>
      </w:r>
      <w:r>
        <w:t xml:space="preserve">are designed as all-in-one platforms or tightly integrated toolsets that guide users through the entire process of urban energy scenario analyses. These frameworks differ in their focus and intended applications, making their use highly context-specific. As a result, they often employ custom data models that are closely tied to specific simulation engines. This tight coupling restricts interoperability and hampers the reuse of data across different platforms.</w:t>
      </w:r>
    </w:p>
    <w:p>
      <w:pPr>
        <w:pStyle w:val="BodyText"/>
      </w:pPr>
      <w:r>
        <w:t xml:space="preserve">Allegrini et al. </w:t>
      </w:r>
      <w:r>
        <w:t xml:space="preserve"> </w:t>
      </w:r>
      <w:r>
        <w:t xml:space="preserve">provide a comprehensive review of modeling approaches and tools for district-scale energy systems, highlighting challenges in data availability and model integration. Recent work on data enrichment </w:t>
      </w:r>
      <w:r>
        <w:t xml:space="preserve"> </w:t>
      </w:r>
      <w:r>
        <w:t xml:space="preserve">demonstrates successful urban energy modeling in Berlin through systematic data acquisition strategies, while research on data-scarce environments </w:t>
      </w:r>
      <w:r>
        <w:t xml:space="preserve"> </w:t>
      </w:r>
      <w:r>
        <w:t xml:space="preserve">proposes methods for zone-level modeling when detailed building data is unavailable.</w:t>
      </w:r>
    </w:p>
    <w:bookmarkEnd w:id="37"/>
    <w:bookmarkStart w:id="38" w:name="Xbd22da52e7d86e2d95424a63e1e8cb0c9f1c3ea"/>
    <w:p>
      <w:pPr>
        <w:pStyle w:val="Heading3"/>
      </w:pPr>
      <w:r>
        <w:t xml:space="preserve">Need for Standardized City Information Models</w:t>
      </w:r>
    </w:p>
    <w:p>
      <w:pPr>
        <w:pStyle w:val="FirstParagraph"/>
      </w:pPr>
      <w:r>
        <w:t xml:space="preserve">To overcome these limitations, it is necessary to decouple the data management and processing from the simulation phase. Complementary, it is necessary to adopt standardized and widely used CIMs or data structures to ensure interoperability and consistency within different simulation contexts with different focuses and spatio-temporal resolutions. Achieving this requires two key conditions: (i) the availability of modular, plug-and-play, and configurable frameworks, often based on co-simulation principles, capable of managing the simulation and analysis tasks </w:t>
      </w:r>
      <w:r>
        <w:t xml:space="preserve">; and (ii) the standardization of CIM outputs to ensure seamless integration with co-simulation platforms as data sources.</w:t>
      </w:r>
    </w:p>
    <w:p>
      <w:pPr>
        <w:pStyle w:val="BodyText"/>
      </w:pPr>
      <w:r>
        <w:t xml:space="preserve">A promising candidate for CIM standardization is CityGML </w:t>
      </w:r>
      <w:r>
        <w:t xml:space="preserve">, including its extensions (Application Domain Extensions, ADEs </w:t>
      </w:r>
      <w:r>
        <w:t xml:space="preserve">), its simplified form (CityJSON </w:t>
      </w:r>
      <w:r>
        <w:t xml:space="preserve">), and associated database structures (3DcityDB </w:t>
      </w:r>
      <w:r>
        <w:t xml:space="preserve">). While some existing or updated frameworks can use CityGML models as inputs for simulation, few currently support the generation of standardized CityGML outputs covering the complete data processing workflow. Standardized CIMs are also essential for advancing research on urban digital twins </w:t>
      </w:r>
      <w:r>
        <w:t xml:space="preserve">. A critical barrier remains the absence of standardized, interoperable database architectures </w:t>
      </w:r>
      <w:r>
        <w:t xml:space="preserve">.</w:t>
      </w:r>
    </w:p>
    <w:bookmarkEnd w:id="38"/>
    <w:bookmarkStart w:id="39" w:name="research-gaps-and-requirements"/>
    <w:p>
      <w:pPr>
        <w:pStyle w:val="Heading3"/>
      </w:pPr>
      <w:r>
        <w:t xml:space="preserve">Research Gaps and Requirements</w:t>
      </w:r>
    </w:p>
    <w:p>
      <w:pPr>
        <w:pStyle w:val="FirstParagraph"/>
      </w:pPr>
      <w:r>
        <w:t xml:space="preserve">From a literature review of the state of the art, it is possible to highlight the following main challenges, needs or gaps:</w:t>
      </w:r>
    </w:p>
    <w:p>
      <w:pPr>
        <w:pStyle w:val="BodyText"/>
      </w:pPr>
      <w:r>
        <w:t xml:space="preserve">(1)</w:t>
      </w:r>
      <w:r>
        <w:t xml:space="preserve"> </w:t>
      </w:r>
      <w:r>
        <w:rPr>
          <w:bCs/>
          <w:b/>
        </w:rPr>
        <w:t xml:space="preserve">Flexibility and adaptability</w:t>
      </w:r>
      <w:r>
        <w:t xml:space="preserve">: there is a need for flexible and extensible data architectures and processing methods that support heterogeneous inputs and deal with possible data scarcity </w:t>
      </w:r>
      <w:r>
        <w:t xml:space="preserve">;</w:t>
      </w:r>
    </w:p>
    <w:p>
      <w:pPr>
        <w:pStyle w:val="BodyText"/>
      </w:pPr>
      <w:r>
        <w:t xml:space="preserve">(2)</w:t>
      </w:r>
      <w:r>
        <w:t xml:space="preserve"> </w:t>
      </w:r>
      <w:r>
        <w:rPr>
          <w:bCs/>
          <w:b/>
        </w:rPr>
        <w:t xml:space="preserve">Standardization</w:t>
      </w:r>
      <w:r>
        <w:t xml:space="preserve">: there is a need for generating standardized outputs to ensure data exchange and reusability in different applications, standardization should be central, not only for outputs generation but also in both data storing and process calculations </w:t>
      </w:r>
      <w:r>
        <w:t xml:space="preserve">;</w:t>
      </w:r>
    </w:p>
    <w:p>
      <w:pPr>
        <w:pStyle w:val="BodyText"/>
      </w:pPr>
      <w:r>
        <w:t xml:space="preserve">(3)</w:t>
      </w:r>
      <w:r>
        <w:t xml:space="preserve"> </w:t>
      </w:r>
      <w:r>
        <w:rPr>
          <w:bCs/>
          <w:b/>
        </w:rPr>
        <w:t xml:space="preserve">Application independence</w:t>
      </w:r>
      <w:r>
        <w:t xml:space="preserve">: There is a need for tools that can facilitate the creation of a configurable city information model independently to the application of the study and the chosen simulation platform or models </w:t>
      </w:r>
      <w:r>
        <w:t xml:space="preserve">. These tools should be at least customizable to embed data to adapt to the specific model parameters requirements.</w:t>
      </w:r>
    </w:p>
    <w:bookmarkEnd w:id="39"/>
    <w:bookmarkStart w:id="40" w:name="cim-wizard-framework"/>
    <w:p>
      <w:pPr>
        <w:pStyle w:val="Heading3"/>
      </w:pPr>
      <w:r>
        <w:t xml:space="preserve">CIM Wizard Framework</w:t>
      </w:r>
    </w:p>
    <w:p>
      <w:pPr>
        <w:pStyle w:val="FirstParagraph"/>
      </w:pPr>
      <w:r>
        <w:t xml:space="preserve">Building on previous work </w:t>
      </w:r>
      <w:r>
        <w:t xml:space="preserve">, the CIM Wizard framework addresses these identified gaps by presenting a novel service-based, flexible, and configurable UEM framework. CIM Wizard generates GIS-based city information models of a chosen case study area, enabling different workflows and different user interactions. It decouples data management, execution logic, and feature computation, enabling flexible orchestration of modeling steps via HTTP/REST interfaces. It supports runtime method selection based on available inputs and dependency resolution and integrates both public and private data sources—including Open Street Map (OSM), Digital Surface Models (DSMs), cadastral databases, and utility networks. The system offers native export to CityJSON enriched with Energy and Utility Application Domain Extensions (ADEs). By bridging flexibility and standard compliance, CIM Wizard represents a significant step forward in enabling robust, context-aware UEM pipelines ready to be deployed across diverse urban environments and connected digital infrastructures.</w:t>
      </w:r>
    </w:p>
    <w:bookmarkEnd w:id="40"/>
    <w:bookmarkEnd w:id="41"/>
    <w:bookmarkStart w:id="44" w:name="natural-language-interfaces-to-databases"/>
    <w:p>
      <w:pPr>
        <w:pStyle w:val="Heading2"/>
      </w:pPr>
      <w:r>
        <w:t xml:space="preserve">Natural Language Interfaces to Databases</w:t>
      </w:r>
    </w:p>
    <w:p>
      <w:pPr>
        <w:pStyle w:val="FirstParagraph"/>
      </w:pPr>
      <w:r>
        <w:t xml:space="preserve">The quest to enable non-technical users to interact with databases through natural language has driven research spanning five decades, evolving through distinct technological paradigms that reflect broader advances in artificial intelligence and natural language processing. This historical progression reveals a fundamental tension between system flexibility and domain specificity, with each generation of approaches attempting to balance the competing demands of broad applicability and reliable performance.</w:t>
      </w:r>
    </w:p>
    <w:bookmarkStart w:id="42" w:name="historical-approaches"/>
    <w:p>
      <w:pPr>
        <w:pStyle w:val="Heading3"/>
      </w:pPr>
      <w:r>
        <w:t xml:space="preserve">Historical Approaches</w:t>
      </w:r>
    </w:p>
    <w:p>
      <w:pPr>
        <w:pStyle w:val="FirstParagraph"/>
      </w:pPr>
      <w:r>
        <w:t xml:space="preserve">The earliest natural language database interfaces emerged in the 1970s and 1980s, employing rule-based systems that relied on pattern matching and grammar-based parsing techniques. These pioneering systems, while conceptually elegant, suffered from severe limitations: they operated within constrained vocabularies and could handle only simple query structures, requiring extensive domain-specific customization for each new database application. The brittleness of these rule-based approaches became apparent as they failed to generalize across domains or handle the linguistic variation inherent in natural human communication, ultimately limiting their practical deployment to highly specialized, controlled environments.</w:t>
      </w:r>
    </w:p>
    <w:p>
      <w:pPr>
        <w:pStyle w:val="BodyText"/>
      </w:pPr>
      <w:r>
        <w:t xml:space="preserve">The transition to semantic parsing approaches in the 2000s and 2010s represented a significant paradigm shift, moving from handcrafted rules to supervised learning methods that constructed logical forms from natural language inputs. These systems demonstrated improved flexibility by learning mappings from training examples, yet they faced their own fundamental constraints: they required extensive annotated training data for each new domain, and they struggled with compositional generalization—the ability to understand novel combinations of familiar concepts. While semantic parsing systems achieved notable successes in specific domains, their data requirements and limited generalization capabilities prevented widespread adoption.</w:t>
      </w:r>
    </w:p>
    <w:p>
      <w:pPr>
        <w:pStyle w:val="BodyText"/>
      </w:pPr>
      <w:r>
        <w:t xml:space="preserve">The neural sequence-to-sequence revolution that emerged around 2015 marked a transformative moment, introducing encoder-decoder architectures based on LSTM and later Transformer models that could learn end-to-end mappings from questions to SQL queries. These neural approaches demonstrated substantially improved generalization capabilities compared to their predecessors, learning statistical patterns from large training corpora rather than relying on explicit rule specification. However, their performance remained fundamentally limited by the quantity and quality of available training data. The breakthrough came with attention mechanisms and large-scale pre-training, which enabled models to capture long-range dependencies and transfer knowledge across domains, setting the stage for the current era of large language model-based interfaces.</w:t>
      </w:r>
    </w:p>
    <w:bookmarkEnd w:id="42"/>
    <w:bookmarkStart w:id="43" w:name="modern-llm-based-approaches-2020-present"/>
    <w:p>
      <w:pPr>
        <w:pStyle w:val="Heading3"/>
      </w:pPr>
      <w:r>
        <w:t xml:space="preserve">Modern LLM-Based Approaches (2020-Present)</w:t>
      </w:r>
    </w:p>
    <w:p>
      <w:pPr>
        <w:pStyle w:val="FirstParagraph"/>
      </w:pPr>
      <w:r>
        <w:t xml:space="preserve">The emergence of large language models in 2020 fundamentally transformed the landscape of natural language database interfaces, enabling entirely new paradigms that leverage the massive pre-training and few-shot learning capabilities of models trained on internet-scale text corpora. These modern approaches can be broadly categorized into three complementary strategies, each addressing different deployment constraints and performance requirements.</w:t>
      </w:r>
    </w:p>
    <w:p>
      <w:pPr>
        <w:pStyle w:val="BodyText"/>
      </w:pPr>
      <w:r>
        <w:t xml:space="preserve">Zero-shot and few-shot prompting approaches leverage the inherent capabilities of large pre-trained models to generate SQL queries without any task-specific fine-tuning, enabling rapid deployment with minimal development overhead. The primary advantage of this paradigm lies in its immediacy: systems can be deployed quickly without the substantial upfront investment required for dataset creation and model training. However, this convenience comes with significant trade-offs: performance on domain-specific queries remains inconsistent, often failing on complex spatial operations or specialized database schemas that differ from the general patterns seen during pre-training. Furthermore, the reliance on closed-source API services introduces substantial per-query costs that scale linearly with usage, making this approach economically challenging for high-volume production deployments.</w:t>
      </w:r>
    </w:p>
    <w:p>
      <w:pPr>
        <w:pStyle w:val="BodyText"/>
      </w:pPr>
      <w:r>
        <w:t xml:space="preserve">Fine-tuned specialized models address the performance limitations of zero-shot approaches by internalizing domain-specific knowledge through supervised learning on curated training datasets. These models achieve consistent, high-quality performance on domain-specific queries by learning the precise patterns, schema structures, and query formulations relevant to their target applications. The inference cost structure fundamentally differs from API-based approaches: while fine-tuning requires an upfront training investment, operational costs remain minimal since inference runs on local infrastructure without per-query API fees. The critical trade-off involves balancing the upfront training investment against long-term operational efficiency, with fine-tuning becoming economically advantageous when query volume exceeds threshold levels or when data privacy requirements preclude external API usage.</w:t>
      </w:r>
    </w:p>
    <w:p>
      <w:pPr>
        <w:pStyle w:val="BodyText"/>
      </w:pPr>
      <w:r>
        <w:t xml:space="preserve">Hybrid approaches have emerged as sophisticated synthesis strategies that combine the strengths of multiple paradigms. Retrieval-augmented fine-tuning systems such as ReFSQL and SQL-Fuse integrate external knowledge retrieval with fine-tuned models, enabling dynamic schema awareness while maintaining domain-specific performance. Agent-based systems with tool use extend this concept further, allowing models to interact with databases through introspection tools, query validation, and execution feedback loops. Schema-aware prompting with demonstrations represents another hybrid strategy, where carefully selected example queries provide contextual guidance to general-purpose models, improving performance without full fine-tuning. These hybrid approaches reflect the recognition that no single paradigm dominates across all deployment scenarios, and that effective production systems often require carefully orchestrated combinations of techniques tailored to specific application requirements.</w:t>
      </w:r>
    </w:p>
    <w:bookmarkEnd w:id="43"/>
    <w:bookmarkEnd w:id="44"/>
    <w:bookmarkStart w:id="65" w:name="text-to-sql-research"/>
    <w:p>
      <w:pPr>
        <w:pStyle w:val="Heading2"/>
      </w:pPr>
      <w:r>
        <w:t xml:space="preserve">Text-to-SQL Research</w:t>
      </w:r>
    </w:p>
    <w:bookmarkStart w:id="48" w:name="benchmark-datasets-and-evaluation"/>
    <w:p>
      <w:pPr>
        <w:pStyle w:val="Heading3"/>
      </w:pPr>
      <w:r>
        <w:t xml:space="preserve">Benchmark Datasets and Evaluation</w:t>
      </w:r>
    </w:p>
    <w:p>
      <w:pPr>
        <w:pStyle w:val="FirstParagraph"/>
      </w:pPr>
      <w:r>
        <w:t xml:space="preserve">The Text-to-SQL field has matured through standardized benchmarks enabling systematic comparison:</w:t>
      </w:r>
    </w:p>
    <w:bookmarkStart w:id="45" w:name="spider-benchmark"/>
    <w:p>
      <w:pPr>
        <w:pStyle w:val="Heading5"/>
      </w:pPr>
      <w:r>
        <w:t xml:space="preserve">Spider Benchmark</w:t>
      </w:r>
    </w:p>
    <w:p>
      <w:pPr>
        <w:pStyle w:val="FirstParagraph"/>
      </w:pPr>
      <w:r>
        <w:t xml:space="preserve">The Spider benchmark </w:t>
      </w:r>
      <w:r>
        <w:t xml:space="preserve"> </w:t>
      </w:r>
      <w:r>
        <w:t xml:space="preserve">established the foundation for cross-domain Text-to-SQL evaluation with 10,181 questions spanning 200 databases across 138 diverse domains. The benchmark emphasizes cross-domain generalization through complex SQL constructs including nested queries, multi-table joins, and aggregation operations, with evaluation based on exact match (EM) comparing generated SQL strings and execution accuracy (EX) comparing query results. However, Spider’s focus on standard SQL operations means it provides limited coverage of spatial database functions, leaving a gap for PostGIS-specific Text-to-SQL research.</w:t>
      </w:r>
    </w:p>
    <w:bookmarkEnd w:id="45"/>
    <w:bookmarkStart w:id="46" w:name="bird-benchmark"/>
    <w:p>
      <w:pPr>
        <w:pStyle w:val="Heading5"/>
      </w:pPr>
      <w:r>
        <w:t xml:space="preserve">BIRD Benchmark</w:t>
      </w:r>
    </w:p>
    <w:p>
      <w:pPr>
        <w:pStyle w:val="FirstParagraph"/>
      </w:pPr>
      <w:r>
        <w:t xml:space="preserve">The BIRD benchmark </w:t>
      </w:r>
      <w:r>
        <w:t xml:space="preserve"> </w:t>
      </w:r>
      <w:r>
        <w:t xml:space="preserve">advances Text-to-SQL evaluation through 12,751 text-to-SQL pairs that emphasize not only correctness but also execution accuracy and query efficiency on realistic database schemas. Complementary benchmarks include OmniSQL </w:t>
      </w:r>
      <w:r>
        <w:t xml:space="preserve">, which provides universal benchmarking across diverse SQL dialects, and comprehensive evaluation studies </w:t>
      </w:r>
      <w:r>
        <w:t xml:space="preserve"> </w:t>
      </w:r>
      <w:r>
        <w:t xml:space="preserve">analyzing LLM performance across multiple Text-to-SQL benchmarks. BIRD incorporates external knowledge requirements that mirror real-world database interaction scenarios where users must understand domain concepts beyond schema structure. Performance results demonstrate that GPT-4 achieves strong execution accuracy, while fine-tuned open-source models in the 32B parameter range reach competitive performance levels, establishing BIRD as the current state-of-the-art benchmark for Text-to-SQL system evaluation.</w:t>
      </w:r>
    </w:p>
    <w:bookmarkEnd w:id="46"/>
    <w:bookmarkStart w:id="47" w:name="performance-trends"/>
    <w:p>
      <w:pPr>
        <w:pStyle w:val="Heading5"/>
      </w:pPr>
      <w:r>
        <w:t xml:space="preserve">Performance Trends</w:t>
      </w:r>
    </w:p>
    <w:p>
      <w:pPr>
        <w:pStyle w:val="FirstParagraph"/>
      </w:pPr>
      <w:r>
        <w:t xml:space="preserve">Recent comprehensive surveys </w:t>
      </w:r>
      <w:r>
        <w:t xml:space="preserve"> </w:t>
      </w:r>
      <w:r>
        <w:t xml:space="preserve">document the rapid progress in Text-to-SQL capabilities driven by large language models. Closed-source commercial models including GPT-4 and Claude 3.5 achieve strong execution accuracy on the challenging BIRD benchmark, demonstrating strong generalization to complex database queries. Open-source fine-tuned models ranging from 14B to 32B parameters reach competitive performance levels, narrowing the gap with proprietary systems. Despite this progress, significant challenges remain in handling complex nested queries with multiple levels of subquery nesting and incorporating domain-specific knowledge that extends beyond the database schema itself.</w:t>
      </w:r>
    </w:p>
    <w:bookmarkEnd w:id="47"/>
    <w:bookmarkEnd w:id="48"/>
    <w:bookmarkStart w:id="49" w:name="agent-based-and-reasoning-approaches"/>
    <w:p>
      <w:pPr>
        <w:pStyle w:val="Heading3"/>
      </w:pPr>
      <w:r>
        <w:t xml:space="preserve">Agent-Based and Reasoning Approaches</w:t>
      </w:r>
    </w:p>
    <w:p>
      <w:pPr>
        <w:pStyle w:val="FirstParagraph"/>
      </w:pPr>
      <w:r>
        <w:t xml:space="preserve">A major research direction in Text-to-SQL has emerged that decomposes the complex task of SQL generation into more manageable subtasks through multi-step reasoning and agent-based architectures. Rather than attempting direct question-to-SQL translation in a single pass, these approaches recognize that effective SQL generation benefits from explicit intermediate reasoning steps that mirror how human database experts approach query construction.</w:t>
      </w:r>
    </w:p>
    <w:p>
      <w:pPr>
        <w:pStyle w:val="BodyText"/>
      </w:pPr>
      <w:r>
        <w:t xml:space="preserve">The foundation of this paradigm lies in chain-of-thought prompting, where models are guided to decompose natural language questions into explicit reasoning steps before generating SQL. This decomposition process involves identifying relevant schema elements, determining appropriate join paths between tables, and selecting suitable aggregation operations. Empirical results demonstrate that this explicit reasoning approach yields substantial improvements in execution accuracy compared to direct generation methods. The effectiveness stems from forcing the model to explicitly reason about the query structure before committing to SQL syntax, reducing errors from premature SQL generation.</w:t>
      </w:r>
    </w:p>
    <w:p>
      <w:pPr>
        <w:pStyle w:val="BodyText"/>
      </w:pPr>
      <w:r>
        <w:t xml:space="preserve">Building upon chain-of-thought foundations, multi-agent collaboration systems have emerged as a sophisticated extension that distributes Text-to-SQL responsibilities across specialized agents, each handling distinct aspects of the query generation pipeline. These systems typically employ separate agents for schema linking, query planning, SQL writing, and validation, enabling each component to focus on its specialized domain. For instance, DAIL-SQL demonstrates this approach through demonstration retrieval and explanation generation, where one agent identifies similar queries while another generates reasoning explanations. Notable contributions in this space include GTChain </w:t>
      </w:r>
      <w:r>
        <w:t xml:space="preserve">, which introduces graph-based Text-to-SQL with chain-of-thought reasoning, CHESS </w:t>
      </w:r>
      <w:r>
        <w:t xml:space="preserve"> </w:t>
      </w:r>
      <w:r>
        <w:t xml:space="preserve">for contextual harnessing enabling efficient SQL synthesis, and SQL Agent </w:t>
      </w:r>
      <w:r>
        <w:t xml:space="preserve"> </w:t>
      </w:r>
      <w:r>
        <w:t xml:space="preserve">which implements autonomous Text-to-SQL with self-correction capabilities. However, this architectural sophistication comes with inherent challenges: complex orchestration overhead increases system latency and complexity, while error propagation across multiple agents can amplify mistakes, requiring careful design of inter-agent communication and error handling mechanisms.</w:t>
      </w:r>
    </w:p>
    <w:p>
      <w:pPr>
        <w:pStyle w:val="BodyText"/>
      </w:pPr>
      <w:r>
        <w:t xml:space="preserve">The most recent evolution in agent-based Text-to-SQL systems integrates database introspection tools directly into the reasoning loop, creating tool-augmented reasoning architectures that enable dynamic interaction with the target database. These systems can dynamically retrieve table structures through schema inspection tools, validate SQL syntax before execution through query validation tools, and iteratively refine generated queries based on execution feedback when errors occur. This iterative refinement process, where agents receive error messages from failed query executions and use this feedback to generate corrected SQL, has demonstrated remarkable effectiveness, achieving substantial improvements in eventual accuracy through self-correction. The tool-augmented approach transforms Text-to-SQL from a static generation task into a dynamic, interactive process where agents can explore the database schema, validate their understanding, and learn from execution failures, mirroring the iterative debugging process that human SQL developers employ.</w:t>
      </w:r>
    </w:p>
    <w:bookmarkEnd w:id="49"/>
    <w:bookmarkStart w:id="53" w:name="X6180d13fce046495b49e907a56332b85c00508f"/>
    <w:p>
      <w:pPr>
        <w:pStyle w:val="Heading3"/>
      </w:pPr>
      <w:r>
        <w:t xml:space="preserve">Schema Linking and Retrieval-Augmented Generation</w:t>
      </w:r>
    </w:p>
    <w:p>
      <w:pPr>
        <w:pStyle w:val="FirstParagraph"/>
      </w:pPr>
      <w:r>
        <w:t xml:space="preserve">Schema linking maps natural language tokens to database schema elements (tables, columns, values):</w:t>
      </w:r>
    </w:p>
    <w:bookmarkStart w:id="50" w:name="irnet-guo-et-al.-2019"/>
    <w:p>
      <w:pPr>
        <w:pStyle w:val="Heading5"/>
      </w:pPr>
      <w:r>
        <w:t xml:space="preserve">IRNet (Guo et al., 2019)</w:t>
      </w:r>
    </w:p>
    <w:p>
      <w:pPr>
        <w:pStyle w:val="FirstParagraph"/>
      </w:pPr>
      <w:r>
        <w:t xml:space="preserve">IRNet </w:t>
      </w:r>
      <w:r>
        <w:t xml:space="preserve"> </w:t>
      </w:r>
      <w:r>
        <w:t xml:space="preserve">represents pioneering work formalizing schema linking as an explicit intermediate step in Text-to-SQL generation. The approach introduces an intermediate representation (IR) that decouples natural language understanding from SQL syntax generation, enabling the model to reason about database schemas independently of query formulation. This architectural innovation yields significant improvements in cross-domain generalization, as the learned schema linking patterns transfer more effectively across different database structures.</w:t>
      </w:r>
    </w:p>
    <w:bookmarkEnd w:id="50"/>
    <w:bookmarkStart w:id="51" w:name="modern-retrieval-augmented-approaches"/>
    <w:p>
      <w:pPr>
        <w:pStyle w:val="Heading5"/>
      </w:pPr>
      <w:r>
        <w:t xml:space="preserve">Modern Retrieval-Augmented Approaches</w:t>
      </w:r>
    </w:p>
    <w:p>
      <w:pPr>
        <w:pStyle w:val="FirstParagraph"/>
      </w:pPr>
      <w:r>
        <w:t xml:space="preserve">Modern retrieval-augmented approaches combine external knowledge retrieval with model reasoning capabilities to enhance Text-to-SQL performance. ReFSQL </w:t>
      </w:r>
      <w:r>
        <w:t xml:space="preserve"> </w:t>
      </w:r>
      <w:r>
        <w:t xml:space="preserve">combines retrieval with fine-tuning by using similar examples as contextual guidance, while SQL-Fuse </w:t>
      </w:r>
      <w:r>
        <w:t xml:space="preserve"> </w:t>
      </w:r>
      <w:r>
        <w:t xml:space="preserve">implements a hybrid architecture fusing retrieval-augmented and fine-tuned models to leverage complementary strengths. GraFix-T5 </w:t>
      </w:r>
      <w:r>
        <w:t xml:space="preserve"> </w:t>
      </w:r>
      <w:r>
        <w:t xml:space="preserve">introduces graph-augmented schema representations with attention mechanisms enabling more sophisticated reasoning about database structure. OpenSQL </w:t>
      </w:r>
      <w:r>
        <w:t xml:space="preserve"> </w:t>
      </w:r>
      <w:r>
        <w:t xml:space="preserve">democratizes Text-to-SQL through open-source LLM approaches, reducing dependency on proprietary systems, and SpatialRAG </w:t>
      </w:r>
      <w:r>
        <w:t xml:space="preserve"> </w:t>
      </w:r>
      <w:r>
        <w:t xml:space="preserve">extends retrieval-augmented generation specifically for spatial reasoning with LLMs. Empirical evaluations demonstrate that schema-aware models consistently outperform schema-agnostic baselines by substantial margins, validating the importance of explicit schema information in Text-to-SQL systems.</w:t>
      </w:r>
    </w:p>
    <w:bookmarkEnd w:id="51"/>
    <w:bookmarkStart w:id="52" w:name="spatial-schema-complexity"/>
    <w:p>
      <w:pPr>
        <w:pStyle w:val="Heading5"/>
      </w:pPr>
      <w:r>
        <w:t xml:space="preserve">Spatial Schema Complexity</w:t>
      </w:r>
    </w:p>
    <w:p>
      <w:pPr>
        <w:pStyle w:val="FirstParagraph"/>
      </w:pPr>
      <w:r>
        <w:t xml:space="preserve">Spatial databases introduce additional challenges beyond standard relational schema linking, requiring models to understand geometric data representations and spatial operations. Geometry column identification demands recognizing that columns with names like</w:t>
      </w:r>
      <w:r>
        <w:t xml:space="preserve"> </w:t>
      </w:r>
      <w:r>
        <w:rPr>
          <w:rStyle w:val="VerbatimChar"/>
        </w:rPr>
        <w:t xml:space="preserve">building_geometry</w:t>
      </w:r>
      <w:r>
        <w:t xml:space="preserve"> </w:t>
      </w:r>
      <w:r>
        <w:t xml:space="preserve">or</w:t>
      </w:r>
      <w:r>
        <w:t xml:space="preserve"> </w:t>
      </w:r>
      <w:r>
        <w:rPr>
          <w:rStyle w:val="VerbatimChar"/>
        </w:rPr>
        <w:t xml:space="preserve">tract_geometry</w:t>
      </w:r>
      <w:r>
        <w:t xml:space="preserve"> </w:t>
      </w:r>
      <w:r>
        <w:t xml:space="preserve">contain spatial data types requiring specialized functions rather than standard SQL operations. Spatial relationship mapping necessitates translating natural language proximity concepts such as</w:t>
      </w:r>
      <w:r>
        <w:t xml:space="preserve"> </w:t>
      </w:r>
      <w:r>
        <w:t xml:space="preserve">“</w:t>
      </w:r>
      <w:r>
        <w:t xml:space="preserve">near</w:t>
      </w:r>
      <w:r>
        <w:t xml:space="preserve">”</w:t>
      </w:r>
      <w:r>
        <w:t xml:space="preserve"> </w:t>
      </w:r>
      <w:r>
        <w:t xml:space="preserve">or</w:t>
      </w:r>
      <w:r>
        <w:t xml:space="preserve"> </w:t>
      </w:r>
      <w:r>
        <w:t xml:space="preserve">“</w:t>
      </w:r>
      <w:r>
        <w:t xml:space="preserve">within distance</w:t>
      </w:r>
      <w:r>
        <w:t xml:space="preserve">”</w:t>
      </w:r>
      <w:r>
        <w:t xml:space="preserve"> </w:t>
      </w:r>
      <w:r>
        <w:t xml:space="preserve">into appropriate PostGIS functions like</w:t>
      </w:r>
      <w:r>
        <w:t xml:space="preserve"> </w:t>
      </w:r>
      <w:r>
        <w:rPr>
          <w:rStyle w:val="VerbatimChar"/>
        </w:rPr>
        <w:t xml:space="preserve">ST_DWithin</w:t>
      </w:r>
      <w:r>
        <w:t xml:space="preserve"> </w:t>
      </w:r>
      <w:r>
        <w:t xml:space="preserve">with correct parameter specifications. Coordinate reference system awareness requires understanding that spatial operations may need coordinate transformations when integrating data from different geographic projections. Finally, raster-vector integration requirements add complexity when queries must combine continuous raster datasets (elevation, land cover) with discrete vector geometries through specialized functions like</w:t>
      </w:r>
      <w:r>
        <w:t xml:space="preserve"> </w:t>
      </w:r>
      <w:r>
        <w:rPr>
          <w:rStyle w:val="VerbatimChar"/>
        </w:rPr>
        <w:t xml:space="preserve">ST_Value</w:t>
      </w:r>
      <w:r>
        <w:t xml:space="preserve"> </w:t>
      </w:r>
      <w:r>
        <w:t xml:space="preserve">and</w:t>
      </w:r>
      <w:r>
        <w:t xml:space="preserve"> </w:t>
      </w:r>
      <w:r>
        <w:rPr>
          <w:rStyle w:val="VerbatimChar"/>
        </w:rPr>
        <w:t xml:space="preserve">ST_Clip</w:t>
      </w:r>
      <w:r>
        <w:t xml:space="preserve">.</w:t>
      </w:r>
    </w:p>
    <w:bookmarkEnd w:id="52"/>
    <w:bookmarkEnd w:id="53"/>
    <w:bookmarkStart w:id="57" w:name="fine-tuning-approaches"/>
    <w:p>
      <w:pPr>
        <w:pStyle w:val="Heading3"/>
      </w:pPr>
      <w:r>
        <w:t xml:space="preserve">Fine-Tuning Approaches</w:t>
      </w:r>
    </w:p>
    <w:p>
      <w:pPr>
        <w:pStyle w:val="FirstParagraph"/>
      </w:pPr>
      <w:r>
        <w:t xml:space="preserve">Fine-tuning specializes models on domain-specific Text-to-SQL tasks:</w:t>
      </w:r>
    </w:p>
    <w:bookmarkStart w:id="54" w:name="synthetic-data-generation"/>
    <w:p>
      <w:pPr>
        <w:pStyle w:val="Heading5"/>
      </w:pPr>
      <w:r>
        <w:t xml:space="preserve">Synthetic Data Generation</w:t>
      </w:r>
    </w:p>
    <w:p>
      <w:pPr>
        <w:pStyle w:val="FirstParagraph"/>
      </w:pPr>
      <w:r>
        <w:t xml:space="preserve">Creating high-quality training data for domain-specific Text-to-SQL systems presents significant methodological challenges.</w:t>
      </w:r>
      <w:r>
        <w:t xml:space="preserve"> </w:t>
      </w:r>
      <w:r>
        <w:rPr>
          <w:bCs/>
          <w:b/>
        </w:rPr>
        <w:t xml:space="preserve">Template-based</w:t>
      </w:r>
      <w:r>
        <w:t xml:space="preserve"> </w:t>
      </w:r>
      <w:r>
        <w:t xml:space="preserve">approaches employ rule-driven SQL generation with systematic parameter substitution, providing high correctness guarantees but limited diversity in query patterns.</w:t>
      </w:r>
      <w:r>
        <w:t xml:space="preserve"> </w:t>
      </w:r>
      <w:r>
        <w:rPr>
          <w:bCs/>
          <w:b/>
        </w:rPr>
        <w:t xml:space="preserve">LLM-generated</w:t>
      </w:r>
      <w:r>
        <w:t xml:space="preserve"> </w:t>
      </w:r>
      <w:r>
        <w:t xml:space="preserve">approaches leverage models like GPT-4 to create diverse question-SQL pairs with natural language variation, though at significant cost and with correctness challenges requiring validation.</w:t>
      </w:r>
      <w:r>
        <w:t xml:space="preserve"> </w:t>
      </w:r>
      <w:r>
        <w:rPr>
          <w:bCs/>
          <w:b/>
        </w:rPr>
        <w:t xml:space="preserve">Execution-guided filtering</w:t>
      </w:r>
      <w:r>
        <w:t xml:space="preserve"> </w:t>
      </w:r>
      <w:r>
        <w:t xml:space="preserve">validates synthetic samples through actual database execution, ensuring functional correctness but requiring careful database state management. The fundamental challenge lies in balancing these three competing objectives: maximizing sample diversity to prevent overfitting, ensuring correctness to avoid training on erroneous patterns, and controlling generation costs to enable research-scale dataset creation.</w:t>
      </w:r>
    </w:p>
    <w:bookmarkEnd w:id="54"/>
    <w:bookmarkStart w:id="55" w:name="model-architectures"/>
    <w:p>
      <w:pPr>
        <w:pStyle w:val="Heading5"/>
      </w:pPr>
      <w:r>
        <w:t xml:space="preserve">Model Architectures</w:t>
      </w:r>
    </w:p>
    <w:p>
      <w:pPr>
        <w:pStyle w:val="FirstParagraph"/>
      </w:pPr>
      <w:r>
        <w:t xml:space="preserve">The evolution of Text-to-SQL model architectures reflects broader trends in natural language processing.</w:t>
      </w:r>
      <w:r>
        <w:t xml:space="preserve"> </w:t>
      </w:r>
      <w:r>
        <w:rPr>
          <w:bCs/>
          <w:b/>
        </w:rPr>
        <w:t xml:space="preserve">Encoder-decoder architectures</w:t>
      </w:r>
      <w:r>
        <w:t xml:space="preserve"> </w:t>
      </w:r>
      <w:r>
        <w:t xml:space="preserve">including T5 and BART represented earlier approaches using sequence-to-sequence models that explicitly encode input questions and decode output SQL, providing strong performance but requiring paired encoder-decoder training.</w:t>
      </w:r>
      <w:r>
        <w:t xml:space="preserve"> </w:t>
      </w:r>
      <w:r>
        <w:rPr>
          <w:bCs/>
          <w:b/>
        </w:rPr>
        <w:t xml:space="preserve">Decoder-only architectures</w:t>
      </w:r>
      <w:r>
        <w:t xml:space="preserve"> </w:t>
      </w:r>
      <w:r>
        <w:t xml:space="preserve">such as Llama and Qwen represent the current state-of-the-art, using autoregressive large language models that generate SQL through next-token prediction, benefiting from massive pre-training and superior few-shot learning capabilities.</w:t>
      </w:r>
      <w:r>
        <w:t xml:space="preserve"> </w:t>
      </w:r>
      <w:r>
        <w:rPr>
          <w:bCs/>
          <w:b/>
        </w:rPr>
        <w:t xml:space="preserve">Specialized models</w:t>
      </w:r>
      <w:r>
        <w:t xml:space="preserve"> </w:t>
      </w:r>
      <w:r>
        <w:t xml:space="preserve">like SQLCoder incorporate SQL-specific pre-training on curated code corpora, achieving strong performance in smaller parameter counts through domain-focused knowledge distillation.</w:t>
      </w:r>
    </w:p>
    <w:bookmarkEnd w:id="55"/>
    <w:bookmarkStart w:id="56" w:name="parameter-efficient-methods"/>
    <w:p>
      <w:pPr>
        <w:pStyle w:val="Heading5"/>
      </w:pPr>
      <w:r>
        <w:t xml:space="preserve">Parameter-Efficient Methods</w:t>
      </w:r>
    </w:p>
    <w:p>
      <w:pPr>
        <w:pStyle w:val="FirstParagraph"/>
      </w:pPr>
      <w:r>
        <w:t xml:space="preserve">QLoRA </w:t>
      </w:r>
      <w:r>
        <w:t xml:space="preserve"> </w:t>
      </w:r>
      <w:r>
        <w:t xml:space="preserve">has democratized large language model fine-tuning by enabling adaptation of 14B-70B parameter models on consumer-grade GPUs through quantized low-rank adaptation. The practical impact cannot be overstated, as QLoRA transforms model fine-tuning from a resource-intensive enterprise requiring dedicated high-memory hardware into an accessible research activity feasible on single 24GB GPUs. Remarkably, performance analysis reveals minimal degradation compared to full fine-tuning, with typical accuracy differences of only 1-3%, making parameter-efficient methods the pragmatic choice for domain-specific adaptation in resource-constrained settings.</w:t>
      </w:r>
    </w:p>
    <w:bookmarkEnd w:id="56"/>
    <w:bookmarkEnd w:id="57"/>
    <w:bookmarkStart w:id="61" w:name="research-programs-led-by-pourreza-and-li"/>
    <w:p>
      <w:pPr>
        <w:pStyle w:val="Heading3"/>
      </w:pPr>
      <w:r>
        <w:t xml:space="preserve">Research Programs Led by Pourreza and Li</w:t>
      </w:r>
    </w:p>
    <w:p>
      <w:pPr>
        <w:pStyle w:val="FirstParagraph"/>
      </w:pPr>
      <w:r>
        <w:t xml:space="preserve">Two long-running research teams—led respectively by Prof. Mohammadreza Pourreza at the University of Alberta and Prof. Haoyang Li at Renmin University of China—have produced a cohesive body of work that effectively maps the evolution of advanced Text-to-SQL systems. Reviewing their papers provides a structured understanding of how decomposition, schema modeling, and open-source engineering are converging toward production-ready NL2SQL pipelines.</w:t>
      </w:r>
    </w:p>
    <w:bookmarkStart w:id="58" w:name="university-of-alberta-pourreza-lab"/>
    <w:p>
      <w:pPr>
        <w:pStyle w:val="Heading5"/>
      </w:pPr>
      <w:r>
        <w:t xml:space="preserve">University of Alberta (Pourreza Lab)</w:t>
      </w:r>
    </w:p>
    <w:p>
      <w:pPr>
        <w:pStyle w:val="FirstParagraph"/>
      </w:pPr>
      <w:r>
        <w:t xml:space="preserve">Pourreza and Rafiei pioneered decomposition-first prompting strategies that close the gap between few-shot prompting and large-scale fine-tuning. DIN-SQL </w:t>
      </w:r>
      <w:r>
        <w:t xml:space="preserve"> </w:t>
      </w:r>
      <w:r>
        <w:t xml:space="preserve">shows that breaking a question into intermediate reasoning steps and feeding partial solutions back into an LLM boosts execution accuracy on Spider by roughly ten percentage points. DTS-SQL </w:t>
      </w:r>
      <w:r>
        <w:t xml:space="preserve"> </w:t>
      </w:r>
      <w:r>
        <w:t xml:space="preserve">extends the same paradigm to small open-source checkpoints by introducing a two-stage fine-tuning routine that trains planners and SQL generators separately, narrowing the performance gap with proprietary 70B+ models while preserving data privacy.</w:t>
      </w:r>
    </w:p>
    <w:bookmarkEnd w:id="58"/>
    <w:bookmarkStart w:id="59" w:name="renmin-university-of-china-li-lab"/>
    <w:p>
      <w:pPr>
        <w:pStyle w:val="Heading5"/>
      </w:pPr>
      <w:r>
        <w:t xml:space="preserve">Renmin University of China (Li Lab)</w:t>
      </w:r>
    </w:p>
    <w:p>
      <w:pPr>
        <w:pStyle w:val="FirstParagraph"/>
      </w:pPr>
      <w:r>
        <w:t xml:space="preserve">Li and collaborators focus on strengthening schema grounding and open ecosystems. RESDSQL </w:t>
      </w:r>
      <w:r>
        <w:t xml:space="preserve"> </w:t>
      </w:r>
      <w:r>
        <w:t xml:space="preserve">decouples schema linking from skeleton generation, injecting only the ranked relevant tables and columns into the encoder and forcing the decoder to first draft SQL templates before filling literals, which improves robustness on Spider-DK/Syn/Realistic. CodeS </w:t>
      </w:r>
      <w:r>
        <w:t xml:space="preserve"> </w:t>
      </w:r>
      <w:r>
        <w:t xml:space="preserve">complements this structural insight with a family of fully open-source language models (1B-15B) pre-trained on SQL-centric corpora; retrieval-aware prompting and bi-directional augmentation make CodeS a practical alternative for organizations that cannot rely on closed APIs.</w:t>
      </w:r>
    </w:p>
    <w:bookmarkEnd w:id="59"/>
    <w:bookmarkStart w:id="60" w:name="joint-perspective-chase-sql"/>
    <w:p>
      <w:pPr>
        <w:pStyle w:val="Heading5"/>
      </w:pPr>
      <w:r>
        <w:t xml:space="preserve">Joint Perspective: CHASE-SQL</w:t>
      </w:r>
    </w:p>
    <w:p>
      <w:pPr>
        <w:pStyle w:val="FirstParagraph"/>
      </w:pPr>
      <w:r>
        <w:t xml:space="preserve">The two teams recently joined forces on CHASE-SQL </w:t>
      </w:r>
      <w:r>
        <w:t xml:space="preserve">, an ICLR contribution that pairs divide-and-conquer query planning with preference-optimized candidate selection. Multiple LLM agents explore SQL candidates using execution-plan-aware chain-of-thought reasoning, instance-aware synthetic demonstrations, and dynamic planning, while a binary selector ranks candidates through pairwise comparisons. The resulting system tops the BIRD leaderboard (73% EX) and demonstrates how decomposition, schema awareness, and multi-agent self-evaluation can be woven into an</w:t>
      </w:r>
      <w:r>
        <w:t xml:space="preserve"> </w:t>
      </w:r>
      <w:r>
        <w:t xml:space="preserve">“</w:t>
      </w:r>
      <w:r>
        <w:t xml:space="preserve">amazing</w:t>
      </w:r>
      <w:r>
        <w:t xml:space="preserve">”</w:t>
      </w:r>
      <w:r>
        <w:t xml:space="preserve"> </w:t>
      </w:r>
      <w:r>
        <w:t xml:space="preserve">end-to-end Text-to-SQL stack.</w:t>
      </w:r>
    </w:p>
    <w:bookmarkEnd w:id="60"/>
    <w:bookmarkEnd w:id="61"/>
    <w:bookmarkStart w:id="64" w:name="text-to-spatial-sql-an-emerging-domain"/>
    <w:p>
      <w:pPr>
        <w:pStyle w:val="Heading3"/>
      </w:pPr>
      <w:r>
        <w:t xml:space="preserve">Text-to-Spatial-SQL: An Emerging Domain</w:t>
      </w:r>
    </w:p>
    <w:p>
      <w:pPr>
        <w:pStyle w:val="FirstParagraph"/>
      </w:pPr>
      <w:r>
        <w:t xml:space="preserve">While Text-to-SQL has extensive literature, Text-to-Spatial-SQL remains nascent:</w:t>
      </w:r>
    </w:p>
    <w:bookmarkStart w:id="62" w:name="wang-et-al.-2025"/>
    <w:p>
      <w:pPr>
        <w:pStyle w:val="Heading5"/>
      </w:pPr>
      <w:r>
        <w:t xml:space="preserve">Wang et al. (2025) </w:t>
      </w:r>
    </w:p>
    <w:p>
      <w:pPr>
        <w:pStyle w:val="FirstParagraph"/>
      </w:pPr>
      <w:r>
        <w:t xml:space="preserve">Wang et al. provide the most significant recent contribution to Text-to-Spatial-SQL research through a bilingual dataset (English/Chinese) covering four domains: administrative boundaries, education facilities, tourism points of interest, and traffic infrastructure. Their work employs SpatiaLite as the lightweight spatial database platform and evaluates GPT prompting approaches without fine-tuning using basic correctness metrics. However, the work exhibits several limitations including absence of fine-tuning exploration for domain adaptation, limited domain coverage compared to comprehensive Text-to-SQL benchmarks, and lack of systematic benchmark methodology with standardized evaluation protocols, leaving substantial opportunities for advancement in spatial SQL generation research.</w:t>
      </w:r>
    </w:p>
    <w:bookmarkEnd w:id="62"/>
    <w:bookmarkStart w:id="63" w:name="research-gap"/>
    <w:p>
      <w:pPr>
        <w:pStyle w:val="Heading5"/>
      </w:pPr>
      <w:r>
        <w:t xml:space="preserve">Research Gap</w:t>
      </w:r>
    </w:p>
    <w:p>
      <w:pPr>
        <w:pStyle w:val="FirstParagraph"/>
      </w:pPr>
      <w:r>
        <w:t xml:space="preserve">The Text-to-Spatial-SQL domain exhibits several critical gaps compared to general Text-to-SQL research. The field lacks standardized benchmarks comparable to Spider or BIRD that would enable systematic cross-study comparisons and reproducible evaluation. Large-scale datasets suitable for fine-tuning open-source models remain unavailable, limiting research into domain-specific adaptation approaches. Systematic evaluation methodologies for schema-aware pipelines have not been established, preventing comprehensive understanding of architecture trade-offs. Production-ready implementations for real-world spatial database applications are notably absent from the literature. Finally, domain-specific applications in critical areas including urban energy modeling, transportation planning, and healthcare spatial analytics lack the natural language interfaces that would democratize access for non-technical domain experts.</w:t>
      </w:r>
    </w:p>
    <w:bookmarkEnd w:id="63"/>
    <w:bookmarkEnd w:id="64"/>
    <w:bookmarkEnd w:id="65"/>
    <w:bookmarkStart w:id="68" w:name="X245881a222f93ce6a30631a7a576cf634368eeb"/>
    <w:p>
      <w:pPr>
        <w:pStyle w:val="Heading2"/>
      </w:pPr>
      <w:r>
        <w:t xml:space="preserve">Synthetic Data Generation (data augmentation)</w:t>
      </w:r>
    </w:p>
    <w:p>
      <w:pPr>
        <w:pStyle w:val="FirstParagraph"/>
      </w:pPr>
      <w:r>
        <w:t xml:space="preserve">The challenge of creating large-scale, high-quality training datasets for Text-to-SQL systems has driven significant research into synthetic data generation techniques. Unlike many machine learning domains where abundant labeled data exists naturally, Text-to-SQL requires carefully constructed question-query pairs that must satisfy both linguistic naturalness and database correctness constraints. This dual requirement has motivated exploration of LLM-based data augmentation approaches that leverage large language models to generate diverse, semantically valid training examples while maintaining strict execution correctness.</w:t>
      </w:r>
    </w:p>
    <w:bookmarkStart w:id="66" w:name="llm-based-data-augmentation-strategies"/>
    <w:p>
      <w:pPr>
        <w:pStyle w:val="Heading3"/>
      </w:pPr>
      <w:r>
        <w:t xml:space="preserve">LLM-Based Data Augmentation Strategies</w:t>
      </w:r>
    </w:p>
    <w:p>
      <w:pPr>
        <w:pStyle w:val="FirstParagraph"/>
      </w:pPr>
      <w:r>
        <w:t xml:space="preserve">Large Language Models have emerged as powerful tools for synthetic data generation in Text-to-SQL, offering the ability to generate diverse question-query pairs that maintain both linguistic naturalness and database correctness. Unlike traditional generative approaches that struggle with structural constraints, LLMs can be explicitly guided through prompts to produce valid SQL queries while generating natural language variations that capture the linguistic diversity needed for robust model training.</w:t>
      </w:r>
    </w:p>
    <w:p>
      <w:pPr>
        <w:pStyle w:val="BodyText"/>
      </w:pPr>
      <w:r>
        <w:t xml:space="preserve">Modern LLM-based augmentation employs multi-strategy approaches that systematically expand training datasets through five complementary transformation strategies.</w:t>
      </w:r>
      <w:r>
        <w:t xml:space="preserve"> </w:t>
      </w:r>
      <w:r>
        <w:rPr>
          <w:bCs/>
          <w:b/>
        </w:rPr>
        <w:t xml:space="preserve">Question Paraphrase</w:t>
      </w:r>
      <w:r>
        <w:t xml:space="preserve"> </w:t>
      </w:r>
      <w:r>
        <w:t xml:space="preserve">rephrases natural language questions while preserving exact SQL intent and all specific values, generating linguistic diversity without altering query semantics.</w:t>
      </w:r>
      <w:r>
        <w:t xml:space="preserve"> </w:t>
      </w:r>
      <w:r>
        <w:rPr>
          <w:bCs/>
          <w:b/>
        </w:rPr>
        <w:t xml:space="preserve">SQL-to-Question</w:t>
      </w:r>
      <w:r>
        <w:t xml:space="preserve"> </w:t>
      </w:r>
      <w:r>
        <w:t xml:space="preserve">generates natural language questions from existing SQL queries, creating reverse mappings that provide alternative question formulations for the same query pattern.</w:t>
      </w:r>
      <w:r>
        <w:t xml:space="preserve"> </w:t>
      </w:r>
      <w:r>
        <w:rPr>
          <w:bCs/>
          <w:b/>
        </w:rPr>
        <w:t xml:space="preserve">Question-to-SQL</w:t>
      </w:r>
      <w:r>
        <w:t xml:space="preserve"> </w:t>
      </w:r>
      <w:r>
        <w:t xml:space="preserve">generates equivalent SQL queries using different approaches (alternative join orders, spatial function variations, subquery vs. CTE conversions) while maintaining identical results, expanding SQL syntactic diversity.</w:t>
      </w:r>
      <w:r>
        <w:t xml:space="preserve"> </w:t>
      </w:r>
      <w:r>
        <w:rPr>
          <w:bCs/>
          <w:b/>
        </w:rPr>
        <w:t xml:space="preserve">SQL Rewrite</w:t>
      </w:r>
      <w:r>
        <w:t xml:space="preserve"> </w:t>
      </w:r>
      <w:r>
        <w:t xml:space="preserve">rewrites queries using different syntax or structure (explicit JOIN vs. implicit WHERE, reordered joins, equivalent spatial functions) while producing identical results, creating syntactic variations without semantic changes.</w:t>
      </w:r>
      <w:r>
        <w:t xml:space="preserve"> </w:t>
      </w:r>
      <w:r>
        <w:rPr>
          <w:bCs/>
          <w:b/>
        </w:rPr>
        <w:t xml:space="preserve">Parameter Variation</w:t>
      </w:r>
      <w:r>
        <w:t xml:space="preserve"> </w:t>
      </w:r>
      <w:r>
        <w:t xml:space="preserve">creates new question-SQL pairs with different but realistic parameter values (heights, areas, distances, IDs) while maintaining the same query structure, expanding dataset coverage through value space exploration.</w:t>
      </w:r>
    </w:p>
    <w:p>
      <w:pPr>
        <w:pStyle w:val="BodyText"/>
      </w:pPr>
      <w:r>
        <w:t xml:space="preserve">The effectiveness of multi-strategy LLM augmentation depends critically on task-appropriate model selection to optimize cost-performance trade-offs. Language tasks such as question paraphrasing and parameter variation benefit from cost-effective models like GPT-4o-mini, achieving high-quality results at substantially lower costs. SQL reasoning tasks requiring complex query generation and equivalent formulation benefit from more powerful models like GPT-4.1, ensuring correct SQL generation while exploring alternative query structures. This strategic model assignment enables large-scale dataset augmentation (50,000+ samples) at reasonable costs (approximately 54 EUR) while maintaining high quality standards.</w:t>
      </w:r>
    </w:p>
    <w:bookmarkEnd w:id="66"/>
    <w:bookmarkStart w:id="67" w:name="quality-validation-and-filtering"/>
    <w:p>
      <w:pPr>
        <w:pStyle w:val="Heading3"/>
      </w:pPr>
      <w:r>
        <w:t xml:space="preserve">Quality Validation and Filtering</w:t>
      </w:r>
    </w:p>
    <w:p>
      <w:pPr>
        <w:pStyle w:val="FirstParagraph"/>
      </w:pPr>
      <w:r>
        <w:t xml:space="preserve">LLM-generated synthetic data requires rigorous quality validation to ensure training readiness, as unvalidated generation can produce semantically incorrect or syntactically invalid queries. The</w:t>
      </w:r>
      <w:r>
        <w:t xml:space="preserve"> </w:t>
      </w:r>
      <w:r>
        <w:rPr>
          <w:bCs/>
          <w:b/>
        </w:rPr>
        <w:t xml:space="preserve">validation-first</w:t>
      </w:r>
      <w:r>
        <w:t xml:space="preserve"> </w:t>
      </w:r>
      <w:r>
        <w:t xml:space="preserve">methodology executes all generated SQL queries against the target database before proceeding to subsequent stages, filtering out non-executable samples early in the pipeline. This approach prevents error propagation and dramatically improves final dataset quality, achieving 97.34% NoErr (executable query rate) compared to traditional approaches that achieve only 10-30% success rates.</w:t>
      </w:r>
    </w:p>
    <w:p>
      <w:pPr>
        <w:pStyle w:val="BodyText"/>
      </w:pPr>
      <w:r>
        <w:t xml:space="preserve">The validation process employs comprehensive error classification, categorizing execution failures into SCHEMA_ERROR (invalid table or column references), SYNTAX_ERROR (malformed SQL grammar), TIMEOUT_ERROR (excessive execution time), and OTHER_ERROR (database-specific issues). Samples passing execution validation undergo additional filtering steps including semantic deduplication using sentence embeddings to remove near-duplicate questions, length filtering to ensure appropriate complexity, and terminology validation to maintain domain relevance. This multi-stage validation ensures that only high-quality, executable samples proceed to training, addressing the fundamental limitation of prior synthetic generation approaches that achieve low success rates due to insufficient validation mechanisms.</w:t>
      </w:r>
    </w:p>
    <w:bookmarkEnd w:id="67"/>
    <w:bookmarkEnd w:id="68"/>
    <w:bookmarkStart w:id="71" w:name="evaluation-metrics-for-text-to-sql"/>
    <w:p>
      <w:pPr>
        <w:pStyle w:val="Heading2"/>
      </w:pPr>
      <w:r>
        <w:t xml:space="preserve">Evaluation Metrics for Text-to-SQL</w:t>
      </w:r>
    </w:p>
    <w:p>
      <w:pPr>
        <w:pStyle w:val="FirstParagraph"/>
      </w:pPr>
      <w:r>
        <w:t xml:space="preserve">The evaluation of Text-to-SQL systems presents unique challenges that distinguish this domain from standard natural language processing tasks. Unlike classification or generation tasks where ground truth outputs are unambiguous, SQL queries exhibit multiple valid formulations that produce identical results, making evaluation fundamentally more complex than simple string matching. This inherent ambiguity has driven the development of diverse evaluation metrics, each capturing different aspects of system performance and serving distinct purposes in the research and development lifecycle.</w:t>
      </w:r>
    </w:p>
    <w:bookmarkStart w:id="69" w:name="standard-metrics"/>
    <w:p>
      <w:pPr>
        <w:pStyle w:val="Heading3"/>
      </w:pPr>
      <w:r>
        <w:t xml:space="preserve">Standard Metrics</w:t>
      </w:r>
    </w:p>
    <w:p>
      <w:pPr>
        <w:pStyle w:val="FirstParagraph"/>
      </w:pPr>
      <w:r>
        <w:t xml:space="preserve">Exact Match (EM) represents the most straightforward evaluation approach, measuring whether the generated SQL string exactly matches the ground truth query character-by-character. This metric offers the significant advantage of computational simplicity: it requires no database access, executes instantaneously, and provides deterministic, reproducible results. However, this simplicity comes at substantial cost, as EM fundamentally penalizes semantically equivalent query variations. Two queries that produce identical results but differ in column ordering, alias naming, or whitespace formatting will be marked as incorrect under EM, despite being functionally equivalent. This limitation becomes particularly problematic in research contexts where models may learn different but equally valid SQL formulations, leading to artificially depressed performance scores. Empirical results across Text-to-SQL benchmarks reveal that competitive models typically achieve EM scores in the 20-50% range, reflecting both the inherent difficulty of exact string matching and the diversity of valid SQL formulations.</w:t>
      </w:r>
    </w:p>
    <w:p>
      <w:pPr>
        <w:pStyle w:val="BodyText"/>
      </w:pPr>
      <w:r>
        <w:t xml:space="preserve">Execution Accuracy (EX) addresses the fundamental limitation of EM by evaluating whether generated SQL queries produce the same results as ground truth queries when executed against the target database. This metric accepts semantically equivalent queries regardless of their syntactic differences, providing a more realistic assessment of system performance in production contexts where functional correctness matters more than exact formulation. The primary advantage of EX lies in its alignment with real-world requirements: users care about obtaining correct results, not about generating queries that match a specific reference formulation. However, EX introduces significant implementation complexity, requiring database execution infrastructure, careful handling of result set comparison (including ordering, null values, and floating-point precision), and robust error handling for queries that fail to execute. The computational overhead of EX scales with benchmark size, as each generated query must be executed and its results compared against ground truth. Despite these challenges, EX has become the de facto standard for Text-to-SQL evaluation, with competitive models achieving 60-85% execution accuracy on challenging benchmarks like BIRD, reflecting both the difficulty of the task and the substantial progress made in recent years.</w:t>
      </w:r>
    </w:p>
    <w:bookmarkEnd w:id="69"/>
    <w:bookmarkStart w:id="70" w:name="novel-metrics"/>
    <w:p>
      <w:pPr>
        <w:pStyle w:val="Heading3"/>
      </w:pPr>
      <w:r>
        <w:t xml:space="preserve">Novel Metrics</w:t>
      </w:r>
    </w:p>
    <w:p>
      <w:pPr>
        <w:pStyle w:val="FirstParagraph"/>
      </w:pPr>
      <w:r>
        <w:t xml:space="preserve">As Text-to-SQL systems have matured and moved toward production deployment, researchers have recognized that execution correctness alone provides an incomplete picture of system quality. The BIRD benchmark introduced the Valid Efficiency Score (VES), which incorporates query execution efficiency as an additional dimension of evaluation. This metric recognizes that in production environments, a correct query that executes in minutes may be practically unusable compared to an equivalent query that completes in seconds. The VES formula combines execution accuracy with an efficiency penalty:</w:t>
      </w:r>
    </w:p>
    <w:p>
      <w:pPr>
        <w:pStyle w:val="BodyText"/>
      </w:pPr>
      <m:oMathPara>
        <m:oMathParaPr>
          <m:jc m:val="center"/>
        </m:oMathParaPr>
        <m:oMath>
          <m:r>
            <m:rPr>
              <m:nor/>
              <m:sty m:val="p"/>
            </m:rPr>
            <m:t>VES</m:t>
          </m:r>
          <m:r>
            <m:rPr>
              <m:sty m:val="p"/>
            </m:rPr>
            <m:t>=</m:t>
          </m:r>
          <m:r>
            <m:rPr>
              <m:nor/>
              <m:sty m:val="p"/>
            </m:rPr>
            <m:t>EX</m:t>
          </m:r>
          <m:r>
            <m:rPr>
              <m:sty m:val="p"/>
            </m:rPr>
            <m:t>×</m:t>
          </m:r>
          <m:d>
            <m:dPr>
              <m:begChr m:val="("/>
              <m:endChr m:val=")"/>
              <m:sepChr m:val=""/>
              <m:grow/>
            </m:dPr>
            <m:e>
              <m:r>
                <m:t>1</m:t>
              </m:r>
              <m:r>
                <m:rPr>
                  <m:sty m:val="p"/>
                </m:rPr>
                <m:t>−</m:t>
              </m:r>
              <m:r>
                <m:rPr>
                  <m:sty m:val="p"/>
                </m:rPr>
                <m:t>min</m:t>
              </m:r>
              <m:d>
                <m:dPr>
                  <m:begChr m:val="("/>
                  <m:endChr m:val=")"/>
                  <m:sepChr m:val=""/>
                  <m:grow/>
                </m:dPr>
                <m:e>
                  <m:f>
                    <m:fPr>
                      <m:type m:val="bar"/>
                    </m:fPr>
                    <m:num>
                      <m:sSub>
                        <m:e>
                          <m:r>
                            <m:t>T</m:t>
                          </m:r>
                        </m:e>
                        <m:sub>
                          <m:r>
                            <m:rPr>
                              <m:nor/>
                              <m:sty m:val="p"/>
                            </m:rPr>
                            <m:t>pred</m:t>
                          </m:r>
                        </m:sub>
                      </m:sSub>
                      <m:r>
                        <m:rPr>
                          <m:sty m:val="p"/>
                        </m:rPr>
                        <m:t>−</m:t>
                      </m:r>
                      <m:sSub>
                        <m:e>
                          <m:r>
                            <m:t>T</m:t>
                          </m:r>
                        </m:e>
                        <m:sub>
                          <m:r>
                            <m:rPr>
                              <m:nor/>
                              <m:sty m:val="p"/>
                            </m:rPr>
                            <m:t>gold</m:t>
                          </m:r>
                        </m:sub>
                      </m:sSub>
                    </m:num>
                    <m:den>
                      <m:sSub>
                        <m:e>
                          <m:r>
                            <m:t>T</m:t>
                          </m:r>
                        </m:e>
                        <m:sub>
                          <m:r>
                            <m:rPr>
                              <m:nor/>
                              <m:sty m:val="p"/>
                            </m:rPr>
                            <m:t>gold</m:t>
                          </m:r>
                        </m:sub>
                      </m:sSub>
                    </m:den>
                  </m:f>
                  <m:r>
                    <m:rPr>
                      <m:sty m:val="p"/>
                    </m:rPr>
                    <m:t>,</m:t>
                  </m:r>
                  <m:r>
                    <m:t>1</m:t>
                  </m:r>
                </m:e>
              </m:d>
            </m:e>
          </m:d>
        </m:oMath>
      </m:oMathPara>
    </w:p>
    <w:p>
      <w:pPr>
        <w:pStyle w:val="FirstParagraph"/>
      </w:pPr>
      <w:r>
        <w:t xml:space="preserve">This formulation penalizes queries that execute significantly slower than the ground truth, while still rewarding correctness. The efficiency consideration becomes particularly important for systems deployed in interactive applications where query latency directly impacts user experience, and for large-scale analytical workloads where inefficient queries can consume excessive computational resources.</w:t>
      </w:r>
    </w:p>
    <w:p>
      <w:pPr>
        <w:pStyle w:val="BodyText"/>
      </w:pPr>
      <w:r>
        <w:t xml:space="preserve">The emergence of agent-based Text-to-SQL systems with iterative refinement capabilities has necessitated the development of agent-specific metrics that capture the unique characteristics of multi-step query generation processes. First-shot accuracy measures the success rate on the initial query attempt, providing insight into the base model’s capability before any refinement occurs. This metric serves as a baseline for understanding the fundamental performance of the underlying language model or fine-tuned system. Eventual accuracy, in contrast, measures the final success rate after all iterative refinement attempts, capturing the full capability of the agent system including its self-correction mechanisms. The gap between first-shot and eventual accuracy quantifies the value added by iterative refinement, with larger gaps indicating more effective error recovery capabilities. Self-correction rate provides a complementary perspective, measuring the percentage of queries that initially fail but are successfully corrected through iterative refinement, offering insight into the agent’s learning and adaptation capabilities. Finally, average iterations measures the mean number of attempts required until success, providing an efficiency metric that balances accuracy gains against computational overhead. Together, these agent-specific metrics enable comprehensive evaluation of iterative systems, supporting both research into self-correction mechanisms and practical deployment decisions that must balance accuracy, latency, and computational cost.</w:t>
      </w:r>
    </w:p>
    <w:bookmarkEnd w:id="70"/>
    <w:bookmarkEnd w:id="71"/>
    <w:bookmarkStart w:id="78" w:name="research-gaps-and-thesis-positioning"/>
    <w:p>
      <w:pPr>
        <w:pStyle w:val="Heading2"/>
      </w:pPr>
      <w:r>
        <w:t xml:space="preserve">Research Gaps and Thesis Positioning</w:t>
      </w:r>
    </w:p>
    <w:bookmarkStart w:id="76" w:name="identified-gaps"/>
    <w:p>
      <w:pPr>
        <w:pStyle w:val="Heading3"/>
      </w:pPr>
      <w:r>
        <w:t xml:space="preserve">Identified Gaps</w:t>
      </w:r>
    </w:p>
    <w:p>
      <w:pPr>
        <w:pStyle w:val="FirstParagraph"/>
      </w:pPr>
      <w:r>
        <w:t xml:space="preserve">This literature review reveals several critical gaps:</w:t>
      </w:r>
    </w:p>
    <w:bookmarkStart w:id="72" w:name="gap-1-extensible-urban-energy-platforms"/>
    <w:p>
      <w:pPr>
        <w:pStyle w:val="Heading5"/>
      </w:pPr>
      <w:r>
        <w:t xml:space="preserve">Gap 1: Extensible Urban Energy Platforms</w:t>
      </w:r>
    </w:p>
    <w:p>
      <w:pPr>
        <w:pStyle w:val="FirstParagraph"/>
      </w:pPr>
      <w:r>
        <w:t xml:space="preserve">Existing urban energy modeling platforms lack calculator-based extensibility allowing researchers to add custom building property computations without core infrastructure modifications. Multi-schema integration enabling seamless access to vector geometries, census demographics, and raster elevation models remains poorly supported across current frameworks. Natural language interfaces that would democratize spatial database access for non-technical domain experts are either completely absent or provide only limited functionality insufficient for exploratory urban analytics.</w:t>
      </w:r>
    </w:p>
    <w:bookmarkEnd w:id="72"/>
    <w:bookmarkStart w:id="73" w:name="gap-2-cost-effective-dataset-generation"/>
    <w:p>
      <w:pPr>
        <w:pStyle w:val="Heading5"/>
      </w:pPr>
      <w:r>
        <w:t xml:space="preserve">Gap 2: Cost-Effective Dataset Generation</w:t>
      </w:r>
    </w:p>
    <w:p>
      <w:pPr>
        <w:pStyle w:val="FirstParagraph"/>
      </w:pPr>
      <w:r>
        <w:t xml:space="preserve">Manual annotation of Text-to-SQL training data proves prohibitively expensive at $0.50-1.00 per sample, creating barriers to large-scale dataset creation for domain-specific applications. Existing synthetic generation approaches employing GANs or template-based methods achieve low success rates (typically 10-30% executable queries for complex SQL), limiting their practical utility. Validation-first methodologies that validate quality at each generation stage to prevent error propagation have not been demonstrated in prior work, resulting in inefficient pipelines requiring expensive post-generation filtering.</w:t>
      </w:r>
    </w:p>
    <w:bookmarkEnd w:id="73"/>
    <w:bookmarkStart w:id="74" w:name="gap-3-text-to-spatial-sql"/>
    <w:p>
      <w:pPr>
        <w:pStyle w:val="Heading5"/>
      </w:pPr>
      <w:r>
        <w:t xml:space="preserve">Gap 3: Text-to-Spatial-SQL</w:t>
      </w:r>
    </w:p>
    <w:p>
      <w:pPr>
        <w:pStyle w:val="FirstParagraph"/>
      </w:pPr>
      <w:r>
        <w:t xml:space="preserve">The Text-to-Spatial-SQL domain lacks standardized benchmarks comparable to Spider or BIRD that would enable systematic evaluation and cross-study comparisons. Limited evaluation of fine-tuned open-source models means that existing work focuses primarily on prompting frontier models through APIs, missing opportunities for cost-effective domain adaptation. Insufficient focus on PostGIS-specific spatial operations (ST_Distance, ST_Intersects, ST_Buffer) and multi-schema integration patterns leaves critical functionality underexplored. The absence of production-ready implementations prevents validation of proposed approaches in real-world deployment scenarios.</w:t>
      </w:r>
    </w:p>
    <w:bookmarkEnd w:id="74"/>
    <w:bookmarkStart w:id="75" w:name="gap-4-systematic-evaluation"/>
    <w:p>
      <w:pPr>
        <w:pStyle w:val="Heading5"/>
      </w:pPr>
      <w:r>
        <w:t xml:space="preserve">Gap 4: Systematic Evaluation</w:t>
      </w:r>
    </w:p>
    <w:p>
      <w:pPr>
        <w:pStyle w:val="FirstParagraph"/>
      </w:pPr>
      <w:r>
        <w:t xml:space="preserve">Limited evaluation of two-stage fine-tuning architectures (question</w:t>
      </w:r>
      <m:oMath>
        <m:r>
          <m:rPr>
            <m:sty m:val="p"/>
          </m:rPr>
          <m:t>→</m:t>
        </m:r>
      </m:oMath>
      <w:r>
        <w:t xml:space="preserve">instruction</w:t>
      </w:r>
      <m:oMath>
        <m:r>
          <m:rPr>
            <m:sty m:val="p"/>
          </m:rPr>
          <m:t>→</m:t>
        </m:r>
      </m:oMath>
      <w:r>
        <w:t xml:space="preserve">SQL) compared to direct generation approaches leaves architectural trade-offs poorly understood. Agent-based self-correction mechanisms remain under-explored, with insufficient analysis of iterative refinement benefits versus single-shot generation quality. Dataset quality metrics such as NoErr (executable query rate) receive insufficient emphasis in prior work, despite their critical importance for validating synthetic data generation approaches and ensuring training data correctness.</w:t>
      </w:r>
    </w:p>
    <w:bookmarkEnd w:id="75"/>
    <w:bookmarkEnd w:id="76"/>
    <w:bookmarkStart w:id="77" w:name="thesis-contributions-addressing-gaps"/>
    <w:p>
      <w:pPr>
        <w:pStyle w:val="Heading3"/>
      </w:pPr>
      <w:r>
        <w:t xml:space="preserve">Thesis Contributions Addressing Gaps</w:t>
      </w:r>
    </w:p>
    <w:p>
      <w:pPr>
        <w:pStyle w:val="FirstParagraph"/>
      </w:pPr>
      <w:r>
        <w:t xml:space="preserve">This thesis systematically addresses each identified gap through targeted technical contributions:</w:t>
      </w:r>
    </w:p>
    <w:p>
      <w:pPr>
        <w:numPr>
          <w:ilvl w:val="0"/>
          <w:numId w:val="1002"/>
        </w:numPr>
      </w:pPr>
      <w:r>
        <w:rPr>
          <w:bCs/>
          <w:b/>
        </w:rPr>
        <w:t xml:space="preserve">CIM Wizard Platform</w:t>
      </w:r>
      <w:r>
        <w:t xml:space="preserve">: Calculator-based architecture with multi-schema PostGIS integration enabling extensible urban energy modeling (addresses Gap 1)</w:t>
      </w:r>
    </w:p>
    <w:p>
      <w:pPr>
        <w:numPr>
          <w:ilvl w:val="0"/>
          <w:numId w:val="1002"/>
        </w:numPr>
      </w:pPr>
      <w:r>
        <w:rPr>
          <w:bCs/>
          <w:b/>
        </w:rPr>
        <w:t xml:space="preserve">Cost-Effective Dataset Generation</w:t>
      </w:r>
      <w:r>
        <w:t xml:space="preserve">: Two-stage pipeline producing 88,480 samples at $20 cost with 98-100% Stage 1 NoErr rate through validation-first methodology achieving 71.5% retention (addresses Gap 2)</w:t>
      </w:r>
    </w:p>
    <w:p>
      <w:pPr>
        <w:numPr>
          <w:ilvl w:val="0"/>
          <w:numId w:val="1002"/>
        </w:numPr>
      </w:pPr>
      <w:r>
        <w:rPr>
          <w:bCs/>
          <w:b/>
        </w:rPr>
        <w:t xml:space="preserve">Text-to-Spatial-SQL Implementation</w:t>
      </w:r>
      <w:r>
        <w:t xml:space="preserve">: Fine-tuned SQLCoder 7B achieving production-ready execution accuracy with comprehensive PostGIS operation coverage and taxonomy-based benchmark evaluation (addresses Gap 3)</w:t>
      </w:r>
    </w:p>
    <w:p>
      <w:pPr>
        <w:numPr>
          <w:ilvl w:val="0"/>
          <w:numId w:val="1002"/>
        </w:numPr>
      </w:pPr>
      <w:r>
        <w:rPr>
          <w:bCs/>
          <w:b/>
        </w:rPr>
        <w:t xml:space="preserve">Architecture Comparison</w:t>
      </w:r>
      <w:r>
        <w:t xml:space="preserve">: Systematic evaluation of direct Q2SQL versus two-stage fine-tuning with agent-based self-correction analysis using seven complementary metrics (NoErr, EM, Deep EM, EX, SC, EA, OOS/AD/ST) (addresses Gap 4)</w:t>
      </w:r>
    </w:p>
    <w:p>
      <w:pPr>
        <w:numPr>
          <w:ilvl w:val="0"/>
          <w:numId w:val="1002"/>
        </w:numPr>
      </w:pPr>
      <w:r>
        <w:rPr>
          <w:bCs/>
          <w:b/>
        </w:rPr>
        <w:t xml:space="preserve">Production-Ready Implementation</w:t>
      </w:r>
      <w:r>
        <w:t xml:space="preserve">: End-to-end framework achieving production threshold with substantial improvement over frontier models, validated through open-source release (addresses Gaps 1, 3, 4)</w:t>
      </w:r>
    </w:p>
    <w:bookmarkEnd w:id="77"/>
    <w:bookmarkEnd w:id="78"/>
    <w:bookmarkStart w:id="79" w:name="summary"/>
    <w:p>
      <w:pPr>
        <w:pStyle w:val="Heading2"/>
      </w:pPr>
      <w:r>
        <w:t xml:space="preserve">Summary</w:t>
      </w:r>
    </w:p>
    <w:p>
      <w:pPr>
        <w:pStyle w:val="FirstParagraph"/>
      </w:pPr>
      <w:r>
        <w:t xml:space="preserve">This chapter reviewed the state of the art across Text-to-SQL (benchmarks, agent approaches, schema linking, fine-tuning), urban informatics platforms, natural language database interfaces, synthetic data generation, and evaluation metrics. The analysis reveals that while Text-to-SQL has matured significantly, Text-to-Spatial-SQL remains nascent, lacking standardized benchmarks, large-scale datasets, and production-ready implementations.</w:t>
      </w:r>
    </w:p>
    <w:p>
      <w:pPr>
        <w:pStyle w:val="BodyText"/>
      </w:pPr>
      <w:r>
        <w:t xml:space="preserve">Urban energy platforms similarly lack the extensibility and natural language accessibility required for non-technical domain experts. Existing synthetic data generation approaches achieve limited success for SQL (10-30% executable queries), and validation-first methodologies have not been explored.</w:t>
      </w:r>
    </w:p>
    <w:p>
      <w:pPr>
        <w:pStyle w:val="BodyText"/>
      </w:pPr>
      <w:r>
        <w:t xml:space="preserve">This thesis addresses these gaps through the integrated CIM Wizard and CIM Assist framework, detailed in Chapter </w:t>
      </w:r>
      <w:hyperlink w:anchor="ch:methodology">
        <w:r>
          <w:rPr>
            <w:rStyle w:val="Hyperlink"/>
          </w:rPr>
          <w:t xml:space="preserve">[ch:methodology]</w:t>
        </w:r>
      </w:hyperlink>
      <w:r>
        <w:t xml:space="preserve">, with results demonstrating production-ready performance presented in Chapter </w:t>
      </w:r>
      <w:hyperlink w:anchor="ch:results">
        <w:r>
          <w:rPr>
            <w:rStyle w:val="Hyperlink"/>
          </w:rPr>
          <w:t xml:space="preserve">[ch:results]</w:t>
        </w:r>
      </w:hyperlink>
      <w:r>
        <w:t xml:space="preserve">.</w:t>
      </w:r>
    </w:p>
    <w:bookmarkEnd w:id="79"/>
    <w:bookmarkEnd w:id="80"/>
    <w:bookmarkStart w:id="134" w:name="ch:background"/>
    <w:p>
      <w:pPr>
        <w:pStyle w:val="Heading1"/>
      </w:pPr>
      <w:r>
        <w:t xml:space="preserve">Background Technologies</w:t>
      </w:r>
    </w:p>
    <w:p>
      <w:pPr>
        <w:pStyle w:val="FirstParagraph"/>
      </w:pPr>
      <w:r>
        <w:t xml:space="preserve">This chapter introduces the foundational technologies underlying the CIM Wizard and CIM Assist systems. We cover spatial databases and PostGIS, large language models and transformer architectures, parameter-efficient fine-tuning techniques, and AI agent frameworks.</w:t>
      </w:r>
    </w:p>
    <w:bookmarkStart w:id="84" w:name="urban-informatics-and-smart-cities"/>
    <w:p>
      <w:pPr>
        <w:pStyle w:val="Heading2"/>
      </w:pPr>
      <w:r>
        <w:t xml:space="preserve">Urban Informatics and Smart Cities</w:t>
      </w:r>
    </w:p>
    <w:bookmarkStart w:id="81" w:name="digital-twin-technologies"/>
    <w:p>
      <w:pPr>
        <w:pStyle w:val="Heading3"/>
      </w:pPr>
      <w:r>
        <w:t xml:space="preserve">Digital Twin Technologies</w:t>
      </w:r>
    </w:p>
    <w:p>
      <w:pPr>
        <w:pStyle w:val="FirstParagraph"/>
      </w:pPr>
      <w:r>
        <w:t xml:space="preserve">Urban informatics integrates geospatial data, sensors, and analytics for comprehensive city management, with several platforms emerging to address different aspects of urban digital transformation. Digital twin technologies have gained prominence in smart city applications </w:t>
      </w:r>
      <w:r>
        <w:t xml:space="preserve">, providing virtual representations of urban systems that enable real-time monitoring and simulation-based decision making. Recent advances in urban energy management </w:t>
      </w:r>
      <w:r>
        <w:t xml:space="preserve"> </w:t>
      </w:r>
      <w:r>
        <w:t xml:space="preserve">demonstrate the integration of IoT, digital twins, and GIS-based statistical models for multi-scale policy support.</w:t>
      </w:r>
    </w:p>
    <w:bookmarkEnd w:id="81"/>
    <w:bookmarkStart w:id="82" w:name="urban-platform-examples"/>
    <w:p>
      <w:pPr>
        <w:pStyle w:val="Heading3"/>
      </w:pPr>
      <w:r>
        <w:t xml:space="preserve">Urban Platform Examples</w:t>
      </w:r>
    </w:p>
    <w:p>
      <w:pPr>
        <w:pStyle w:val="FirstParagraph"/>
      </w:pPr>
      <w:r>
        <w:t xml:space="preserve">OpenCity </w:t>
      </w:r>
      <w:r>
        <w:t xml:space="preserve"> </w:t>
      </w:r>
      <w:r>
        <w:t xml:space="preserve">represents an open-source platform designed for urban simulation and planning, with particular emphasis on multi-agent urban modeling that simulates complex interactions between city stakeholders and infrastructure systems. While OpenCity provides powerful simulation capabilities, its primary focus on agent-based modeling results in limited support for direct database query interfaces, restricting ad-hoc analytical access to underlying urban data.</w:t>
      </w:r>
    </w:p>
    <w:p>
      <w:pPr>
        <w:pStyle w:val="BodyText"/>
      </w:pPr>
      <w:r>
        <w:t xml:space="preserve">CityLeo </w:t>
      </w:r>
      <w:r>
        <w:t xml:space="preserve"> </w:t>
      </w:r>
      <w:r>
        <w:t xml:space="preserve">takes a different approach by providing an LLM-enhanced urban data platform specifically designed for decision support applications. The platform integrates multiple data sources spanning demographics, transportation networks, and environmental monitoring, creating a unified urban information ecosystem. However, CityLeo’s general-purpose design orientation means it lacks the specialized features and domain-specific optimizations necessary for detailed urban energy modeling and building-level energy analysis.</w:t>
      </w:r>
    </w:p>
    <w:bookmarkEnd w:id="82"/>
    <w:bookmarkStart w:id="83" w:name="building-information-modeling-standards"/>
    <w:p>
      <w:pPr>
        <w:pStyle w:val="Heading3"/>
      </w:pPr>
      <w:r>
        <w:t xml:space="preserve">Building Information Modeling Standards</w:t>
      </w:r>
    </w:p>
    <w:p>
      <w:pPr>
        <w:pStyle w:val="FirstParagraph"/>
      </w:pPr>
      <w:r>
        <w:t xml:space="preserve">Building Information Modeling provides comprehensive 3D object-oriented representations of building structures, standardized through industry specifications such as IFC (Industry Foundation Classes) and CityGML </w:t>
      </w:r>
      <w:r>
        <w:t xml:space="preserve">. BIM systems excel at capturing detailed geometric and semantic information about individual buildings, supporting lifecycle management from design through construction and maintenance phases. However, this building-centric focus creates a significant gap when scaling to city-wide energy analysis, as BIM frameworks lack the computational infrastructure and analytical capabilities necessary for integrated urban energy modeling across hundreds or thousands of buildings simultaneously.</w:t>
      </w:r>
    </w:p>
    <w:p>
      <w:pPr>
        <w:pStyle w:val="BodyText"/>
      </w:pPr>
      <w:r>
        <w:t xml:space="preserve">Large-scale building energy datasets </w:t>
      </w:r>
      <w:r>
        <w:t xml:space="preserve"> </w:t>
      </w:r>
      <w:r>
        <w:t xml:space="preserve">provide valuable resources for urban energy modeling but require sophisticated analytical frameworks to extract actionable insights. The convergence of these technologies reveals critical needs for platform flexibility, data integration across multi-schema sources, and extensible architectures that support custom analytical capabilities without core system modifications.</w:t>
      </w:r>
    </w:p>
    <w:bookmarkEnd w:id="83"/>
    <w:bookmarkEnd w:id="84"/>
    <w:bookmarkStart w:id="89" w:name="spatial-databases-and-postgis"/>
    <w:p>
      <w:pPr>
        <w:pStyle w:val="Heading2"/>
      </w:pPr>
      <w:r>
        <w:t xml:space="preserve">Spatial Databases and PostGIS</w:t>
      </w:r>
    </w:p>
    <w:bookmarkStart w:id="85" w:name="spatial-data-types"/>
    <w:p>
      <w:pPr>
        <w:pStyle w:val="Heading3"/>
      </w:pPr>
      <w:r>
        <w:t xml:space="preserve">Spatial Data Types</w:t>
      </w:r>
    </w:p>
    <w:p>
      <w:pPr>
        <w:pStyle w:val="FirstParagraph"/>
      </w:pPr>
      <w:r>
        <w:t xml:space="preserve">Spatial databases extend traditional relational databases with geometric and geographic data types, enabling sophisticated spatial analysis capabilities essential for urban informatics applications. The Open Geospatial Consortium (OGC) defines standard spatial types that form the foundation of spatial database operations.</w:t>
      </w:r>
      <w:r>
        <w:t xml:space="preserve"> </w:t>
      </w:r>
      <w:r>
        <w:rPr>
          <w:bCs/>
          <w:b/>
        </w:rPr>
        <w:t xml:space="preserve">Point</w:t>
      </w:r>
      <w:r>
        <w:t xml:space="preserve"> </w:t>
      </w:r>
      <w:r>
        <w:t xml:space="preserve">geometries represent single locations such as building centroids or sensor positions, while</w:t>
      </w:r>
      <w:r>
        <w:t xml:space="preserve"> </w:t>
      </w:r>
      <w:r>
        <w:rPr>
          <w:bCs/>
          <w:b/>
        </w:rPr>
        <w:t xml:space="preserve">LineString</w:t>
      </w:r>
      <w:r>
        <w:t xml:space="preserve"> </w:t>
      </w:r>
      <w:r>
        <w:t xml:space="preserve">geometries model linear features as sequences of connected points, making them ideal for representing road networks or utility lines.</w:t>
      </w:r>
      <w:r>
        <w:t xml:space="preserve"> </w:t>
      </w:r>
      <w:r>
        <w:rPr>
          <w:bCs/>
          <w:b/>
        </w:rPr>
        <w:t xml:space="preserve">Polygon</w:t>
      </w:r>
      <w:r>
        <w:t xml:space="preserve"> </w:t>
      </w:r>
      <w:r>
        <w:t xml:space="preserve">geometries define closed shapes with interior areas and optional holes, commonly used for building footprints, land parcels, or administrative boundaries. For more complex spatial entities, the OGC standard defines collection types including</w:t>
      </w:r>
      <w:r>
        <w:t xml:space="preserve"> </w:t>
      </w:r>
      <w:r>
        <w:rPr>
          <w:bCs/>
          <w:b/>
        </w:rPr>
        <w:t xml:space="preserve">MultiPoint</w:t>
      </w:r>
      <w:r>
        <w:t xml:space="preserve">,</w:t>
      </w:r>
      <w:r>
        <w:t xml:space="preserve"> </w:t>
      </w:r>
      <w:r>
        <w:rPr>
          <w:bCs/>
          <w:b/>
        </w:rPr>
        <w:t xml:space="preserve">MultiLineString</w:t>
      </w:r>
      <w:r>
        <w:t xml:space="preserve">, and</w:t>
      </w:r>
      <w:r>
        <w:t xml:space="preserve"> </w:t>
      </w:r>
      <w:r>
        <w:rPr>
          <w:bCs/>
          <w:b/>
        </w:rPr>
        <w:t xml:space="preserve">MultiPolygon</w:t>
      </w:r>
      <w:r>
        <w:t xml:space="preserve"> </w:t>
      </w:r>
      <w:r>
        <w:t xml:space="preserve">geometries that group multiple simple geometries of the same type, as well as</w:t>
      </w:r>
      <w:r>
        <w:t xml:space="preserve"> </w:t>
      </w:r>
      <w:r>
        <w:rPr>
          <w:bCs/>
          <w:b/>
        </w:rPr>
        <w:t xml:space="preserve">GeometryCollection</w:t>
      </w:r>
      <w:r>
        <w:t xml:space="preserve"> </w:t>
      </w:r>
      <w:r>
        <w:t xml:space="preserve">for heterogeneous collections mixing different geometry types within a single spatial object.</w:t>
      </w:r>
    </w:p>
    <w:bookmarkEnd w:id="85"/>
    <w:bookmarkStart w:id="86" w:name="postgis-extension"/>
    <w:p>
      <w:pPr>
        <w:pStyle w:val="Heading3"/>
      </w:pPr>
      <w:r>
        <w:t xml:space="preserve">PostGIS Extension</w:t>
      </w:r>
    </w:p>
    <w:p>
      <w:pPr>
        <w:pStyle w:val="FirstParagraph"/>
      </w:pPr>
      <w:r>
        <w:t xml:space="preserve">PostGIS extends PostgreSQL with comprehensive spatial capabilities, transforming it into a powerful spatial database management system </w:t>
      </w:r>
      <w:r>
        <w:t xml:space="preserve">. The extension provides dual geometric representations through</w:t>
      </w:r>
      <w:r>
        <w:t xml:space="preserve"> </w:t>
      </w:r>
      <w:r>
        <w:rPr>
          <w:bCs/>
          <w:b/>
        </w:rPr>
        <w:t xml:space="preserve">Geometry</w:t>
      </w:r>
      <w:r>
        <w:t xml:space="preserve"> </w:t>
      </w:r>
      <w:r>
        <w:t xml:space="preserve">types for planar 2D projected coordinates and</w:t>
      </w:r>
      <w:r>
        <w:t xml:space="preserve"> </w:t>
      </w:r>
      <w:r>
        <w:rPr>
          <w:bCs/>
          <w:b/>
        </w:rPr>
        <w:t xml:space="preserve">Geography</w:t>
      </w:r>
      <w:r>
        <w:t xml:space="preserve"> </w:t>
      </w:r>
      <w:r>
        <w:t xml:space="preserve">types for spherical geodetic coordinates, allowing applications to choose the most appropriate representation based on their spatial accuracy requirements and computational needs. To enable efficient spatial query performance, PostGIS implements specialized</w:t>
      </w:r>
      <w:r>
        <w:t xml:space="preserve"> </w:t>
      </w:r>
      <w:r>
        <w:rPr>
          <w:bCs/>
          <w:b/>
        </w:rPr>
        <w:t xml:space="preserve">Spatial Indexing</w:t>
      </w:r>
      <w:r>
        <w:t xml:space="preserve"> </w:t>
      </w:r>
      <w:r>
        <w:t xml:space="preserve">structures including GiST (Generalized Search Tree) and SP-GiST (Space-Partitioned Generalized Search Tree) indexes that dramatically reduce query execution time for spatial operations. The system supports over 6000</w:t>
      </w:r>
      <w:r>
        <w:t xml:space="preserve"> </w:t>
      </w:r>
      <w:r>
        <w:rPr>
          <w:bCs/>
          <w:b/>
        </w:rPr>
        <w:t xml:space="preserve">Coordinate Reference Systems (CRS)</w:t>
      </w:r>
      <w:r>
        <w:t xml:space="preserve"> </w:t>
      </w:r>
      <w:r>
        <w:t xml:space="preserve">with automatic coordinate transformations between different spatial reference systems, essential for integrating spatial data from diverse sources with varying geographic projections. Additionally, PostGIS provides comprehensive</w:t>
      </w:r>
      <w:r>
        <w:t xml:space="preserve"> </w:t>
      </w:r>
      <w:r>
        <w:rPr>
          <w:bCs/>
          <w:b/>
        </w:rPr>
        <w:t xml:space="preserve">Raster Support</w:t>
      </w:r>
      <w:r>
        <w:t xml:space="preserve"> </w:t>
      </w:r>
      <w:r>
        <w:t xml:space="preserve">capabilities enabling storage and analysis of raster data such as digital elevation models and land cover classifications, facilitating integrated raster-vector spatial analysis workflows.</w:t>
      </w:r>
    </w:p>
    <w:bookmarkEnd w:id="86"/>
    <w:bookmarkStart w:id="87" w:name="spatial-operations"/>
    <w:p>
      <w:pPr>
        <w:pStyle w:val="Heading3"/>
      </w:pPr>
      <w:r>
        <w:t xml:space="preserve">Spatial Operations</w:t>
      </w:r>
    </w:p>
    <w:p>
      <w:pPr>
        <w:pStyle w:val="FirstParagraph"/>
      </w:pPr>
      <w:r>
        <w:t xml:space="preserve">PostGIS provides an extensive library of spatial functions organized into four functional categories enabling sophisticated geometric analysis. Spatial relationship predicates form the foundation of spatial queries through functions determining geometric interactions:</w:t>
      </w:r>
      <w:r>
        <w:t xml:space="preserve"> </w:t>
      </w:r>
      <w:r>
        <w:rPr>
          <w:rStyle w:val="VerbatimChar"/>
        </w:rPr>
        <w:t xml:space="preserve">ST_Intersects</w:t>
      </w:r>
      <w:r>
        <w:t xml:space="preserve"> </w:t>
      </w:r>
      <w:r>
        <w:t xml:space="preserve">tests for shared space between geometries,</w:t>
      </w:r>
      <w:r>
        <w:t xml:space="preserve"> </w:t>
      </w:r>
      <w:r>
        <w:rPr>
          <w:rStyle w:val="VerbatimChar"/>
        </w:rPr>
        <w:t xml:space="preserve">ST_Contains</w:t>
      </w:r>
      <w:r>
        <w:t xml:space="preserve"> </w:t>
      </w:r>
      <w:r>
        <w:t xml:space="preserve">evaluates complete containment,</w:t>
      </w:r>
      <w:r>
        <w:t xml:space="preserve"> </w:t>
      </w:r>
      <w:r>
        <w:rPr>
          <w:rStyle w:val="VerbatimChar"/>
        </w:rPr>
        <w:t xml:space="preserve">ST_Within</w:t>
      </w:r>
      <w:r>
        <w:t xml:space="preserve"> </w:t>
      </w:r>
      <w:r>
        <w:t xml:space="preserve">checks inverse containment, and</w:t>
      </w:r>
      <w:r>
        <w:t xml:space="preserve"> </w:t>
      </w:r>
      <w:r>
        <w:rPr>
          <w:rStyle w:val="VerbatimChar"/>
        </w:rPr>
        <w:t xml:space="preserve">ST_DWithin</w:t>
      </w:r>
      <w:r>
        <w:t xml:space="preserve"> </w:t>
      </w:r>
      <w:r>
        <w:t xml:space="preserve">verifies proximity within distance thresholds. Spatial measurement functions enable quantitative analysis including</w:t>
      </w:r>
      <w:r>
        <w:t xml:space="preserve"> </w:t>
      </w:r>
      <w:r>
        <w:rPr>
          <w:rStyle w:val="VerbatimChar"/>
        </w:rPr>
        <w:t xml:space="preserve">ST_Area</w:t>
      </w:r>
      <w:r>
        <w:t xml:space="preserve"> </w:t>
      </w:r>
      <w:r>
        <w:t xml:space="preserve">for polygon area calculation,</w:t>
      </w:r>
      <w:r>
        <w:t xml:space="preserve"> </w:t>
      </w:r>
      <w:r>
        <w:rPr>
          <w:rStyle w:val="VerbatimChar"/>
        </w:rPr>
        <w:t xml:space="preserve">ST_Distance</w:t>
      </w:r>
      <w:r>
        <w:t xml:space="preserve"> </w:t>
      </w:r>
      <w:r>
        <w:t xml:space="preserve">for minimum distance determination,</w:t>
      </w:r>
      <w:r>
        <w:t xml:space="preserve"> </w:t>
      </w:r>
      <w:r>
        <w:rPr>
          <w:rStyle w:val="VerbatimChar"/>
        </w:rPr>
        <w:t xml:space="preserve">ST_Length</w:t>
      </w:r>
      <w:r>
        <w:t xml:space="preserve"> </w:t>
      </w:r>
      <w:r>
        <w:t xml:space="preserve">for linear feature measurement, and</w:t>
      </w:r>
      <w:r>
        <w:t xml:space="preserve"> </w:t>
      </w:r>
      <w:r>
        <w:rPr>
          <w:rStyle w:val="VerbatimChar"/>
        </w:rPr>
        <w:t xml:space="preserve">ST_Perimeter</w:t>
      </w:r>
      <w:r>
        <w:t xml:space="preserve"> </w:t>
      </w:r>
      <w:r>
        <w:t xml:space="preserve">for boundary length computation. Spatial processing functions facilitate geometric transformations through</w:t>
      </w:r>
      <w:r>
        <w:t xml:space="preserve"> </w:t>
      </w:r>
      <w:r>
        <w:rPr>
          <w:rStyle w:val="VerbatimChar"/>
        </w:rPr>
        <w:t xml:space="preserve">ST_Buffer</w:t>
      </w:r>
      <w:r>
        <w:t xml:space="preserve"> </w:t>
      </w:r>
      <w:r>
        <w:t xml:space="preserve">for buffer zone creation,</w:t>
      </w:r>
      <w:r>
        <w:t xml:space="preserve"> </w:t>
      </w:r>
      <w:r>
        <w:rPr>
          <w:rStyle w:val="VerbatimChar"/>
        </w:rPr>
        <w:t xml:space="preserve">ST_Intersection</w:t>
      </w:r>
      <w:r>
        <w:t xml:space="preserve"> </w:t>
      </w:r>
      <w:r>
        <w:t xml:space="preserve">for geometric overlap computation,</w:t>
      </w:r>
      <w:r>
        <w:t xml:space="preserve"> </w:t>
      </w:r>
      <w:r>
        <w:rPr>
          <w:rStyle w:val="VerbatimChar"/>
        </w:rPr>
        <w:t xml:space="preserve">ST_Union</w:t>
      </w:r>
      <w:r>
        <w:t xml:space="preserve"> </w:t>
      </w:r>
      <w:r>
        <w:t xml:space="preserve">for geometry merging, and</w:t>
      </w:r>
      <w:r>
        <w:t xml:space="preserve"> </w:t>
      </w:r>
      <w:r>
        <w:rPr>
          <w:rStyle w:val="VerbatimChar"/>
        </w:rPr>
        <w:t xml:space="preserve">ST_Centroid</w:t>
      </w:r>
      <w:r>
        <w:t xml:space="preserve"> </w:t>
      </w:r>
      <w:r>
        <w:t xml:space="preserve">for geometric center calculation. Raster-vector integration capabilities enable seamless cross-model analysis through</w:t>
      </w:r>
      <w:r>
        <w:t xml:space="preserve"> </w:t>
      </w:r>
      <w:r>
        <w:rPr>
          <w:rStyle w:val="VerbatimChar"/>
        </w:rPr>
        <w:t xml:space="preserve">ST_Value</w:t>
      </w:r>
      <w:r>
        <w:t xml:space="preserve"> </w:t>
      </w:r>
      <w:r>
        <w:t xml:space="preserve">for raster sampling at point locations,</w:t>
      </w:r>
      <w:r>
        <w:t xml:space="preserve"> </w:t>
      </w:r>
      <w:r>
        <w:rPr>
          <w:rStyle w:val="VerbatimChar"/>
        </w:rPr>
        <w:t xml:space="preserve">ST_Clip</w:t>
      </w:r>
      <w:r>
        <w:t xml:space="preserve"> </w:t>
      </w:r>
      <w:r>
        <w:t xml:space="preserve">for raster clipping to polygon boundaries, and</w:t>
      </w:r>
      <w:r>
        <w:t xml:space="preserve"> </w:t>
      </w:r>
      <w:r>
        <w:rPr>
          <w:rStyle w:val="VerbatimChar"/>
        </w:rPr>
        <w:t xml:space="preserve">ST_AsRaster</w:t>
      </w:r>
      <w:r>
        <w:t xml:space="preserve"> </w:t>
      </w:r>
      <w:r>
        <w:t xml:space="preserve">for vector-to-raster conversion.</w:t>
      </w:r>
    </w:p>
    <w:bookmarkEnd w:id="87"/>
    <w:bookmarkStart w:id="88" w:name="query-example"/>
    <w:p>
      <w:pPr>
        <w:pStyle w:val="Heading3"/>
      </w:pPr>
      <w:r>
        <w:t xml:space="preserve">Query Example</w:t>
      </w:r>
    </w:p>
    <w:p>
      <w:pPr>
        <w:pStyle w:val="FirstParagraph"/>
      </w:pPr>
      <w:r>
        <w:t xml:space="preserve">A typical spatial query in the CIM domain:</w:t>
      </w:r>
    </w:p>
    <w:p>
      <w:pPr>
        <w:pStyle w:val="SourceCode"/>
      </w:pPr>
      <w:r>
        <w:rPr>
          <w:rStyle w:val="VerbatimChar"/>
        </w:rPr>
        <w:t xml:space="preserve">SELECT </w:t>
      </w:r>
      <w:r>
        <w:br/>
      </w:r>
      <w:r>
        <w:rPr>
          <w:rStyle w:val="VerbatimChar"/>
        </w:rPr>
        <w:t xml:space="preserve">    b.building_id,</w:t>
      </w:r>
      <w:r>
        <w:br/>
      </w:r>
      <w:r>
        <w:rPr>
          <w:rStyle w:val="VerbatimChar"/>
        </w:rPr>
        <w:t xml:space="preserve">    b.building_name,</w:t>
      </w:r>
      <w:r>
        <w:br/>
      </w:r>
      <w:r>
        <w:rPr>
          <w:rStyle w:val="VerbatimChar"/>
        </w:rPr>
        <w:t xml:space="preserve">    ST_Area(b.building_geometry) as footprint_area,</w:t>
      </w:r>
      <w:r>
        <w:br/>
      </w:r>
      <w:r>
        <w:rPr>
          <w:rStyle w:val="VerbatimChar"/>
        </w:rPr>
        <w:t xml:space="preserve">    c.population_density,</w:t>
      </w:r>
      <w:r>
        <w:br/>
      </w:r>
      <w:r>
        <w:rPr>
          <w:rStyle w:val="VerbatimChar"/>
        </w:rPr>
        <w:t xml:space="preserve">    ST_Distance(b.building_geometry, s.station_geometry) as distance_to_station</w:t>
      </w:r>
      <w:r>
        <w:br/>
      </w:r>
      <w:r>
        <w:rPr>
          <w:rStyle w:val="VerbatimChar"/>
        </w:rPr>
        <w:t xml:space="preserve">FROM </w:t>
      </w:r>
      <w:r>
        <w:br/>
      </w:r>
      <w:r>
        <w:rPr>
          <w:rStyle w:val="VerbatimChar"/>
        </w:rPr>
        <w:t xml:space="preserve">    cim_vector.buildings b</w:t>
      </w:r>
      <w:r>
        <w:br/>
      </w:r>
      <w:r>
        <w:rPr>
          <w:rStyle w:val="VerbatimChar"/>
        </w:rPr>
        <w:t xml:space="preserve">    INNER JOIN cim_census.census_tracts c </w:t>
      </w:r>
      <w:r>
        <w:br/>
      </w:r>
      <w:r>
        <w:rPr>
          <w:rStyle w:val="VerbatimChar"/>
        </w:rPr>
        <w:t xml:space="preserve">        ON ST_Intersects(b.building_geometry, c.tract_geometry)</w:t>
      </w:r>
      <w:r>
        <w:br/>
      </w:r>
      <w:r>
        <w:rPr>
          <w:rStyle w:val="VerbatimChar"/>
        </w:rPr>
        <w:t xml:space="preserve">    CROSS JOIN LATERAL (</w:t>
      </w:r>
      <w:r>
        <w:br/>
      </w:r>
      <w:r>
        <w:rPr>
          <w:rStyle w:val="VerbatimChar"/>
        </w:rPr>
        <w:t xml:space="preserve">        SELECT station_geometry</w:t>
      </w:r>
      <w:r>
        <w:br/>
      </w:r>
      <w:r>
        <w:rPr>
          <w:rStyle w:val="VerbatimChar"/>
        </w:rPr>
        <w:t xml:space="preserve">        FROM cim_vector.subway_stations</w:t>
      </w:r>
      <w:r>
        <w:br/>
      </w:r>
      <w:r>
        <w:rPr>
          <w:rStyle w:val="VerbatimChar"/>
        </w:rPr>
        <w:t xml:space="preserve">        ORDER BY b.building_geometry &lt;-&gt; station_geometry</w:t>
      </w:r>
      <w:r>
        <w:br/>
      </w:r>
      <w:r>
        <w:rPr>
          <w:rStyle w:val="VerbatimChar"/>
        </w:rPr>
        <w:t xml:space="preserve">        LIMIT 1</w:t>
      </w:r>
      <w:r>
        <w:br/>
      </w:r>
      <w:r>
        <w:rPr>
          <w:rStyle w:val="VerbatimChar"/>
        </w:rPr>
        <w:t xml:space="preserve">    ) s</w:t>
      </w:r>
      <w:r>
        <w:br/>
      </w:r>
      <w:r>
        <w:rPr>
          <w:rStyle w:val="VerbatimChar"/>
        </w:rPr>
        <w:t xml:space="preserve">WHERE </w:t>
      </w:r>
      <w:r>
        <w:br/>
      </w:r>
      <w:r>
        <w:rPr>
          <w:rStyle w:val="VerbatimChar"/>
        </w:rPr>
        <w:t xml:space="preserve">    ST_Area(b.building_geometry) &gt; 100</w:t>
      </w:r>
      <w:r>
        <w:br/>
      </w:r>
      <w:r>
        <w:rPr>
          <w:rStyle w:val="VerbatimChar"/>
        </w:rPr>
        <w:t xml:space="preserve">    AND c.population_density &gt; 5000;</w:t>
      </w:r>
    </w:p>
    <w:p>
      <w:pPr>
        <w:pStyle w:val="FirstParagraph"/>
      </w:pPr>
      <w:r>
        <w:t xml:space="preserve">This query demonstrates spatial joins (</w:t>
      </w:r>
      <w:r>
        <w:rPr>
          <w:rStyle w:val="VerbatimChar"/>
        </w:rPr>
        <w:t xml:space="preserve">ST_Intersects</w:t>
      </w:r>
      <w:r>
        <w:t xml:space="preserve">), measurements (</w:t>
      </w:r>
      <w:r>
        <w:rPr>
          <w:rStyle w:val="VerbatimChar"/>
        </w:rPr>
        <w:t xml:space="preserve">ST_Area</w:t>
      </w:r>
      <w:r>
        <w:t xml:space="preserve">,</w:t>
      </w:r>
      <w:r>
        <w:t xml:space="preserve"> </w:t>
      </w:r>
      <w:r>
        <w:rPr>
          <w:rStyle w:val="VerbatimChar"/>
        </w:rPr>
        <w:t xml:space="preserve">ST_Distance</w:t>
      </w:r>
      <w:r>
        <w:t xml:space="preserve">), and spatial indexing (KNN operator</w:t>
      </w:r>
      <w:r>
        <w:t xml:space="preserve"> </w:t>
      </w:r>
      <w:r>
        <w:rPr>
          <w:rStyle w:val="VerbatimChar"/>
        </w:rPr>
        <w:t xml:space="preserve">&lt;-&gt;</w:t>
      </w:r>
      <w:r>
        <w:t xml:space="preserve">).</w:t>
      </w:r>
    </w:p>
    <w:bookmarkEnd w:id="88"/>
    <w:bookmarkEnd w:id="89"/>
    <w:bookmarkStart w:id="95" w:name="dcitydb-extension-and-cityjson"/>
    <w:p>
      <w:pPr>
        <w:pStyle w:val="Heading2"/>
      </w:pPr>
      <w:r>
        <w:t xml:space="preserve">3DCityDB Extension and CityJSON</w:t>
      </w:r>
    </w:p>
    <w:p>
      <w:pPr>
        <w:pStyle w:val="FirstParagraph"/>
      </w:pPr>
      <w:r>
        <w:t xml:space="preserve">3DCityDB is a spatial database management system for 3D city modeling and simulation, based on the Open Geospatial Consortium (OGC) CityGML standard </w:t>
      </w:r>
      <w:r>
        <w:t xml:space="preserve">. The system provides comprehensive spatial operations and analytical capabilities for 3D city modeling, enabling storage, query, and analysis of complex urban geometries and semantic information.</w:t>
      </w:r>
    </w:p>
    <w:bookmarkStart w:id="90" w:name="citygml-schema-structure"/>
    <w:p>
      <w:pPr>
        <w:pStyle w:val="Heading3"/>
      </w:pPr>
      <w:r>
        <w:t xml:space="preserve">CityGML Schema Structure</w:t>
      </w:r>
    </w:p>
    <w:p>
      <w:pPr>
        <w:pStyle w:val="FirstParagraph"/>
      </w:pPr>
      <w:r>
        <w:t xml:space="preserve">CityGML defines a hierarchical schema for representing city objects at multiple levels of detail (LoD 0-4), organized into thematic modules. The Core Module provides base classes for all city objects including</w:t>
      </w:r>
      <w:r>
        <w:t xml:space="preserve"> </w:t>
      </w:r>
      <w:r>
        <w:rPr>
          <w:rStyle w:val="VerbatimChar"/>
        </w:rPr>
        <w:t xml:space="preserve">CityObject</w:t>
      </w:r>
      <w:r>
        <w:t xml:space="preserve">,</w:t>
      </w:r>
      <w:r>
        <w:t xml:space="preserve"> </w:t>
      </w:r>
      <w:r>
        <w:rPr>
          <w:rStyle w:val="VerbatimChar"/>
        </w:rPr>
        <w:t xml:space="preserve">CityModel</w:t>
      </w:r>
      <w:r>
        <w:t xml:space="preserve">, and geometric primitives. Domain-specific modules cover urban features comprehensively: the Building Module represents structures from footprints (LoD0) to detailed interiors (LoD4), the Transportation Module models road networks and railways, the Vegetation Module captures trees and green spaces, and the Water Body Module represents aquatic features. Additional modules include Land Use for zoning classifications, Relief for terrain and elevation models, and City Furniture for street equipment and urban amenities.</w:t>
      </w:r>
    </w:p>
    <w:bookmarkEnd w:id="90"/>
    <w:bookmarkStart w:id="93" w:name="application-domain-extensions-ades"/>
    <w:p>
      <w:pPr>
        <w:pStyle w:val="Heading3"/>
      </w:pPr>
      <w:r>
        <w:t xml:space="preserve">Application Domain Extensions (ADEs)</w:t>
      </w:r>
    </w:p>
    <w:p>
      <w:pPr>
        <w:pStyle w:val="FirstParagraph"/>
      </w:pPr>
      <w:r>
        <w:t xml:space="preserve">CityGML supports Application Domain Extensions (ADEs) that extend the base schema with domain-specific attributes and relationships. Two critical ADEs for urban energy modeling are:</w:t>
      </w:r>
    </w:p>
    <w:bookmarkStart w:id="91" w:name="energy-ade"/>
    <w:p>
      <w:pPr>
        <w:pStyle w:val="Heading5"/>
      </w:pPr>
      <w:r>
        <w:t xml:space="preserve">Energy ADE</w:t>
      </w:r>
    </w:p>
    <w:p>
      <w:pPr>
        <w:pStyle w:val="FirstParagraph"/>
      </w:pPr>
      <w:r>
        <w:t xml:space="preserve">The Energy ADE </w:t>
      </w:r>
      <w:r>
        <w:t xml:space="preserve"> </w:t>
      </w:r>
      <w:r>
        <w:t xml:space="preserve">extends building objects with comprehensive energy-related properties essential for urban energy modeling. Thermal properties include U-values for building envelope components (walls, roofs, floors, windows) along with thermal transmittance and heat capacity parameters. Construction elements are detailed through material layer specifications, insulation properties, and glazing characteristics enabling accurate thermal simulation. Energy systems encompass heating, cooling, and ventilation equipment with associated efficiency ratings and operational parameters. Historical energy consumption data, energy certificates, and performance indicators support validation and calibration. Renewable energy installations including solar panels, heat pumps, and district heating connections enable scenario analysis for sustainable energy transitions.</w:t>
      </w:r>
    </w:p>
    <w:bookmarkEnd w:id="91"/>
    <w:bookmarkStart w:id="92" w:name="utility-network-ade"/>
    <w:p>
      <w:pPr>
        <w:pStyle w:val="Heading5"/>
      </w:pPr>
      <w:r>
        <w:t xml:space="preserve">Utility Network ADE</w:t>
      </w:r>
    </w:p>
    <w:p>
      <w:pPr>
        <w:pStyle w:val="FirstParagraph"/>
      </w:pPr>
      <w:r>
        <w:t xml:space="preserve">The Utility Network ADE extends CityGML with comprehensive infrastructure network modeling capabilities. Electrical networks are represented through grid topology including buses, lines, transformers, and load connections enabling power flow analysis. District heating systems are modeled with pipes, heat exchangers, substations, and building connections for thermal network simulation. Water networks capture both supply and wastewater infrastructure, while gas networks represent distribution pipelines and connections. Network topology representation includes connectivity relationships, flow directions, and capacity constraints essential for infrastructure planning and operational optimization.</w:t>
      </w:r>
    </w:p>
    <w:bookmarkEnd w:id="92"/>
    <w:bookmarkEnd w:id="93"/>
    <w:bookmarkStart w:id="94" w:name="cityjson-format"/>
    <w:p>
      <w:pPr>
        <w:pStyle w:val="Heading3"/>
      </w:pPr>
      <w:r>
        <w:t xml:space="preserve">CityJSON Format</w:t>
      </w:r>
    </w:p>
    <w:p>
      <w:pPr>
        <w:pStyle w:val="FirstParagraph"/>
      </w:pPr>
      <w:r>
        <w:t xml:space="preserve">CityJSON is a JSON-based encoding of CityGML that provides a lightweight, web-friendly representation of 3D city models </w:t>
      </w:r>
      <w:r>
        <w:t xml:space="preserve">. Unlike XML-based CityGML, CityJSON offers:</w:t>
      </w:r>
    </w:p>
    <w:p>
      <w:pPr>
        <w:numPr>
          <w:ilvl w:val="0"/>
          <w:numId w:val="1003"/>
        </w:numPr>
      </w:pPr>
      <w:r>
        <w:rPr>
          <w:bCs/>
          <w:b/>
        </w:rPr>
        <w:t xml:space="preserve">Compact Representation</w:t>
      </w:r>
      <w:r>
        <w:t xml:space="preserve">: Reduced file sizes through geometry compression and shared vertex arrays</w:t>
      </w:r>
    </w:p>
    <w:p>
      <w:pPr>
        <w:numPr>
          <w:ilvl w:val="0"/>
          <w:numId w:val="1003"/>
        </w:numPr>
      </w:pPr>
      <w:r>
        <w:rPr>
          <w:bCs/>
          <w:b/>
        </w:rPr>
        <w:t xml:space="preserve">Web Compatibility</w:t>
      </w:r>
      <w:r>
        <w:t xml:space="preserve">: Native JSON format suitable for REST APIs and web applications</w:t>
      </w:r>
    </w:p>
    <w:p>
      <w:pPr>
        <w:numPr>
          <w:ilvl w:val="0"/>
          <w:numId w:val="1003"/>
        </w:numPr>
      </w:pPr>
      <w:r>
        <w:rPr>
          <w:bCs/>
          <w:b/>
        </w:rPr>
        <w:t xml:space="preserve">Simplified Parsing</w:t>
      </w:r>
      <w:r>
        <w:t xml:space="preserve">: Easier integration with JavaScript and Python ecosystems</w:t>
      </w:r>
    </w:p>
    <w:p>
      <w:pPr>
        <w:numPr>
          <w:ilvl w:val="0"/>
          <w:numId w:val="1003"/>
        </w:numPr>
      </w:pPr>
      <w:r>
        <w:rPr>
          <w:bCs/>
          <w:b/>
        </w:rPr>
        <w:t xml:space="preserve">Extension Support</w:t>
      </w:r>
      <w:r>
        <w:t xml:space="preserve">: Compatible with Energy ADE and Utility Network ADE through extensions</w:t>
      </w:r>
    </w:p>
    <w:p>
      <w:pPr>
        <w:pStyle w:val="FirstParagraph"/>
      </w:pPr>
      <w:r>
        <w:t xml:space="preserve">3DCityDB and CityJSON are complementary technologies: 3DCityDB provides the database backend for persistent storage and spatial queries, while CityJSON serves as the exchange format for web services and client applications. Together, they enable comprehensive 3D city modeling with energy and infrastructure extensions crucial for urban energy simulation.</w:t>
      </w:r>
    </w:p>
    <w:bookmarkEnd w:id="94"/>
    <w:bookmarkEnd w:id="95"/>
    <w:bookmarkStart w:id="103" w:name="tabula-from-cim-to-urban-energy-modeling"/>
    <w:p>
      <w:pPr>
        <w:pStyle w:val="Heading2"/>
      </w:pPr>
      <w:r>
        <w:t xml:space="preserve">TABULA: From CIM to Urban Energy Modeling</w:t>
      </w:r>
    </w:p>
    <w:p>
      <w:pPr>
        <w:pStyle w:val="FirstParagraph"/>
      </w:pPr>
      <w:r>
        <w:t xml:space="preserve">The TABULA project </w:t>
      </w:r>
      <w:r>
        <w:t xml:space="preserve"> </w:t>
      </w:r>
      <w:r>
        <w:t xml:space="preserve">provides a comprehensive building typology database for European countries, enabling standardized energy performance assessment across diverse building stocks. TABULA archetypes classify buildings based on construction period, building type, and energy performance characteristics, serving as a bridge between City Information Models (CIM) and Urban Energy Modeling (UEM) workflows.</w:t>
      </w:r>
    </w:p>
    <w:bookmarkStart w:id="96" w:name="building-archetype-classification"/>
    <w:p>
      <w:pPr>
        <w:pStyle w:val="Heading3"/>
      </w:pPr>
      <w:r>
        <w:t xml:space="preserve">Building Archetype Classification</w:t>
      </w:r>
    </w:p>
    <w:p>
      <w:pPr>
        <w:pStyle w:val="FirstParagraph"/>
      </w:pPr>
      <w:r>
        <w:t xml:space="preserve">TABULA archetypes are organized hierarchically through four classification dimensions: national context (country-specific building stock characteristics), building typology (single-family, multi-family, apartment blocks, commercial), construction period (historical epochs reflecting evolving construction standards from pre-1945 through modern periods), and energy performance class (original state, moderate renovation, deep renovation). Each archetype provides standardized thermal properties including U-values for building envelope components (walls, roofs, floors, windows), thermal bridge characteristics, air tightness parameters, and typical energy system configurations, enabling consistent energy performance assessment across European building stocks.</w:t>
      </w:r>
    </w:p>
    <w:bookmarkEnd w:id="96"/>
    <w:bookmarkStart w:id="101" w:name="cim-wizard-to-tabula-integration"/>
    <w:p>
      <w:pPr>
        <w:pStyle w:val="Heading3"/>
      </w:pPr>
      <w:r>
        <w:t xml:space="preserve">CIM Wizard to TABULA Integration</w:t>
      </w:r>
    </w:p>
    <w:p>
      <w:pPr>
        <w:pStyle w:val="FirstParagraph"/>
      </w:pPr>
      <w:r>
        <w:t xml:space="preserve">CIM Wizard’s calculator-based architecture enables systematic assignment of TABULA archetypes to buildings through a multi-step process:</w:t>
      </w:r>
    </w:p>
    <w:bookmarkStart w:id="97" w:name="step-1-feature-calculation"/>
    <w:p>
      <w:pPr>
        <w:pStyle w:val="Heading5"/>
      </w:pPr>
      <w:r>
        <w:t xml:space="preserve">Step 1: Feature Calculation</w:t>
      </w:r>
    </w:p>
    <w:p>
      <w:pPr>
        <w:pStyle w:val="FirstParagraph"/>
      </w:pPr>
      <w:r>
        <w:t xml:space="preserve">CIM Wizard calculates essential building features across four categories: geometric features (height, floor count, footprint area, volume), demographic features (usage type, family count), temporal features (construction period from census or OSM data), and contextual features (location, urban density, surrounding typologies).</w:t>
      </w:r>
    </w:p>
    <w:bookmarkEnd w:id="97"/>
    <w:bookmarkStart w:id="98" w:name="step-2-archetype-assignment"/>
    <w:p>
      <w:pPr>
        <w:pStyle w:val="Heading5"/>
      </w:pPr>
      <w:r>
        <w:t xml:space="preserve">Step 2: Archetype Assignment</w:t>
      </w:r>
    </w:p>
    <w:p>
      <w:pPr>
        <w:pStyle w:val="FirstParagraph"/>
      </w:pPr>
      <w:r>
        <w:t xml:space="preserve">The TABULA Building Type Calculator classifies each building by matching calculated features against archetype criteria including usage pattern (residential/commercial), size characteristics (floors, families, volume), construction period (temporal classification), and geographic context (country-specific tables).</w:t>
      </w:r>
    </w:p>
    <w:bookmarkEnd w:id="98"/>
    <w:bookmarkStart w:id="99" w:name="step-3-u-value-assignment"/>
    <w:p>
      <w:pPr>
        <w:pStyle w:val="Heading5"/>
      </w:pPr>
      <w:r>
        <w:t xml:space="preserve">Step 3: U-Value Assignment</w:t>
      </w:r>
    </w:p>
    <w:p>
      <w:pPr>
        <w:pStyle w:val="FirstParagraph"/>
      </w:pPr>
      <w:r>
        <w:t xml:space="preserve">CIM Wizard retrieves standardized parameters from TABULA databases including building envelope U-values (wall, roof, floor, window thermal transmittance), construction details (material layers, insulation thickness, glazing properties), energy system parameters (typical heating/cooling systems with efficiency ratings and fuel types), and renewable energy potential (solar orientation, roof area, typical PV/thermal installations).</w:t>
      </w:r>
    </w:p>
    <w:bookmarkEnd w:id="99"/>
    <w:bookmarkStart w:id="100" w:name="step-4-citygml-energy-ade-storage"/>
    <w:p>
      <w:pPr>
        <w:pStyle w:val="Heading5"/>
      </w:pPr>
      <w:r>
        <w:t xml:space="preserve">Step 4: CityGML Energy ADE Storage</w:t>
      </w:r>
    </w:p>
    <w:p>
      <w:pPr>
        <w:pStyle w:val="FirstParagraph"/>
      </w:pPr>
      <w:r>
        <w:t xml:space="preserve">Retrieved parameters are stored in CityGML Energy ADE format with thermal boundary properties applied to semantic surfaces (</w:t>
      </w:r>
      <w:r>
        <w:rPr>
          <w:rStyle w:val="VerbatimChar"/>
        </w:rPr>
        <w:t xml:space="preserve">RoofSurface</w:t>
      </w:r>
      <w:r>
        <w:t xml:space="preserve">,</w:t>
      </w:r>
      <w:r>
        <w:t xml:space="preserve"> </w:t>
      </w:r>
      <w:r>
        <w:rPr>
          <w:rStyle w:val="VerbatimChar"/>
        </w:rPr>
        <w:t xml:space="preserve">WallSurface</w:t>
      </w:r>
      <w:r>
        <w:t xml:space="preserve">,</w:t>
      </w:r>
      <w:r>
        <w:t xml:space="preserve"> </w:t>
      </w:r>
      <w:r>
        <w:rPr>
          <w:rStyle w:val="VerbatimChar"/>
        </w:rPr>
        <w:t xml:space="preserve">GroundSurface</w:t>
      </w:r>
      <w:r>
        <w:t xml:space="preserve">), construction elements stored in the Energy ADE construction module, energy systems linked to building objects, and energy performance indicators (certificates, consumption estimates) enabling simulation tool integration.</w:t>
      </w:r>
    </w:p>
    <w:bookmarkEnd w:id="100"/>
    <w:bookmarkEnd w:id="101"/>
    <w:bookmarkStart w:id="102" w:name="role-in-energy-simulation"/>
    <w:p>
      <w:pPr>
        <w:pStyle w:val="Heading3"/>
      </w:pPr>
      <w:r>
        <w:t xml:space="preserve">Role in Energy Simulation</w:t>
      </w:r>
    </w:p>
    <w:p>
      <w:pPr>
        <w:pStyle w:val="FirstParagraph"/>
      </w:pPr>
      <w:r>
        <w:t xml:space="preserve">The TABULA-based enrichment process enables energy simulation through five critical functions. Standardized input provision supplies validated U-values to simulation tools (EnergyPlus, Modelica, TRNSYS) eliminating manual parameterization. Scalability is achieved through automated archetype assignment across hundreds or thousands of buildings where manual parameterization would be infeasible. Validation is ensured as TABULA archetypes derive from empirical building stock surveys reflecting actual construction practices rather than idealized assumptions. Scenario analysis capability enables exploration of renovation alternatives (moderate versus deep renovation) through energy performance class switching. Interoperability through CityGML Energy ADE format ensures compatibility with multiple simulation platforms, enabling seamless data exchange between CIM Wizard and downstream energy simulation tools. This integration demonstrates how CIM Wizard’s calculator architecture transforms sparse geospatial data into simulation-ready models through systematic feature calculation, archetype assignment, and standardized representation.</w:t>
      </w:r>
    </w:p>
    <w:bookmarkEnd w:id="102"/>
    <w:bookmarkEnd w:id="103"/>
    <w:bookmarkStart w:id="110" w:name="large-language-models"/>
    <w:p>
      <w:pPr>
        <w:pStyle w:val="Heading2"/>
      </w:pPr>
      <w:r>
        <w:t xml:space="preserve">Large Language Models</w:t>
      </w:r>
    </w:p>
    <w:bookmarkStart w:id="104" w:name="transformer-architecture"/>
    <w:p>
      <w:pPr>
        <w:pStyle w:val="Heading3"/>
      </w:pPr>
      <w:r>
        <w:t xml:space="preserve">Transformer Architecture</w:t>
      </w:r>
    </w:p>
    <w:p>
      <w:pPr>
        <w:pStyle w:val="FirstParagraph"/>
      </w:pPr>
      <w:r>
        <w:t xml:space="preserve">Large Language Models (LLMs) are based on the transformer architecture </w:t>
      </w:r>
      <w:r>
        <w:t xml:space="preserve"> </w:t>
      </w:r>
      <w:r>
        <w:t xml:space="preserve">introduced by Vaswani et al. (2017), featuring five key components that enable effective sequence modeling. Self-attention mechanisms enable parallel processing of sequential data by computing attention weights between all token pairs simultaneously. Multi-head attention allows multiple attention mechanisms to learn different representation subspaces, capturing diverse semantic relationships. Positional encoding injects sequence order information through sinusoidal or learned embeddings, compensating for the architecture’s lack of inherent sequential processing. Position-wise feed-forward networks follow attention layers, providing nonlinear transformations. Layer normalization and residual connections stabilize training of deep networks, enabling effective gradient flow through dozens of transformer layers.</w:t>
      </w:r>
    </w:p>
    <w:bookmarkEnd w:id="104"/>
    <w:bookmarkStart w:id="105" w:name="decoder-only-language-models"/>
    <w:p>
      <w:pPr>
        <w:pStyle w:val="Heading3"/>
      </w:pPr>
      <w:r>
        <w:t xml:space="preserve">Decoder-Only Language Models</w:t>
      </w:r>
    </w:p>
    <w:p>
      <w:pPr>
        <w:pStyle w:val="FirstParagraph"/>
      </w:pPr>
      <w:r>
        <w:t xml:space="preserve">Modern LLMs (GPT, Llama, Qwen) use decoder-only transformer architecture:</w:t>
      </w:r>
    </w:p>
    <w:p>
      <w:pPr>
        <w:pStyle w:val="BodyText"/>
      </w:pPr>
      <m:oMathPara>
        <m:oMathParaPr>
          <m:jc m:val="center"/>
        </m:oMathParaPr>
        <m:oMath>
          <m:r>
            <m:t>P</m:t>
          </m:r>
          <m:d>
            <m:dPr>
              <m:begChr m:val="("/>
              <m:endChr m:val=")"/>
              <m:sepChr m:val=""/>
              <m:grow/>
            </m:dPr>
            <m:e>
              <m:sSub>
                <m:e>
                  <m:r>
                    <m:t>x</m:t>
                  </m:r>
                </m:e>
                <m:sub>
                  <m:r>
                    <m:t>t</m:t>
                  </m:r>
                  <m:r>
                    <m:rPr>
                      <m:sty m:val="p"/>
                    </m:rPr>
                    <m:t>+</m:t>
                  </m:r>
                  <m:r>
                    <m:t>1</m:t>
                  </m:r>
                </m:sub>
              </m:sSub>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t</m:t>
                  </m:r>
                </m:sub>
              </m:sSub>
            </m:e>
          </m:d>
          <m:r>
            <m:rPr>
              <m:sty m:val="p"/>
            </m:rPr>
            <m:t>=</m:t>
          </m:r>
          <m:r>
            <m:rPr>
              <m:nor/>
              <m:sty m:val="p"/>
            </m:rPr>
            <m:t>softmax</m:t>
          </m:r>
          <m:d>
            <m:dPr>
              <m:begChr m:val="("/>
              <m:endChr m:val=")"/>
              <m:sepChr m:val=""/>
              <m:grow/>
            </m:dPr>
            <m:e>
              <m:sSub>
                <m:e>
                  <m:r>
                    <m:rPr>
                      <m:sty m:val="b"/>
                    </m:rPr>
                    <m:t>W</m:t>
                  </m:r>
                </m:e>
                <m:sub>
                  <m:r>
                    <m:t>o</m:t>
                  </m:r>
                </m:sub>
              </m:sSub>
              <m:r>
                <m:rPr>
                  <m:sty m:val="p"/>
                </m:rPr>
                <m:t>⋅</m:t>
              </m:r>
              <m:r>
                <m:rPr>
                  <m:nor/>
                  <m:sty m:val="p"/>
                </m:rPr>
                <m:t>Transformer</m:t>
              </m:r>
              <m:d>
                <m:dPr>
                  <m:begChr m:val="("/>
                  <m:endChr m:val=")"/>
                  <m:sepChr m:val=""/>
                  <m:grow/>
                </m:dPr>
                <m:e>
                  <m:sSub>
                    <m:e>
                      <m:r>
                        <m:t>x</m:t>
                      </m:r>
                    </m:e>
                    <m:sub>
                      <m:r>
                        <m:t>1</m:t>
                      </m:r>
                    </m:sub>
                  </m:sSub>
                  <m:r>
                    <m:rPr>
                      <m:sty m:val="p"/>
                    </m:rPr>
                    <m:t>,</m:t>
                  </m:r>
                  <m:r>
                    <m:rPr>
                      <m:sty m:val="p"/>
                    </m:rPr>
                    <m:t>…</m:t>
                  </m:r>
                  <m:r>
                    <m:rPr>
                      <m:sty m:val="p"/>
                    </m:rPr>
                    <m:t>,</m:t>
                  </m:r>
                  <m:sSub>
                    <m:e>
                      <m:r>
                        <m:t>x</m:t>
                      </m:r>
                    </m:e>
                    <m:sub>
                      <m:r>
                        <m:t>t</m:t>
                      </m:r>
                    </m:sub>
                  </m:sSub>
                </m:e>
              </m:d>
            </m:e>
          </m:d>
        </m:oMath>
      </m:oMathPara>
    </w:p>
    <w:p>
      <w:pPr>
        <w:pStyle w:val="FirstParagraph"/>
      </w:pPr>
      <w:r>
        <w:t xml:space="preserve">Where the model autoregressively predicts the next token based on previous context. This architecture enables three key capabilities: causal attention where each token attends only to previous positions preventing information leakage from future tokens, generative capability through sequential sampling producing coherent natural text, and in-context learning allowing task adaptation through prompting without requiring parameter updates.</w:t>
      </w:r>
    </w:p>
    <w:bookmarkEnd w:id="105"/>
    <w:bookmarkStart w:id="109" w:name="model-families"/>
    <w:p>
      <w:pPr>
        <w:pStyle w:val="Heading3"/>
      </w:pPr>
      <w:r>
        <w:t xml:space="preserve">Model Families</w:t>
      </w:r>
    </w:p>
    <w:p>
      <w:pPr>
        <w:pStyle w:val="FirstParagraph"/>
      </w:pPr>
      <w:r>
        <w:t xml:space="preserve">This work utilizes several open-source model families:</w:t>
      </w:r>
    </w:p>
    <w:bookmarkStart w:id="106" w:name="llama-meta-ai"/>
    <w:p>
      <w:pPr>
        <w:pStyle w:val="Heading5"/>
      </w:pPr>
      <w:r>
        <w:t xml:space="preserve">Llama (Meta AI)</w:t>
      </w:r>
    </w:p>
    <w:p>
      <w:pPr>
        <w:numPr>
          <w:ilvl w:val="0"/>
          <w:numId w:val="1004"/>
        </w:numPr>
      </w:pPr>
      <w:r>
        <w:rPr>
          <w:bCs/>
          <w:b/>
        </w:rPr>
        <w:t xml:space="preserve">Llama 2</w:t>
      </w:r>
      <w:r>
        <w:t xml:space="preserve"> </w:t>
      </w:r>
      <w:r>
        <w:t xml:space="preserve">: Foundation models with improved safety and instruction following</w:t>
      </w:r>
    </w:p>
    <w:p>
      <w:pPr>
        <w:numPr>
          <w:ilvl w:val="0"/>
          <w:numId w:val="1004"/>
        </w:numPr>
      </w:pPr>
      <w:r>
        <w:rPr>
          <w:bCs/>
          <w:b/>
        </w:rPr>
        <w:t xml:space="preserve">Llama 3</w:t>
      </w:r>
      <w:r>
        <w:t xml:space="preserve"> </w:t>
      </w:r>
      <w:r>
        <w:t xml:space="preserve">: Latest generation with 8B, 14B, and larger parameter variants</w:t>
      </w:r>
    </w:p>
    <w:p>
      <w:pPr>
        <w:numPr>
          <w:ilvl w:val="0"/>
          <w:numId w:val="1004"/>
        </w:numPr>
      </w:pPr>
      <w:r>
        <w:rPr>
          <w:bCs/>
          <w:b/>
        </w:rPr>
        <w:t xml:space="preserve">Architecture</w:t>
      </w:r>
      <w:r>
        <w:t xml:space="preserve">: Grouped Query Attention (GQA) for efficiency</w:t>
      </w:r>
    </w:p>
    <w:p>
      <w:pPr>
        <w:numPr>
          <w:ilvl w:val="0"/>
          <w:numId w:val="1004"/>
        </w:numPr>
      </w:pPr>
      <w:r>
        <w:rPr>
          <w:bCs/>
          <w:b/>
        </w:rPr>
        <w:t xml:space="preserve">Context Length</w:t>
      </w:r>
      <w:r>
        <w:t xml:space="preserve">: 128K tokens (8K effective for fine-tuning)</w:t>
      </w:r>
    </w:p>
    <w:p>
      <w:pPr>
        <w:numPr>
          <w:ilvl w:val="0"/>
          <w:numId w:val="1004"/>
        </w:numPr>
      </w:pPr>
      <w:r>
        <w:rPr>
          <w:bCs/>
          <w:b/>
        </w:rPr>
        <w:t xml:space="preserve">Training Data</w:t>
      </w:r>
      <w:r>
        <w:t xml:space="preserve">: Multilingual web corpus, code, mathematics</w:t>
      </w:r>
    </w:p>
    <w:bookmarkEnd w:id="106"/>
    <w:bookmarkStart w:id="107" w:name="qwen-alibaba"/>
    <w:p>
      <w:pPr>
        <w:pStyle w:val="Heading5"/>
      </w:pPr>
      <w:r>
        <w:t xml:space="preserve">Qwen (Alibaba)</w:t>
      </w:r>
    </w:p>
    <w:p>
      <w:pPr>
        <w:numPr>
          <w:ilvl w:val="0"/>
          <w:numId w:val="1005"/>
        </w:numPr>
      </w:pPr>
      <w:r>
        <w:rPr>
          <w:bCs/>
          <w:b/>
        </w:rPr>
        <w:t xml:space="preserve">Qwen 2</w:t>
      </w:r>
      <w:r>
        <w:t xml:space="preserve"> </w:t>
      </w:r>
      <w:r>
        <w:t xml:space="preserve">: Technical foundation for code and reasoning tasks</w:t>
      </w:r>
    </w:p>
    <w:p>
      <w:pPr>
        <w:numPr>
          <w:ilvl w:val="0"/>
          <w:numId w:val="1005"/>
        </w:numPr>
      </w:pPr>
      <w:r>
        <w:rPr>
          <w:bCs/>
          <w:b/>
        </w:rPr>
        <w:t xml:space="preserve">Qwen 2.5</w:t>
      </w:r>
      <w:r>
        <w:t xml:space="preserve">: 14B and 32B parameter variants</w:t>
      </w:r>
    </w:p>
    <w:p>
      <w:pPr>
        <w:numPr>
          <w:ilvl w:val="0"/>
          <w:numId w:val="1005"/>
        </w:numPr>
      </w:pPr>
      <w:r>
        <w:rPr>
          <w:bCs/>
          <w:b/>
        </w:rPr>
        <w:t xml:space="preserve">Specialization</w:t>
      </w:r>
      <w:r>
        <w:t xml:space="preserve">: Strong code understanding and generation</w:t>
      </w:r>
    </w:p>
    <w:p>
      <w:pPr>
        <w:numPr>
          <w:ilvl w:val="0"/>
          <w:numId w:val="1005"/>
        </w:numPr>
      </w:pPr>
      <w:r>
        <w:rPr>
          <w:bCs/>
          <w:b/>
        </w:rPr>
        <w:t xml:space="preserve">Context Length</w:t>
      </w:r>
      <w:r>
        <w:t xml:space="preserve">: 32K tokens</w:t>
      </w:r>
    </w:p>
    <w:p>
      <w:pPr>
        <w:numPr>
          <w:ilvl w:val="0"/>
          <w:numId w:val="1005"/>
        </w:numPr>
      </w:pPr>
      <w:r>
        <w:rPr>
          <w:bCs/>
          <w:b/>
        </w:rPr>
        <w:t xml:space="preserve">Advantage</w:t>
      </w:r>
      <w:r>
        <w:t xml:space="preserve">: Superior performance on structured generation tasks</w:t>
      </w:r>
    </w:p>
    <w:bookmarkEnd w:id="107"/>
    <w:bookmarkStart w:id="108" w:name="specialized-models"/>
    <w:p>
      <w:pPr>
        <w:pStyle w:val="Heading5"/>
      </w:pPr>
      <w:r>
        <w:t xml:space="preserve">Specialized Models</w:t>
      </w:r>
    </w:p>
    <w:p>
      <w:pPr>
        <w:numPr>
          <w:ilvl w:val="0"/>
          <w:numId w:val="1006"/>
        </w:numPr>
      </w:pPr>
      <w:r>
        <w:rPr>
          <w:bCs/>
          <w:b/>
        </w:rPr>
        <w:t xml:space="preserve">SQLCoder (Defog AI)</w:t>
      </w:r>
      <w:r>
        <w:t xml:space="preserve">: 7B model pre-trained on Spider and BIRD benchmarks</w:t>
      </w:r>
    </w:p>
    <w:p>
      <w:pPr>
        <w:numPr>
          <w:ilvl w:val="0"/>
          <w:numId w:val="1006"/>
        </w:numPr>
      </w:pPr>
      <w:r>
        <w:rPr>
          <w:bCs/>
          <w:b/>
        </w:rPr>
        <w:t xml:space="preserve">DeepSeek-Coder</w:t>
      </w:r>
      <w:r>
        <w:t xml:space="preserve">: 6.7B model specialized for code generation</w:t>
      </w:r>
    </w:p>
    <w:p>
      <w:pPr>
        <w:numPr>
          <w:ilvl w:val="0"/>
          <w:numId w:val="1006"/>
        </w:numPr>
      </w:pPr>
      <w:r>
        <w:rPr>
          <w:bCs/>
          <w:b/>
        </w:rPr>
        <w:t xml:space="preserve">Mistral</w:t>
      </w:r>
      <w:r>
        <w:t xml:space="preserve">: 7B parameter model with sliding window attention</w:t>
      </w:r>
    </w:p>
    <w:bookmarkEnd w:id="108"/>
    <w:bookmarkEnd w:id="109"/>
    <w:bookmarkEnd w:id="110"/>
    <w:bookmarkStart w:id="117" w:name="X3516bda6fa2d0b8e7a56f9ecfb10bafe2b03476"/>
    <w:p>
      <w:pPr>
        <w:pStyle w:val="Heading2"/>
      </w:pPr>
      <w:r>
        <w:t xml:space="preserve">LLM Engineering for Domain-Specific Services</w:t>
      </w:r>
    </w:p>
    <w:p>
      <w:pPr>
        <w:pStyle w:val="FirstParagraph"/>
      </w:pPr>
      <w:r>
        <w:t xml:space="preserve">Building production-ready natural language interfaces for specialized domains requires careful consideration of two complementary approaches: agentic engineering using frontier models with external knowledge retrieval, and fine-tuning local models to internalize domain-specific knowledge. This section examines both strategies and their trade-offs for creating assistive services.</w:t>
      </w:r>
    </w:p>
    <w:bookmarkStart w:id="111" w:name="X6545a2b3f980c48eb68de86fac4f43d251bf0be"/>
    <w:p>
      <w:pPr>
        <w:pStyle w:val="Heading3"/>
      </w:pPr>
      <w:r>
        <w:t xml:space="preserve">Two-Pass Architecture for Service Assistants</w:t>
      </w:r>
    </w:p>
    <w:p>
      <w:pPr>
        <w:pStyle w:val="FirstParagraph"/>
      </w:pPr>
      <w:r>
        <w:t xml:space="preserve">Creating effective LLM-powered assistants for domain-specific services typically involves two complementary passes that address different stages of system development and deployment. The first pass employs agentic engineering with LangChain, leveraging large frontier models such as GPT-4, Claude, and Gemini integrated with external tools. This approach utilizes LangChain and LangGraph frameworks to provide orchestration for tool-augmented reasoning, enabling systems to dynamically retrieve database schemas, API documentation, and domain knowledge as retrievable context. The sophisticated reasoning capabilities of large models with parameters exceeding one trillion enable complex planning and decision-making processes. A key advantage of this approach lies in its dynamic adaptation capabilities, allowing systems to handle schema changes and incorporate new tools without requiring retraining. However, this flexibility comes with inherent limitations including API costs that scale with usage, network latency that impacts response times, privacy concerns arising from data transmission to external services, and dependency on external service availability that introduces operational risks.</w:t>
      </w:r>
    </w:p>
    <w:p>
      <w:pPr>
        <w:pStyle w:val="BodyText"/>
      </w:pPr>
      <w:r>
        <w:t xml:space="preserve">The second pass focuses on fine-tuning local models to internalize domain knowledge directly into smaller, deployable models. This approach transforms domain-specific patterns into learned model weights, enabling specialized performance without external dependencies. Local deployment ensures that sensitive data never leaves organizational infrastructure, addressing critical privacy requirements for applications handling confidential information. The knowledge internalization process enables specialized models to achieve higher accuracy on domain-specific tasks compared to general-purpose models operating with external context. From an economic perspective, fine-tuning offers a fundamentally different cost structure: a one-time training investment replaces the per-query API fees characteristic of agentic approaches. Additionally, local inference eliminates network round-trips, resulting in lower latency that enhances user experience and enables real-time applications where response time is critical.</w:t>
      </w:r>
    </w:p>
    <w:bookmarkEnd w:id="111"/>
    <w:bookmarkStart w:id="114" w:name="architectural-choice-rag-vs-fine-tuning"/>
    <w:p>
      <w:pPr>
        <w:pStyle w:val="Heading3"/>
      </w:pPr>
      <w:r>
        <w:t xml:space="preserve">Architectural Choice: RAG vs Fine-Tuning</w:t>
      </w:r>
    </w:p>
    <w:p>
      <w:pPr>
        <w:pStyle w:val="FirstParagraph"/>
      </w:pPr>
      <w:r>
        <w:t xml:space="preserve">For domain-specific services like spatial SQL generation, two primary architectural approaches exist, each offering distinct advantages and trade-offs that must be carefully evaluated based on deployment requirements, cost constraints, and performance objectives.</w:t>
      </w:r>
    </w:p>
    <w:bookmarkStart w:id="112" w:name="X64b3141e699256d7e5a8b1a5fa7003a8be89026"/>
    <w:p>
      <w:pPr>
        <w:pStyle w:val="Heading4"/>
      </w:pPr>
      <w:r>
        <w:t xml:space="preserve">Approach 1: Multi-Agent RAG with Frontier Models</w:t>
      </w:r>
    </w:p>
    <w:p>
      <w:pPr>
        <w:pStyle w:val="FirstParagraph"/>
      </w:pPr>
      <w:r>
        <w:t xml:space="preserve">The multi-agent RAG approach employs large frontier models with parameters exceeding one trillion, combined with Retrieval-Augmented Generation to dynamically access domain-specific knowledge. This architecture stores database schemas, table structures, and column definitions in vector databases that are retrieved dynamically for each query, enabling systems to access current schema information without requiring model retraining. Task-specific knowledge including PostGIS spatial function documentation, SQL examples, and query patterns are similarly stored as retrievable context, allowing the system to incorporate the latest documentation and examples dynamically. The reasoning engine consists of large frontier models such as GPT-4 or Claude 3.5, which provide sophisticated reasoning capabilities about schema relationships and spatial operations that enable complex query generation. The multi-agent architecture distributes responsibilities across specialized agents: schema inspection agents analyze database structures, query planning agents determine optimal query strategies, SQL generation agents construct queries, and validation agents ensure correctness before execution.</w:t>
      </w:r>
    </w:p>
    <w:p>
      <w:pPr>
        <w:pStyle w:val="BodyText"/>
      </w:pPr>
      <w:r>
        <w:t xml:space="preserve">The advantages of this approach center on its flexibility and adaptability. Systems can handle schema changes without retraining, making them suitable for environments where database structures evolve frequently. The approach leverages cutting-edge reasoning capabilities available in frontier models, enabling sophisticated problem-solving that may exceed the capabilities of smaller fine-tuned models. The dynamic knowledge incorporation allows systems to access the latest documentation and examples, ensuring that the system benefits from continuously updated information sources. However, these advantages come with significant disadvantages. High per-query costs create economic challenges for high-volume deployments, with costs accumulating linearly with usage. Privacy concerns arise from transmitting potentially sensitive queries to external APIs, making this approach unsuitable for applications with strict data confidentiality requirements. Network latency introduces delays of several seconds per query, impacting user experience and limiting applicability to real-time applications. Ongoing operational costs accumulate continuously, creating long-term economic pressure. Additionally, the large model inference required for each query generates substantial CO</w:t>
      </w:r>
      <w:r>
        <w:rPr>
          <w:vertAlign w:val="subscript"/>
        </w:rPr>
        <w:t xml:space="preserve">2</w:t>
      </w:r>
      <w:r>
        <w:t xml:space="preserve"> </w:t>
      </w:r>
      <w:r>
        <w:t xml:space="preserve">footprints through cloud infrastructure operations and network transmission.</w:t>
      </w:r>
    </w:p>
    <w:bookmarkEnd w:id="112"/>
    <w:bookmarkStart w:id="113" w:name="approach-2-fine-tuned-local-models"/>
    <w:p>
      <w:pPr>
        <w:pStyle w:val="Heading4"/>
      </w:pPr>
      <w:r>
        <w:t xml:space="preserve">Approach 2: Fine-Tuned Local Models</w:t>
      </w:r>
    </w:p>
    <w:p>
      <w:pPr>
        <w:pStyle w:val="FirstParagraph"/>
      </w:pPr>
      <w:r>
        <w:t xml:space="preserve">The fine-tuned local model approach internalizes domain knowledge directly into smaller models ranging from 8 to 32 billion parameters, typically using models such as Llama or Qwen fine-tuned with QLoRA techniques. This internalization process occurs during training, where database schema patterns, table relationships, and column semantics are learned and encoded into model weights. Similarly, task-specific knowledge including PostGIS spatial functions, SQL generation patterns, and query structures become part of the model’s learned representations, eliminating the need for external knowledge retrieval during inference.</w:t>
      </w:r>
    </w:p>
    <w:p>
      <w:pPr>
        <w:pStyle w:val="BodyText"/>
      </w:pPr>
      <w:r>
        <w:t xml:space="preserve">The advantages of fine-tuning local models span multiple dimensions critical for production deployment. Privacy protection is complete, as local deployment ensures that sensitive data never leaves organizational infrastructure, making this approach essential for applications handling confidential urban energy data or demographic information. The cost structure fundamentally differs from RAG approaches: an initial one-time training investment replaces ongoing per-query API fees, making fine-tuning economically advantageous for sustained production deployments. Ongoing operational costs remain minimal, limited to compute infrastructure maintenance rather than accumulating per-query charges. Latency is substantially reduced through local inference that eliminates network round-trips, enabling response times suitable for interactive applications. The environmental impact is lower due to smaller model sizes, local deployment eliminating network transmission overhead, and one-time training energy investment that amortizes over the model’s operational lifetime. Accuracy on domain-specific tasks exceeds that of general models operating with external context, reflecting the value of specialized knowledge encoding. System robustness benefits from consistent performance without dependency on external services, eliminating concerns about API rate limits, service outages, or network disruptions.</w:t>
      </w:r>
    </w:p>
    <w:p>
      <w:pPr>
        <w:pStyle w:val="BodyText"/>
      </w:pPr>
      <w:r>
        <w:t xml:space="preserve">The disadvantages of fine-tuning reflect the trade-offs inherent in knowledge internalization. Schema changes require model retraining, making this approach less suitable for environments with frequently evolving database structures. Initial training requires substantial time investment, typically ranging from tens to hundreds of hours depending on model size and dataset complexity. The approach offers less flexibility than RAG for rapidly changing knowledge, as updating the model requires retraining rather than simply updating external knowledge sources. Despite these limitations, fine-tuning provides superior value for applications with stable schemas, privacy requirements, and sustained usage patterns where the upfront investment is justified by long-term operational benefits.</w:t>
      </w:r>
    </w:p>
    <w:bookmarkEnd w:id="113"/>
    <w:bookmarkEnd w:id="114"/>
    <w:bookmarkStart w:id="115" w:name="cost-benefit-analysis"/>
    <w:p>
      <w:pPr>
        <w:pStyle w:val="Heading3"/>
      </w:pPr>
      <w:r>
        <w:t xml:space="preserve">Cost-Benefit Analysis</w:t>
      </w:r>
    </w:p>
    <w:p>
      <w:pPr>
        <w:pStyle w:val="FirstParagraph"/>
      </w:pPr>
      <w:r>
        <w:t xml:space="preserve">The economic and environmental trade-offs between RAG-based and fine-tuning approaches reveal fundamental differences in cost structure, operational efficiency, and long-term sustainability that significantly impact deployment decisions for domain-specific natural language interfaces.</w:t>
      </w:r>
    </w:p>
    <w:p>
      <w:pPr>
        <w:pStyle w:val="BodyText"/>
      </w:pPr>
      <w:r>
        <w:t xml:space="preserve">From an initial investment perspective, RAG approaches appear attractive due to their minimal upfront costs, requiring only vector database setup and integration with existing API services. However, this apparent advantage masks the substantial ongoing operational expenses that accumulate with usage. In contrast, fine-tuning approaches require an initial training investment, though this cost can be substantially reduced or eliminated entirely when academic GPU access is available. The one-time nature of this training investment fundamentally differs from the recurring cost structure of API-based systems.</w:t>
      </w:r>
    </w:p>
    <w:p>
      <w:pPr>
        <w:pStyle w:val="BodyText"/>
      </w:pPr>
      <w:r>
        <w:t xml:space="preserve">The operational cost structure reveals the most significant economic distinction between these approaches. RAG systems incur per-query API fees that scale linearly with usage, creating substantial monthly operational expenses for high-volume deployments. These costs accumulate continuously, making RAG approaches economically challenging for production systems with consistent query volumes. Fine-tuning approaches, conversely, shift costs to the initial training phase, with ongoing operational expenses limited to compute infrastructure maintenance rather than per-query fees. This cost structure transformation enables substantial annual savings for fine-tuning approaches, particularly as query volume increases, making fine-tuning economically advantageous for sustained production deployments.</w:t>
      </w:r>
    </w:p>
    <w:p>
      <w:pPr>
        <w:pStyle w:val="BodyText"/>
      </w:pPr>
      <w:r>
        <w:t xml:space="preserve">Environmental considerations further differentiate these approaches. RAG systems generate higher carbon footprints through multiple mechanisms: large model inference requires substantial computational resources, network transmission adds energy overhead for each query, and cloud infrastructure operations contribute additional emissions. Fine-tuning approaches achieve lower environmental impact through several factors: smaller models reduce inference energy requirements, local deployment eliminates network transmission overhead, and the one-time training energy investment contrasts favorably with the ongoing energy consumption of continuous API inference. The training phase represents a fixed energy cost that amortizes over the model’s operational lifetime, whereas RAG approaches generate continuous energy consumption that accumulates indefinitely.</w:t>
      </w:r>
    </w:p>
    <w:p>
      <w:pPr>
        <w:pStyle w:val="BodyText"/>
      </w:pPr>
      <w:r>
        <w:t xml:space="preserve">Performance characteristics also distinguish these approaches, though the relationship between cost and accuracy is complex. RAG systems using general models with schema context achieve moderate accuracy levels, reflecting the limitations of external knowledge retrieval and general-purpose reasoning. Fine-tuning approaches demonstrate superior accuracy through domain-specific knowledge internalization, with improvements that reflect the depth of domain adaptation achieved during training. The performance gap between these approaches highlights the value of specialized knowledge encoding, though the magnitude of improvement varies based on training data quality, model selection, and domain complexity.</w:t>
      </w:r>
    </w:p>
    <w:bookmarkEnd w:id="115"/>
    <w:bookmarkStart w:id="116" w:name="recommendation-for-cim-assist"/>
    <w:p>
      <w:pPr>
        <w:pStyle w:val="Heading3"/>
      </w:pPr>
      <w:r>
        <w:t xml:space="preserve">Recommendation for CIM Assist</w:t>
      </w:r>
    </w:p>
    <w:p>
      <w:pPr>
        <w:pStyle w:val="FirstParagraph"/>
      </w:pPr>
      <w:r>
        <w:t xml:space="preserve">For CIM Assist, fine-tuning local models provides superior value across multiple dimensions that align with the specific requirements of urban energy modeling applications. Privacy considerations are paramount, as urban energy data contains sensitive building and demographic information that requires local processing to maintain confidentiality and comply with data protection regulations. The cost structure of fine-tuning proves economically advantageous, with one-time training investments contrasting favorably against ongoing API fees that accumulate with usage volume. Performance characteristics demonstrate clear superiority, with domain-adapted models achieving substantially higher accuracy compared to general models operating with schema context alone. The stability of the CIM Wizard database schema further supports the fine-tuning approach, as relatively infrequent schema changes reduce the need for retraining, making the upfront investment more justifiable. Finally, local deployment ensures production readiness through improved reliability, reduced latency, and independence from external services that could introduce operational risks.</w:t>
      </w:r>
    </w:p>
    <w:p>
      <w:pPr>
        <w:pStyle w:val="BodyText"/>
      </w:pPr>
      <w:r>
        <w:t xml:space="preserve">However, RAG approaches remain valuable for specific scenarios where their flexibility provides advantages. Rapid prototyping before fine-tuning benefits from the immediate deployment capability of RAG systems, enabling quick validation of system requirements before committing to training investments. Handling frequently changing schemas represents another scenario where RAG’s dynamic knowledge retrieval proves advantageous, as systems can adapt to schema modifications without retraining. Incorporating latest documentation dynamically allows RAG systems to leverage up-to-date information that may not be reflected in training datasets. Multi-database scenarios where fine-tuning each database would be impractical benefit from RAG’s ability to operate across diverse schemas without requiring separate training for each database.</w:t>
      </w:r>
    </w:p>
    <w:p>
      <w:pPr>
        <w:pStyle w:val="BodyText"/>
      </w:pPr>
      <w:r>
        <w:t xml:space="preserve">This work demonstrates that fine-tuning local models in the 8-32B parameter range achieves production-ready performance with superior privacy, cost efficiency, and environmental impact compared to RAG-based approaches using frontier models. The combination of domain-specific knowledge internalization, local deployment capabilities, and favorable economic characteristics makes fine-tuning the recommended approach for CIM Assist, while recognizing that RAG systems serve important roles in specific deployment scenarios.</w:t>
      </w:r>
    </w:p>
    <w:bookmarkEnd w:id="116"/>
    <w:bookmarkEnd w:id="117"/>
    <w:bookmarkStart w:id="118" w:name="Xcb0dc20d0909ae2690138efa4ec2226d3c864a9"/>
    <w:p>
      <w:pPr>
        <w:pStyle w:val="Heading2"/>
      </w:pPr>
      <w:r>
        <w:t xml:space="preserve">Beyond General Models: Internalizing Database Schema via Fine-Tuning for High-Accuracy Text-to-SQL</w:t>
      </w:r>
    </w:p>
    <w:p>
      <w:pPr>
        <w:pStyle w:val="FirstParagraph"/>
      </w:pPr>
      <w:r>
        <w:t xml:space="preserve">Text-to-SQL generation presents fundamentally different challenges compared to general text-to-text tasks, requiring models to bridge the gap between natural language semantics and precise database query syntax. While modern large language models excel at general language understanding and generation, achieving production-ready accuracy in Text-to-SQL demands domain-specific knowledge internalization that cannot be adequately addressed through prompting or retrieval-augmented generation alone.</w:t>
      </w:r>
    </w:p>
    <w:p>
      <w:pPr>
        <w:pStyle w:val="BodyText"/>
      </w:pPr>
      <w:r>
        <w:t xml:space="preserve">The fundamental distinction lies in the dual constraints that Text-to-SQL must satisfy simultaneously: linguistic naturalness in understanding user questions and strict syntactic and semantic correctness in generating executable database queries. Unlike general text generation where multiple valid formulations exist and minor errors may be acceptable, SQL queries must satisfy exacting requirements including correct table and column references, valid join conditions, appropriate aggregation functions, and schema-specific constraints. A single incorrect column name or misplaced join condition renders an entire query non-executable, regardless of how well the model understood the user’s intent. This binary correctness requirement creates a much narrower margin for error compared to general language tasks where partial understanding can still produce useful outputs.</w:t>
      </w:r>
    </w:p>
    <w:p>
      <w:pPr>
        <w:pStyle w:val="BodyText"/>
      </w:pPr>
      <w:r>
        <w:t xml:space="preserve">The difficulty of Text-to-SQL is starkly evident in the persistent performance gap between automated systems and human experts, even with the most advanced frontier models and sophisticated agentic frameworks. As of November 2025, the BIRD benchmark </w:t>
      </w:r>
      <w:r>
        <w:t xml:space="preserve"> </w:t>
      </w:r>
      <w:r>
        <w:t xml:space="preserve">leaderboard reveals that human database experts achieve substantially higher execution accuracy than the best automated systems, including multi-agent frameworks leveraging frontier models like Gemini-2.5-Pro and sophisticated fine-tuning approaches </w:t>
      </w:r>
      <w:r>
        <w:t xml:space="preserve">. This substantial gap persists despite years of research advances, demonstrating that Text-to-SQL remains fundamentally more challenging than general language tasks where state-of-the-art models often match or exceed human performance.</w:t>
      </w:r>
    </w:p>
    <w:p>
      <w:pPr>
        <w:pStyle w:val="BodyText"/>
      </w:pPr>
      <w:r>
        <w:t xml:space="preserve">The persistent human advantage stems from several factors that current automated systems struggle to replicate. Human database experts possess deep schema understanding that extends beyond surface-level table and column names to include semantic relationships, data distributions, and domain-specific query patterns. They can reason about query efficiency, recognize edge cases, and apply domain knowledge that may not be explicitly encoded in the database schema. Furthermore, humans excel at handling ambiguous questions by making reasonable assumptions based on context, whereas automated systems often require explicit clarification or generate queries that fail due to missing information.</w:t>
      </w:r>
    </w:p>
    <w:p>
      <w:pPr>
        <w:pStyle w:val="BodyText"/>
      </w:pPr>
      <w:r>
        <w:t xml:space="preserve">This performance gap motivates the need for fine-tuning approaches that internalize database schema knowledge directly into model parameters, rather than relying solely on external retrieval or prompting strategies. While agentic frameworks with RAG can dynamically access schema information, they remain limited by the reasoning capabilities of general-purpose models that lack deep understanding of database-specific patterns. Fine-tuning enables models to learn these patterns directly, encoding schema relationships, common query structures, and domain-specific SQL formulations into the model weights themselves. The BIRD benchmark results demonstrate that even the most sophisticated agentic approaches fall short of human performance, suggesting that achieving production-ready accuracy requires moving beyond general models toward specialized, fine-tuned systems that internalize the complex knowledge required for accurate SQL generation.</w:t>
      </w:r>
    </w:p>
    <w:bookmarkEnd w:id="118"/>
    <w:bookmarkStart w:id="124" w:name="parameter-efficient-fine-tuning"/>
    <w:p>
      <w:pPr>
        <w:pStyle w:val="Heading2"/>
      </w:pPr>
      <w:r>
        <w:t xml:space="preserve">Parameter-Efficient Fine-Tuning</w:t>
      </w:r>
    </w:p>
    <w:bookmarkStart w:id="119" w:name="full-fine-tuning-limitations"/>
    <w:p>
      <w:pPr>
        <w:pStyle w:val="Heading3"/>
      </w:pPr>
      <w:r>
        <w:t xml:space="preserve">Full Fine-Tuning Limitations</w:t>
      </w:r>
    </w:p>
    <w:p>
      <w:pPr>
        <w:pStyle w:val="FirstParagraph"/>
      </w:pPr>
      <w:r>
        <w:t xml:space="preserve">Traditional fine-tuning approaches that update all model parameters face several prohibitive resource constraints. A 14B parameter model requires approximately 56GB of GPU memory when training in FP16 precision, placing it beyond the reach of most consumer and research-grade hardware. Scaling laws </w:t>
      </w:r>
      <w:r>
        <w:t xml:space="preserve"> </w:t>
      </w:r>
      <w:r>
        <w:t xml:space="preserve">demonstrate that model performance improves predictably with parameter count, but full fine-tuning of large models remains computationally expensive. Alternative approaches like knowledge distillation </w:t>
      </w:r>
      <w:r>
        <w:t xml:space="preserve"> </w:t>
      </w:r>
      <w:r>
        <w:t xml:space="preserve">can transfer knowledge from large models to smaller ones, but parameter-efficient methods offer more direct adaptation strategies. The computational expense compounds this challenge, as full fine-tuning necessitates complete backward passes through all layers during each training iteration, resulting in slow convergence that demands millions of gradient updates to achieve satisfactory performance. Furthermore, the storage overhead becomes impractical when adapting models to multiple tasks, as each task-specific version requires maintaining a complete model copy, multiplying storage requirements linearly with the number of downstream applications.</w:t>
      </w:r>
    </w:p>
    <w:bookmarkEnd w:id="119"/>
    <w:bookmarkStart w:id="120" w:name="low-rank-adaptation-lora"/>
    <w:p>
      <w:pPr>
        <w:pStyle w:val="Heading3"/>
      </w:pPr>
      <w:r>
        <w:t xml:space="preserve">Low-Rank Adaptation (LoRA)</w:t>
      </w:r>
    </w:p>
    <w:p>
      <w:pPr>
        <w:pStyle w:val="FirstParagraph"/>
      </w:pPr>
      <w:r>
        <w:t xml:space="preserve">LoRA (Hu et al., 2021) introduces trainable rank-decomposition matrices into transformer layers:</w:t>
      </w:r>
    </w:p>
    <w:p>
      <w:pPr>
        <w:pStyle w:val="BodyText"/>
      </w:pPr>
      <m:oMathPara>
        <m:oMathParaPr>
          <m:jc m:val="center"/>
        </m:oMathParaPr>
        <m:oMath>
          <m:r>
            <m:rPr>
              <m:sty m:val="b"/>
            </m:rPr>
            <m:t>W</m:t>
          </m:r>
          <m:r>
            <m:rPr>
              <m:sty m:val="p"/>
            </m:rPr>
            <m:t>′</m:t>
          </m:r>
          <m:r>
            <m:rPr>
              <m:sty m:val="p"/>
            </m:rPr>
            <m:t>=</m:t>
          </m:r>
          <m:sSub>
            <m:e>
              <m:r>
                <m:rPr>
                  <m:sty m:val="b"/>
                </m:rPr>
                <m:t>W</m:t>
              </m:r>
            </m:e>
            <m:sub>
              <m:r>
                <m:t>0</m:t>
              </m:r>
            </m:sub>
          </m:sSub>
          <m:r>
            <m:rPr>
              <m:sty m:val="p"/>
            </m:rPr>
            <m:t>+</m:t>
          </m:r>
          <m:r>
            <m:rPr>
              <m:sty m:val="b"/>
            </m:rPr>
            <m:t>B</m:t>
          </m:r>
          <m:r>
            <m:rPr>
              <m:sty m:val="b"/>
            </m:rPr>
            <m:t>A</m:t>
          </m:r>
        </m:oMath>
      </m:oMathPara>
    </w:p>
    <w:p>
      <w:pPr>
        <w:pStyle w:val="FirstParagraph"/>
      </w:pPr>
      <w:r>
        <w:t xml:space="preserve">Where:</w:t>
      </w:r>
    </w:p>
    <w:p>
      <w:pPr>
        <w:numPr>
          <w:ilvl w:val="0"/>
          <w:numId w:val="1007"/>
        </w:numPr>
      </w:pPr>
      <m:oMath>
        <m:sSub>
          <m:e>
            <m:r>
              <m:rPr>
                <m:sty m:val="b"/>
              </m:rPr>
              <m:t>W</m:t>
            </m:r>
          </m:e>
          <m:sub>
            <m:r>
              <m:t>0</m:t>
            </m:r>
          </m:sub>
        </m:sSub>
        <m:r>
          <m:rPr>
            <m:sty m:val="p"/>
          </m:rPr>
          <m:t>∈</m:t>
        </m:r>
        <m:sSup>
          <m:e>
            <m:r>
              <m:rPr>
                <m:sty m:val="p"/>
                <m:scr m:val="double-struck"/>
              </m:rPr>
              <m:t>R</m:t>
            </m:r>
          </m:e>
          <m:sup>
            <m:r>
              <m:t>d</m:t>
            </m:r>
            <m:r>
              <m:rPr>
                <m:sty m:val="p"/>
              </m:rPr>
              <m:t>×</m:t>
            </m:r>
            <m:r>
              <m:t>k</m:t>
            </m:r>
          </m:sup>
        </m:sSup>
      </m:oMath>
      <w:r>
        <w:t xml:space="preserve"> </w:t>
      </w:r>
      <w:r>
        <w:t xml:space="preserve">is the frozen pre-trained weight matrix</w:t>
      </w:r>
    </w:p>
    <w:p>
      <w:pPr>
        <w:numPr>
          <w:ilvl w:val="0"/>
          <w:numId w:val="1007"/>
        </w:numPr>
      </w:pPr>
      <m:oMath>
        <m:r>
          <m:rPr>
            <m:sty m:val="b"/>
          </m:rPr>
          <m:t>B</m:t>
        </m:r>
        <m:r>
          <m:rPr>
            <m:sty m:val="p"/>
          </m:rPr>
          <m:t>∈</m:t>
        </m:r>
        <m:sSup>
          <m:e>
            <m:r>
              <m:rPr>
                <m:sty m:val="p"/>
                <m:scr m:val="double-struck"/>
              </m:rPr>
              <m:t>R</m:t>
            </m:r>
          </m:e>
          <m:sup>
            <m:r>
              <m:t>d</m:t>
            </m:r>
            <m:r>
              <m:rPr>
                <m:sty m:val="p"/>
              </m:rPr>
              <m:t>×</m:t>
            </m:r>
            <m:r>
              <m:t>r</m:t>
            </m:r>
          </m:sup>
        </m:sSup>
      </m:oMath>
      <w:r>
        <w:t xml:space="preserve"> </w:t>
      </w:r>
      <w:r>
        <w:t xml:space="preserve">and</w:t>
      </w:r>
      <w:r>
        <w:t xml:space="preserve"> </w:t>
      </w:r>
      <m:oMath>
        <m:r>
          <m:rPr>
            <m:sty m:val="b"/>
          </m:rPr>
          <m:t>A</m:t>
        </m:r>
        <m:r>
          <m:rPr>
            <m:sty m:val="p"/>
          </m:rPr>
          <m:t>∈</m:t>
        </m:r>
        <m:sSup>
          <m:e>
            <m:r>
              <m:rPr>
                <m:sty m:val="p"/>
                <m:scr m:val="double-struck"/>
              </m:rPr>
              <m:t>R</m:t>
            </m:r>
          </m:e>
          <m:sup>
            <m:r>
              <m:t>r</m:t>
            </m:r>
            <m:r>
              <m:rPr>
                <m:sty m:val="p"/>
              </m:rPr>
              <m:t>×</m:t>
            </m:r>
            <m:r>
              <m:t>k</m:t>
            </m:r>
          </m:sup>
        </m:sSup>
      </m:oMath>
      <w:r>
        <w:t xml:space="preserve"> </w:t>
      </w:r>
      <w:r>
        <w:t xml:space="preserve">are trainable low-rank matrices</w:t>
      </w:r>
    </w:p>
    <w:p>
      <w:pPr>
        <w:numPr>
          <w:ilvl w:val="0"/>
          <w:numId w:val="1007"/>
        </w:numPr>
      </w:pPr>
      <m:oMath>
        <m:r>
          <m:t>r</m:t>
        </m:r>
        <m:r>
          <m:rPr>
            <m:sty m:val="p"/>
          </m:rPr>
          <m:t>≪</m:t>
        </m:r>
        <m:r>
          <m:rPr>
            <m:sty m:val="p"/>
          </m:rPr>
          <m:t>min</m:t>
        </m:r>
        <m:d>
          <m:dPr>
            <m:begChr m:val="("/>
            <m:endChr m:val=")"/>
            <m:sepChr m:val=""/>
            <m:grow/>
          </m:dPr>
          <m:e>
            <m:r>
              <m:t>d</m:t>
            </m:r>
            <m:r>
              <m:rPr>
                <m:sty m:val="p"/>
              </m:rPr>
              <m:t>,</m:t>
            </m:r>
            <m:r>
              <m:t>k</m:t>
            </m:r>
          </m:e>
        </m:d>
      </m:oMath>
      <w:r>
        <w:t xml:space="preserve"> </w:t>
      </w:r>
      <w:r>
        <w:t xml:space="preserve">is the rank (typically 8-16)</w:t>
      </w:r>
    </w:p>
    <w:p>
      <w:pPr>
        <w:pStyle w:val="FirstParagraph"/>
      </w:pPr>
      <w:r>
        <w:rPr>
          <w:bCs/>
          <w:b/>
        </w:rPr>
        <w:t xml:space="preserve">Advantages:</w:t>
      </w:r>
      <w:r>
        <w:t xml:space="preserve"> </w:t>
      </w:r>
      <w:r>
        <w:t xml:space="preserve">The LoRA approach </w:t>
      </w:r>
      <w:r>
        <w:t xml:space="preserve"> </w:t>
      </w:r>
      <w:r>
        <w:t xml:space="preserve">provides several critical advantages for parameter-efficient fine-tuning. Most significantly, it reduces trainable parameters by approximately 99%, transforming a 14B parameter model into merely 16M trainable parameters while maintaining comparable performance to full fine-tuning. This dramatic reduction yields substantial memory efficiency, as only the small adapter matrices require gradient computation and storage during training. The modular nature of LoRA enables practical multi-task deployment, allowing multiple task-specific adapters to be swapped dynamically at inference time while sharing a single frozen base model. This architecture preserves the pre-trained knowledge encoded in the base weights, preventing catastrophic forgetting while enabling effective task adaptation.</w:t>
      </w:r>
    </w:p>
    <w:bookmarkEnd w:id="120"/>
    <w:bookmarkStart w:id="122" w:name="quantized-lora-qlora"/>
    <w:p>
      <w:pPr>
        <w:pStyle w:val="Heading3"/>
      </w:pPr>
      <w:r>
        <w:t xml:space="preserve">Quantized LoRA (QLoRA)</w:t>
      </w:r>
    </w:p>
    <w:p>
      <w:pPr>
        <w:pStyle w:val="FirstParagraph"/>
      </w:pPr>
      <w:r>
        <w:t xml:space="preserve">QLoRA </w:t>
      </w:r>
      <w:r>
        <w:t xml:space="preserve"> </w:t>
      </w:r>
      <w:r>
        <w:t xml:space="preserve">further reduces memory requirements by quantizing the base model while maintaining LoRA’s parameter-efficient adaptation strategy. The approach introduces</w:t>
      </w:r>
      <w:r>
        <w:t xml:space="preserve"> </w:t>
      </w:r>
      <w:r>
        <w:rPr>
          <w:bCs/>
          <w:b/>
        </w:rPr>
        <w:t xml:space="preserve">4-bit NormalFloat (NF4) Quantization</w:t>
      </w:r>
      <w:r>
        <w:t xml:space="preserve">, a custom data type specifically optimized for the normally distributed weight values typical in neural networks, providing better precision than standard 4-bit integer quantization. To maximize memory savings, QLoRA employs</w:t>
      </w:r>
      <w:r>
        <w:t xml:space="preserve"> </w:t>
      </w:r>
      <w:r>
        <w:rPr>
          <w:bCs/>
          <w:b/>
        </w:rPr>
        <w:t xml:space="preserve">Double Quantization</w:t>
      </w:r>
      <w:r>
        <w:t xml:space="preserve">, which quantizes even the quantization constants themselves, achieving an additional reduction in memory footprint. The system leverages</w:t>
      </w:r>
      <w:r>
        <w:t xml:space="preserve"> </w:t>
      </w:r>
      <w:r>
        <w:rPr>
          <w:bCs/>
          <w:b/>
        </w:rPr>
        <w:t xml:space="preserve">Paged Optimizers</w:t>
      </w:r>
      <w:r>
        <w:t xml:space="preserve"> </w:t>
      </w:r>
      <w:r>
        <w:t xml:space="preserve">that utilize NVIDIA unified memory architecture to manage optimizer states efficiently across CPU and GPU memory. The combined effect of these innovations enables fine-tuning of 14B parameter models within 18-20GB of memory, making large language model adaptation accessible on consumer-grade 24GB GPUs and democratizing advanced model development for the research community.</w:t>
      </w:r>
    </w:p>
    <w:bookmarkStart w:id="121" w:name="qlora-configuration"/>
    <w:p>
      <w:pPr>
        <w:pStyle w:val="Heading5"/>
      </w:pPr>
      <w:r>
        <w:t xml:space="preserve">QLoRA Configuration</w:t>
      </w:r>
    </w:p>
    <w:p>
      <w:pPr>
        <w:pStyle w:val="FirstParagraph"/>
      </w:pPr>
      <w:r>
        <w:t xml:space="preserve">Typical configuration for this work:</w:t>
      </w:r>
    </w:p>
    <w:p>
      <w:pPr>
        <w:numPr>
          <w:ilvl w:val="0"/>
          <w:numId w:val="1008"/>
        </w:numPr>
      </w:pPr>
      <w:r>
        <w:rPr>
          <w:bCs/>
          <w:b/>
        </w:rPr>
        <w:t xml:space="preserve">Quantization</w:t>
      </w:r>
      <w:r>
        <w:t xml:space="preserve">: 4-bit NF4 with double quantization</w:t>
      </w:r>
    </w:p>
    <w:p>
      <w:pPr>
        <w:numPr>
          <w:ilvl w:val="0"/>
          <w:numId w:val="1008"/>
        </w:numPr>
      </w:pPr>
      <w:r>
        <w:rPr>
          <w:bCs/>
          <w:b/>
        </w:rPr>
        <w:t xml:space="preserve">LoRA Rank (</w:t>
      </w:r>
      <m:oMath>
        <m:r>
          <m:t>r</m:t>
        </m:r>
      </m:oMath>
      <w:r>
        <w:rPr>
          <w:bCs/>
          <w:b/>
        </w:rPr>
        <w:t xml:space="preserve">)</w:t>
      </w:r>
      <w:r>
        <w:t xml:space="preserve">: 8 or 16</w:t>
      </w:r>
    </w:p>
    <w:p>
      <w:pPr>
        <w:numPr>
          <w:ilvl w:val="0"/>
          <w:numId w:val="1008"/>
        </w:numPr>
      </w:pPr>
      <w:r>
        <w:rPr>
          <w:bCs/>
          <w:b/>
        </w:rPr>
        <w:t xml:space="preserve">LoRA Alpha (</w:t>
      </w:r>
      <m:oMath>
        <m:r>
          <m:t>α</m:t>
        </m:r>
      </m:oMath>
      <w:r>
        <w:rPr>
          <w:bCs/>
          <w:b/>
        </w:rPr>
        <w:t xml:space="preserve">)</w:t>
      </w:r>
      <w:r>
        <w:t xml:space="preserve">: 16 or 32 (scaling factor =</w:t>
      </w:r>
      <w:r>
        <w:t xml:space="preserve"> </w:t>
      </w:r>
      <m:oMath>
        <m:r>
          <m:t>α</m:t>
        </m:r>
        <m:r>
          <m:rPr>
            <m:sty m:val="p"/>
          </m:rPr>
          <m:t>/</m:t>
        </m:r>
        <m:r>
          <m:t>r</m:t>
        </m:r>
      </m:oMath>
      <w:r>
        <w:t xml:space="preserve">)</w:t>
      </w:r>
    </w:p>
    <w:p>
      <w:pPr>
        <w:numPr>
          <w:ilvl w:val="0"/>
          <w:numId w:val="1008"/>
        </w:numPr>
      </w:pPr>
      <w:r>
        <w:rPr>
          <w:bCs/>
          <w:b/>
        </w:rPr>
        <w:t xml:space="preserve">LoRA Dropout</w:t>
      </w:r>
      <w:r>
        <w:t xml:space="preserve">: 0.05-0.1 for regularization</w:t>
      </w:r>
    </w:p>
    <w:p>
      <w:pPr>
        <w:numPr>
          <w:ilvl w:val="0"/>
          <w:numId w:val="1008"/>
        </w:numPr>
      </w:pPr>
      <w:r>
        <w:rPr>
          <w:bCs/>
          <w:b/>
        </w:rPr>
        <w:t xml:space="preserve">Target Modules</w:t>
      </w:r>
      <w:r>
        <w:t xml:space="preserve">: q_proj, k_proj, v_proj, o_proj, gate_proj, up_proj, down_proj</w:t>
      </w:r>
    </w:p>
    <w:p>
      <w:pPr>
        <w:numPr>
          <w:ilvl w:val="0"/>
          <w:numId w:val="1008"/>
        </w:numPr>
      </w:pPr>
      <w:r>
        <w:rPr>
          <w:bCs/>
          <w:b/>
        </w:rPr>
        <w:t xml:space="preserve">Learning Rate</w:t>
      </w:r>
      <w:r>
        <w:t xml:space="preserve">:</w:t>
      </w:r>
      <w:r>
        <w:t xml:space="preserve"> </w:t>
      </w:r>
      <m:oMath>
        <m:r>
          <m:t>1.5</m:t>
        </m:r>
        <m:r>
          <m:rPr>
            <m:sty m:val="p"/>
          </m:rPr>
          <m:t>×</m:t>
        </m:r>
        <m:sSup>
          <m:e>
            <m:r>
              <m:t>10</m:t>
            </m:r>
          </m:e>
          <m:sup>
            <m:r>
              <m:rPr>
                <m:sty m:val="p"/>
              </m:rPr>
              <m:t>−</m:t>
            </m:r>
            <m:r>
              <m:t>4</m:t>
            </m:r>
          </m:sup>
        </m:sSup>
      </m:oMath>
      <w:r>
        <w:t xml:space="preserve"> </w:t>
      </w:r>
      <w:r>
        <w:t xml:space="preserve">to</w:t>
      </w:r>
      <w:r>
        <w:t xml:space="preserve"> </w:t>
      </w:r>
      <m:oMath>
        <m:r>
          <m:t>2.0</m:t>
        </m:r>
        <m:r>
          <m:rPr>
            <m:sty m:val="p"/>
          </m:rPr>
          <m:t>×</m:t>
        </m:r>
        <m:sSup>
          <m:e>
            <m:r>
              <m:t>10</m:t>
            </m:r>
          </m:e>
          <m:sup>
            <m:r>
              <m:rPr>
                <m:sty m:val="p"/>
              </m:rPr>
              <m:t>−</m:t>
            </m:r>
            <m:r>
              <m:t>4</m:t>
            </m:r>
          </m:sup>
        </m:sSup>
      </m:oMath>
    </w:p>
    <w:bookmarkEnd w:id="121"/>
    <w:bookmarkEnd w:id="122"/>
    <w:bookmarkStart w:id="123" w:name="training-process"/>
    <w:p>
      <w:pPr>
        <w:pStyle w:val="Heading3"/>
      </w:pPr>
      <w:r>
        <w:t xml:space="preserve">Training Process</w:t>
      </w:r>
    </w:p>
    <w:p>
      <w:pPr>
        <w:pStyle w:val="FirstParagraph"/>
      </w:pPr>
      <w:r>
        <w:t xml:space="preserve">The fine-tuning process follows:</w:t>
      </w:r>
    </w:p>
    <w:p>
      <w:pPr>
        <w:numPr>
          <w:ilvl w:val="0"/>
          <w:numId w:val="1009"/>
        </w:numPr>
      </w:pPr>
      <w:r>
        <w:rPr>
          <w:bCs/>
          <w:b/>
        </w:rPr>
        <w:t xml:space="preserve">Load Base Model</w:t>
      </w:r>
      <w:r>
        <w:t xml:space="preserve">: Load pre-trained model in 4-bit quantized format</w:t>
      </w:r>
    </w:p>
    <w:p>
      <w:pPr>
        <w:numPr>
          <w:ilvl w:val="0"/>
          <w:numId w:val="1009"/>
        </w:numPr>
      </w:pPr>
      <w:r>
        <w:rPr>
          <w:bCs/>
          <w:b/>
        </w:rPr>
        <w:t xml:space="preserve">Initialize LoRA Adapters</w:t>
      </w:r>
      <w:r>
        <w:t xml:space="preserve">: Add trainable low-rank matrices to target layers</w:t>
      </w:r>
    </w:p>
    <w:p>
      <w:pPr>
        <w:numPr>
          <w:ilvl w:val="0"/>
          <w:numId w:val="1009"/>
        </w:numPr>
      </w:pPr>
      <w:r>
        <w:rPr>
          <w:bCs/>
          <w:b/>
        </w:rPr>
        <w:t xml:space="preserve">Prepare Dataset</w:t>
      </w:r>
      <w:r>
        <w:t xml:space="preserve">: Format training samples with chat templates</w:t>
      </w:r>
    </w:p>
    <w:p>
      <w:pPr>
        <w:numPr>
          <w:ilvl w:val="0"/>
          <w:numId w:val="1009"/>
        </w:numPr>
      </w:pPr>
      <w:r>
        <w:rPr>
          <w:bCs/>
          <w:b/>
        </w:rPr>
        <w:t xml:space="preserve">Training Loop</w:t>
      </w:r>
      <w:r>
        <w:t xml:space="preserve">: Update only LoRA parameters through gradient descent</w:t>
      </w:r>
    </w:p>
    <w:p>
      <w:pPr>
        <w:numPr>
          <w:ilvl w:val="0"/>
          <w:numId w:val="1009"/>
        </w:numPr>
      </w:pPr>
      <w:r>
        <w:rPr>
          <w:bCs/>
          <w:b/>
        </w:rPr>
        <w:t xml:space="preserve">Merge and Save</w:t>
      </w:r>
      <w:r>
        <w:t xml:space="preserve">: Optionally merge adapters with base model</w:t>
      </w:r>
    </w:p>
    <w:bookmarkEnd w:id="123"/>
    <w:bookmarkEnd w:id="124"/>
    <w:bookmarkStart w:id="132" w:name="ai-agents-and-langgraph"/>
    <w:p>
      <w:pPr>
        <w:pStyle w:val="Heading2"/>
      </w:pPr>
      <w:r>
        <w:t xml:space="preserve">AI Agents and LangGraph</w:t>
      </w:r>
    </w:p>
    <w:bookmarkStart w:id="125" w:name="agent-architecture"/>
    <w:p>
      <w:pPr>
        <w:pStyle w:val="Heading3"/>
      </w:pPr>
      <w:r>
        <w:t xml:space="preserve">Agent Architecture</w:t>
      </w:r>
    </w:p>
    <w:p>
      <w:pPr>
        <w:pStyle w:val="FirstParagraph"/>
      </w:pPr>
      <w:r>
        <w:t xml:space="preserve">AI agents extend language models with tool use and iterative reasoning through a perception-action loop comprising five phases. Perception receives user queries and environmental state information. Reasoning plans action sequences through model inference determining which tools to invoke. Action executes selected tools including database queries, API calls, and computations. Observation captures tool outputs and error messages providing feedback for subsequent reasoning. Reflection enables iteration, continuing the loop until goals are achieved or maximum step limits are reached.</w:t>
      </w:r>
    </w:p>
    <w:bookmarkEnd w:id="125"/>
    <w:bookmarkStart w:id="128" w:name="langgraph-framework"/>
    <w:p>
      <w:pPr>
        <w:pStyle w:val="Heading3"/>
      </w:pPr>
      <w:r>
        <w:t xml:space="preserve">LangGraph Framework</w:t>
      </w:r>
    </w:p>
    <w:p>
      <w:pPr>
        <w:pStyle w:val="FirstParagraph"/>
      </w:pPr>
      <w:r>
        <w:t xml:space="preserve">LangGraph, part of the LangChain ecosystem </w:t>
      </w:r>
      <w:r>
        <w:t xml:space="preserve">, provides stateful agent orchestration for building complex AI workflows:</w:t>
      </w:r>
    </w:p>
    <w:bookmarkStart w:id="126" w:name="core-concepts"/>
    <w:p>
      <w:pPr>
        <w:pStyle w:val="Heading5"/>
      </w:pPr>
      <w:r>
        <w:t xml:space="preserve">Core Concepts</w:t>
      </w:r>
    </w:p>
    <w:p>
      <w:pPr>
        <w:pStyle w:val="FirstParagraph"/>
      </w:pPr>
      <w:r>
        <w:t xml:space="preserve">LangGraph provides four core abstractions for stateful agent orchestration. State graphs represent workflows as directed graphs where nodes are processing steps and edges are transitions. State schemas employ typed dictionaries maintaining agent state across execution, ensuring type safety and state consistency. Conditional edges enable dynamic routing based on agent decisions, supporting complex branching logic. Persistence checkpoints state for human-in-the-loop workflows, allowing interruption and resumption.</w:t>
      </w:r>
    </w:p>
    <w:bookmarkEnd w:id="126"/>
    <w:bookmarkStart w:id="127" w:name="agent-execution-flow"/>
    <w:p>
      <w:pPr>
        <w:pStyle w:val="Heading5"/>
      </w:pPr>
      <w:r>
        <w:t xml:space="preserve">Agent Execution Flow</w:t>
      </w:r>
    </w:p>
    <w:p>
      <w:pPr>
        <w:pStyle w:val="FirstParagraph"/>
      </w:pPr>
      <w:r>
        <w:t xml:space="preserve">Agent execution proceeds through five phases: input nodes receive user queries and initialize state, agent nodes invoke LLMs to generate actions (tool calls or final answers), tool nodes execute selected tools and update state with results, conditional edges route to agent nodes for iteration or output nodes to finish, and output nodes return final results to users.</w:t>
      </w:r>
    </w:p>
    <w:bookmarkEnd w:id="127"/>
    <w:bookmarkEnd w:id="128"/>
    <w:bookmarkStart w:id="130" w:name="database-tools"/>
    <w:p>
      <w:pPr>
        <w:pStyle w:val="Heading3"/>
      </w:pPr>
      <w:r>
        <w:t xml:space="preserve">Database Tools</w:t>
      </w:r>
    </w:p>
    <w:p>
      <w:pPr>
        <w:pStyle w:val="FirstParagraph"/>
      </w:pPr>
      <w:r>
        <w:t xml:space="preserve">Text-to-SQL agents typically integrate four essential database tools:</w:t>
      </w:r>
      <w:r>
        <w:t xml:space="preserve"> </w:t>
      </w:r>
      <w:r>
        <w:rPr>
          <w:rStyle w:val="VerbatimChar"/>
        </w:rPr>
        <w:t xml:space="preserve">sql_db_list_tables</w:t>
      </w:r>
      <w:r>
        <w:t xml:space="preserve"> </w:t>
      </w:r>
      <w:r>
        <w:t xml:space="preserve">for discovering available tables,</w:t>
      </w:r>
      <w:r>
        <w:t xml:space="preserve"> </w:t>
      </w:r>
      <w:r>
        <w:rPr>
          <w:rStyle w:val="VerbatimChar"/>
        </w:rPr>
        <w:t xml:space="preserve">sql_db_schema</w:t>
      </w:r>
      <w:r>
        <w:t xml:space="preserve"> </w:t>
      </w:r>
      <w:r>
        <w:t xml:space="preserve">for retrieving table schemas,</w:t>
      </w:r>
      <w:r>
        <w:t xml:space="preserve"> </w:t>
      </w:r>
      <w:r>
        <w:rPr>
          <w:rStyle w:val="VerbatimChar"/>
        </w:rPr>
        <w:t xml:space="preserve">sql_db_query_checker</w:t>
      </w:r>
      <w:r>
        <w:t xml:space="preserve"> </w:t>
      </w:r>
      <w:r>
        <w:t xml:space="preserve">for validating SQL syntax before execution, and</w:t>
      </w:r>
      <w:r>
        <w:t xml:space="preserve"> </w:t>
      </w:r>
      <w:r>
        <w:rPr>
          <w:rStyle w:val="VerbatimChar"/>
        </w:rPr>
        <w:t xml:space="preserve">sql_db_query</w:t>
      </w:r>
      <w:r>
        <w:t xml:space="preserve"> </w:t>
      </w:r>
      <w:r>
        <w:t xml:space="preserve">for executing queries and returning results.</w:t>
      </w:r>
    </w:p>
    <w:bookmarkStart w:id="129" w:name="example-tool-implementation"/>
    <w:p>
      <w:pPr>
        <w:pStyle w:val="Heading5"/>
      </w:pPr>
      <w:r>
        <w:t xml:space="preserve">Example Tool Implementation</w:t>
      </w:r>
    </w:p>
    <w:p>
      <w:pPr>
        <w:pStyle w:val="SourceCode"/>
      </w:pPr>
      <w:r>
        <w:rPr>
          <w:rStyle w:val="VerbatimChar"/>
        </w:rPr>
        <w:t xml:space="preserve">from langchain.tools import BaseTool</w:t>
      </w:r>
      <w:r>
        <w:br/>
      </w:r>
      <w:r>
        <w:br/>
      </w:r>
      <w:r>
        <w:rPr>
          <w:rStyle w:val="VerbatimChar"/>
        </w:rPr>
        <w:t xml:space="preserve">class SpatialSchemaInspectorTool(BaseTool):</w:t>
      </w:r>
      <w:r>
        <w:br/>
      </w:r>
      <w:r>
        <w:rPr>
          <w:rStyle w:val="VerbatimChar"/>
        </w:rPr>
        <w:t xml:space="preserve">    name = "sql_db_schema"</w:t>
      </w:r>
      <w:r>
        <w:br/>
      </w:r>
      <w:r>
        <w:rPr>
          <w:rStyle w:val="VerbatimChar"/>
        </w:rPr>
        <w:t xml:space="preserve">    description = "Get table schemas with geometry column detection"</w:t>
      </w:r>
      <w:r>
        <w:br/>
      </w:r>
      <w:r>
        <w:rPr>
          <w:rStyle w:val="VerbatimChar"/>
        </w:rPr>
        <w:t xml:space="preserve">    </w:t>
      </w:r>
      <w:r>
        <w:br/>
      </w:r>
      <w:r>
        <w:rPr>
          <w:rStyle w:val="VerbatimChar"/>
        </w:rPr>
        <w:t xml:space="preserve">    def _run(self, table_names: str) -&gt; str:</w:t>
      </w:r>
      <w:r>
        <w:br/>
      </w:r>
      <w:r>
        <w:rPr>
          <w:rStyle w:val="VerbatimChar"/>
        </w:rPr>
        <w:t xml:space="preserve">        tables = table_names.split(',')</w:t>
      </w:r>
      <w:r>
        <w:br/>
      </w:r>
      <w:r>
        <w:rPr>
          <w:rStyle w:val="VerbatimChar"/>
        </w:rPr>
        <w:t xml:space="preserve">        schema_info = []</w:t>
      </w:r>
      <w:r>
        <w:br/>
      </w:r>
      <w:r>
        <w:rPr>
          <w:rStyle w:val="VerbatimChar"/>
        </w:rPr>
        <w:t xml:space="preserve">        </w:t>
      </w:r>
      <w:r>
        <w:br/>
      </w:r>
      <w:r>
        <w:rPr>
          <w:rStyle w:val="VerbatimChar"/>
        </w:rPr>
        <w:t xml:space="preserve">        for table in tables:</w:t>
      </w:r>
      <w:r>
        <w:br/>
      </w:r>
      <w:r>
        <w:rPr>
          <w:rStyle w:val="VerbatimChar"/>
        </w:rPr>
        <w:t xml:space="preserve">            # Get standard columns</w:t>
      </w:r>
      <w:r>
        <w:br/>
      </w:r>
      <w:r>
        <w:rPr>
          <w:rStyle w:val="VerbatimChar"/>
        </w:rPr>
        <w:t xml:space="preserve">            columns = db.get_table_columns(table)</w:t>
      </w:r>
      <w:r>
        <w:br/>
      </w:r>
      <w:r>
        <w:rPr>
          <w:rStyle w:val="VerbatimChar"/>
        </w:rPr>
        <w:t xml:space="preserve">            </w:t>
      </w:r>
      <w:r>
        <w:br/>
      </w:r>
      <w:r>
        <w:rPr>
          <w:rStyle w:val="VerbatimChar"/>
        </w:rPr>
        <w:t xml:space="preserve">            # Detect geometry columns</w:t>
      </w:r>
      <w:r>
        <w:br/>
      </w:r>
      <w:r>
        <w:rPr>
          <w:rStyle w:val="VerbatimChar"/>
        </w:rPr>
        <w:t xml:space="preserve">            geom_cols = [col for col in columns </w:t>
      </w:r>
      <w:r>
        <w:br/>
      </w:r>
      <w:r>
        <w:rPr>
          <w:rStyle w:val="VerbatimChar"/>
        </w:rPr>
        <w:t xml:space="preserve">                        if 'geometry' in col.lower() or 'geom' in col.lower()]</w:t>
      </w:r>
      <w:r>
        <w:br/>
      </w:r>
      <w:r>
        <w:rPr>
          <w:rStyle w:val="VerbatimChar"/>
        </w:rPr>
        <w:t xml:space="preserve">            </w:t>
      </w:r>
      <w:r>
        <w:br/>
      </w:r>
      <w:r>
        <w:rPr>
          <w:rStyle w:val="VerbatimChar"/>
        </w:rPr>
        <w:t xml:space="preserve">            schema_info.append(f"Table: {table}\n"</w:t>
      </w:r>
      <w:r>
        <w:br/>
      </w:r>
      <w:r>
        <w:rPr>
          <w:rStyle w:val="VerbatimChar"/>
        </w:rPr>
        <w:t xml:space="preserve">                              f"Columns: {', '.join(columns)}\n"</w:t>
      </w:r>
      <w:r>
        <w:br/>
      </w:r>
      <w:r>
        <w:rPr>
          <w:rStyle w:val="VerbatimChar"/>
        </w:rPr>
        <w:t xml:space="preserve">                              f"Spatial Columns: {', '.join(geom_cols)}")</w:t>
      </w:r>
      <w:r>
        <w:br/>
      </w:r>
      <w:r>
        <w:rPr>
          <w:rStyle w:val="VerbatimChar"/>
        </w:rPr>
        <w:t xml:space="preserve">        </w:t>
      </w:r>
      <w:r>
        <w:br/>
      </w:r>
      <w:r>
        <w:rPr>
          <w:rStyle w:val="VerbatimChar"/>
        </w:rPr>
        <w:t xml:space="preserve">        return '\n\n'.join(schema_info)</w:t>
      </w:r>
    </w:p>
    <w:bookmarkEnd w:id="129"/>
    <w:bookmarkEnd w:id="130"/>
    <w:bookmarkStart w:id="131" w:name="error-handling-and-retry-logic"/>
    <w:p>
      <w:pPr>
        <w:pStyle w:val="Heading3"/>
      </w:pPr>
      <w:r>
        <w:t xml:space="preserve">Error Handling and Retry Logic</w:t>
      </w:r>
    </w:p>
    <w:p>
      <w:pPr>
        <w:pStyle w:val="FirstParagraph"/>
      </w:pPr>
      <w:r>
        <w:t xml:space="preserve">Robust agent implementations incorporate four safety mechanisms: maximum iteration limits prevent infinite loops (typically 5 attempts), timeout management enforces query execution limits (typically 120 seconds), error feedback passes execution errors back to agents enabling self-correction, and graceful degradation returns partial results when complete answers fail, ensuring user-facing robustness.</w:t>
      </w:r>
    </w:p>
    <w:bookmarkEnd w:id="131"/>
    <w:bookmarkEnd w:id="132"/>
    <w:bookmarkStart w:id="133" w:name="summary-1"/>
    <w:p>
      <w:pPr>
        <w:pStyle w:val="Heading2"/>
      </w:pPr>
      <w:r>
        <w:t xml:space="preserve">Summary</w:t>
      </w:r>
    </w:p>
    <w:p>
      <w:pPr>
        <w:pStyle w:val="FirstParagraph"/>
      </w:pPr>
      <w:r>
        <w:t xml:space="preserve">This chapter introduced the foundational technologies:</w:t>
      </w:r>
    </w:p>
    <w:p>
      <w:pPr>
        <w:numPr>
          <w:ilvl w:val="0"/>
          <w:numId w:val="1010"/>
        </w:numPr>
      </w:pPr>
      <w:r>
        <w:rPr>
          <w:bCs/>
          <w:b/>
        </w:rPr>
        <w:t xml:space="preserve">PostGIS</w:t>
      </w:r>
      <w:r>
        <w:t xml:space="preserve">: Spatial databases with geometry types, spatial operations, and raster support enabling complex urban analytics</w:t>
      </w:r>
    </w:p>
    <w:p>
      <w:pPr>
        <w:numPr>
          <w:ilvl w:val="0"/>
          <w:numId w:val="1010"/>
        </w:numPr>
      </w:pPr>
      <w:r>
        <w:rPr>
          <w:bCs/>
          <w:b/>
        </w:rPr>
        <w:t xml:space="preserve">Large Language Models</w:t>
      </w:r>
      <w:r>
        <w:t xml:space="preserve">: Transformer-based architectures (Llama, Qwen) providing natural language understanding and generation</w:t>
      </w:r>
    </w:p>
    <w:p>
      <w:pPr>
        <w:numPr>
          <w:ilvl w:val="0"/>
          <w:numId w:val="1010"/>
        </w:numPr>
      </w:pPr>
      <w:r>
        <w:rPr>
          <w:bCs/>
          <w:b/>
        </w:rPr>
        <w:t xml:space="preserve">QLoRA</w:t>
      </w:r>
      <w:r>
        <w:t xml:space="preserve">: Parameter-efficient fine-tuning enabling 14B model training on single 24GB GPU through 4-bit quantization and low-rank adapters</w:t>
      </w:r>
    </w:p>
    <w:p>
      <w:pPr>
        <w:numPr>
          <w:ilvl w:val="0"/>
          <w:numId w:val="1010"/>
        </w:numPr>
      </w:pPr>
      <w:r>
        <w:rPr>
          <w:bCs/>
          <w:b/>
        </w:rPr>
        <w:t xml:space="preserve">LangGraph</w:t>
      </w:r>
      <w:r>
        <w:t xml:space="preserve">: Stateful agent framework enabling iterative reasoning with database tools and execution feedback</w:t>
      </w:r>
    </w:p>
    <w:p>
      <w:pPr>
        <w:numPr>
          <w:ilvl w:val="0"/>
          <w:numId w:val="1010"/>
        </w:numPr>
      </w:pPr>
      <w:r>
        <w:rPr>
          <w:bCs/>
          <w:b/>
        </w:rPr>
        <w:t xml:space="preserve">Urban Informatics</w:t>
      </w:r>
      <w:r>
        <w:t xml:space="preserve">: Digital twin technologies, BIM standards, and smart city platforms providing context for integrated urban energy systems</w:t>
      </w:r>
    </w:p>
    <w:p>
      <w:pPr>
        <w:pStyle w:val="FirstParagraph"/>
      </w:pPr>
      <w:r>
        <w:t xml:space="preserve">These technologies form the technical foundation for CIM Wizard and CIM Assist, which are positioned in the context of related work in Chapter </w:t>
      </w:r>
      <w:hyperlink w:anchor="ch:sota">
        <w:r>
          <w:rPr>
            <w:rStyle w:val="Hyperlink"/>
          </w:rPr>
          <w:t xml:space="preserve">2</w:t>
        </w:r>
      </w:hyperlink>
      <w:r>
        <w:t xml:space="preserve"> </w:t>
      </w:r>
      <w:r>
        <w:t xml:space="preserve">and detailed in the methodology in Chapter </w:t>
      </w:r>
      <w:hyperlink w:anchor="ch:methodology">
        <w:r>
          <w:rPr>
            <w:rStyle w:val="Hyperlink"/>
          </w:rPr>
          <w:t xml:space="preserve">[ch:methodology]</w:t>
        </w:r>
      </w:hyperlink>
      <w:r>
        <w:t xml:space="preserve">.</w:t>
      </w:r>
    </w:p>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2025-12-03T14:51:31Z</dcterms:created>
  <dcterms:modified xsi:type="dcterms:W3CDTF">2025-12-03T14:51:31Z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