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365F91"/>
          <w:sz w:val="31"/>
          <w:szCs w:val="31"/>
        </w:rPr>
        <w:t xml:space="preserve">Tree-Driven Block Extraction: Workflow Plan</w:t>
      </w:r>
    </w:p>
    <w:p>
      <w:pPr>
        <w:pBdr>
          <w:bottom w:val="single" w:color="365F91" w:sz="8" w:space="4"/>
        </w:pBdr>
        <w:spacing w:after="120"/>
      </w:pPr>
      <w:r>
        <w:rPr>
          <w:rFonts w:ascii="Calibri" w:cs="Calibri" w:eastAsia="Calibri" w:hAnsi="Calibri"/>
          <w:color w:val="595959"/>
          <w:sz w:val="19"/>
          <w:szCs w:val="19"/>
        </w:rPr>
        <w:t xml:space="preserve">Project 867 equipment cleanup  |  Prepared for John Feldhausen  |  October 14, 2026</w:t>
      </w:r>
    </w:p>
    <w:p>
      <w:pPr>
        <w:pStyle w:val="Heading1"/>
        <w:pBdr>
          <w:bottom w:val="single" w:color="365F91" w:sz="4" w:space="2"/>
        </w:pBdr>
        <w:spacing w:after="60" w:before="140"/>
      </w:pPr>
      <w:r>
        <w:rPr>
          <w:rFonts w:ascii="Calibri" w:cs="Calibri" w:eastAsia="Calibri" w:hAnsi="Calibri"/>
          <w:b/>
          <w:bCs/>
          <w:color w:val="365F91"/>
          <w:sz w:val="23"/>
          <w:szCs w:val="23"/>
        </w:rPr>
        <w:t xml:space="preserve">1. Purpose</w:t>
      </w:r>
    </w:p>
    <w:p>
      <w:pPr>
        <w:spacing w:after="80" w:line="252"/>
      </w:pPr>
      <w:r>
        <w:rPr>
          <w:rFonts w:ascii="Calibri" w:cs="Calibri" w:eastAsia="Calibri" w:hAnsi="Calibri"/>
          <w:sz w:val="20"/>
          <w:szCs w:val="20"/>
        </w:rPr>
        <w:t xml:space="preserve">The Reference Tree now maps the 867 equipment master and its dependencies, and has run successfully on the real 867-M-Equipment.dwg with every original confirmed unchanged. Following a review with a designer, the cleanup will be driven directly from the tree: the designer right-clicks a block, the tool shows it in CAD, collapses it and everything nested inside it into one clean block, saves it as its own DWG inside the project, and places it back exactly where it was. This document sets out that workflow and the decisions needed before it is built.</w:t>
      </w:r>
    </w:p>
    <w:p>
      <w:pPr>
        <w:pStyle w:val="Heading1"/>
        <w:pBdr>
          <w:bottom w:val="single" w:color="365F91" w:sz="4" w:space="2"/>
        </w:pBdr>
        <w:spacing w:after="60" w:before="140"/>
      </w:pPr>
      <w:r>
        <w:rPr>
          <w:rFonts w:ascii="Calibri" w:cs="Calibri" w:eastAsia="Calibri" w:hAnsi="Calibri"/>
          <w:b/>
          <w:bCs/>
          <w:color w:val="365F91"/>
          <w:sz w:val="23"/>
          <w:szCs w:val="23"/>
        </w:rPr>
        <w:t xml:space="preserve">2. The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7080"/>
      </w:tblGrid>
      <w:tr>
        <w:trPr>
          <w:tblHeader/>
        </w:trPr>
        <w:tc>
          <w:tcPr>
            <w:tcW w:type="dxa" w:w="7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Step</w:t>
            </w:r>
          </w:p>
        </w:tc>
        <w:tc>
          <w:tcPr>
            <w:tcW w:type="dxa" w:w="23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Name</w:t>
            </w:r>
          </w:p>
        </w:tc>
        <w:tc>
          <w:tcPr>
            <w:tcW w:type="dxa" w:w="708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What happens</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1</w:t>
            </w:r>
          </w:p>
        </w:tc>
        <w:tc>
          <w:tcPr>
            <w:tcW w:type="dxa" w:w="23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Show in CAD</w:t>
            </w:r>
          </w:p>
        </w:tc>
        <w:tc>
          <w:tcPr>
            <w:tcW w:type="dxa" w:w="70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Right-click a block in the tree. The master opens read-only in Plant 3D, every instance of the block is highlighted and zoomed to, and the tree highlights the nested blocks beneath it.</w:t>
            </w:r>
          </w:p>
        </w:tc>
      </w:tr>
      <w:tr>
        <w:trPr>
          <w:cantSplit/>
        </w:trPr>
        <w:tc>
          <w:tcPr>
            <w:tcW w:type="dxa" w:w="7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2</w:t>
            </w:r>
          </w:p>
        </w:tc>
        <w:tc>
          <w:tcPr>
            <w:tcW w:type="dxa" w:w="23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Extract to project</w:t>
            </w:r>
          </w:p>
        </w:tc>
        <w:tc>
          <w:tcPr>
            <w:tcW w:type="dxa" w:w="70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A short wizard: scope (this instance, or all instances), save location (defaults to the 867 library folder, file named after the block), and a preview such as "collapses 4 nested levels and 23 blocks into about 2,140 entities on 3 layers".</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3</w:t>
            </w:r>
          </w:p>
        </w:tc>
        <w:tc>
          <w:tcPr>
            <w:tcW w:type="dxa" w:w="23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Collapse</w:t>
            </w:r>
          </w:p>
        </w:tc>
        <w:tc>
          <w:tcPr>
            <w:tcW w:type="dxa" w:w="70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The existing flattening engine reduces the block and everything nested in it to plain geometry, preserving appearance. This runs on a copy; the master is not touched.</w:t>
            </w:r>
          </w:p>
        </w:tc>
      </w:tr>
      <w:tr>
        <w:trPr>
          <w:cantSplit/>
        </w:trPr>
        <w:tc>
          <w:tcPr>
            <w:tcW w:type="dxa" w:w="7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4</w:t>
            </w:r>
          </w:p>
        </w:tc>
        <w:tc>
          <w:tcPr>
            <w:tcW w:type="dxa" w:w="23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Write its own DWG</w:t>
            </w:r>
          </w:p>
        </w:tc>
        <w:tc>
          <w:tcPr>
            <w:tcW w:type="dxa" w:w="70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The geometry is written at its true position in the master, so the new file's 0,0 matches the master's 0,0. The original placement (insertion point, rotation, scale) is also recorded in a log and in the file's drawing properties.</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5</w:t>
            </w:r>
          </w:p>
        </w:tc>
        <w:tc>
          <w:tcPr>
            <w:tcW w:type="dxa" w:w="23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Put it back</w:t>
            </w:r>
          </w:p>
        </w:tc>
        <w:tc>
          <w:tcPr>
            <w:tcW w:type="dxa" w:w="70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In a working copy of the master (never the master itself), the original instance is removed and the new DWG is placed at 0,0, scale 1, rotation 0. The user picks an existing layer or names a new one.</w:t>
            </w:r>
          </w:p>
        </w:tc>
      </w:tr>
      <w:tr>
        <w:trPr>
          <w:cantSplit/>
        </w:trPr>
        <w:tc>
          <w:tcPr>
            <w:tcW w:type="dxa" w:w="7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6</w:t>
            </w:r>
          </w:p>
        </w:tc>
        <w:tc>
          <w:tcPr>
            <w:tcW w:type="dxa" w:w="23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Verify</w:t>
            </w:r>
          </w:p>
        </w:tc>
        <w:tc>
          <w:tcPr>
            <w:tcW w:type="dxa" w:w="70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The new file's geometry is compared with the instance it replaced, using the independent check already built into the flattener. A mismatch blocks the swap.</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7</w:t>
            </w:r>
          </w:p>
        </w:tc>
        <w:tc>
          <w:tcPr>
            <w:tcW w:type="dxa" w:w="23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Log</w:t>
            </w:r>
          </w:p>
        </w:tc>
        <w:tc>
          <w:tcPr>
            <w:tcW w:type="dxa" w:w="70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Each extraction is recorded: block, instances, original placement, new file, layer, date and user. This provides undo and an audit trail. The working copy goes through review before it replaces the master.</w:t>
            </w:r>
          </w:p>
        </w:tc>
      </w:tr>
    </w:tbl>
    <w:p>
      <w:pPr>
        <w:spacing w:after="100" w:before="50"/>
        <w:jc w:val="center"/>
      </w:pPr>
      <w:r>
        <w:rPr>
          <w:rFonts w:ascii="Calibri" w:cs="Calibri" w:eastAsia="Calibri" w:hAnsi="Calibri"/>
          <w:b/>
          <w:bCs/>
          <w:sz w:val="18"/>
          <w:szCs w:val="18"/>
        </w:rPr>
        <w:t xml:space="preserve">Table 1. Right-click to extract, step by step</w:t>
      </w:r>
    </w:p>
    <w:p>
      <w:pPr>
        <w:spacing w:after="80" w:line="252"/>
      </w:pPr>
      <w:r>
        <w:rPr>
          <w:rFonts w:ascii="Calibri" w:cs="Calibri" w:eastAsia="Calibri" w:hAnsi="Calibri"/>
          <w:b/>
          <w:bCs/>
          <w:sz w:val="20"/>
          <w:szCs w:val="20"/>
        </w:rPr>
        <w:t xml:space="preserve">Why placing at 0,0 works: </w:t>
      </w:r>
      <w:r>
        <w:rPr>
          <w:rFonts w:ascii="Calibri" w:cs="Calibri" w:eastAsia="Calibri" w:hAnsi="Calibri"/>
          <w:sz w:val="20"/>
          <w:szCs w:val="20"/>
        </w:rPr>
        <w:t xml:space="preserve">because each new file is written in the master's own coordinates, placing it at 0,0 with no rotation or scaling puts every line exactly where it was. No offsets have to be remembered or re-entered.</w:t>
      </w:r>
    </w:p>
    <w:p>
      <w:pPr>
        <w:spacing w:after="80" w:line="252"/>
      </w:pPr>
      <w:r>
        <w:rPr>
          <w:rFonts w:ascii="Calibri" w:cs="Calibri" w:eastAsia="Calibri" w:hAnsi="Calibri"/>
          <w:b/>
          <w:bCs/>
          <w:sz w:val="20"/>
          <w:szCs w:val="20"/>
        </w:rPr>
        <w:t xml:space="preserve">The tree becomes the to-do list: </w:t>
      </w:r>
      <w:r>
        <w:rPr>
          <w:rFonts w:ascii="Calibri" w:cs="Calibri" w:eastAsia="Calibri" w:hAnsi="Calibri"/>
          <w:sz w:val="20"/>
          <w:szCs w:val="20"/>
        </w:rPr>
        <w:t xml:space="preserve">each block shows its status (not started, extracted, replaced, verified), and the "Outside the project" tab shows what remains.</w:t>
      </w:r>
    </w:p>
    <w:p>
      <w:pPr>
        <w:pStyle w:val="Heading1"/>
        <w:pBdr>
          <w:bottom w:val="single" w:color="365F91" w:sz="4" w:space="2"/>
        </w:pBdr>
        <w:spacing w:after="60" w:before="140"/>
      </w:pPr>
      <w:r>
        <w:rPr>
          <w:rFonts w:ascii="Calibri" w:cs="Calibri" w:eastAsia="Calibri" w:hAnsi="Calibri"/>
          <w:b/>
          <w:bCs/>
          <w:color w:val="365F91"/>
          <w:sz w:val="23"/>
          <w:szCs w:val="23"/>
        </w:rPr>
        <w:t xml:space="preserve">3. Decisions Needed Before Building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4280"/>
        <w:gridCol w:w="2100"/>
      </w:tblGrid>
      <w:tr>
        <w:trPr>
          <w:tblHeader/>
        </w:trPr>
        <w:tc>
          <w:tcPr>
            <w:tcW w:type="dxa" w:w="6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w:t>
            </w:r>
          </w:p>
        </w:tc>
        <w:tc>
          <w:tcPr>
            <w:tcW w:type="dxa" w:w="31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Decision</w:t>
            </w:r>
          </w:p>
        </w:tc>
        <w:tc>
          <w:tcPr>
            <w:tcW w:type="dxa" w:w="428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Options</w:t>
            </w:r>
          </w:p>
        </w:tc>
        <w:tc>
          <w:tcPr>
            <w:tcW w:type="dxa" w:w="21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Initial suggestion</w:t>
            </w:r>
          </w:p>
        </w:tc>
      </w:tr>
      <w:tr>
        <w:trPr>
          <w:cantSplit/>
        </w:trPr>
        <w:tc>
          <w:tcPr>
            <w:tcW w:type="dxa" w:w="6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1</w:t>
            </w:r>
          </w:p>
        </w:tc>
        <w:tc>
          <w:tcPr>
            <w:tcW w:type="dxa" w:w="3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One file per instance or per block definition?</w:t>
            </w:r>
          </w:p>
        </w:tc>
        <w:tc>
          <w:tcPr>
            <w:tcW w:type="dxa" w:w="42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A unique item (turbine) maps to one file; a repeated item (40 pipe rack bays) could be 40 files, one file holding all 40, or one per bay type</w:t>
            </w:r>
          </w:p>
        </w:tc>
        <w:tc>
          <w:tcPr>
            <w:tcW w:type="dxa" w:w="2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Per instance for unique equipment; one file per definition for repeated items such as racking</w:t>
            </w:r>
          </w:p>
        </w:tc>
      </w:tr>
      <w:tr>
        <w:trPr>
          <w:cantSplit/>
        </w:trPr>
        <w:tc>
          <w:tcPr>
            <w:tcW w:type="dxa" w:w="6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2</w:t>
            </w:r>
          </w:p>
        </w:tc>
        <w:tc>
          <w:tcPr>
            <w:tcW w:type="dxa" w:w="31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Bring back as an Xref or an inserted block?</w:t>
            </w:r>
          </w:p>
        </w:tc>
        <w:tc>
          <w:tcPr>
            <w:tcW w:type="dxa" w:w="42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Xref keeps a separate live file in the project; an inserted block embeds it in the master</w:t>
            </w:r>
          </w:p>
        </w:tc>
        <w:tc>
          <w:tcPr>
            <w:tcW w:type="dxa" w:w="21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Xref (matches "its own DWG in the project")</w:t>
            </w:r>
          </w:p>
        </w:tc>
      </w:tr>
      <w:tr>
        <w:trPr>
          <w:cantSplit/>
        </w:trPr>
        <w:tc>
          <w:tcPr>
            <w:tcW w:type="dxa" w:w="6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3</w:t>
            </w:r>
          </w:p>
        </w:tc>
        <w:tc>
          <w:tcPr>
            <w:tcW w:type="dxa" w:w="3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Layers inside the new file</w:t>
            </w:r>
          </w:p>
        </w:tc>
        <w:tc>
          <w:tcPr>
            <w:tcW w:type="dxa" w:w="42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Keep the original layers (identical look, more layers), or put everything on layer 0 with colors baked in so the chosen layer controls the whole item</w:t>
            </w:r>
          </w:p>
        </w:tc>
        <w:tc>
          <w:tcPr>
            <w:tcW w:type="dxa" w:w="2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Layer 0 with colors baked in</w:t>
            </w:r>
          </w:p>
        </w:tc>
      </w:tr>
      <w:tr>
        <w:trPr>
          <w:cantSplit/>
        </w:trPr>
        <w:tc>
          <w:tcPr>
            <w:tcW w:type="dxa" w:w="6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4</w:t>
            </w:r>
          </w:p>
        </w:tc>
        <w:tc>
          <w:tcPr>
            <w:tcW w:type="dxa" w:w="31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File naming and 867 library folder</w:t>
            </w:r>
          </w:p>
        </w:tc>
        <w:tc>
          <w:tcPr>
            <w:tcW w:type="dxa" w:w="42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Where extracted files live and how they are named</w:t>
            </w:r>
          </w:p>
        </w:tc>
        <w:tc>
          <w:tcPr>
            <w:tcW w:type="dxa" w:w="21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To be set by John</w:t>
            </w:r>
          </w:p>
        </w:tc>
      </w:tr>
      <w:tr>
        <w:trPr>
          <w:cantSplit/>
        </w:trPr>
        <w:tc>
          <w:tcPr>
            <w:tcW w:type="dxa" w:w="6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5</w:t>
            </w:r>
          </w:p>
        </w:tc>
        <w:tc>
          <w:tcPr>
            <w:tcW w:type="dxa" w:w="3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Highlighting in CAD</w:t>
            </w:r>
          </w:p>
        </w:tc>
        <w:tc>
          <w:tcPr>
            <w:tcW w:type="dxa" w:w="42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Open the live master read-only (cannot change it), or open a copy</w:t>
            </w:r>
          </w:p>
        </w:tc>
        <w:tc>
          <w:tcPr>
            <w:tcW w:type="dxa" w:w="21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Read-only open of the live master, with John's approval</w:t>
            </w:r>
          </w:p>
        </w:tc>
      </w:tr>
    </w:tbl>
    <w:p>
      <w:pPr>
        <w:spacing w:after="100" w:before="50"/>
        <w:jc w:val="center"/>
      </w:pPr>
      <w:r>
        <w:rPr>
          <w:rFonts w:ascii="Calibri" w:cs="Calibri" w:eastAsia="Calibri" w:hAnsi="Calibri"/>
          <w:b/>
          <w:bCs/>
          <w:sz w:val="18"/>
          <w:szCs w:val="18"/>
        </w:rPr>
        <w:t xml:space="preserve">Table 2. Decisions that shape the build</w:t>
      </w:r>
    </w:p>
    <w:p>
      <w:pPr>
        <w:pStyle w:val="Heading1"/>
        <w:pBdr>
          <w:bottom w:val="single" w:color="365F91" w:sz="4" w:space="2"/>
        </w:pBdr>
        <w:spacing w:after="60" w:before="140"/>
      </w:pPr>
      <w:r>
        <w:rPr>
          <w:rFonts w:ascii="Calibri" w:cs="Calibri" w:eastAsia="Calibri" w:hAnsi="Calibri"/>
          <w:b/>
          <w:bCs/>
          <w:color w:val="365F91"/>
          <w:sz w:val="23"/>
          <w:szCs w:val="23"/>
        </w:rPr>
        <w:t xml:space="preserve">4. Points to Handle in the Design</w:t>
      </w:r>
    </w:p>
    <w:p>
      <w:pPr>
        <w:pStyle w:val="ListParagraph"/>
        <w:numPr>
          <w:ilvl w:val="0"/>
          <w:numId w:val="2"/>
        </w:numPr>
        <w:spacing w:after="40" w:line="252"/>
      </w:pPr>
      <w:r>
        <w:rPr>
          <w:rFonts w:ascii="Calibri" w:cs="Calibri" w:eastAsia="Calibri" w:hAnsi="Calibri"/>
          <w:b/>
          <w:bCs/>
          <w:sz w:val="20"/>
          <w:szCs w:val="20"/>
        </w:rPr>
        <w:t xml:space="preserve">Dynamic blocks </w:t>
      </w:r>
      <w:r>
        <w:rPr>
          <w:rFonts w:ascii="Calibri" w:cs="Calibri" w:eastAsia="Calibri" w:hAnsi="Calibri"/>
          <w:sz w:val="20"/>
          <w:szCs w:val="20"/>
        </w:rPr>
        <w:t xml:space="preserve">become fixed geometry in their current state; their grips are not carried into the new file.</w:t>
      </w:r>
    </w:p>
    <w:p>
      <w:pPr>
        <w:pStyle w:val="ListParagraph"/>
        <w:numPr>
          <w:ilvl w:val="0"/>
          <w:numId w:val="2"/>
        </w:numPr>
        <w:spacing w:after="40" w:line="252"/>
      </w:pPr>
      <w:r>
        <w:rPr>
          <w:rFonts w:ascii="Calibri" w:cs="Calibri" w:eastAsia="Calibri" w:hAnsi="Calibri"/>
          <w:b/>
          <w:bCs/>
          <w:sz w:val="20"/>
          <w:szCs w:val="20"/>
        </w:rPr>
        <w:t xml:space="preserve">Attributes </w:t>
      </w:r>
      <w:r>
        <w:rPr>
          <w:rFonts w:ascii="Calibri" w:cs="Calibri" w:eastAsia="Calibri" w:hAnsi="Calibri"/>
          <w:sz w:val="20"/>
          <w:szCs w:val="20"/>
        </w:rPr>
        <w:t xml:space="preserve">become plain text showing their current values, unless they should stay editable.</w:t>
      </w:r>
    </w:p>
    <w:p>
      <w:pPr>
        <w:pStyle w:val="ListParagraph"/>
        <w:numPr>
          <w:ilvl w:val="0"/>
          <w:numId w:val="2"/>
        </w:numPr>
        <w:spacing w:after="40" w:line="252"/>
      </w:pPr>
      <w:r>
        <w:rPr>
          <w:rFonts w:ascii="Calibri" w:cs="Calibri" w:eastAsia="Calibri" w:hAnsi="Calibri"/>
          <w:b/>
          <w:bCs/>
          <w:sz w:val="20"/>
          <w:szCs w:val="20"/>
        </w:rPr>
        <w:t xml:space="preserve">Plant 3D objects </w:t>
      </w:r>
      <w:r>
        <w:rPr>
          <w:rFonts w:ascii="Calibri" w:cs="Calibri" w:eastAsia="Calibri" w:hAnsi="Calibri"/>
          <w:sz w:val="20"/>
          <w:szCs w:val="20"/>
        </w:rPr>
        <w:t xml:space="preserve">inside a block are converted to plain geometry and lose their Plant intelligence.</w:t>
      </w:r>
    </w:p>
    <w:p>
      <w:pPr>
        <w:pStyle w:val="ListParagraph"/>
        <w:numPr>
          <w:ilvl w:val="0"/>
          <w:numId w:val="2"/>
        </w:numPr>
        <w:spacing w:after="40" w:line="252"/>
      </w:pPr>
      <w:r>
        <w:rPr>
          <w:rFonts w:ascii="Calibri" w:cs="Calibri" w:eastAsia="Calibri" w:hAnsi="Calibri"/>
          <w:b/>
          <w:bCs/>
          <w:sz w:val="20"/>
          <w:szCs w:val="20"/>
        </w:rPr>
        <w:t xml:space="preserve">Remaining instances: </w:t>
      </w:r>
      <w:r>
        <w:rPr>
          <w:rFonts w:ascii="Calibri" w:cs="Calibri" w:eastAsia="Calibri" w:hAnsi="Calibri"/>
          <w:sz w:val="20"/>
          <w:szCs w:val="20"/>
        </w:rPr>
        <w:t xml:space="preserve">when only one instance is extracted, the other instances keep using the original block definition until they are extracted too.</w:t>
      </w:r>
    </w:p>
    <w:p>
      <w:pPr>
        <w:pStyle w:val="ListParagraph"/>
        <w:numPr>
          <w:ilvl w:val="0"/>
          <w:numId w:val="2"/>
        </w:numPr>
        <w:spacing w:after="40" w:line="252"/>
      </w:pPr>
      <w:r>
        <w:rPr>
          <w:rFonts w:ascii="Calibri" w:cs="Calibri" w:eastAsia="Calibri" w:hAnsi="Calibri"/>
          <w:b/>
          <w:bCs/>
          <w:sz w:val="20"/>
          <w:szCs w:val="20"/>
        </w:rPr>
        <w:t xml:space="preserve">Units and annotation </w:t>
      </w:r>
      <w:r>
        <w:rPr>
          <w:rFonts w:ascii="Calibri" w:cs="Calibri" w:eastAsia="Calibri" w:hAnsi="Calibri"/>
          <w:sz w:val="20"/>
          <w:szCs w:val="20"/>
        </w:rPr>
        <w:t xml:space="preserve">in each new file are set to match the master.</w:t>
      </w:r>
    </w:p>
    <w:p>
      <w:pPr>
        <w:pStyle w:val="ListParagraph"/>
        <w:numPr>
          <w:ilvl w:val="0"/>
          <w:numId w:val="2"/>
        </w:numPr>
        <w:spacing w:after="40" w:line="252"/>
      </w:pPr>
      <w:r>
        <w:rPr>
          <w:rFonts w:ascii="Calibri" w:cs="Calibri" w:eastAsia="Calibri" w:hAnsi="Calibri"/>
          <w:b/>
          <w:bCs/>
          <w:sz w:val="20"/>
          <w:szCs w:val="20"/>
        </w:rPr>
        <w:t xml:space="preserve">Tree file size: </w:t>
      </w:r>
      <w:r>
        <w:rPr>
          <w:rFonts w:ascii="Calibri" w:cs="Calibri" w:eastAsia="Calibri" w:hAnsi="Calibri"/>
          <w:sz w:val="20"/>
          <w:szCs w:val="20"/>
        </w:rPr>
        <w:t xml:space="preserve">the tree files for the master are currently 67 MB and 119 MB. They load, but slowly; they will be slimmed as part of this work (the likely cause is the many unnamed variant definitions that dynamic blocks create).</w:t>
      </w:r>
    </w:p>
    <w:p>
      <w:pPr>
        <w:pStyle w:val="Heading1"/>
        <w:pBdr>
          <w:bottom w:val="single" w:color="365F91" w:sz="4" w:space="2"/>
        </w:pBdr>
        <w:spacing w:after="60" w:before="140"/>
      </w:pPr>
      <w:r>
        <w:rPr>
          <w:rFonts w:ascii="Calibri" w:cs="Calibri" w:eastAsia="Calibri" w:hAnsi="Calibri"/>
          <w:b/>
          <w:bCs/>
          <w:color w:val="365F91"/>
          <w:sz w:val="23"/>
          <w:szCs w:val="23"/>
        </w:rPr>
        <w:t xml:space="preserve">5. Build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980"/>
        <w:gridCol w:w="3400"/>
      </w:tblGrid>
      <w:tr>
        <w:trPr>
          <w:tblHeader/>
        </w:trPr>
        <w:tc>
          <w:tcPr>
            <w:tcW w:type="dxa" w:w="7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Order</w:t>
            </w:r>
          </w:p>
        </w:tc>
        <w:tc>
          <w:tcPr>
            <w:tcW w:type="dxa" w:w="598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Deliverable</w:t>
            </w:r>
          </w:p>
        </w:tc>
        <w:tc>
          <w:tcPr>
            <w:tcW w:type="dxa" w:w="3400"/>
            <w:tcBorders>
              <w:top w:val="single" w:color="BFBFBF" w:sz="2"/>
              <w:left w:val="single" w:color="BFBFBF" w:sz="2"/>
              <w:bottom w:val="single" w:color="BFBFBF" w:sz="2"/>
              <w:right w:val="single" w:color="BFBFBF" w:sz="2"/>
            </w:tcBorders>
            <w:shd w:fill="365F91" w:color="auto" w:val="clear"/>
            <w:tcMar>
              <w:top w:type="dxa" w:w="45"/>
              <w:left w:type="dxa" w:w="80"/>
              <w:bottom w:type="dxa" w:w="45"/>
              <w:right w:type="dxa" w:w="80"/>
            </w:tcMar>
            <w:vAlign w:val="center"/>
          </w:tcPr>
          <w:p>
            <w:pPr>
              <w:jc w:val="center"/>
            </w:pPr>
            <w:r>
              <w:rPr>
                <w:rFonts w:ascii="Calibri" w:cs="Calibri" w:eastAsia="Calibri" w:hAnsi="Calibri"/>
                <w:b/>
                <w:bCs/>
                <w:color w:val="FFFFFF"/>
                <w:sz w:val="18"/>
                <w:szCs w:val="18"/>
              </w:rPr>
              <w:t xml:space="preserve">Value on its own</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1</w:t>
            </w:r>
          </w:p>
        </w:tc>
        <w:tc>
          <w:tcPr>
            <w:tcW w:type="dxa" w:w="59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Slimmer tree files and the right-click menu with Show in CAD</w:t>
            </w:r>
          </w:p>
        </w:tc>
        <w:tc>
          <w:tcPr>
            <w:tcW w:type="dxa" w:w="34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Lets designers locate and inspect any block immediately</w:t>
            </w:r>
          </w:p>
        </w:tc>
      </w:tr>
      <w:tr>
        <w:trPr>
          <w:cantSplit/>
        </w:trPr>
        <w:tc>
          <w:tcPr>
            <w:tcW w:type="dxa" w:w="7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2</w:t>
            </w:r>
          </w:p>
        </w:tc>
        <w:tc>
          <w:tcPr>
            <w:tcW w:type="dxa" w:w="59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Extract to project: collapse and write the new DWG in master coordinates</w:t>
            </w:r>
          </w:p>
        </w:tc>
        <w:tc>
          <w:tcPr>
            <w:tcW w:type="dxa" w:w="34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Produces clean 867 library files</w:t>
            </w:r>
          </w:p>
        </w:tc>
      </w:tr>
      <w:tr>
        <w:trPr>
          <w:cantSplit/>
        </w:trPr>
        <w:tc>
          <w:tcPr>
            <w:tcW w:type="dxa" w:w="7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3</w:t>
            </w:r>
          </w:p>
        </w:tc>
        <w:tc>
          <w:tcPr>
            <w:tcW w:type="dxa" w:w="598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Put it back in a working copy, choose layer, verify, log</w:t>
            </w:r>
          </w:p>
        </w:tc>
        <w:tc>
          <w:tcPr>
            <w:tcW w:type="dxa" w:w="3400"/>
            <w:tcBorders>
              <w:top w:val="single" w:color="BFBFBF" w:sz="2"/>
              <w:left w:val="single" w:color="BFBFBF" w:sz="2"/>
              <w:bottom w:val="single" w:color="BFBFBF" w:sz="2"/>
              <w:right w:val="single" w:color="BFBFBF" w:sz="2"/>
            </w:tcBorders>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Completes the cleanup loop</w:t>
            </w:r>
          </w:p>
        </w:tc>
      </w:tr>
      <w:tr>
        <w:trPr>
          <w:cantSplit/>
        </w:trPr>
        <w:tc>
          <w:tcPr>
            <w:tcW w:type="dxa" w:w="7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4</w:t>
            </w:r>
          </w:p>
        </w:tc>
        <w:tc>
          <w:tcPr>
            <w:tcW w:type="dxa" w:w="598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Status tracking in the tree and batch extraction</w:t>
            </w:r>
          </w:p>
        </w:tc>
        <w:tc>
          <w:tcPr>
            <w:tcW w:type="dxa" w:w="3400"/>
            <w:tcBorders>
              <w:top w:val="single" w:color="BFBFBF" w:sz="2"/>
              <w:left w:val="single" w:color="BFBFBF" w:sz="2"/>
              <w:bottom w:val="single" w:color="BFBFBF" w:sz="2"/>
              <w:right w:val="single" w:color="BFBFBF" w:sz="2"/>
            </w:tcBorders>
            <w:shd w:fill="D6E4F0" w:color="auto" w:val="clear"/>
            <w:tcMar>
              <w:top w:type="dxa" w:w="45"/>
              <w:left w:type="dxa" w:w="80"/>
              <w:bottom w:type="dxa" w:w="45"/>
              <w:right w:type="dxa" w:w="80"/>
            </w:tcMar>
            <w:vAlign w:val="center"/>
          </w:tcPr>
          <w:p>
            <w:pPr>
              <w:jc w:val="center"/>
            </w:pPr>
            <w:r>
              <w:rPr>
                <w:rFonts w:ascii="Calibri" w:cs="Calibri" w:eastAsia="Calibri" w:hAnsi="Calibri"/>
                <w:b w:val="false"/>
                <w:bCs w:val="false"/>
                <w:color w:val="000000"/>
                <w:sz w:val="18"/>
                <w:szCs w:val="18"/>
              </w:rPr>
              <w:t xml:space="preserve">Turns the tree into the cleanup to-do list</w:t>
            </w:r>
          </w:p>
        </w:tc>
      </w:tr>
    </w:tbl>
    <w:p>
      <w:pPr>
        <w:spacing w:after="100" w:before="50"/>
        <w:jc w:val="center"/>
      </w:pPr>
      <w:r>
        <w:rPr>
          <w:rFonts w:ascii="Calibri" w:cs="Calibri" w:eastAsia="Calibri" w:hAnsi="Calibri"/>
          <w:b/>
          <w:bCs/>
          <w:sz w:val="18"/>
          <w:szCs w:val="18"/>
        </w:rPr>
        <w:t xml:space="preserve">Table 3. Build order, each step usable as soon as it lands</w:t>
      </w:r>
    </w:p>
    <w:p>
      <w:pPr>
        <w:pStyle w:val="Heading1"/>
        <w:pBdr>
          <w:bottom w:val="single" w:color="365F91" w:sz="4" w:space="2"/>
        </w:pBdr>
        <w:spacing w:after="60" w:before="140"/>
      </w:pPr>
      <w:r>
        <w:rPr>
          <w:rFonts w:ascii="Calibri" w:cs="Calibri" w:eastAsia="Calibri" w:hAnsi="Calibri"/>
          <w:b/>
          <w:bCs/>
          <w:color w:val="365F91"/>
          <w:sz w:val="23"/>
          <w:szCs w:val="23"/>
        </w:rPr>
        <w:t xml:space="preserve">6. Ground Rules (Unchanged)</w:t>
      </w:r>
    </w:p>
    <w:p>
      <w:pPr>
        <w:spacing w:after="80" w:line="252"/>
      </w:pPr>
      <w:r>
        <w:rPr>
          <w:rFonts w:ascii="Calibri" w:cs="Calibri" w:eastAsia="Calibri" w:hAnsi="Calibri"/>
          <w:sz w:val="20"/>
          <w:szCs w:val="20"/>
        </w:rPr>
        <w:t xml:space="preserve">Live files are only ever read, by byte copy or a read-only open. Every result is a new file. The master is replaced only after review, and every original is fingerprinted before and after each operation.</w:t>
      </w:r>
    </w:p>
    <w:sectPr>
      <w:footerReference w:type="default" r:id="rId7"/>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Tree-Driven Block Extraction: Workflow Plan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2026-10-14T21:19:43.295Z</dcterms:created>
  <dcterms:modified xsi:type="dcterms:W3CDTF">2026-10-14T21:19:43.305Z</dcterms:modified>
</cp:coreProperties>
</file>

<file path=docProps/custom.xml><?xml version="1.0" encoding="utf-8"?>
<Properties xmlns="http://schemas.openxmlformats.org/officeDocument/2006/custom-properties" xmlns:vt="http://schemas.openxmlformats.org/officeDocument/2006/docPropsVTypes"/>
</file>