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Calibri" w:cs="Calibri" w:eastAsia="Calibri" w:hAnsi="Calibri"/>
          <w:b/>
          <w:bCs/>
          <w:color w:val="365F91"/>
          <w:sz w:val="34"/>
          <w:szCs w:val="34"/>
        </w:rPr>
        <w:t xml:space="preserve">DWG Flattening Publisher for AutoCAD Plant 3D</w:t>
      </w:r>
    </w:p>
    <w:p>
      <w:pPr>
        <w:pBdr>
          <w:bottom w:val="single" w:color="365F91" w:sz="8" w:space="4"/>
        </w:pBdr>
        <w:spacing w:after="120"/>
      </w:pPr>
      <w:r>
        <w:rPr>
          <w:rFonts w:ascii="Calibri" w:cs="Calibri" w:eastAsia="Calibri" w:hAnsi="Calibri"/>
          <w:color w:val="595959"/>
          <w:sz w:val="19"/>
          <w:szCs w:val="19"/>
        </w:rPr>
        <w:t xml:space="preserve">Status white paper  |  Prepared for John Feldhausen  |  October 14, 2026</w:t>
      </w:r>
    </w:p>
    <w:p>
      <w:pPr>
        <w:pStyle w:val="Heading1"/>
        <w:pBdr>
          <w:bottom w:val="single" w:color="365F91" w:sz="4" w:space="2"/>
        </w:pBdr>
        <w:spacing w:after="60" w:before="140"/>
      </w:pPr>
      <w:r>
        <w:rPr>
          <w:rFonts w:ascii="Calibri" w:cs="Calibri" w:eastAsia="Calibri" w:hAnsi="Calibri"/>
          <w:b/>
          <w:bCs/>
          <w:color w:val="365F91"/>
          <w:sz w:val="23"/>
          <w:szCs w:val="23"/>
        </w:rPr>
        <w:t xml:space="preserve">1. Summary</w:t>
      </w:r>
    </w:p>
    <w:p>
      <w:pPr>
        <w:spacing w:after="80" w:line="252"/>
      </w:pPr>
      <w:r>
        <w:rPr>
          <w:rFonts w:ascii="Calibri" w:cs="Calibri" w:eastAsia="Calibri" w:hAnsi="Calibri"/>
          <w:sz w:val="20"/>
          <w:szCs w:val="20"/>
        </w:rPr>
        <w:t xml:space="preserve">A working implementation now exists that takes a heavily nested equipment DWG and produces </w:t>
      </w:r>
      <w:r>
        <w:rPr>
          <w:rFonts w:ascii="Calibri" w:cs="Calibri" w:eastAsia="Calibri" w:hAnsi="Calibri"/>
          <w:b/>
          <w:bCs/>
          <w:sz w:val="20"/>
          <w:szCs w:val="20"/>
        </w:rPr>
        <w:t xml:space="preserve">one flattened, standalone DWG</w:t>
      </w:r>
      <w:r>
        <w:rPr>
          <w:rFonts w:ascii="Calibri" w:cs="Calibri" w:eastAsia="Calibri" w:hAnsi="Calibri"/>
          <w:sz w:val="20"/>
          <w:szCs w:val="20"/>
        </w:rPr>
        <w:t xml:space="preserve"> that engineers can Xref normally. It consists of an AutoCAD .NET plugin (DwgFlatPublisher.dll) that does the geometry work inside AutoCAD, and a local Flask web app that drives it the same way the P&amp;ID Report Card drives Plant 3D. The code compiles against the AutoCAD 2020 assemblies on your PC and has passed two independent code reviews with all findings fixed. </w:t>
      </w:r>
      <w:r>
        <w:rPr>
          <w:rFonts w:ascii="Calibri" w:cs="Calibri" w:eastAsia="Calibri" w:hAnsi="Calibri"/>
          <w:b/>
          <w:bCs/>
          <w:sz w:val="20"/>
          <w:szCs w:val="20"/>
        </w:rPr>
        <w:t xml:space="preserve">It has not yet been run inside AutoCAD</w:t>
      </w:r>
      <w:r>
        <w:rPr>
          <w:rFonts w:ascii="Calibri" w:cs="Calibri" w:eastAsia="Calibri" w:hAnsi="Calibri"/>
          <w:sz w:val="20"/>
          <w:szCs w:val="20"/>
        </w:rPr>
        <w:t xml:space="preserve">; that is the next step and is under your control.</w:t>
      </w:r>
    </w:p>
    <w:p>
      <w:pPr>
        <w:pStyle w:val="Heading1"/>
        <w:pBdr>
          <w:bottom w:val="single" w:color="365F91" w:sz="4" w:space="2"/>
        </w:pBdr>
        <w:spacing w:after="60" w:before="140"/>
      </w:pPr>
      <w:r>
        <w:rPr>
          <w:rFonts w:ascii="Calibri" w:cs="Calibri" w:eastAsia="Calibri" w:hAnsi="Calibri"/>
          <w:b/>
          <w:bCs/>
          <w:color w:val="365F91"/>
          <w:sz w:val="23"/>
          <w:szCs w:val="23"/>
        </w:rPr>
        <w:t xml:space="preserve">2. Problem and Objective</w:t>
      </w:r>
    </w:p>
    <w:p>
      <w:pPr>
        <w:spacing w:after="80" w:line="252"/>
      </w:pPr>
      <w:r>
        <w:rPr>
          <w:rFonts w:ascii="Calibri" w:cs="Calibri" w:eastAsia="Calibri" w:hAnsi="Calibri"/>
          <w:sz w:val="20"/>
          <w:szCs w:val="20"/>
        </w:rPr>
        <w:t xml:space="preserve">Master equipment drawings contain deeply nested blocks and nested Xrefs; a single file can expand to millions of entities (for example 1,000 instances of an equipment block holding 10 sub-blocks of 100 entities each). Referencing these masters directly makes downstream engineering drawings slow. The objective is a publishing step, comparable in spirit to flattening a PDF in Bluebeam:</w:t>
      </w:r>
    </w:p>
    <w:p>
      <w:pPr>
        <w:spacing w:after="80" w:line="252"/>
        <w:jc w:val="center"/>
      </w:pPr>
      <w:r>
        <w:rPr>
          <w:rFonts w:ascii="Calibri" w:cs="Calibri" w:eastAsia="Calibri" w:hAnsi="Calibri"/>
          <w:b/>
          <w:bCs/>
          <w:sz w:val="20"/>
          <w:szCs w:val="20"/>
        </w:rPr>
        <w:t xml:space="preserve">MASTER_EQUIPMENT.DWG  &gt;  Flatten  &gt;  EQUIPMENT_FLAT.DWG  &gt;  Xref  &gt;  ENGINEERING_DRAWING.DWG</w:t>
      </w:r>
    </w:p>
    <w:p>
      <w:pPr>
        <w:spacing w:after="80" w:line="252"/>
      </w:pPr>
      <w:r>
        <w:rPr>
          <w:rFonts w:ascii="Calibri" w:cs="Calibri" w:eastAsia="Calibri" w:hAnsi="Calibri"/>
          <w:sz w:val="20"/>
          <w:szCs w:val="20"/>
        </w:rPr>
        <w:t xml:space="preserve">The master remains the editable source of truth and is never modified. The published file must match it visually: positions, rotations, scales, mirroring, colors, linetypes, lineweights and annotation.</w:t>
      </w:r>
    </w:p>
    <w:p>
      <w:pPr>
        <w:pStyle w:val="Heading1"/>
        <w:pBdr>
          <w:bottom w:val="single" w:color="365F91" w:sz="4" w:space="2"/>
        </w:pBdr>
        <w:spacing w:after="60" w:before="140"/>
      </w:pPr>
      <w:r>
        <w:rPr>
          <w:rFonts w:ascii="Calibri" w:cs="Calibri" w:eastAsia="Calibri" w:hAnsi="Calibri"/>
          <w:b/>
          <w:bCs/>
          <w:color w:val="365F91"/>
          <w:sz w:val="23"/>
          <w:szCs w:val="23"/>
        </w:rPr>
        <w:t xml:space="preserve">3. Environment 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BFBFBF" w:sz="2"/>
              <w:left w:val="single" w:color="BFBFBF" w:sz="2"/>
              <w:bottom w:val="single" w:color="BFBFBF" w:sz="2"/>
              <w:right w:val="single" w:color="BFBFBF" w:sz="2"/>
            </w:tcBorders>
            <w:shd w:fill="365F91" w:color="auto"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Item</w:t>
            </w:r>
          </w:p>
        </w:tc>
        <w:tc>
          <w:tcPr>
            <w:tcW w:type="dxa" w:w="7480"/>
            <w:tcBorders>
              <w:top w:val="single" w:color="BFBFBF" w:sz="2"/>
              <w:left w:val="single" w:color="BFBFBF" w:sz="2"/>
              <w:bottom w:val="single" w:color="BFBFBF" w:sz="2"/>
              <w:right w:val="single" w:color="BFBFBF" w:sz="2"/>
            </w:tcBorders>
            <w:shd w:fill="365F91" w:color="auto"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Finding on your PC</w:t>
            </w:r>
          </w:p>
        </w:tc>
      </w:tr>
      <w:tr>
        <w:tc>
          <w:tcPr>
            <w:tcW w:type="dxa" w:w="2600"/>
            <w:tcBorders>
              <w:top w:val="single" w:color="BFBFBF" w:sz="2"/>
              <w:left w:val="single" w:color="BFBFBF" w:sz="2"/>
              <w:bottom w:val="single" w:color="BFBFBF" w:sz="2"/>
              <w:right w:val="single" w:color="BFBFBF" w:sz="2"/>
            </w:tcBorders>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AutoCAD</w:t>
            </w:r>
          </w:p>
        </w:tc>
        <w:tc>
          <w:tcPr>
            <w:tcW w:type="dxa" w:w="7480"/>
            <w:tcBorders>
              <w:top w:val="single" w:color="BFBFBF" w:sz="2"/>
              <w:left w:val="single" w:color="BFBFBF" w:sz="2"/>
              <w:bottom w:val="single" w:color="BFBFBF" w:sz="2"/>
              <w:right w:val="single" w:color="BFBFBF" w:sz="2"/>
            </w:tcBorders>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AutoCAD 2020 (R23.1) with Plant 3D 2020; targets .NET Framework 4.7</w:t>
            </w:r>
          </w:p>
        </w:tc>
      </w:tr>
      <w:tr>
        <w:tc>
          <w:tcPr>
            <w:tcW w:type="dxa" w:w="2600"/>
            <w:tcBorders>
              <w:top w:val="single" w:color="BFBFBF" w:sz="2"/>
              <w:left w:val="single" w:color="BFBFBF" w:sz="2"/>
              <w:bottom w:val="single" w:color="BFBFBF" w:sz="2"/>
              <w:right w:val="single" w:color="BFBFBF" w:sz="2"/>
            </w:tcBorders>
            <w:shd w:fill="D6E4F0"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API assemblies</w:t>
            </w:r>
          </w:p>
        </w:tc>
        <w:tc>
          <w:tcPr>
            <w:tcW w:type="dxa" w:w="7480"/>
            <w:tcBorders>
              <w:top w:val="single" w:color="BFBFBF" w:sz="2"/>
              <w:left w:val="single" w:color="BFBFBF" w:sz="2"/>
              <w:bottom w:val="single" w:color="BFBFBF" w:sz="2"/>
              <w:right w:val="single" w:color="BFBFBF" w:sz="2"/>
            </w:tcBorders>
            <w:shd w:fill="D6E4F0"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AcCoreMgd, AcDbMgd (AcMgd not needed); referenced only, never copied into the plugin</w:t>
            </w:r>
          </w:p>
        </w:tc>
      </w:tr>
      <w:tr>
        <w:tc>
          <w:tcPr>
            <w:tcW w:type="dxa" w:w="2600"/>
            <w:tcBorders>
              <w:top w:val="single" w:color="BFBFBF" w:sz="2"/>
              <w:left w:val="single" w:color="BFBFBF" w:sz="2"/>
              <w:bottom w:val="single" w:color="BFBFBF" w:sz="2"/>
              <w:right w:val="single" w:color="BFBFBF" w:sz="2"/>
            </w:tcBorders>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Build tools</w:t>
            </w:r>
          </w:p>
        </w:tc>
        <w:tc>
          <w:tcPr>
            <w:tcW w:type="dxa" w:w="7480"/>
            <w:tcBorders>
              <w:top w:val="single" w:color="BFBFBF" w:sz="2"/>
              <w:left w:val="single" w:color="BFBFBF" w:sz="2"/>
              <w:bottom w:val="single" w:color="BFBFBF" w:sz="2"/>
              <w:right w:val="single" w:color="BFBFBF" w:sz="2"/>
            </w:tcBorders>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Stock Windows csc.exe (C# 5), the same compiler that builds PnPSheetCopy; no Visual Studio needed</w:t>
            </w:r>
          </w:p>
        </w:tc>
      </w:tr>
      <w:tr>
        <w:tc>
          <w:tcPr>
            <w:tcW w:type="dxa" w:w="2600"/>
            <w:tcBorders>
              <w:top w:val="single" w:color="BFBFBF" w:sz="2"/>
              <w:left w:val="single" w:color="BFBFBF" w:sz="2"/>
              <w:bottom w:val="single" w:color="BFBFBF" w:sz="2"/>
              <w:right w:val="single" w:color="BFBFBF" w:sz="2"/>
            </w:tcBorders>
            <w:shd w:fill="D6E4F0"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Headless engine</w:t>
            </w:r>
          </w:p>
        </w:tc>
        <w:tc>
          <w:tcPr>
            <w:tcW w:type="dxa" w:w="7480"/>
            <w:tcBorders>
              <w:top w:val="single" w:color="BFBFBF" w:sz="2"/>
              <w:left w:val="single" w:color="BFBFBF" w:sz="2"/>
              <w:bottom w:val="single" w:color="BFBFBF" w:sz="2"/>
              <w:right w:val="single" w:color="BFBFBF" w:sz="2"/>
            </w:tcBorders>
            <w:shd w:fill="D6E4F0"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accoreconsole.exe is present in the AutoCAD 2020 folder</w:t>
            </w:r>
          </w:p>
        </w:tc>
      </w:tr>
      <w:tr>
        <w:tc>
          <w:tcPr>
            <w:tcW w:type="dxa" w:w="2600"/>
            <w:tcBorders>
              <w:top w:val="single" w:color="BFBFBF" w:sz="2"/>
              <w:left w:val="single" w:color="BFBFBF" w:sz="2"/>
              <w:bottom w:val="single" w:color="BFBFBF" w:sz="2"/>
              <w:right w:val="single" w:color="BFBFBF" w:sz="2"/>
            </w:tcBorders>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CAD control pattern</w:t>
            </w:r>
          </w:p>
        </w:tc>
        <w:tc>
          <w:tcPr>
            <w:tcW w:type="dxa" w:w="7480"/>
            <w:tcBorders>
              <w:top w:val="single" w:color="BFBFBF" w:sz="2"/>
              <w:left w:val="single" w:color="BFBFBF" w:sz="2"/>
              <w:bottom w:val="single" w:color="BFBFBF" w:sz="2"/>
              <w:right w:val="single" w:color="BFBFBF" w:sz="2"/>
            </w:tcBorders>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Reused from the P&amp;ID Report Card: COM attach/launch, one job at a time, busy retry, dialog watcher, request and result files</w:t>
            </w:r>
          </w:p>
        </w:tc>
      </w:tr>
    </w:tbl>
    <w:p>
      <w:pPr>
        <w:spacing w:after="100" w:before="50"/>
        <w:jc w:val="center"/>
      </w:pPr>
      <w:r>
        <w:rPr>
          <w:rFonts w:ascii="Calibri" w:cs="Calibri" w:eastAsia="Calibri" w:hAnsi="Calibri"/>
          <w:b/>
          <w:bCs/>
          <w:sz w:val="18"/>
          <w:szCs w:val="18"/>
        </w:rPr>
        <w:t xml:space="preserve">Table 1. Installed environment and how it shaped the build</w:t>
      </w:r>
    </w:p>
    <w:p>
      <w:pPr>
        <w:pStyle w:val="Heading1"/>
        <w:pBdr>
          <w:bottom w:val="single" w:color="365F91" w:sz="4" w:space="2"/>
        </w:pBdr>
        <w:spacing w:after="60" w:before="140"/>
      </w:pPr>
      <w:r>
        <w:rPr>
          <w:rFonts w:ascii="Calibri" w:cs="Calibri" w:eastAsia="Calibri" w:hAnsi="Calibri"/>
          <w:b/>
          <w:bCs/>
          <w:color w:val="365F91"/>
          <w:sz w:val="23"/>
          <w:szCs w:val="23"/>
        </w:rPr>
        <w:t xml:space="preserve">4. Architecture</w:t>
      </w:r>
    </w:p>
    <w:p>
      <w:pPr>
        <w:pStyle w:val="ListParagraph"/>
        <w:numPr>
          <w:ilvl w:val="0"/>
          <w:numId w:val="2"/>
        </w:numPr>
        <w:spacing w:after="40" w:line="252"/>
      </w:pPr>
      <w:r>
        <w:rPr>
          <w:rFonts w:ascii="Calibri" w:cs="Calibri" w:eastAsia="Calibri" w:hAnsi="Calibri"/>
          <w:b/>
          <w:bCs/>
          <w:sz w:val="20"/>
          <w:szCs w:val="20"/>
        </w:rPr>
        <w:t xml:space="preserve">Flask app (localhost:5014). </w:t>
      </w:r>
      <w:r>
        <w:rPr>
          <w:rFonts w:ascii="Calibri" w:cs="Calibri" w:eastAsia="Calibri" w:hAnsi="Calibri"/>
          <w:sz w:val="20"/>
          <w:szCs w:val="20"/>
        </w:rPr>
        <w:t xml:space="preserve">Pick a source DWG and an output path, choose options, click Flatten &amp; Save. Shows live progress, a validation summary, xref status and the full report, and keeps a job history.</w:t>
      </w:r>
    </w:p>
    <w:p>
      <w:pPr>
        <w:pStyle w:val="ListParagraph"/>
        <w:numPr>
          <w:ilvl w:val="0"/>
          <w:numId w:val="2"/>
        </w:numPr>
        <w:spacing w:after="40" w:line="252"/>
      </w:pPr>
      <w:r>
        <w:rPr>
          <w:rFonts w:ascii="Calibri" w:cs="Calibri" w:eastAsia="Calibri" w:hAnsi="Calibri"/>
          <w:b/>
          <w:bCs/>
          <w:sz w:val="20"/>
          <w:szCs w:val="20"/>
        </w:rPr>
        <w:t xml:space="preserve">Two ways to run. </w:t>
      </w:r>
      <w:r>
        <w:rPr>
          <w:rFonts w:ascii="Calibri" w:cs="Calibri" w:eastAsia="Calibri" w:hAnsi="Calibri"/>
          <w:sz w:val="20"/>
          <w:szCs w:val="20"/>
        </w:rPr>
        <w:t xml:space="preserve">Your Plant 3D session (default; Plant 3D objects load fully) or a background AutoCAD Core Console that leaves your session free and can be cancelled from the page.</w:t>
      </w:r>
    </w:p>
    <w:p>
      <w:pPr>
        <w:pStyle w:val="ListParagraph"/>
        <w:numPr>
          <w:ilvl w:val="0"/>
          <w:numId w:val="2"/>
        </w:numPr>
        <w:spacing w:after="40" w:line="252"/>
      </w:pPr>
      <w:r>
        <w:rPr>
          <w:rFonts w:ascii="Calibri" w:cs="Calibri" w:eastAsia="Calibri" w:hAnsi="Calibri"/>
          <w:b/>
          <w:bCs/>
          <w:sz w:val="20"/>
          <w:szCs w:val="20"/>
        </w:rPr>
        <w:t xml:space="preserve">Plugin commands. </w:t>
      </w:r>
      <w:r>
        <w:rPr>
          <w:rFonts w:ascii="Calibri" w:cs="Calibri" w:eastAsia="Calibri" w:hAnsi="Calibri"/>
          <w:sz w:val="20"/>
          <w:szCs w:val="20"/>
        </w:rPr>
        <w:t xml:space="preserve">PUBLISHFLAT (interactive), FLATANALYZE (preflight report, changes nothing), FLATJOB (no-prompt command used by the app) and FLATTESTGEN (builds test drawings).</w:t>
      </w:r>
    </w:p>
    <w:p>
      <w:pPr>
        <w:pStyle w:val="ListParagraph"/>
        <w:numPr>
          <w:ilvl w:val="0"/>
          <w:numId w:val="2"/>
        </w:numPr>
        <w:spacing w:after="40" w:line="252"/>
      </w:pPr>
      <w:r>
        <w:rPr>
          <w:rFonts w:ascii="Calibri" w:cs="Calibri" w:eastAsia="Calibri" w:hAnsi="Calibri"/>
          <w:b/>
          <w:bCs/>
          <w:sz w:val="20"/>
          <w:szCs w:val="20"/>
        </w:rPr>
        <w:t xml:space="preserve">Output modes. </w:t>
      </w:r>
      <w:r>
        <w:rPr>
          <w:rFonts w:ascii="Calibri" w:cs="Calibri" w:eastAsia="Calibri" w:hAnsi="Calibri"/>
          <w:sz w:val="20"/>
          <w:szCs w:val="20"/>
        </w:rPr>
        <w:t xml:space="preserve">Fully Flat (default: plain geometry, no block references, no Xrefs) or Optimized (one level of shared flat blocks, usually far smaller when equipment repeats). Layers can be preserved, or everything placed on EQUIPMENT_REFERENCE with colors, linetypes and lineweights baked in so the appearance does not change.</w:t>
      </w:r>
    </w:p>
    <w:p>
      <w:pPr>
        <w:pStyle w:val="Heading1"/>
        <w:pBdr>
          <w:bottom w:val="single" w:color="365F91" w:sz="4" w:space="2"/>
        </w:pBdr>
        <w:spacing w:after="60" w:before="140"/>
      </w:pPr>
      <w:r>
        <w:rPr>
          <w:rFonts w:ascii="Calibri" w:cs="Calibri" w:eastAsia="Calibri" w:hAnsi="Calibri"/>
          <w:b/>
          <w:bCs/>
          <w:color w:val="365F91"/>
          <w:sz w:val="23"/>
          <w:szCs w:val="23"/>
        </w:rPr>
        <w:t xml:space="preserve">5. How the Flattening Works</w:t>
      </w:r>
    </w:p>
    <w:p>
      <w:pPr>
        <w:pStyle w:val="ListParagraph"/>
        <w:numPr>
          <w:ilvl w:val="0"/>
          <w:numId w:val="2"/>
        </w:numPr>
        <w:spacing w:after="40" w:line="252"/>
      </w:pPr>
      <w:r>
        <w:rPr>
          <w:rFonts w:ascii="Calibri" w:cs="Calibri" w:eastAsia="Calibri" w:hAnsi="Calibri"/>
          <w:b/>
          <w:bCs/>
          <w:sz w:val="20"/>
          <w:szCs w:val="20"/>
        </w:rPr>
        <w:t xml:space="preserve">Isolated copy. </w:t>
      </w:r>
      <w:r>
        <w:rPr>
          <w:rFonts w:ascii="Calibri" w:cs="Calibri" w:eastAsia="Calibri" w:hAnsi="Calibri"/>
          <w:sz w:val="20"/>
          <w:szCs w:val="20"/>
        </w:rPr>
        <w:t xml:space="preserve">The source is read into a separate in-memory database. It is never opened in the editor, and nothing is ever saved back to it.</w:t>
      </w:r>
    </w:p>
    <w:p>
      <w:pPr>
        <w:pStyle w:val="ListParagraph"/>
        <w:numPr>
          <w:ilvl w:val="0"/>
          <w:numId w:val="2"/>
        </w:numPr>
        <w:spacing w:after="40" w:line="252"/>
      </w:pPr>
      <w:r>
        <w:rPr>
          <w:rFonts w:ascii="Calibri" w:cs="Calibri" w:eastAsia="Calibri" w:hAnsi="Calibri"/>
          <w:b/>
          <w:bCs/>
          <w:sz w:val="20"/>
          <w:szCs w:val="20"/>
        </w:rPr>
        <w:t xml:space="preserve">Xrefs. </w:t>
      </w:r>
      <w:r>
        <w:rPr>
          <w:rFonts w:ascii="Calibri" w:cs="Calibri" w:eastAsia="Calibri" w:hAnsi="Calibri"/>
          <w:sz w:val="20"/>
          <w:szCs w:val="20"/>
        </w:rPr>
        <w:t xml:space="preserve">AutoCAD's own resolve and bind are used, so attach and overlay rules behave exactly as in AutoCAD. Missing Xrefs fail the job by default; unloaded Xrefs and nested overlays are left out because they do not display in the source either.</w:t>
      </w:r>
    </w:p>
    <w:p>
      <w:pPr>
        <w:pStyle w:val="ListParagraph"/>
        <w:numPr>
          <w:ilvl w:val="0"/>
          <w:numId w:val="2"/>
        </w:numPr>
        <w:spacing w:after="40" w:line="252"/>
      </w:pPr>
      <w:r>
        <w:rPr>
          <w:rFonts w:ascii="Calibri" w:cs="Calibri" w:eastAsia="Calibri" w:hAnsi="Calibri"/>
          <w:b/>
          <w:bCs/>
          <w:sz w:val="20"/>
          <w:szCs w:val="20"/>
        </w:rPr>
        <w:t xml:space="preserve">Each block is read once. </w:t>
      </w:r>
      <w:r>
        <w:rPr>
          <w:rFonts w:ascii="Calibri" w:cs="Calibri" w:eastAsia="Calibri" w:hAnsi="Calibri"/>
          <w:sz w:val="20"/>
          <w:szCs w:val="20"/>
        </w:rPr>
        <w:t xml:space="preserve">Every block definition is read a single time and reused, so 1,000 inserts of a block do not mean 1,000 reads. Each entity is then placed with the full parent-to-child transform chain, however deep the nesting.</w:t>
      </w:r>
    </w:p>
    <w:p>
      <w:pPr>
        <w:pStyle w:val="ListParagraph"/>
        <w:numPr>
          <w:ilvl w:val="0"/>
          <w:numId w:val="2"/>
        </w:numPr>
        <w:spacing w:after="40" w:line="252"/>
      </w:pPr>
      <w:r>
        <w:rPr>
          <w:rFonts w:ascii="Calibri" w:cs="Calibri" w:eastAsia="Calibri" w:hAnsi="Calibri"/>
          <w:b/>
          <w:bCs/>
          <w:sz w:val="20"/>
          <w:szCs w:val="20"/>
        </w:rPr>
        <w:t xml:space="preserve">Appearance rules. </w:t>
      </w:r>
      <w:r>
        <w:rPr>
          <w:rFonts w:ascii="Calibri" w:cs="Calibri" w:eastAsia="Calibri" w:hAnsi="Calibri"/>
          <w:sz w:val="20"/>
          <w:szCs w:val="20"/>
        </w:rPr>
        <w:t xml:space="preserve">Layer 0, ByBlock and ByLayer inheritance through nested blocks is resolved to what is actually displayed. Geometry hidden by a frozen parent block is left out.</w:t>
      </w:r>
    </w:p>
    <w:p>
      <w:pPr>
        <w:pStyle w:val="ListParagraph"/>
        <w:numPr>
          <w:ilvl w:val="0"/>
          <w:numId w:val="2"/>
        </w:numPr>
        <w:spacing w:after="40" w:line="252"/>
      </w:pPr>
      <w:r>
        <w:rPr>
          <w:rFonts w:ascii="Calibri" w:cs="Calibri" w:eastAsia="Calibri" w:hAnsi="Calibri"/>
          <w:b/>
          <w:bCs/>
          <w:sz w:val="20"/>
          <w:szCs w:val="20"/>
        </w:rPr>
        <w:t xml:space="preserve">Non-uniform scale (X, Y, Z scales differ). </w:t>
      </w:r>
      <w:r>
        <w:rPr>
          <w:rFonts w:ascii="Calibri" w:cs="Calibri" w:eastAsia="Calibri" w:hAnsi="Calibri"/>
          <w:sz w:val="20"/>
          <w:szCs w:val="20"/>
        </w:rPr>
        <w:t xml:space="preserve">Circles and arcs become exact splines and single-line text is re-solved exactly. Inserts that differ only in Z are recognized as uniform in plan. Anything that cannot be represented is reported as a failure, never silently dropped.</w:t>
      </w:r>
    </w:p>
    <w:p>
      <w:pPr>
        <w:pStyle w:val="ListParagraph"/>
        <w:numPr>
          <w:ilvl w:val="0"/>
          <w:numId w:val="2"/>
        </w:numPr>
        <w:spacing w:after="40" w:line="252"/>
      </w:pPr>
      <w:r>
        <w:rPr>
          <w:rFonts w:ascii="Calibri" w:cs="Calibri" w:eastAsia="Calibri" w:hAnsi="Calibri"/>
          <w:b/>
          <w:bCs/>
          <w:sz w:val="20"/>
          <w:szCs w:val="20"/>
        </w:rPr>
        <w:t xml:space="preserve">Large files. </w:t>
      </w:r>
      <w:r>
        <w:rPr>
          <w:rFonts w:ascii="Calibri" w:cs="Calibri" w:eastAsia="Calibri" w:hAnsi="Calibri"/>
          <w:sz w:val="20"/>
          <w:szCs w:val="20"/>
        </w:rPr>
        <w:t xml:space="preserve">Writes are committed in batches so memory stays flat even for millions of entities, with progress reporting and Esc to cancel.</w:t>
      </w:r>
    </w:p>
    <w:p>
      <w:pPr>
        <w:pStyle w:val="Heading1"/>
        <w:pBdr>
          <w:bottom w:val="single" w:color="365F91" w:sz="4" w:space="2"/>
        </w:pBdr>
        <w:spacing w:after="60" w:before="140"/>
      </w:pPr>
      <w:r>
        <w:rPr>
          <w:rFonts w:ascii="Calibri" w:cs="Calibri" w:eastAsia="Calibri" w:hAnsi="Calibri"/>
          <w:b/>
          <w:bCs/>
          <w:color w:val="365F91"/>
          <w:sz w:val="23"/>
          <w:szCs w:val="23"/>
        </w:rPr>
        <w:t xml:space="preserve">6. Safety and Validation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0"/>
        <w:gridCol w:w="6980"/>
      </w:tblGrid>
      <w:tr>
        <w:trPr>
          <w:tblHeader/>
        </w:trPr>
        <w:tc>
          <w:tcPr>
            <w:tcW w:type="dxa" w:w="3100"/>
            <w:tcBorders>
              <w:top w:val="single" w:color="BFBFBF" w:sz="2"/>
              <w:left w:val="single" w:color="BFBFBF" w:sz="2"/>
              <w:bottom w:val="single" w:color="BFBFBF" w:sz="2"/>
              <w:right w:val="single" w:color="BFBFBF" w:sz="2"/>
            </w:tcBorders>
            <w:shd w:fill="365F91" w:color="auto"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Safeguard</w:t>
            </w:r>
          </w:p>
        </w:tc>
        <w:tc>
          <w:tcPr>
            <w:tcW w:type="dxa" w:w="6980"/>
            <w:tcBorders>
              <w:top w:val="single" w:color="BFBFBF" w:sz="2"/>
              <w:left w:val="single" w:color="BFBFBF" w:sz="2"/>
              <w:bottom w:val="single" w:color="BFBFBF" w:sz="2"/>
              <w:right w:val="single" w:color="BFBFBF" w:sz="2"/>
            </w:tcBorders>
            <w:shd w:fill="365F91" w:color="auto"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Behavior</w:t>
            </w:r>
          </w:p>
        </w:tc>
      </w:tr>
      <w:tr>
        <w:tc>
          <w:tcPr>
            <w:tcW w:type="dxa" w:w="3100"/>
            <w:tcBorders>
              <w:top w:val="single" w:color="BFBFBF" w:sz="2"/>
              <w:left w:val="single" w:color="BFBFBF" w:sz="2"/>
              <w:bottom w:val="single" w:color="BFBFBF" w:sz="2"/>
              <w:right w:val="single" w:color="BFBFBF" w:sz="2"/>
            </w:tcBorders>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Source protection</w:t>
            </w:r>
          </w:p>
        </w:tc>
        <w:tc>
          <w:tcPr>
            <w:tcW w:type="dxa" w:w="6980"/>
            <w:tcBorders>
              <w:top w:val="single" w:color="BFBFBF" w:sz="2"/>
              <w:left w:val="single" w:color="BFBFBF" w:sz="2"/>
              <w:bottom w:val="single" w:color="BFBFBF" w:sz="2"/>
              <w:right w:val="single" w:color="BFBFBF" w:sz="2"/>
            </w:tcBorders>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Never written; SHA-256 fingerprint checked before and after each run</w:t>
            </w:r>
          </w:p>
        </w:tc>
      </w:tr>
      <w:tr>
        <w:tc>
          <w:tcPr>
            <w:tcW w:type="dxa" w:w="3100"/>
            <w:tcBorders>
              <w:top w:val="single" w:color="BFBFBF" w:sz="2"/>
              <w:left w:val="single" w:color="BFBFBF" w:sz="2"/>
              <w:bottom w:val="single" w:color="BFBFBF" w:sz="2"/>
              <w:right w:val="single" w:color="BFBFBF" w:sz="2"/>
            </w:tcBorders>
            <w:shd w:fill="D6E4F0"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Path protection</w:t>
            </w:r>
          </w:p>
        </w:tc>
        <w:tc>
          <w:tcPr>
            <w:tcW w:type="dxa" w:w="6980"/>
            <w:tcBorders>
              <w:top w:val="single" w:color="BFBFBF" w:sz="2"/>
              <w:left w:val="single" w:color="BFBFBF" w:sz="2"/>
              <w:bottom w:val="single" w:color="BFBFBF" w:sz="2"/>
              <w:right w:val="single" w:color="BFBFBF" w:sz="2"/>
            </w:tcBorders>
            <w:shd w:fill="D6E4F0"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Refuses any write that is the source or one of its Xrefs, compared by actual file identity (mapped drive vs UNC path)</w:t>
            </w:r>
          </w:p>
        </w:tc>
      </w:tr>
      <w:tr>
        <w:tc>
          <w:tcPr>
            <w:tcW w:type="dxa" w:w="3100"/>
            <w:tcBorders>
              <w:top w:val="single" w:color="BFBFBF" w:sz="2"/>
              <w:left w:val="single" w:color="BFBFBF" w:sz="2"/>
              <w:bottom w:val="single" w:color="BFBFBF" w:sz="2"/>
              <w:right w:val="single" w:color="BFBFBF" w:sz="2"/>
            </w:tcBorders>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Staged publish</w:t>
            </w:r>
          </w:p>
        </w:tc>
        <w:tc>
          <w:tcPr>
            <w:tcW w:type="dxa" w:w="6980"/>
            <w:tcBorders>
              <w:top w:val="single" w:color="BFBFBF" w:sz="2"/>
              <w:left w:val="single" w:color="BFBFBF" w:sz="2"/>
              <w:bottom w:val="single" w:color="BFBFBF" w:sz="2"/>
              <w:right w:val="single" w:color="BFBFBF" w:sz="2"/>
            </w:tcBorders>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Saved to a temporary file, reopened and validated, then promoted; previous output kept as name.previous.dwg</w:t>
            </w:r>
          </w:p>
        </w:tc>
      </w:tr>
      <w:tr>
        <w:tc>
          <w:tcPr>
            <w:tcW w:type="dxa" w:w="3100"/>
            <w:tcBorders>
              <w:top w:val="single" w:color="BFBFBF" w:sz="2"/>
              <w:left w:val="single" w:color="BFBFBF" w:sz="2"/>
              <w:bottom w:val="single" w:color="BFBFBF" w:sz="2"/>
              <w:right w:val="single" w:color="BFBFBF" w:sz="2"/>
            </w:tcBorders>
            <w:shd w:fill="D6E4F0"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Failed validation</w:t>
            </w:r>
          </w:p>
        </w:tc>
        <w:tc>
          <w:tcPr>
            <w:tcW w:type="dxa" w:w="6980"/>
            <w:tcBorders>
              <w:top w:val="single" w:color="BFBFBF" w:sz="2"/>
              <w:left w:val="single" w:color="BFBFBF" w:sz="2"/>
              <w:bottom w:val="single" w:color="BFBFBF" w:sz="2"/>
              <w:right w:val="single" w:color="BFBFBF" w:sz="2"/>
            </w:tcBorders>
            <w:shd w:fill="D6E4F0"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Result kept as name.REJECTED.dwg; existing published file left untouched</w:t>
            </w:r>
          </w:p>
        </w:tc>
      </w:tr>
      <w:tr>
        <w:tc>
          <w:tcPr>
            <w:tcW w:type="dxa" w:w="3100"/>
            <w:tcBorders>
              <w:top w:val="single" w:color="BFBFBF" w:sz="2"/>
              <w:left w:val="single" w:color="BFBFBF" w:sz="2"/>
              <w:bottom w:val="single" w:color="BFBFBF" w:sz="2"/>
              <w:right w:val="single" w:color="BFBFBF" w:sz="2"/>
            </w:tcBorders>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Geometry check</w:t>
            </w:r>
          </w:p>
        </w:tc>
        <w:tc>
          <w:tcPr>
            <w:tcW w:type="dxa" w:w="6980"/>
            <w:tcBorders>
              <w:top w:val="single" w:color="BFBFBF" w:sz="2"/>
              <w:left w:val="single" w:color="BFBFBF" w:sz="2"/>
              <w:bottom w:val="single" w:color="BFBFBF" w:sz="2"/>
              <w:right w:val="single" w:color="BFBFBF" w:sz="2"/>
            </w:tcBorders>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Sampled references compared against AutoCAD's own Explode, measured in the saved file</w:t>
            </w:r>
          </w:p>
        </w:tc>
      </w:tr>
      <w:tr>
        <w:tc>
          <w:tcPr>
            <w:tcW w:type="dxa" w:w="3100"/>
            <w:tcBorders>
              <w:top w:val="single" w:color="BFBFBF" w:sz="2"/>
              <w:left w:val="single" w:color="BFBFBF" w:sz="2"/>
              <w:bottom w:val="single" w:color="BFBFBF" w:sz="2"/>
              <w:right w:val="single" w:color="BFBFBF" w:sz="2"/>
            </w:tcBorders>
            <w:shd w:fill="D6E4F0"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Report</w:t>
            </w:r>
          </w:p>
        </w:tc>
        <w:tc>
          <w:tcPr>
            <w:tcW w:type="dxa" w:w="6980"/>
            <w:tcBorders>
              <w:top w:val="single" w:color="BFBFBF" w:sz="2"/>
              <w:left w:val="single" w:color="BFBFBF" w:sz="2"/>
              <w:bottom w:val="single" w:color="BFBFBF" w:sz="2"/>
              <w:right w:val="single" w:color="BFBFBF" w:sz="2"/>
            </w:tcBorders>
            <w:shd w:fill="D6E4F0"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Every run writes &lt;output&gt;.flatreport.json with counts, warnings and every validation check</w:t>
            </w:r>
          </w:p>
        </w:tc>
      </w:tr>
    </w:tbl>
    <w:p>
      <w:pPr>
        <w:spacing w:after="100" w:before="50"/>
        <w:jc w:val="center"/>
      </w:pPr>
      <w:r>
        <w:rPr>
          <w:rFonts w:ascii="Calibri" w:cs="Calibri" w:eastAsia="Calibri" w:hAnsi="Calibri"/>
          <w:b/>
          <w:bCs/>
          <w:sz w:val="18"/>
          <w:szCs w:val="18"/>
        </w:rPr>
        <w:t xml:space="preserve">Table 2. Safeguards built into every publication</w:t>
      </w:r>
    </w:p>
    <w:p>
      <w:pPr>
        <w:pStyle w:val="Heading1"/>
        <w:pBdr>
          <w:bottom w:val="single" w:color="365F91" w:sz="4" w:space="2"/>
        </w:pBdr>
        <w:spacing w:after="60" w:before="140"/>
      </w:pPr>
      <w:r>
        <w:rPr>
          <w:rFonts w:ascii="Calibri" w:cs="Calibri" w:eastAsia="Calibri" w:hAnsi="Calibri"/>
          <w:b/>
          <w:bCs/>
          <w:color w:val="365F91"/>
          <w:sz w:val="23"/>
          <w:szCs w:val="23"/>
        </w:rPr>
        <w:t xml:space="preserve">7. Quality Work Completed</w:t>
      </w:r>
    </w:p>
    <w:p>
      <w:pPr>
        <w:spacing w:after="80" w:line="252"/>
      </w:pPr>
      <w:r>
        <w:rPr>
          <w:rFonts w:ascii="Calibri" w:cs="Calibri" w:eastAsia="Calibri" w:hAnsi="Calibri"/>
          <w:sz w:val="20"/>
          <w:szCs w:val="20"/>
        </w:rPr>
        <w:t xml:space="preserve">The code compiles cleanly against the actual AutoCAD 2020 assemblies, which confirms every API call exists as used. Two independent reviews followed. The first found real defects, all now fixed:</w:t>
      </w:r>
    </w:p>
    <w:p>
      <w:pPr>
        <w:pStyle w:val="ListParagraph"/>
        <w:numPr>
          <w:ilvl w:val="0"/>
          <w:numId w:val="2"/>
        </w:numPr>
        <w:spacing w:after="40" w:line="252"/>
      </w:pPr>
      <w:r>
        <w:rPr>
          <w:rFonts w:ascii="Calibri" w:cs="Calibri" w:eastAsia="Calibri" w:hAnsi="Calibri"/>
          <w:sz w:val="20"/>
          <w:szCs w:val="20"/>
        </w:rPr>
        <w:t xml:space="preserve">Entities on locked layers would have stopped the run.</w:t>
      </w:r>
    </w:p>
    <w:p>
      <w:pPr>
        <w:pStyle w:val="ListParagraph"/>
        <w:numPr>
          <w:ilvl w:val="0"/>
          <w:numId w:val="2"/>
        </w:numPr>
        <w:spacing w:after="40" w:line="252"/>
      </w:pPr>
      <w:r>
        <w:rPr>
          <w:rFonts w:ascii="Calibri" w:cs="Calibri" w:eastAsia="Calibri" w:hAnsi="Calibri"/>
          <w:sz w:val="20"/>
          <w:szCs w:val="20"/>
        </w:rPr>
        <w:t xml:space="preserve">The temporary database could be released while AutoCAD was still using it, which can crash AutoCAD.</w:t>
      </w:r>
    </w:p>
    <w:p>
      <w:pPr>
        <w:pStyle w:val="ListParagraph"/>
        <w:numPr>
          <w:ilvl w:val="0"/>
          <w:numId w:val="2"/>
        </w:numPr>
        <w:spacing w:after="40" w:line="252"/>
      </w:pPr>
      <w:r>
        <w:rPr>
          <w:rFonts w:ascii="Calibri" w:cs="Calibri" w:eastAsia="Calibri" w:hAnsi="Calibri"/>
          <w:sz w:val="20"/>
          <w:szCs w:val="20"/>
        </w:rPr>
        <w:t xml:space="preserve">Optimized mode could fail validation falsely, or drop visible geometry, when a reference sat on an off or frozen layer.</w:t>
      </w:r>
    </w:p>
    <w:p>
      <w:pPr>
        <w:pStyle w:val="ListParagraph"/>
        <w:numPr>
          <w:ilvl w:val="0"/>
          <w:numId w:val="2"/>
        </w:numPr>
        <w:spacing w:after="40" w:line="252"/>
      </w:pPr>
      <w:r>
        <w:rPr>
          <w:rFonts w:ascii="Calibri" w:cs="Calibri" w:eastAsia="Calibri" w:hAnsi="Calibri"/>
          <w:sz w:val="20"/>
          <w:szCs w:val="20"/>
        </w:rPr>
        <w:t xml:space="preserve">Nested Xrefs were bound twice.</w:t>
      </w:r>
    </w:p>
    <w:p>
      <w:pPr>
        <w:pStyle w:val="ListParagraph"/>
        <w:numPr>
          <w:ilvl w:val="0"/>
          <w:numId w:val="2"/>
        </w:numPr>
        <w:spacing w:after="40" w:line="252"/>
      </w:pPr>
      <w:r>
        <w:rPr>
          <w:rFonts w:ascii="Calibri" w:cs="Calibri" w:eastAsia="Calibri" w:hAnsi="Calibri"/>
          <w:sz w:val="20"/>
          <w:szCs w:val="20"/>
        </w:rPr>
        <w:t xml:space="preserve">Output paths could reach the source through a mapped drive versus a UNC path.</w:t>
      </w:r>
    </w:p>
    <w:p>
      <w:pPr>
        <w:pStyle w:val="ListParagraph"/>
        <w:numPr>
          <w:ilvl w:val="0"/>
          <w:numId w:val="2"/>
        </w:numPr>
        <w:spacing w:after="40" w:line="252"/>
      </w:pPr>
      <w:r>
        <w:rPr>
          <w:rFonts w:ascii="Calibri" w:cs="Calibri" w:eastAsia="Calibri" w:hAnsi="Calibri"/>
          <w:sz w:val="20"/>
          <w:szCs w:val="20"/>
        </w:rPr>
        <w:t xml:space="preserve">A failed partial explode could duplicate geometry.</w:t>
      </w:r>
    </w:p>
    <w:p>
      <w:pPr>
        <w:spacing w:after="80" w:line="252"/>
      </w:pPr>
      <w:r>
        <w:rPr>
          <w:rFonts w:ascii="Calibri" w:cs="Calibri" w:eastAsia="Calibri" w:hAnsi="Calibri"/>
          <w:sz w:val="20"/>
          <w:szCs w:val="20"/>
        </w:rPr>
        <w:t xml:space="preserve">A second review confirmed those fixes and found five smaller follow-on issues, also fixed.</w:t>
      </w:r>
    </w:p>
    <w:p>
      <w:pPr>
        <w:pStyle w:val="Heading1"/>
        <w:pBdr>
          <w:bottom w:val="single" w:color="365F91" w:sz="4" w:space="2"/>
        </w:pBdr>
        <w:spacing w:after="60" w:before="140"/>
      </w:pPr>
      <w:r>
        <w:rPr>
          <w:rFonts w:ascii="Calibri" w:cs="Calibri" w:eastAsia="Calibri" w:hAnsi="Calibri"/>
          <w:b/>
          <w:bCs/>
          <w:color w:val="365F91"/>
          <w:sz w:val="23"/>
          <w:szCs w:val="23"/>
        </w:rPr>
        <w:t xml:space="preserve">8. Open Items and Next Steps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5600"/>
        <w:gridCol w:w="3880"/>
      </w:tblGrid>
      <w:tr>
        <w:trPr>
          <w:tblHeader/>
        </w:trPr>
        <w:tc>
          <w:tcPr>
            <w:tcW w:type="dxa" w:w="600"/>
            <w:tcBorders>
              <w:top w:val="single" w:color="BFBFBF" w:sz="2"/>
              <w:left w:val="single" w:color="BFBFBF" w:sz="2"/>
              <w:bottom w:val="single" w:color="BFBFBF" w:sz="2"/>
              <w:right w:val="single" w:color="BFBFBF" w:sz="2"/>
            </w:tcBorders>
            <w:shd w:fill="365F91" w:color="auto"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w:t>
            </w:r>
          </w:p>
        </w:tc>
        <w:tc>
          <w:tcPr>
            <w:tcW w:type="dxa" w:w="5600"/>
            <w:tcBorders>
              <w:top w:val="single" w:color="BFBFBF" w:sz="2"/>
              <w:left w:val="single" w:color="BFBFBF" w:sz="2"/>
              <w:bottom w:val="single" w:color="BFBFBF" w:sz="2"/>
              <w:right w:val="single" w:color="BFBFBF" w:sz="2"/>
            </w:tcBorders>
            <w:shd w:fill="365F91" w:color="auto"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Action</w:t>
            </w:r>
          </w:p>
        </w:tc>
        <w:tc>
          <w:tcPr>
            <w:tcW w:type="dxa" w:w="3880"/>
            <w:tcBorders>
              <w:top w:val="single" w:color="BFBFBF" w:sz="2"/>
              <w:left w:val="single" w:color="BFBFBF" w:sz="2"/>
              <w:bottom w:val="single" w:color="BFBFBF" w:sz="2"/>
              <w:right w:val="single" w:color="BFBFBF" w:sz="2"/>
            </w:tcBorders>
            <w:shd w:fill="365F91" w:color="auto" w:val="clear"/>
            <w:tcMar>
              <w:top w:type="dxa" w:w="50"/>
              <w:left w:type="dxa" w:w="90"/>
              <w:bottom w:type="dxa" w:w="50"/>
              <w:right w:type="dxa" w:w="90"/>
            </w:tcMar>
            <w:vAlign w:val="center"/>
          </w:tcPr>
          <w:p>
            <w:pPr>
              <w:jc w:val="center"/>
            </w:pPr>
            <w:r>
              <w:rPr>
                <w:rFonts w:ascii="Calibri" w:cs="Calibri" w:eastAsia="Calibri" w:hAnsi="Calibri"/>
                <w:b/>
                <w:bCs/>
                <w:color w:val="FFFFFF"/>
                <w:sz w:val="18"/>
                <w:szCs w:val="18"/>
              </w:rPr>
              <w:t xml:space="preserve">Purpose</w:t>
            </w:r>
          </w:p>
        </w:tc>
      </w:tr>
      <w:tr>
        <w:tc>
          <w:tcPr>
            <w:tcW w:type="dxa" w:w="600"/>
            <w:tcBorders>
              <w:top w:val="single" w:color="BFBFBF" w:sz="2"/>
              <w:left w:val="single" w:color="BFBFBF" w:sz="2"/>
              <w:bottom w:val="single" w:color="BFBFBF" w:sz="2"/>
              <w:right w:val="single" w:color="BFBFBF" w:sz="2"/>
            </w:tcBorders>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1</w:t>
            </w:r>
          </w:p>
        </w:tc>
        <w:tc>
          <w:tcPr>
            <w:tcW w:type="dxa" w:w="5600"/>
            <w:tcBorders>
              <w:top w:val="single" w:color="BFBFBF" w:sz="2"/>
              <w:left w:val="single" w:color="BFBFBF" w:sz="2"/>
              <w:bottom w:val="single" w:color="BFBFBF" w:sz="2"/>
              <w:right w:val="single" w:color="BFBFBF" w:sz="2"/>
            </w:tcBorders>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Run setup.bat, then run.bat</w:t>
            </w:r>
          </w:p>
        </w:tc>
        <w:tc>
          <w:tcPr>
            <w:tcW w:type="dxa" w:w="3880"/>
            <w:tcBorders>
              <w:top w:val="single" w:color="BFBFBF" w:sz="2"/>
              <w:left w:val="single" w:color="BFBFBF" w:sz="2"/>
              <w:bottom w:val="single" w:color="BFBFBF" w:sz="2"/>
              <w:right w:val="single" w:color="BFBFBF" w:sz="2"/>
            </w:tcBorders>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Builds the DLL and starts the app</w:t>
            </w:r>
          </w:p>
        </w:tc>
      </w:tr>
      <w:tr>
        <w:tc>
          <w:tcPr>
            <w:tcW w:type="dxa" w:w="600"/>
            <w:tcBorders>
              <w:top w:val="single" w:color="BFBFBF" w:sz="2"/>
              <w:left w:val="single" w:color="BFBFBF" w:sz="2"/>
              <w:bottom w:val="single" w:color="BFBFBF" w:sz="2"/>
              <w:right w:val="single" w:color="BFBFBF" w:sz="2"/>
            </w:tcBorders>
            <w:shd w:fill="D6E4F0"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2</w:t>
            </w:r>
          </w:p>
        </w:tc>
        <w:tc>
          <w:tcPr>
            <w:tcW w:type="dxa" w:w="5600"/>
            <w:tcBorders>
              <w:top w:val="single" w:color="BFBFBF" w:sz="2"/>
              <w:left w:val="single" w:color="BFBFBF" w:sz="2"/>
              <w:bottom w:val="single" w:color="BFBFBF" w:sz="2"/>
              <w:right w:val="single" w:color="BFBFBF" w:sz="2"/>
            </w:tcBorders>
            <w:shd w:fill="D6E4F0"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Run the Self-test (background engine)</w:t>
            </w:r>
          </w:p>
        </w:tc>
        <w:tc>
          <w:tcPr>
            <w:tcW w:type="dxa" w:w="3880"/>
            <w:tcBorders>
              <w:top w:val="single" w:color="BFBFBF" w:sz="2"/>
              <w:left w:val="single" w:color="BFBFBF" w:sz="2"/>
              <w:bottom w:val="single" w:color="BFBFBF" w:sz="2"/>
              <w:right w:val="single" w:color="BFBFBF" w:sz="2"/>
            </w:tcBorders>
            <w:shd w:fill="D6E4F0"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Every generated case should report PASS</w:t>
            </w:r>
          </w:p>
        </w:tc>
      </w:tr>
      <w:tr>
        <w:tc>
          <w:tcPr>
            <w:tcW w:type="dxa" w:w="600"/>
            <w:tcBorders>
              <w:top w:val="single" w:color="BFBFBF" w:sz="2"/>
              <w:left w:val="single" w:color="BFBFBF" w:sz="2"/>
              <w:bottom w:val="single" w:color="BFBFBF" w:sz="2"/>
              <w:right w:val="single" w:color="BFBFBF" w:sz="2"/>
            </w:tcBorders>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3</w:t>
            </w:r>
          </w:p>
        </w:tc>
        <w:tc>
          <w:tcPr>
            <w:tcW w:type="dxa" w:w="5600"/>
            <w:tcBorders>
              <w:top w:val="single" w:color="BFBFBF" w:sz="2"/>
              <w:left w:val="single" w:color="BFBFBF" w:sz="2"/>
              <w:bottom w:val="single" w:color="BFBFBF" w:sz="2"/>
              <w:right w:val="single" w:color="BFBFBF" w:sz="2"/>
            </w:tcBorders>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Confirm a solid hatch inside a non-uniformly scaled block is accepted</w:t>
            </w:r>
          </w:p>
        </w:tc>
        <w:tc>
          <w:tcPr>
            <w:tcW w:type="dxa" w:w="3880"/>
            <w:tcBorders>
              <w:top w:val="single" w:color="BFBFBF" w:sz="2"/>
              <w:left w:val="single" w:color="BFBFBF" w:sz="2"/>
              <w:bottom w:val="single" w:color="BFBFBF" w:sz="2"/>
              <w:right w:val="single" w:color="BFBFBF" w:sz="2"/>
            </w:tcBorders>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Only behavior not confirmable without AutoCAD</w:t>
            </w:r>
          </w:p>
        </w:tc>
      </w:tr>
      <w:tr>
        <w:tc>
          <w:tcPr>
            <w:tcW w:type="dxa" w:w="600"/>
            <w:tcBorders>
              <w:top w:val="single" w:color="BFBFBF" w:sz="2"/>
              <w:left w:val="single" w:color="BFBFBF" w:sz="2"/>
              <w:bottom w:val="single" w:color="BFBFBF" w:sz="2"/>
              <w:right w:val="single" w:color="BFBFBF" w:sz="2"/>
            </w:tcBorders>
            <w:shd w:fill="D6E4F0"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4</w:t>
            </w:r>
          </w:p>
        </w:tc>
        <w:tc>
          <w:tcPr>
            <w:tcW w:type="dxa" w:w="5600"/>
            <w:tcBorders>
              <w:top w:val="single" w:color="BFBFBF" w:sz="2"/>
              <w:left w:val="single" w:color="BFBFBF" w:sz="2"/>
              <w:bottom w:val="single" w:color="BFBFBF" w:sz="2"/>
              <w:right w:val="single" w:color="BFBFBF" w:sz="2"/>
            </w:tcBorders>
            <w:shd w:fill="D6E4F0"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Confirm binding works when a nested Xref is missing</w:t>
            </w:r>
          </w:p>
        </w:tc>
        <w:tc>
          <w:tcPr>
            <w:tcW w:type="dxa" w:w="3880"/>
            <w:tcBorders>
              <w:top w:val="single" w:color="BFBFBF" w:sz="2"/>
              <w:left w:val="single" w:color="BFBFBF" w:sz="2"/>
              <w:bottom w:val="single" w:color="BFBFBF" w:sz="2"/>
              <w:right w:val="single" w:color="BFBFBF" w:sz="2"/>
            </w:tcBorders>
            <w:shd w:fill="D6E4F0"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Settles the allow-missing-Xrefs path</w:t>
            </w:r>
          </w:p>
        </w:tc>
      </w:tr>
      <w:tr>
        <w:tc>
          <w:tcPr>
            <w:tcW w:type="dxa" w:w="600"/>
            <w:tcBorders>
              <w:top w:val="single" w:color="BFBFBF" w:sz="2"/>
              <w:left w:val="single" w:color="BFBFBF" w:sz="2"/>
              <w:bottom w:val="single" w:color="BFBFBF" w:sz="2"/>
              <w:right w:val="single" w:color="BFBFBF" w:sz="2"/>
            </w:tcBorders>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5</w:t>
            </w:r>
          </w:p>
        </w:tc>
        <w:tc>
          <w:tcPr>
            <w:tcW w:type="dxa" w:w="5600"/>
            <w:tcBorders>
              <w:top w:val="single" w:color="BFBFBF" w:sz="2"/>
              <w:left w:val="single" w:color="BFBFBF" w:sz="2"/>
              <w:bottom w:val="single" w:color="BFBFBF" w:sz="2"/>
              <w:right w:val="single" w:color="BFBFBF" w:sz="2"/>
            </w:tcBorders>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Analyze, then flatten, a copy of a real equipment DWG</w:t>
            </w:r>
          </w:p>
        </w:tc>
        <w:tc>
          <w:tcPr>
            <w:tcW w:type="dxa" w:w="3880"/>
            <w:tcBorders>
              <w:top w:val="single" w:color="BFBFBF" w:sz="2"/>
              <w:left w:val="single" w:color="BFBFBF" w:sz="2"/>
              <w:bottom w:val="single" w:color="BFBFBF" w:sz="2"/>
              <w:right w:val="single" w:color="BFBFBF" w:sz="2"/>
            </w:tcBorders>
            <w:tcMar>
              <w:top w:type="dxa" w:w="50"/>
              <w:left w:type="dxa" w:w="90"/>
              <w:bottom w:type="dxa" w:w="50"/>
              <w:right w:type="dxa" w:w="90"/>
            </w:tcMar>
            <w:vAlign w:val="center"/>
          </w:tcPr>
          <w:p>
            <w:pPr>
              <w:jc w:val="center"/>
            </w:pPr>
            <w:r>
              <w:rPr>
                <w:rFonts w:ascii="Calibri" w:cs="Calibri" w:eastAsia="Calibri" w:hAnsi="Calibri"/>
                <w:b w:val="false"/>
                <w:bCs w:val="false"/>
                <w:color w:val="000000"/>
                <w:sz w:val="18"/>
                <w:szCs w:val="18"/>
              </w:rPr>
              <w:t xml:space="preserve">Compare output to source by eye; compare Fully Flat vs Optimized size</w:t>
            </w:r>
          </w:p>
        </w:tc>
      </w:tr>
    </w:tbl>
    <w:p>
      <w:pPr>
        <w:spacing w:after="100" w:before="50"/>
        <w:jc w:val="center"/>
      </w:pPr>
      <w:r>
        <w:rPr>
          <w:rFonts w:ascii="Calibri" w:cs="Calibri" w:eastAsia="Calibri" w:hAnsi="Calibri"/>
          <w:b/>
          <w:bCs/>
          <w:sz w:val="18"/>
          <w:szCs w:val="18"/>
        </w:rPr>
        <w:t xml:space="preserve">Table 3. Remaining work, in order</w:t>
      </w:r>
    </w:p>
    <w:p>
      <w:pPr>
        <w:spacing w:after="80" w:line="252"/>
      </w:pPr>
      <w:r>
        <w:rPr>
          <w:rFonts w:ascii="Calibri" w:cs="Calibri" w:eastAsia="Calibri" w:hAnsi="Calibri"/>
          <w:b/>
          <w:bCs/>
          <w:sz w:val="20"/>
          <w:szCs w:val="20"/>
        </w:rPr>
        <w:t xml:space="preserve">Known limits (reported, not silent): </w:t>
      </w:r>
      <w:r>
        <w:rPr>
          <w:rFonts w:ascii="Calibri" w:cs="Calibri" w:eastAsia="Calibri" w:hAnsi="Calibri"/>
          <w:sz w:val="20"/>
          <w:szCs w:val="20"/>
        </w:rPr>
        <w:t xml:space="preserve">XCLIP boundaries are not applied (the whole block shows). Images and PDF underlays stay external unless you choose to leave them out. Nested dimensions are converted to the plain geometry they display, while top-level dimensions stay editable. Rebuilding the DLL requires restarting AutoCAD.</w:t>
      </w:r>
    </w:p>
    <w:p>
      <w:pPr>
        <w:spacing w:after="80" w:line="252"/>
      </w:pPr>
      <w:r>
        <w:rPr>
          <w:rFonts w:ascii="Calibri" w:cs="Calibri" w:eastAsia="Calibri" w:hAnsi="Calibri"/>
          <w:b/>
          <w:bCs/>
          <w:sz w:val="20"/>
          <w:szCs w:val="20"/>
        </w:rPr>
        <w:t xml:space="preserve">Location: </w:t>
      </w:r>
      <w:r>
        <w:rPr>
          <w:rFonts w:ascii="Calibri" w:cs="Calibri" w:eastAsia="Calibri" w:hAnsi="Calibri"/>
          <w:sz w:val="20"/>
          <w:szCs w:val="20"/>
        </w:rPr>
        <w:t xml:space="preserve">C:\Users\jfeldhausen\Desktop\DWG Consolidate (plugin, webapp, setup.bat, run.bat, README.md).</w:t>
      </w:r>
    </w:p>
    <w:sectPr>
      <w:footerReference w:type="default" r:id="rId7"/>
      <w:pgSz w:w="12240" w:h="15840"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DWG Flattening Publisher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2026-10-14T14:38:38.278Z</dcterms:created>
  <dcterms:modified xsi:type="dcterms:W3CDTF">2026-10-14T14:38:38.288Z</dcterms:modified>
</cp:coreProperties>
</file>

<file path=docProps/custom.xml><?xml version="1.0" encoding="utf-8"?>
<Properties xmlns="http://schemas.openxmlformats.org/officeDocument/2006/custom-properties" xmlns:vt="http://schemas.openxmlformats.org/officeDocument/2006/docPropsVTypes"/>
</file>