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004" w:rsidRDefault="00BD4F9B">
      <w:pPr>
        <w:spacing w:line="283" w:lineRule="auto"/>
        <w:ind w:right="406"/>
        <w:rPr>
          <w:sz w:val="20"/>
          <w:szCs w:val="20"/>
        </w:rPr>
      </w:pPr>
      <w:bookmarkStart w:id="0" w:name="page1"/>
      <w:bookmarkEnd w:id="0"/>
      <w:r>
        <w:rPr>
          <w:rFonts w:ascii="Georgia" w:eastAsia="Georgia" w:hAnsi="Georgia" w:cs="Georgia"/>
          <w:sz w:val="21"/>
          <w:szCs w:val="21"/>
        </w:rPr>
        <w:t>Sources of data used in the performed research in the paper “Multi-Layer Perceptron Regressor for Ranking Prediction in Information Systems for Sustainability Assessment.”</w:t>
      </w:r>
    </w:p>
    <w:p w:rsidR="00385004" w:rsidRDefault="00385004">
      <w:pPr>
        <w:spacing w:line="138" w:lineRule="exact"/>
        <w:rPr>
          <w:sz w:val="24"/>
          <w:szCs w:val="24"/>
        </w:rPr>
      </w:pPr>
    </w:p>
    <w:p w:rsidR="00385004" w:rsidRDefault="00BD4F9B">
      <w:pPr>
        <w:spacing w:line="256" w:lineRule="auto"/>
        <w:ind w:right="1106"/>
        <w:rPr>
          <w:sz w:val="20"/>
          <w:szCs w:val="20"/>
        </w:rPr>
      </w:pPr>
      <w:r>
        <w:rPr>
          <w:rFonts w:ascii="Georgia" w:eastAsia="Georgia" w:hAnsi="Georgia" w:cs="Georgia"/>
        </w:rPr>
        <w:t xml:space="preserve">Dataset was collected from the Eurostat database and includes indexes covered by </w:t>
      </w:r>
      <w:r>
        <w:rPr>
          <w:rFonts w:ascii="Georgia" w:eastAsia="Georgia" w:hAnsi="Georgia" w:cs="Georgia"/>
        </w:rPr>
        <w:t>Sustainable Development Goal 7 (SDG 7) – Affordable and Clean Energy.</w:t>
      </w:r>
    </w:p>
    <w:p w:rsidR="00385004" w:rsidRDefault="00385004">
      <w:pPr>
        <w:spacing w:line="164" w:lineRule="exact"/>
        <w:rPr>
          <w:sz w:val="24"/>
          <w:szCs w:val="24"/>
        </w:rPr>
      </w:pPr>
    </w:p>
    <w:p w:rsidR="00385004" w:rsidRDefault="00BD4F9B">
      <w:pPr>
        <w:rPr>
          <w:sz w:val="20"/>
          <w:szCs w:val="20"/>
        </w:rPr>
      </w:pPr>
      <w:r>
        <w:rPr>
          <w:rFonts w:ascii="Georgia" w:eastAsia="Georgia" w:hAnsi="Georgia" w:cs="Georgia"/>
        </w:rPr>
        <w:t>Link to Eurostat Database:</w:t>
      </w:r>
      <w:bookmarkStart w:id="1" w:name="_GoBack"/>
      <w:bookmarkEnd w:id="1"/>
    </w:p>
    <w:p w:rsidR="00385004" w:rsidRDefault="00385004">
      <w:pPr>
        <w:spacing w:line="180" w:lineRule="exact"/>
        <w:rPr>
          <w:sz w:val="24"/>
          <w:szCs w:val="24"/>
        </w:rPr>
      </w:pPr>
    </w:p>
    <w:p w:rsidR="00385004" w:rsidRDefault="00BD4F9B">
      <w:pPr>
        <w:rPr>
          <w:rFonts w:ascii="Georgia" w:eastAsia="Georgia" w:hAnsi="Georgia" w:cs="Georgia"/>
          <w:color w:val="0563C1"/>
          <w:u w:val="single"/>
        </w:rPr>
      </w:pPr>
      <w:hyperlink r:id="rId4">
        <w:r>
          <w:rPr>
            <w:rFonts w:ascii="Georgia" w:eastAsia="Georgia" w:hAnsi="Georgia" w:cs="Georgia"/>
            <w:color w:val="0563C1"/>
            <w:u w:val="single"/>
          </w:rPr>
          <w:t>https://ec.europa.eu/eurostat/data/database</w:t>
        </w:r>
      </w:hyperlink>
    </w:p>
    <w:p w:rsidR="00385004" w:rsidRDefault="00385004">
      <w:pPr>
        <w:spacing w:line="180" w:lineRule="exact"/>
        <w:rPr>
          <w:sz w:val="24"/>
          <w:szCs w:val="24"/>
        </w:rPr>
      </w:pPr>
    </w:p>
    <w:p w:rsidR="00385004" w:rsidRDefault="00BD4F9B">
      <w:pPr>
        <w:rPr>
          <w:sz w:val="20"/>
          <w:szCs w:val="20"/>
        </w:rPr>
      </w:pPr>
      <w:r>
        <w:rPr>
          <w:rFonts w:ascii="Georgia" w:eastAsia="Georgia" w:hAnsi="Georgia" w:cs="Georgia"/>
        </w:rPr>
        <w:t>Links to particular indexes included in SDG 7 fra</w:t>
      </w:r>
      <w:r>
        <w:rPr>
          <w:rFonts w:ascii="Georgia" w:eastAsia="Georgia" w:hAnsi="Georgia" w:cs="Georgia"/>
        </w:rPr>
        <w:t>mework:</w:t>
      </w:r>
    </w:p>
    <w:p w:rsidR="00385004" w:rsidRDefault="00385004">
      <w:pPr>
        <w:spacing w:line="184" w:lineRule="exact"/>
        <w:rPr>
          <w:sz w:val="24"/>
          <w:szCs w:val="24"/>
        </w:rPr>
      </w:pPr>
    </w:p>
    <w:p w:rsidR="00385004" w:rsidRDefault="00BD4F9B">
      <w:pPr>
        <w:spacing w:line="411" w:lineRule="auto"/>
        <w:ind w:right="806"/>
        <w:rPr>
          <w:rFonts w:ascii="Georgia" w:eastAsia="Georgia" w:hAnsi="Georgia" w:cs="Georgia"/>
          <w:color w:val="0563C1"/>
          <w:u w:val="single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z w:val="13"/>
          <w:szCs w:val="13"/>
        </w:rPr>
        <w:t>1</w:t>
      </w:r>
      <w:r>
        <w:rPr>
          <w:rFonts w:ascii="Georgia" w:eastAsia="Georgia" w:hAnsi="Georgia" w:cs="Georgia"/>
        </w:rPr>
        <w:t xml:space="preserve"> – Primary energy consumption (in Tonnes of oil equivalent TOE per capita) </w:t>
      </w:r>
      <w:hyperlink r:id="rId5">
        <w:r>
          <w:rPr>
            <w:rFonts w:ascii="Georgia" w:eastAsia="Georgia" w:hAnsi="Georgia" w:cs="Georgia"/>
            <w:color w:val="0563C1"/>
            <w:u w:val="single"/>
          </w:rPr>
          <w:t>https://ec.europa.eu/eurostat/databrowser/view/sdg_07_10/default/table?l</w:t>
        </w:r>
        <w:r>
          <w:rPr>
            <w:rFonts w:ascii="Georgia" w:eastAsia="Georgia" w:hAnsi="Georgia" w:cs="Georgia"/>
            <w:color w:val="0563C1"/>
            <w:u w:val="single"/>
          </w:rPr>
          <w:t>ang=en</w:t>
        </w:r>
      </w:hyperlink>
      <w:r>
        <w:rPr>
          <w:rFonts w:ascii="Georgia" w:eastAsia="Georgia" w:hAnsi="Georgia" w:cs="Georgia"/>
          <w:color w:val="000000"/>
        </w:rPr>
        <w:t xml:space="preserve"> accessed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  <w:color w:val="000000"/>
        </w:rPr>
        <w:t xml:space="preserve"> 2022</w:t>
      </w:r>
    </w:p>
    <w:p w:rsidR="00385004" w:rsidRDefault="00385004">
      <w:pPr>
        <w:spacing w:line="5" w:lineRule="exact"/>
        <w:rPr>
          <w:sz w:val="24"/>
          <w:szCs w:val="24"/>
        </w:rPr>
      </w:pPr>
    </w:p>
    <w:p w:rsidR="00385004" w:rsidRDefault="00BD4F9B">
      <w:pPr>
        <w:spacing w:line="432" w:lineRule="auto"/>
        <w:ind w:right="866"/>
        <w:rPr>
          <w:rFonts w:ascii="Georgia" w:eastAsia="Georgia" w:hAnsi="Georgia" w:cs="Georgia"/>
          <w:color w:val="0563C1"/>
          <w:sz w:val="21"/>
          <w:szCs w:val="21"/>
          <w:u w:val="single"/>
        </w:rPr>
      </w:pPr>
      <w:r>
        <w:rPr>
          <w:rFonts w:ascii="Georgia" w:eastAsia="Georgia" w:hAnsi="Georgia" w:cs="Georgia"/>
          <w:sz w:val="21"/>
          <w:szCs w:val="21"/>
        </w:rPr>
        <w:t>C</w:t>
      </w:r>
      <w:r>
        <w:rPr>
          <w:rFonts w:ascii="Georgia" w:eastAsia="Georgia" w:hAnsi="Georgia" w:cs="Georgia"/>
          <w:sz w:val="13"/>
          <w:szCs w:val="13"/>
        </w:rPr>
        <w:t>2</w:t>
      </w:r>
      <w:r>
        <w:rPr>
          <w:rFonts w:ascii="Georgia" w:eastAsia="Georgia" w:hAnsi="Georgia" w:cs="Georgia"/>
          <w:sz w:val="21"/>
          <w:szCs w:val="21"/>
        </w:rPr>
        <w:t xml:space="preserve"> – Final energy consumption (in Tonnes of oil equivalent TOE per capita) </w:t>
      </w:r>
      <w:hyperlink r:id="rId6">
        <w:r>
          <w:rPr>
            <w:rFonts w:ascii="Georgia" w:eastAsia="Georgia" w:hAnsi="Georgia" w:cs="Georgia"/>
            <w:color w:val="0563C1"/>
            <w:sz w:val="21"/>
            <w:szCs w:val="21"/>
            <w:u w:val="single"/>
          </w:rPr>
          <w:t>https://ec.europa.eu/eurostat/databrowser/view/sd</w:t>
        </w:r>
        <w:r>
          <w:rPr>
            <w:rFonts w:ascii="Georgia" w:eastAsia="Georgia" w:hAnsi="Georgia" w:cs="Georgia"/>
            <w:color w:val="0563C1"/>
            <w:sz w:val="21"/>
            <w:szCs w:val="21"/>
            <w:u w:val="single"/>
          </w:rPr>
          <w:t>g_07_11/default/table?lang=en</w:t>
        </w:r>
      </w:hyperlink>
      <w:r>
        <w:rPr>
          <w:rFonts w:ascii="Georgia" w:eastAsia="Georgia" w:hAnsi="Georgia" w:cs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1"/>
          <w:szCs w:val="21"/>
        </w:rPr>
        <w:t>accessed</w:t>
      </w:r>
      <w:proofErr w:type="spellEnd"/>
      <w:r>
        <w:rPr>
          <w:rFonts w:ascii="Georgia" w:eastAsia="Georgia" w:hAnsi="Georgia" w:cs="Georgia"/>
          <w:color w:val="000000"/>
          <w:sz w:val="21"/>
          <w:szCs w:val="21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eastAsia="Georgia" w:hAnsi="Georgia" w:cs="Georgia"/>
          <w:color w:val="000000"/>
          <w:sz w:val="21"/>
          <w:szCs w:val="21"/>
        </w:rPr>
        <w:t>2022</w:t>
      </w:r>
    </w:p>
    <w:p w:rsidR="00385004" w:rsidRDefault="00385004">
      <w:pPr>
        <w:spacing w:line="1" w:lineRule="exact"/>
        <w:rPr>
          <w:sz w:val="24"/>
          <w:szCs w:val="24"/>
        </w:rPr>
      </w:pPr>
    </w:p>
    <w:p w:rsidR="00385004" w:rsidRDefault="00BD4F9B">
      <w:pPr>
        <w:spacing w:line="256" w:lineRule="auto"/>
        <w:ind w:right="726"/>
        <w:rPr>
          <w:sz w:val="20"/>
          <w:szCs w:val="20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z w:val="13"/>
          <w:szCs w:val="13"/>
        </w:rPr>
        <w:t>3</w:t>
      </w:r>
      <w:r>
        <w:rPr>
          <w:rFonts w:ascii="Georgia" w:eastAsia="Georgia" w:hAnsi="Georgia" w:cs="Georgia"/>
        </w:rPr>
        <w:t xml:space="preserve"> – Final energy consumption in households per capita (in Kilogram of oil equivalent KGOE)</w:t>
      </w:r>
    </w:p>
    <w:p w:rsidR="00385004" w:rsidRDefault="00385004">
      <w:pPr>
        <w:spacing w:line="165" w:lineRule="exact"/>
        <w:rPr>
          <w:sz w:val="24"/>
          <w:szCs w:val="24"/>
        </w:rPr>
      </w:pPr>
    </w:p>
    <w:p w:rsidR="00385004" w:rsidRDefault="00BD4F9B">
      <w:pPr>
        <w:spacing w:line="411" w:lineRule="auto"/>
        <w:ind w:right="786"/>
        <w:rPr>
          <w:rFonts w:ascii="Georgia" w:eastAsia="Georgia" w:hAnsi="Georgia" w:cs="Georgia"/>
          <w:color w:val="0563C1"/>
          <w:u w:val="single"/>
        </w:rPr>
      </w:pPr>
      <w:hyperlink r:id="rId7">
        <w:r>
          <w:rPr>
            <w:rFonts w:ascii="Georgia" w:eastAsia="Georgia" w:hAnsi="Georgia" w:cs="Georgia"/>
            <w:color w:val="0563C1"/>
            <w:u w:val="single"/>
          </w:rPr>
          <w:t>https://ec.europa.eu/eurostat/databrowser/view/sdg_07_20/default/table?lang=en</w:t>
        </w:r>
      </w:hyperlink>
      <w:r>
        <w:rPr>
          <w:rFonts w:ascii="Georgia" w:eastAsia="Georgia" w:hAnsi="Georgia" w:cs="Georgia"/>
          <w:color w:val="0563C1"/>
          <w:u w:val="singl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</w:rPr>
        <w:t>accessed</w:t>
      </w:r>
      <w:proofErr w:type="spellEnd"/>
      <w:r>
        <w:rPr>
          <w:rFonts w:ascii="Georgia" w:eastAsia="Georgia" w:hAnsi="Georgia" w:cs="Georgia"/>
          <w:color w:val="000000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color w:val="000000"/>
        </w:rPr>
        <w:t>2022</w:t>
      </w:r>
    </w:p>
    <w:p w:rsidR="00385004" w:rsidRDefault="00385004">
      <w:pPr>
        <w:spacing w:line="5" w:lineRule="exact"/>
        <w:rPr>
          <w:sz w:val="24"/>
          <w:szCs w:val="24"/>
        </w:rPr>
      </w:pPr>
    </w:p>
    <w:p w:rsidR="00385004" w:rsidRDefault="00BD4F9B">
      <w:pPr>
        <w:spacing w:line="411" w:lineRule="auto"/>
        <w:ind w:right="786"/>
        <w:rPr>
          <w:rFonts w:ascii="Georgia" w:eastAsia="Georgia" w:hAnsi="Georgia" w:cs="Georgia"/>
          <w:color w:val="0563C1"/>
          <w:u w:val="single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z w:val="13"/>
          <w:szCs w:val="13"/>
        </w:rPr>
        <w:t>4</w:t>
      </w:r>
      <w:r>
        <w:rPr>
          <w:rFonts w:ascii="Georgia" w:eastAsia="Georgia" w:hAnsi="Georgia" w:cs="Georgia"/>
        </w:rPr>
        <w:t xml:space="preserve"> – Energy productivity (in Euro per kilogram of oil equivalent KGOE) </w:t>
      </w:r>
      <w:hyperlink r:id="rId8">
        <w:r>
          <w:rPr>
            <w:rFonts w:ascii="Georgia" w:eastAsia="Georgia" w:hAnsi="Georgia" w:cs="Georgia"/>
            <w:color w:val="0563C1"/>
            <w:u w:val="single"/>
          </w:rPr>
          <w:t>https://ec.europa.eu/eurostat/databrowser/view/sdg_07_30/default/table?lang=en</w:t>
        </w:r>
      </w:hyperlink>
      <w:r>
        <w:rPr>
          <w:rFonts w:ascii="Georgia" w:eastAsia="Georgia" w:hAnsi="Georgia" w:cs="Georgia"/>
          <w:color w:val="00000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</w:rPr>
        <w:t>accessed</w:t>
      </w:r>
      <w:proofErr w:type="spellEnd"/>
      <w:r>
        <w:rPr>
          <w:rFonts w:ascii="Georgia" w:eastAsia="Georgia" w:hAnsi="Georgia" w:cs="Georgia"/>
          <w:color w:val="000000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color w:val="000000"/>
        </w:rPr>
        <w:t>2022</w:t>
      </w:r>
    </w:p>
    <w:p w:rsidR="00385004" w:rsidRDefault="00385004">
      <w:pPr>
        <w:spacing w:line="5" w:lineRule="exact"/>
        <w:rPr>
          <w:sz w:val="24"/>
          <w:szCs w:val="24"/>
        </w:rPr>
      </w:pPr>
    </w:p>
    <w:p w:rsidR="00385004" w:rsidRDefault="00BD4F9B">
      <w:pPr>
        <w:spacing w:line="432" w:lineRule="auto"/>
        <w:ind w:right="786"/>
        <w:rPr>
          <w:rFonts w:ascii="Georgia" w:eastAsia="Georgia" w:hAnsi="Georgia" w:cs="Georgia"/>
          <w:color w:val="0563C1"/>
          <w:sz w:val="21"/>
          <w:szCs w:val="21"/>
          <w:u w:val="single"/>
        </w:rPr>
      </w:pPr>
      <w:r>
        <w:rPr>
          <w:rFonts w:ascii="Georgia" w:eastAsia="Georgia" w:hAnsi="Georgia" w:cs="Georgia"/>
          <w:sz w:val="21"/>
          <w:szCs w:val="21"/>
        </w:rPr>
        <w:t>C</w:t>
      </w:r>
      <w:r>
        <w:rPr>
          <w:rFonts w:ascii="Georgia" w:eastAsia="Georgia" w:hAnsi="Georgia" w:cs="Georgia"/>
          <w:sz w:val="13"/>
          <w:szCs w:val="13"/>
        </w:rPr>
        <w:t>5</w:t>
      </w:r>
      <w:r>
        <w:rPr>
          <w:rFonts w:ascii="Georgia" w:eastAsia="Georgia" w:hAnsi="Georgia" w:cs="Georgia"/>
          <w:sz w:val="21"/>
          <w:szCs w:val="21"/>
        </w:rPr>
        <w:t>-C</w:t>
      </w:r>
      <w:r>
        <w:rPr>
          <w:rFonts w:ascii="Georgia" w:eastAsia="Georgia" w:hAnsi="Georgia" w:cs="Georgia"/>
          <w:sz w:val="13"/>
          <w:szCs w:val="13"/>
        </w:rPr>
        <w:t>8</w:t>
      </w:r>
      <w:r>
        <w:rPr>
          <w:rFonts w:ascii="Georgia" w:eastAsia="Georgia" w:hAnsi="Georgia" w:cs="Georgia"/>
          <w:sz w:val="21"/>
          <w:szCs w:val="21"/>
        </w:rPr>
        <w:t xml:space="preserve"> – Share of renewable energy in gross final energy consumption by sector (in %) </w:t>
      </w:r>
      <w:hyperlink r:id="rId9">
        <w:r>
          <w:rPr>
            <w:rFonts w:ascii="Georgia" w:eastAsia="Georgia" w:hAnsi="Georgia" w:cs="Georgia"/>
            <w:color w:val="0563C1"/>
            <w:sz w:val="21"/>
            <w:szCs w:val="21"/>
            <w:u w:val="single"/>
          </w:rPr>
          <w:t>https://ec.europa.eu/eurostat/databrowser/view/sdg_07_40/default/table?lang=en</w:t>
        </w:r>
      </w:hyperlink>
    </w:p>
    <w:p w:rsidR="00385004" w:rsidRDefault="00BD4F9B">
      <w:pPr>
        <w:spacing w:line="238" w:lineRule="auto"/>
        <w:rPr>
          <w:sz w:val="20"/>
          <w:szCs w:val="20"/>
        </w:rPr>
      </w:pPr>
      <w:proofErr w:type="spellStart"/>
      <w:r>
        <w:rPr>
          <w:rFonts w:ascii="Georgia" w:eastAsia="Georgia" w:hAnsi="Georgia" w:cs="Georgia"/>
        </w:rPr>
        <w:t>accessed</w:t>
      </w:r>
      <w:proofErr w:type="spellEnd"/>
      <w:r>
        <w:rPr>
          <w:rFonts w:ascii="Georgia" w:eastAsia="Georgia" w:hAnsi="Georgia" w:cs="Georgia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2022</w:t>
      </w:r>
    </w:p>
    <w:p w:rsidR="00385004" w:rsidRDefault="00385004">
      <w:pPr>
        <w:spacing w:line="182" w:lineRule="exact"/>
        <w:rPr>
          <w:sz w:val="24"/>
          <w:szCs w:val="24"/>
        </w:rPr>
      </w:pPr>
    </w:p>
    <w:p w:rsidR="00385004" w:rsidRDefault="00BD4F9B">
      <w:pPr>
        <w:rPr>
          <w:sz w:val="20"/>
          <w:szCs w:val="20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z w:val="13"/>
          <w:szCs w:val="13"/>
        </w:rPr>
        <w:t>9</w:t>
      </w:r>
      <w:r>
        <w:rPr>
          <w:rFonts w:ascii="Georgia" w:eastAsia="Georgia" w:hAnsi="Georgia" w:cs="Georgia"/>
        </w:rPr>
        <w:t xml:space="preserve"> – Energy import dependency by products (in %)</w:t>
      </w:r>
    </w:p>
    <w:p w:rsidR="00385004" w:rsidRDefault="00385004">
      <w:pPr>
        <w:spacing w:line="180" w:lineRule="exact"/>
        <w:rPr>
          <w:sz w:val="24"/>
          <w:szCs w:val="24"/>
        </w:rPr>
      </w:pPr>
    </w:p>
    <w:p w:rsidR="00385004" w:rsidRDefault="00BD4F9B">
      <w:pPr>
        <w:spacing w:line="411" w:lineRule="auto"/>
        <w:ind w:right="786"/>
        <w:rPr>
          <w:rFonts w:ascii="Georgia" w:eastAsia="Georgia" w:hAnsi="Georgia" w:cs="Georgia"/>
          <w:color w:val="0563C1"/>
          <w:u w:val="single"/>
        </w:rPr>
      </w:pPr>
      <w:hyperlink r:id="rId10">
        <w:r>
          <w:rPr>
            <w:rFonts w:ascii="Georgia" w:eastAsia="Georgia" w:hAnsi="Georgia" w:cs="Georgia"/>
            <w:color w:val="0563C1"/>
            <w:u w:val="single"/>
          </w:rPr>
          <w:t>https://ec.europa.eu/eurostat/databrowser/view/sdg_07_50/default/table?lang=en</w:t>
        </w:r>
      </w:hyperlink>
      <w:r>
        <w:rPr>
          <w:rFonts w:ascii="Georgia" w:eastAsia="Georgia" w:hAnsi="Georgia" w:cs="Georgia"/>
          <w:color w:val="0563C1"/>
          <w:u w:val="singl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</w:rPr>
        <w:t>accessed</w:t>
      </w:r>
      <w:proofErr w:type="spellEnd"/>
      <w:r>
        <w:rPr>
          <w:rFonts w:ascii="Georgia" w:eastAsia="Georgia" w:hAnsi="Georgia" w:cs="Georgia"/>
          <w:color w:val="000000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color w:val="000000"/>
        </w:rPr>
        <w:t>2022</w:t>
      </w:r>
    </w:p>
    <w:p w:rsidR="00385004" w:rsidRDefault="00385004">
      <w:pPr>
        <w:spacing w:line="3" w:lineRule="exact"/>
        <w:rPr>
          <w:sz w:val="24"/>
          <w:szCs w:val="24"/>
        </w:rPr>
      </w:pPr>
    </w:p>
    <w:p w:rsidR="00385004" w:rsidRDefault="00BD4F9B">
      <w:pPr>
        <w:spacing w:line="432" w:lineRule="auto"/>
        <w:ind w:right="786"/>
        <w:rPr>
          <w:rFonts w:ascii="Georgia" w:eastAsia="Georgia" w:hAnsi="Georgia" w:cs="Georgia"/>
          <w:color w:val="0563C1"/>
          <w:sz w:val="21"/>
          <w:szCs w:val="21"/>
          <w:u w:val="single"/>
        </w:rPr>
      </w:pPr>
      <w:r>
        <w:rPr>
          <w:rFonts w:ascii="Georgia" w:eastAsia="Georgia" w:hAnsi="Georgia" w:cs="Georgia"/>
          <w:sz w:val="21"/>
          <w:szCs w:val="21"/>
        </w:rPr>
        <w:t>C</w:t>
      </w:r>
      <w:r>
        <w:rPr>
          <w:rFonts w:ascii="Georgia" w:eastAsia="Georgia" w:hAnsi="Georgia" w:cs="Georgia"/>
          <w:sz w:val="13"/>
          <w:szCs w:val="13"/>
        </w:rPr>
        <w:t>10</w:t>
      </w:r>
      <w:r>
        <w:rPr>
          <w:rFonts w:ascii="Georgia" w:eastAsia="Georgia" w:hAnsi="Georgia" w:cs="Georgia"/>
          <w:sz w:val="21"/>
          <w:szCs w:val="21"/>
        </w:rPr>
        <w:t xml:space="preserve"> – Population unable to keep home adequately warm (in</w:t>
      </w:r>
      <w:r>
        <w:rPr>
          <w:rFonts w:ascii="Georgia" w:eastAsia="Georgia" w:hAnsi="Georgia" w:cs="Georgia"/>
          <w:sz w:val="21"/>
          <w:szCs w:val="21"/>
        </w:rPr>
        <w:t xml:space="preserve"> %) </w:t>
      </w:r>
      <w:hyperlink r:id="rId11">
        <w:r>
          <w:rPr>
            <w:rFonts w:ascii="Georgia" w:eastAsia="Georgia" w:hAnsi="Georgia" w:cs="Georgia"/>
            <w:color w:val="0563C1"/>
            <w:sz w:val="21"/>
            <w:szCs w:val="21"/>
            <w:u w:val="single"/>
          </w:rPr>
          <w:t>https://ec.europa.eu/eurostat/databrowser/view/sdg_07_60/default/table?lang=en</w:t>
        </w:r>
      </w:hyperlink>
      <w:r>
        <w:rPr>
          <w:rFonts w:ascii="Georgia" w:eastAsia="Georgia" w:hAnsi="Georgia" w:cs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1"/>
          <w:szCs w:val="21"/>
        </w:rPr>
        <w:t>accessed</w:t>
      </w:r>
      <w:proofErr w:type="spellEnd"/>
      <w:r>
        <w:rPr>
          <w:rFonts w:ascii="Georgia" w:eastAsia="Georgia" w:hAnsi="Georgia" w:cs="Georgia"/>
          <w:color w:val="000000"/>
          <w:sz w:val="21"/>
          <w:szCs w:val="21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eastAsia="Georgia" w:hAnsi="Georgia" w:cs="Georgia"/>
          <w:color w:val="000000"/>
          <w:sz w:val="21"/>
          <w:szCs w:val="21"/>
        </w:rPr>
        <w:t>2022</w:t>
      </w:r>
    </w:p>
    <w:p w:rsidR="00385004" w:rsidRDefault="00385004">
      <w:pPr>
        <w:spacing w:line="1" w:lineRule="exact"/>
        <w:rPr>
          <w:sz w:val="24"/>
          <w:szCs w:val="24"/>
        </w:rPr>
      </w:pPr>
    </w:p>
    <w:p w:rsidR="00385004" w:rsidRDefault="00BD4F9B">
      <w:pPr>
        <w:spacing w:line="432" w:lineRule="auto"/>
        <w:ind w:right="826"/>
        <w:rPr>
          <w:rFonts w:ascii="Georgia" w:eastAsia="Georgia" w:hAnsi="Georgia" w:cs="Georgia"/>
          <w:color w:val="0563C1"/>
          <w:sz w:val="21"/>
          <w:szCs w:val="21"/>
          <w:u w:val="single"/>
        </w:rPr>
      </w:pPr>
      <w:r>
        <w:rPr>
          <w:rFonts w:ascii="Georgia" w:eastAsia="Georgia" w:hAnsi="Georgia" w:cs="Georgia"/>
          <w:sz w:val="21"/>
          <w:szCs w:val="21"/>
        </w:rPr>
        <w:t>C</w:t>
      </w:r>
      <w:r>
        <w:rPr>
          <w:rFonts w:ascii="Georgia" w:eastAsia="Georgia" w:hAnsi="Georgia" w:cs="Georgia"/>
          <w:sz w:val="13"/>
          <w:szCs w:val="13"/>
        </w:rPr>
        <w:t>11</w:t>
      </w:r>
      <w:r>
        <w:rPr>
          <w:rFonts w:ascii="Georgia" w:eastAsia="Georgia" w:hAnsi="Georgia" w:cs="Georgia"/>
          <w:sz w:val="21"/>
          <w:szCs w:val="21"/>
        </w:rPr>
        <w:t xml:space="preserve"> – Greenhouse gas emissions intensity of energy consumption (Index, 2000=100) </w:t>
      </w:r>
      <w:hyperlink r:id="rId12">
        <w:r>
          <w:rPr>
            <w:rFonts w:ascii="Georgia" w:eastAsia="Georgia" w:hAnsi="Georgia" w:cs="Georgia"/>
            <w:color w:val="0563C1"/>
            <w:sz w:val="21"/>
            <w:szCs w:val="21"/>
            <w:u w:val="single"/>
          </w:rPr>
          <w:t>https://ec.europa.eu/eurostat/databrowser/view/sdg_13_20/default/table?lang=en</w:t>
        </w:r>
      </w:hyperlink>
    </w:p>
    <w:p w:rsidR="00385004" w:rsidRDefault="00BD4F9B">
      <w:pPr>
        <w:spacing w:line="238" w:lineRule="auto"/>
        <w:rPr>
          <w:sz w:val="20"/>
          <w:szCs w:val="20"/>
        </w:rPr>
      </w:pPr>
      <w:proofErr w:type="spellStart"/>
      <w:r>
        <w:rPr>
          <w:rFonts w:ascii="Georgia" w:eastAsia="Georgia" w:hAnsi="Georgia" w:cs="Georgia"/>
        </w:rPr>
        <w:t>a</w:t>
      </w:r>
      <w:r>
        <w:rPr>
          <w:rFonts w:ascii="Georgia" w:eastAsia="Georgia" w:hAnsi="Georgia" w:cs="Georgia"/>
        </w:rPr>
        <w:t>ccessed</w:t>
      </w:r>
      <w:proofErr w:type="spellEnd"/>
      <w:r>
        <w:rPr>
          <w:rFonts w:ascii="Georgia" w:eastAsia="Georgia" w:hAnsi="Georgia" w:cs="Georgia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2022</w:t>
      </w:r>
    </w:p>
    <w:sectPr w:rsidR="00385004">
      <w:pgSz w:w="11900" w:h="16838"/>
      <w:pgMar w:top="1415" w:right="1440" w:bottom="1440" w:left="1420" w:header="0" w:footer="0" w:gutter="0"/>
      <w:cols w:space="708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004"/>
    <w:rsid w:val="00385004"/>
    <w:rsid w:val="00B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B9BA"/>
  <w15:docId w15:val="{3E681D31-F2A2-48AB-8A4E-FF21CEE1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databrowser/view/sdg_07_30/default/table?lang=e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c.europa.eu/eurostat/databrowser/view/sdg_07_20/default/table?lang=en" TargetMode="External"/><Relationship Id="rId12" Type="http://schemas.openxmlformats.org/officeDocument/2006/relationships/hyperlink" Target="https://ec.europa.eu/eurostat/databrowser/view/sdg_13_20/default/table?lang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eurostat/databrowser/view/sdg_07_11/default/table?lang=en" TargetMode="External"/><Relationship Id="rId11" Type="http://schemas.openxmlformats.org/officeDocument/2006/relationships/hyperlink" Target="https://ec.europa.eu/eurostat/databrowser/view/sdg_07_60/default/table?lang=en" TargetMode="External"/><Relationship Id="rId5" Type="http://schemas.openxmlformats.org/officeDocument/2006/relationships/hyperlink" Target="https://ec.europa.eu/eurostat/databrowser/view/sdg_07_10/default/table?lang=en" TargetMode="External"/><Relationship Id="rId10" Type="http://schemas.openxmlformats.org/officeDocument/2006/relationships/hyperlink" Target="https://ec.europa.eu/eurostat/databrowser/view/sdg_07_50/default/table?lang=en" TargetMode="External"/><Relationship Id="rId4" Type="http://schemas.openxmlformats.org/officeDocument/2006/relationships/hyperlink" Target="https://ec.europa.eu/eurostat/data/database" TargetMode="External"/><Relationship Id="rId9" Type="http://schemas.openxmlformats.org/officeDocument/2006/relationships/hyperlink" Target="https://ec.europa.eu/eurostat/databrowser/view/sdg_07_40/default/table?lang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Aleksandra Bączkiewicz</cp:lastModifiedBy>
  <cp:revision>2</cp:revision>
  <dcterms:created xsi:type="dcterms:W3CDTF">2022-07-06T13:19:00Z</dcterms:created>
  <dcterms:modified xsi:type="dcterms:W3CDTF">2022-07-06T11:20:00Z</dcterms:modified>
</cp:coreProperties>
</file>