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2E7D32"/>
          <w:sz w:val="40"/>
          <w:szCs w:val="40"/>
        </w:rPr>
        <w:t xml:space="preserve">Be Neutral Now</w:t>
      </w:r>
    </w:p>
    <w:p>
      <w:pPr>
        <w:spacing w:after="300"/>
      </w:pPr>
      <w:r>
        <w:rPr>
          <w:color w:val="5F5F5F"/>
          <w:sz w:val="24"/>
          <w:szCs w:val="24"/>
        </w:rPr>
        <w:t xml:space="preserve">Phase 2 Proposal: National Growth and Lead Generation System</w:t>
      </w:r>
    </w:p>
    <w:p>
      <w:pPr>
        <w:pStyle w:val="Heading1"/>
        <w:pBdr>
          <w:bottom w:val="single" w:color="2E7D32" w:sz="6" w:space="4"/>
        </w:pBdr>
        <w:spacing w:after="160" w:before="320"/>
      </w:pPr>
      <w:r>
        <w:rPr>
          <w:b/>
          <w:bCs/>
          <w:color w:val="2E7D32"/>
          <w:sz w:val="26"/>
          <w:szCs w:val="26"/>
        </w:rPr>
        <w:t xml:space="preserve">Where Things Stand</w:t>
      </w:r>
    </w:p>
    <w:p>
      <w:pPr>
        <w:spacing w:after="120"/>
      </w:pPr>
      <w:r>
        <w:rPr>
          <w:color w:val="1A1A1A"/>
          <w:sz w:val="21"/>
          <w:szCs w:val="21"/>
        </w:rPr>
        <w:t xml:space="preserve">Phase 1 proved the model. The lead generation system built for Energy Center USA is live and producing results today, pulling qualified business leads from a defined metro area and turning them into active outreach through automated email and call center workflows.</w:t>
      </w:r>
    </w:p>
    <w:p>
      <w:pPr>
        <w:spacing w:after="120"/>
      </w:pPr>
      <w:r>
        <w:rPr>
          <w:color w:val="1A1A1A"/>
          <w:sz w:val="21"/>
          <w:szCs w:val="21"/>
        </w:rPr>
        <w:t xml:space="preserve">Be Neutral Now is a nationwide product. The systems that work at the scale of one metro area need to be rebuilt for national reach, and the product itself needs its own dedicated engine for finding customers and finding local business partners for the rewards program.</w:t>
      </w:r>
    </w:p>
    <w:p>
      <w:pPr>
        <w:spacing w:after="120"/>
      </w:pPr>
      <w:r>
        <w:rPr>
          <w:color w:val="1A1A1A"/>
          <w:sz w:val="21"/>
          <w:szCs w:val="21"/>
        </w:rPr>
        <w:t xml:space="preserve">Phase 2 is that build.</w:t>
      </w:r>
    </w:p>
    <w:p>
      <w:pPr>
        <w:pStyle w:val="Heading1"/>
        <w:pBdr>
          <w:bottom w:val="single" w:color="2E7D32" w:sz="6" w:space="4"/>
        </w:pBdr>
        <w:spacing w:after="160" w:before="320"/>
      </w:pPr>
      <w:r>
        <w:rPr>
          <w:b/>
          <w:bCs/>
          <w:color w:val="2E7D32"/>
          <w:sz w:val="26"/>
          <w:szCs w:val="26"/>
        </w:rPr>
        <w:t xml:space="preserve">Component 1: SEO Auto-Publishing Blog</w:t>
      </w:r>
    </w:p>
    <w:p>
      <w:pPr>
        <w:spacing w:after="120"/>
      </w:pPr>
      <w:r>
        <w:rPr>
          <w:color w:val="1A1A1A"/>
          <w:sz w:val="21"/>
          <w:szCs w:val="21"/>
        </w:rPr>
        <w:t xml:space="preserve">A content engine that publishes to the Be Neutral Now website automatically, built to rank in search and bring in organic traffic without ongoing manual work.</w:t>
      </w:r>
    </w:p>
    <w:p>
      <w:pPr>
        <w:pStyle w:val="ListParagraph"/>
        <w:numPr>
          <w:ilvl w:val="0"/>
          <w:numId w:val="2"/>
        </w:numPr>
        <w:spacing w:after="80"/>
      </w:pPr>
      <w:r>
        <w:rPr>
          <w:b w:val="false"/>
          <w:bCs w:val="false"/>
          <w:color w:val="1A1A1A"/>
          <w:sz w:val="21"/>
          <w:szCs w:val="21"/>
        </w:rPr>
        <w:t xml:space="preserve">Daily published articles targeting the searches people run when they are comparing green energy plans, looking to cut their utility bill, or researching rewards programs in their area</w:t>
      </w:r>
    </w:p>
    <w:p>
      <w:pPr>
        <w:pStyle w:val="ListParagraph"/>
        <w:numPr>
          <w:ilvl w:val="0"/>
          <w:numId w:val="2"/>
        </w:numPr>
        <w:spacing w:after="80"/>
      </w:pPr>
      <w:r>
        <w:rPr>
          <w:b w:val="false"/>
          <w:bCs w:val="false"/>
          <w:color w:val="1A1A1A"/>
          <w:sz w:val="21"/>
          <w:szCs w:val="21"/>
        </w:rPr>
        <w:t xml:space="preserve">Content generated, formatted, and published on a schedule with no manual steps required after setup</w:t>
      </w:r>
    </w:p>
    <w:p>
      <w:pPr>
        <w:pStyle w:val="ListParagraph"/>
        <w:numPr>
          <w:ilvl w:val="0"/>
          <w:numId w:val="2"/>
        </w:numPr>
        <w:spacing w:after="80"/>
      </w:pPr>
      <w:r>
        <w:rPr>
          <w:b w:val="false"/>
          <w:bCs w:val="false"/>
          <w:color w:val="1A1A1A"/>
          <w:sz w:val="21"/>
          <w:szCs w:val="21"/>
        </w:rPr>
        <w:t xml:space="preserve">Built to compound. Search traffic grows month over month as the content library grows, unlike paid ads which stop the moment spend stops</w:t>
      </w:r>
    </w:p>
    <w:p>
      <w:pPr>
        <w:pStyle w:val="Heading1"/>
        <w:pBdr>
          <w:bottom w:val="single" w:color="2E7D32" w:sz="6" w:space="4"/>
        </w:pBdr>
        <w:spacing w:after="160" w:before="320"/>
      </w:pPr>
      <w:r>
        <w:rPr>
          <w:b/>
          <w:bCs/>
          <w:color w:val="2E7D32"/>
          <w:sz w:val="26"/>
          <w:szCs w:val="26"/>
        </w:rPr>
        <w:t xml:space="preserve">Component 2: National B2B and Lead Generation Engine</w:t>
      </w:r>
    </w:p>
    <w:p>
      <w:pPr>
        <w:spacing w:after="120"/>
      </w:pPr>
      <w:r>
        <w:rPr>
          <w:color w:val="1A1A1A"/>
          <w:sz w:val="21"/>
          <w:szCs w:val="21"/>
        </w:rPr>
        <w:t xml:space="preserve">The same proven model behind the Energy Center USA scraper and outreach system, rebuilt for Be Neutral Now at national scale instead of one metro area.</w:t>
      </w:r>
    </w:p>
    <w:p>
      <w:pPr>
        <w:pStyle w:val="ListParagraph"/>
        <w:numPr>
          <w:ilvl w:val="0"/>
          <w:numId w:val="2"/>
        </w:numPr>
        <w:spacing w:after="80"/>
      </w:pPr>
      <w:r>
        <w:rPr>
          <w:b w:val="false"/>
          <w:bCs w:val="false"/>
          <w:color w:val="1A1A1A"/>
          <w:sz w:val="21"/>
          <w:szCs w:val="21"/>
        </w:rPr>
        <w:t xml:space="preserve">Expands from 14 Ohio cities to nationwide coverage, pulling qualified leads across the country instead of one region</w:t>
      </w:r>
    </w:p>
    <w:p>
      <w:pPr>
        <w:pStyle w:val="ListParagraph"/>
        <w:numPr>
          <w:ilvl w:val="0"/>
          <w:numId w:val="2"/>
        </w:numPr>
        <w:spacing w:after="80"/>
      </w:pPr>
      <w:r>
        <w:rPr>
          <w:b w:val="false"/>
          <w:bCs w:val="false"/>
          <w:color w:val="1A1A1A"/>
          <w:sz w:val="21"/>
          <w:szCs w:val="21"/>
        </w:rPr>
        <w:t xml:space="preserve">Two lead tracks running in parallel: consumer leads for the monthly subscription itself, and local business leads for the shops and restaurants that power the rewards program</w:t>
      </w:r>
    </w:p>
    <w:p>
      <w:pPr>
        <w:pStyle w:val="ListParagraph"/>
        <w:numPr>
          <w:ilvl w:val="0"/>
          <w:numId w:val="2"/>
        </w:numPr>
        <w:spacing w:after="80"/>
      </w:pPr>
      <w:r>
        <w:rPr>
          <w:b w:val="false"/>
          <w:bCs w:val="false"/>
          <w:color w:val="1A1A1A"/>
          <w:sz w:val="21"/>
          <w:szCs w:val="21"/>
        </w:rPr>
        <w:t xml:space="preserve">Automated outreach sequences for both tracks, following the same email and call center handoff structure already proven to work</w:t>
      </w:r>
    </w:p>
    <w:p>
      <w:pPr>
        <w:pStyle w:val="ListParagraph"/>
        <w:numPr>
          <w:ilvl w:val="0"/>
          <w:numId w:val="2"/>
        </w:numPr>
        <w:spacing w:after="80"/>
      </w:pPr>
      <w:r>
        <w:rPr>
          <w:b w:val="false"/>
          <w:bCs w:val="false"/>
          <w:color w:val="1A1A1A"/>
          <w:sz w:val="21"/>
          <w:szCs w:val="21"/>
        </w:rPr>
        <w:t xml:space="preserve">Realistic output once running: hundreds to thousands of qualified leads generated monthly across both tracks, direct fuel for the push toward 10,000 active customers</w:t>
      </w:r>
    </w:p>
    <w:p>
      <w:pPr>
        <w:pStyle w:val="Heading1"/>
        <w:pBdr>
          <w:bottom w:val="single" w:color="2E7D32" w:sz="6" w:space="4"/>
        </w:pBdr>
        <w:spacing w:after="160" w:before="320"/>
      </w:pPr>
      <w:r>
        <w:rPr>
          <w:b/>
          <w:bCs/>
          <w:color w:val="2E7D32"/>
          <w:sz w:val="26"/>
          <w:szCs w:val="26"/>
        </w:rPr>
        <w:t xml:space="preserve">What Stays the Same</w:t>
      </w:r>
    </w:p>
    <w:p>
      <w:pPr>
        <w:spacing w:after="120"/>
      </w:pPr>
      <w:r>
        <w:rPr>
          <w:color w:val="1A1A1A"/>
          <w:sz w:val="21"/>
          <w:szCs w:val="21"/>
        </w:rPr>
        <w:t xml:space="preserve">Facebook and YouTube management for both brands remain part of ongoing coverage under the existing retainer. No change there.</w:t>
      </w:r>
    </w:p>
    <w:p>
      <w:pPr>
        <w:pStyle w:val="Heading1"/>
        <w:pBdr>
          <w:bottom w:val="single" w:color="2E7D32" w:sz="6" w:space="4"/>
        </w:pBdr>
        <w:spacing w:after="160" w:before="320"/>
      </w:pPr>
      <w:r>
        <w:rPr>
          <w:b/>
          <w:bCs/>
          <w:color w:val="2E7D32"/>
          <w:sz w:val="26"/>
          <w:szCs w:val="26"/>
        </w:rPr>
        <w:t xml:space="preserve">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2E7D32" w:val="clear"/>
            <w:tcMar>
              <w:top w:type="dxa" w:w="100"/>
              <w:left w:type="dxa" w:w="120"/>
              <w:bottom w:type="dxa" w:w="100"/>
              <w:right w:type="dxa" w:w="120"/>
            </w:tcMar>
          </w:tcPr>
          <w:p>
            <w:r>
              <w:rPr>
                <w:b/>
                <w:bCs/>
                <w:color w:val="FFFFFF"/>
                <w:sz w:val="20"/>
                <w:szCs w:val="20"/>
              </w:rPr>
              <w:t xml:space="preserve">Component</w:t>
            </w:r>
          </w:p>
        </w:tc>
        <w:tc>
          <w:tcPr>
            <w:tcW w:type="dxa" w:w="3000"/>
            <w:shd w:fill="2E7D32" w:val="clear"/>
            <w:tcMar>
              <w:top w:type="dxa" w:w="100"/>
              <w:left w:type="dxa" w:w="120"/>
              <w:bottom w:type="dxa" w:w="100"/>
              <w:right w:type="dxa" w:w="120"/>
            </w:tcMar>
          </w:tcPr>
          <w:p>
            <w:r>
              <w:rPr>
                <w:b/>
                <w:bCs/>
                <w:color w:val="FFFFFF"/>
                <w:sz w:val="20"/>
                <w:szCs w:val="20"/>
              </w:rPr>
              <w:t xml:space="preserve">Investment</w:t>
            </w:r>
          </w:p>
        </w:tc>
      </w:tr>
      <w:tr>
        <w:tc>
          <w:tcPr>
            <w:tcW w:type="dxa" w:w="3000"/>
            <w:tcMar>
              <w:top w:type="dxa" w:w="100"/>
              <w:left w:type="dxa" w:w="120"/>
              <w:bottom w:type="dxa" w:w="100"/>
              <w:right w:type="dxa" w:w="120"/>
            </w:tcMar>
          </w:tcPr>
          <w:p>
            <w:r>
              <w:rPr>
                <w:b w:val="false"/>
                <w:bCs w:val="false"/>
                <w:color w:val="1A1A1A"/>
                <w:sz w:val="20"/>
                <w:szCs w:val="20"/>
              </w:rPr>
              <w:t xml:space="preserve">SEO auto-publishing blog build</w:t>
            </w:r>
          </w:p>
        </w:tc>
        <w:tc>
          <w:tcPr>
            <w:tcW w:type="dxa" w:w="3000"/>
            <w:tcMar>
              <w:top w:type="dxa" w:w="100"/>
              <w:left w:type="dxa" w:w="120"/>
              <w:bottom w:type="dxa" w:w="100"/>
              <w:right w:type="dxa" w:w="120"/>
            </w:tcMar>
          </w:tcPr>
          <w:p>
            <w:r>
              <w:rPr>
                <w:b w:val="false"/>
                <w:bCs w:val="false"/>
                <w:color w:val="1A1A1A"/>
                <w:sz w:val="20"/>
                <w:szCs w:val="20"/>
              </w:rPr>
              <w:t xml:space="preserve">Included</w:t>
            </w:r>
          </w:p>
        </w:tc>
      </w:tr>
      <w:tr>
        <w:tc>
          <w:tcPr>
            <w:tcW w:type="dxa" w:w="3000"/>
            <w:tcMar>
              <w:top w:type="dxa" w:w="100"/>
              <w:left w:type="dxa" w:w="120"/>
              <w:bottom w:type="dxa" w:w="100"/>
              <w:right w:type="dxa" w:w="120"/>
            </w:tcMar>
          </w:tcPr>
          <w:p>
            <w:r>
              <w:rPr>
                <w:b w:val="false"/>
                <w:bCs w:val="false"/>
                <w:color w:val="1A1A1A"/>
                <w:sz w:val="20"/>
                <w:szCs w:val="20"/>
              </w:rPr>
              <w:t xml:space="preserve">National B2B and lead generation engine</w:t>
            </w:r>
          </w:p>
        </w:tc>
        <w:tc>
          <w:tcPr>
            <w:tcW w:type="dxa" w:w="3000"/>
            <w:tcMar>
              <w:top w:type="dxa" w:w="100"/>
              <w:left w:type="dxa" w:w="120"/>
              <w:bottom w:type="dxa" w:w="100"/>
              <w:right w:type="dxa" w:w="120"/>
            </w:tcMar>
          </w:tcPr>
          <w:p>
            <w:r>
              <w:rPr>
                <w:b w:val="false"/>
                <w:bCs w:val="false"/>
                <w:color w:val="1A1A1A"/>
                <w:sz w:val="20"/>
                <w:szCs w:val="20"/>
              </w:rPr>
              <w:t xml:space="preserve">Included</w:t>
            </w:r>
          </w:p>
        </w:tc>
      </w:tr>
      <w:tr>
        <w:tc>
          <w:tcPr>
            <w:tcW w:type="dxa" w:w="3000"/>
            <w:tcMar>
              <w:top w:type="dxa" w:w="100"/>
              <w:left w:type="dxa" w:w="120"/>
              <w:bottom w:type="dxa" w:w="100"/>
              <w:right w:type="dxa" w:w="120"/>
            </w:tcMar>
          </w:tcPr>
          <w:p>
            <w:r>
              <w:rPr>
                <w:b/>
                <w:bCs/>
                <w:color w:val="1A1A1A"/>
                <w:sz w:val="20"/>
                <w:szCs w:val="20"/>
              </w:rPr>
              <w:t xml:space="preserve">Total Phase 2 build</w:t>
            </w:r>
          </w:p>
        </w:tc>
        <w:tc>
          <w:tcPr>
            <w:tcW w:type="dxa" w:w="3000"/>
            <w:tcMar>
              <w:top w:type="dxa" w:w="100"/>
              <w:left w:type="dxa" w:w="120"/>
              <w:bottom w:type="dxa" w:w="100"/>
              <w:right w:type="dxa" w:w="120"/>
            </w:tcMar>
          </w:tcPr>
          <w:p>
            <w:r>
              <w:rPr>
                <w:b/>
                <w:bCs/>
                <w:color w:val="1A1A1A"/>
                <w:sz w:val="20"/>
                <w:szCs w:val="20"/>
              </w:rPr>
              <w:t xml:space="preserve">$3,500</w:t>
            </w:r>
          </w:p>
        </w:tc>
      </w:tr>
    </w:tbl>
    <w:p>
      <w:pPr>
        <w:spacing w:after="120" w:before="200"/>
      </w:pPr>
      <w:r>
        <w:rPr>
          <w:i/>
          <w:iCs/>
          <w:color w:val="5F5F5F"/>
          <w:sz w:val="20"/>
          <w:szCs w:val="20"/>
        </w:rPr>
        <w:t xml:space="preserve">One-time build fee, structured the same way Phase 1 was. This covers the design, build, and launch of both systems. Ongoing management of the new systems can be folded into an updated monthly retainer once they are live and running.</w:t>
      </w:r>
    </w:p>
    <w:p>
      <w:pPr>
        <w:pStyle w:val="Heading1"/>
        <w:pBdr>
          <w:bottom w:val="single" w:color="2E7D32" w:sz="6" w:space="4"/>
        </w:pBdr>
        <w:spacing w:after="160" w:before="320"/>
      </w:pPr>
      <w:r>
        <w:rPr>
          <w:b/>
          <w:bCs/>
          <w:color w:val="2E7D32"/>
          <w:sz w:val="26"/>
          <w:szCs w:val="26"/>
        </w:rPr>
        <w:t xml:space="preserve">Why Now</w:t>
      </w:r>
    </w:p>
    <w:p>
      <w:pPr>
        <w:spacing w:after="120"/>
      </w:pPr>
      <w:r>
        <w:rPr>
          <w:color w:val="1A1A1A"/>
          <w:sz w:val="21"/>
          <w:szCs w:val="21"/>
        </w:rPr>
        <w:t xml:space="preserve">Be Neutral Now launches in roughly two weeks. The lead generation engine takes time to build, test, and warm up properly, the same lesson learned from the account issues on Energy Center USA. Starting Phase 2 now means the national lead engine is ready to run at launch instead of catching up after it.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2026-07-20T17:39:53.269Z</dcterms:created>
  <dcterms:modified xsi:type="dcterms:W3CDTF">2026-07-20T17:39:53.282Z</dcterms:modified>
</cp:coreProperties>
</file>

<file path=docProps/custom.xml><?xml version="1.0" encoding="utf-8"?>
<Properties xmlns="http://schemas.openxmlformats.org/officeDocument/2006/custom-properties" xmlns:vt="http://schemas.openxmlformats.org/officeDocument/2006/docPropsVTypes"/>
</file>