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C98" w:rsidRDefault="003F5C98" w:rsidP="003F5C98">
      <w:pPr>
        <w:pStyle w:val="Header"/>
        <w:jc w:val="right"/>
      </w:pPr>
      <w:r>
        <w:rPr>
          <w:noProof/>
          <w:lang w:val="en-US"/>
        </w:rPr>
        <w:drawing>
          <wp:inline distT="0" distB="0" distL="0" distR="0" wp14:anchorId="3AC75549" wp14:editId="0C1FB76D">
            <wp:extent cx="1036864" cy="72312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864" cy="723127"/>
                    </a:xfrm>
                    <a:prstGeom prst="rect">
                      <a:avLst/>
                    </a:prstGeom>
                    <a:noFill/>
                  </pic:spPr>
                </pic:pic>
              </a:graphicData>
            </a:graphic>
          </wp:inline>
        </w:drawing>
      </w:r>
    </w:p>
    <w:p w:rsidR="003F5C98" w:rsidRPr="003F5C98" w:rsidRDefault="003F5C98" w:rsidP="003F5C98">
      <w:pPr>
        <w:pStyle w:val="Header"/>
        <w:jc w:val="right"/>
        <w:rPr>
          <w:color w:val="404040" w:themeColor="text1" w:themeTint="BF"/>
          <w:sz w:val="18"/>
        </w:rPr>
      </w:pPr>
      <w:r w:rsidRPr="003F5C98">
        <w:rPr>
          <w:color w:val="404040" w:themeColor="text1" w:themeTint="BF"/>
          <w:sz w:val="18"/>
        </w:rPr>
        <w:t>JOINT RESEARCH CENTRE</w:t>
      </w:r>
    </w:p>
    <w:p w:rsidR="003F5C98" w:rsidRPr="003F5C98" w:rsidRDefault="003F5C98" w:rsidP="003F5C98">
      <w:pPr>
        <w:pStyle w:val="Header"/>
        <w:jc w:val="right"/>
        <w:rPr>
          <w:color w:val="404040" w:themeColor="text1" w:themeTint="BF"/>
          <w:sz w:val="18"/>
        </w:rPr>
      </w:pPr>
      <w:r w:rsidRPr="003F5C98">
        <w:rPr>
          <w:color w:val="404040" w:themeColor="text1" w:themeTint="BF"/>
          <w:sz w:val="18"/>
        </w:rPr>
        <w:t>Energy, Transport and Climate</w:t>
      </w:r>
    </w:p>
    <w:p w:rsidR="003F5C98" w:rsidRDefault="003F5C98" w:rsidP="003F5C98">
      <w:pPr>
        <w:pStyle w:val="Header"/>
        <w:jc w:val="right"/>
        <w:rPr>
          <w:color w:val="404040" w:themeColor="text1" w:themeTint="BF"/>
          <w:sz w:val="18"/>
        </w:rPr>
      </w:pPr>
      <w:r w:rsidRPr="003F5C98">
        <w:rPr>
          <w:color w:val="404040" w:themeColor="text1" w:themeTint="BF"/>
          <w:sz w:val="18"/>
        </w:rPr>
        <w:t>Knowledge for the Energy Union (JRC.C.7)</w:t>
      </w:r>
    </w:p>
    <w:p w:rsidR="003F5C98" w:rsidRPr="003F5C98" w:rsidRDefault="00194F5B" w:rsidP="003F5C98">
      <w:pPr>
        <w:pStyle w:val="Header"/>
        <w:jc w:val="right"/>
        <w:rPr>
          <w:color w:val="404040" w:themeColor="text1" w:themeTint="BF"/>
          <w:sz w:val="18"/>
        </w:rPr>
      </w:pPr>
      <w:r>
        <w:rPr>
          <w:color w:val="404040" w:themeColor="text1" w:themeTint="BF"/>
          <w:sz w:val="18"/>
        </w:rPr>
        <w:t xml:space="preserve">Contact: </w:t>
      </w:r>
      <w:hyperlink r:id="rId9" w:history="1">
        <w:r w:rsidRPr="0010428F">
          <w:rPr>
            <w:rStyle w:val="Hyperlink"/>
            <w:color w:val="4040FF" w:themeColor="hyperlink" w:themeTint="BF"/>
            <w:sz w:val="18"/>
          </w:rPr>
          <w:t>JRC-DATA-ENERGY-UNION@ec.europa.eu</w:t>
        </w:r>
      </w:hyperlink>
    </w:p>
    <w:p w:rsidR="008632ED" w:rsidRPr="008632ED" w:rsidRDefault="008632ED" w:rsidP="000C7C38">
      <w:pPr>
        <w:pStyle w:val="Heading1"/>
      </w:pPr>
      <w:r w:rsidRPr="008632ED">
        <w:t>ENSPRESO</w:t>
      </w:r>
      <w:r>
        <w:t xml:space="preserve"> integrated dataset</w:t>
      </w:r>
    </w:p>
    <w:p w:rsidR="008632ED" w:rsidRDefault="000C7C38" w:rsidP="008632ED">
      <w:pPr>
        <w:pStyle w:val="NoSpacing"/>
      </w:pPr>
      <w:r>
        <w:t xml:space="preserve">The ENSPRESO integrated dataset </w:t>
      </w:r>
      <w:r w:rsidR="003F5C98">
        <w:t>contains</w:t>
      </w:r>
      <w:r>
        <w:t xml:space="preserve"> </w:t>
      </w:r>
      <w:r w:rsidR="003F5C98">
        <w:t xml:space="preserve">harmonised ENSPRESO </w:t>
      </w:r>
      <w:r>
        <w:t>data from wind, solar and biomass</w:t>
      </w:r>
      <w:r>
        <w:t xml:space="preserve"> </w:t>
      </w:r>
      <w:r w:rsidR="003F5C98">
        <w:t>potentials</w:t>
      </w:r>
      <w:r w:rsidR="00513271">
        <w:t xml:space="preserve">. It </w:t>
      </w:r>
      <w:r>
        <w:t xml:space="preserve">is </w:t>
      </w:r>
      <w:r w:rsidR="003F5C98">
        <w:t xml:space="preserve">fully </w:t>
      </w:r>
      <w:r>
        <w:t xml:space="preserve">based on </w:t>
      </w:r>
      <w:r w:rsidR="00FE09B8">
        <w:t xml:space="preserve">a selection of </w:t>
      </w:r>
      <w:r>
        <w:t xml:space="preserve">the </w:t>
      </w:r>
      <w:r w:rsidR="00FE09B8">
        <w:t xml:space="preserve">data contained in the </w:t>
      </w:r>
      <w:r>
        <w:t xml:space="preserve">separate ENSPRESO </w:t>
      </w:r>
      <w:r w:rsidR="00513271">
        <w:t>data files</w:t>
      </w:r>
      <w:r>
        <w:t>.</w:t>
      </w:r>
      <w:r w:rsidR="00513271">
        <w:t xml:space="preserve"> </w:t>
      </w:r>
      <w:r w:rsidR="00513271">
        <w:t>The data is taken for EU + UK and o</w:t>
      </w:r>
      <w:r w:rsidR="00513271" w:rsidRPr="006D576D">
        <w:t>nly 2030 data is used.</w:t>
      </w:r>
      <w:r w:rsidR="00513271">
        <w:t xml:space="preserve"> </w:t>
      </w:r>
      <w:r w:rsidR="008632ED">
        <w:t>Th</w:t>
      </w:r>
      <w:r>
        <w:t xml:space="preserve">e ENSPRESO integrated </w:t>
      </w:r>
      <w:r w:rsidR="008632ED">
        <w:t xml:space="preserve">dataset </w:t>
      </w:r>
      <w:r>
        <w:t>consists of two CSV files:</w:t>
      </w:r>
    </w:p>
    <w:p w:rsidR="000C7C38" w:rsidRDefault="000C7C38" w:rsidP="000C7C38">
      <w:pPr>
        <w:pStyle w:val="NoSpacing"/>
        <w:numPr>
          <w:ilvl w:val="0"/>
          <w:numId w:val="12"/>
        </w:numPr>
      </w:pPr>
      <w:r w:rsidRPr="000C7C38">
        <w:t>ENSPRESO_Integrated_NUTS2_Data</w:t>
      </w:r>
      <w:r>
        <w:t>.csv</w:t>
      </w:r>
    </w:p>
    <w:p w:rsidR="000C7C38" w:rsidRDefault="000C7C38" w:rsidP="000C7C38">
      <w:pPr>
        <w:pStyle w:val="NoSpacing"/>
        <w:numPr>
          <w:ilvl w:val="0"/>
          <w:numId w:val="12"/>
        </w:numPr>
      </w:pPr>
      <w:r w:rsidRPr="000C7C38">
        <w:t>ENSPRESO_Integrated_EEZ_Data_Offshore</w:t>
      </w:r>
      <w:r>
        <w:t>.csv</w:t>
      </w:r>
    </w:p>
    <w:p w:rsidR="009C2FDB" w:rsidRDefault="00723041" w:rsidP="009C2FDB">
      <w:pPr>
        <w:pStyle w:val="Heading1"/>
      </w:pPr>
      <w:r>
        <w:t>ENSPRESO Integrated</w:t>
      </w:r>
      <w:r w:rsidR="00FD26AD">
        <w:t xml:space="preserve"> NUTS2 Data</w:t>
      </w:r>
      <w:r w:rsidR="0079772A">
        <w:t>.csv</w:t>
      </w:r>
    </w:p>
    <w:tbl>
      <w:tblPr>
        <w:tblStyle w:val="TableGrid"/>
        <w:tblW w:w="9072" w:type="dxa"/>
        <w:tblLook w:val="04A0" w:firstRow="1" w:lastRow="0" w:firstColumn="1" w:lastColumn="0" w:noHBand="0" w:noVBand="1"/>
      </w:tblPr>
      <w:tblGrid>
        <w:gridCol w:w="4258"/>
        <w:gridCol w:w="4814"/>
      </w:tblGrid>
      <w:tr w:rsidR="009C2FDB"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rsidR="009C2FDB" w:rsidRPr="00E136EA" w:rsidRDefault="00E136EA" w:rsidP="00F75DBB">
            <w:pPr>
              <w:spacing w:after="0"/>
              <w:rPr>
                <w:rFonts w:cs="Arial"/>
                <w:b/>
                <w:noProof/>
                <w:sz w:val="18"/>
                <w:szCs w:val="18"/>
              </w:rPr>
            </w:pPr>
            <w:r w:rsidRPr="00E136EA">
              <w:rPr>
                <w:rFonts w:cs="Arial"/>
                <w:b/>
                <w:noProof/>
                <w:sz w:val="18"/>
                <w:szCs w:val="18"/>
              </w:rPr>
              <w:t>Column code</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rsidR="009C2FDB" w:rsidRPr="00E136EA" w:rsidRDefault="00E136EA" w:rsidP="00F75DBB">
            <w:pPr>
              <w:spacing w:after="0"/>
              <w:rPr>
                <w:rFonts w:cs="Arial"/>
                <w:b/>
                <w:sz w:val="18"/>
                <w:szCs w:val="18"/>
              </w:rPr>
            </w:pPr>
            <w:r w:rsidRPr="00E136EA">
              <w:rPr>
                <w:rFonts w:cs="Arial"/>
                <w:b/>
                <w:sz w:val="18"/>
                <w:szCs w:val="18"/>
              </w:rPr>
              <w:t>Column description</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rsidR="00E136EA" w:rsidRPr="005F6CEA" w:rsidRDefault="00E136EA" w:rsidP="00E136EA">
            <w:pPr>
              <w:spacing w:after="0"/>
              <w:rPr>
                <w:rFonts w:cs="Arial"/>
                <w:noProof/>
                <w:sz w:val="18"/>
                <w:szCs w:val="18"/>
              </w:rPr>
            </w:pPr>
            <w:r w:rsidRPr="005F6CEA">
              <w:rPr>
                <w:rFonts w:cs="Arial"/>
                <w:noProof/>
                <w:sz w:val="18"/>
                <w:szCs w:val="18"/>
              </w:rPr>
              <w:t>biomass_production_twh_medium_total</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rsidR="00E136EA" w:rsidRPr="005F6CEA" w:rsidRDefault="00E136EA" w:rsidP="00E136EA">
            <w:pPr>
              <w:spacing w:after="0"/>
              <w:rPr>
                <w:rFonts w:cs="Arial"/>
                <w:sz w:val="18"/>
                <w:szCs w:val="18"/>
              </w:rPr>
            </w:pPr>
            <w:r w:rsidRPr="005F6CEA">
              <w:rPr>
                <w:rFonts w:cs="Arial"/>
                <w:sz w:val="18"/>
                <w:szCs w:val="18"/>
              </w:rPr>
              <w:t>Data for medium scenario – total for all 3 groups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biomass_production_twh_low_total</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 total for all 3 groups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biomass_production_twh_high_total</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total for all 3 groups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biomass_production_twh_medium_agri&amp;landscape _residues</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medium scenario –agri&amp;landscape_residues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biomass_production_twh_low_agri&amp;landscape _residues</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 agri&amp;landscape_residues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biomass_production_twh_high_agri&amp;landscape _residues</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agri&amp;landscape_residues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biomass_production_twh_medium_energy_crops</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medium scenario – energy_crops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biomass_production_twh_low_energy_crops</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 energy_crops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biomass_production_twh_high_energy_crops</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energy_crops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biomass_production_twh_medium_forestry</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medium scenario – forestry</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biomass_production_twh_low_forestry</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 forestry</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biomass_production_twh_high_forestry</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forestry</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wind_onshore_capacity_gw_medium</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reference scenario (Reference - Large turbines)</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wind_onshore_capacity_gw_low</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low scenario (1200m from settlements)</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0F39DB" w:rsidRDefault="00E136EA" w:rsidP="00E136EA">
            <w:pPr>
              <w:spacing w:after="0"/>
              <w:rPr>
                <w:rFonts w:cs="Arial"/>
                <w:noProof/>
                <w:sz w:val="18"/>
                <w:szCs w:val="18"/>
              </w:rPr>
            </w:pPr>
            <w:r w:rsidRPr="000F39DB">
              <w:rPr>
                <w:rFonts w:cs="Arial"/>
                <w:noProof/>
                <w:sz w:val="18"/>
                <w:szCs w:val="18"/>
              </w:rPr>
              <w:t>wind_onshore_capacity_gw_high</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(400m from settlements)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0F39DB" w:rsidRDefault="00E136EA" w:rsidP="00E136EA">
            <w:pPr>
              <w:spacing w:after="0"/>
              <w:rPr>
                <w:rFonts w:cs="Arial"/>
                <w:noProof/>
                <w:sz w:val="18"/>
                <w:szCs w:val="18"/>
              </w:rPr>
            </w:pPr>
            <w:r w:rsidRPr="000F39DB">
              <w:rPr>
                <w:rFonts w:cs="Arial"/>
                <w:noProof/>
                <w:sz w:val="18"/>
                <w:szCs w:val="18"/>
              </w:rPr>
              <w:t>wind_onshore_production_twh_medium</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reference scenario (Reference - Large turbines)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0F39DB" w:rsidRDefault="00E136EA" w:rsidP="00E136EA">
            <w:pPr>
              <w:spacing w:after="0"/>
              <w:rPr>
                <w:rFonts w:cs="Arial"/>
                <w:noProof/>
                <w:sz w:val="18"/>
                <w:szCs w:val="18"/>
              </w:rPr>
            </w:pPr>
            <w:r w:rsidRPr="000F39DB">
              <w:rPr>
                <w:rFonts w:cs="Arial"/>
                <w:noProof/>
                <w:sz w:val="18"/>
                <w:szCs w:val="18"/>
              </w:rPr>
              <w:t>wind_onshore_production_twh_low</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(1200m from settlements)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0F39DB" w:rsidRDefault="00E136EA" w:rsidP="00E136EA">
            <w:pPr>
              <w:spacing w:after="0"/>
              <w:rPr>
                <w:rFonts w:cs="Arial"/>
                <w:noProof/>
                <w:sz w:val="18"/>
                <w:szCs w:val="18"/>
              </w:rPr>
            </w:pPr>
            <w:r w:rsidRPr="000F39DB">
              <w:rPr>
                <w:rFonts w:cs="Arial"/>
                <w:noProof/>
                <w:sz w:val="18"/>
                <w:szCs w:val="18"/>
              </w:rPr>
              <w:t>wind_onshore_production_twh_high</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(400m from settlements)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0F39DB" w:rsidRDefault="00E136EA" w:rsidP="00E136EA">
            <w:pPr>
              <w:spacing w:after="0"/>
              <w:rPr>
                <w:rFonts w:cs="Arial"/>
                <w:noProof/>
                <w:sz w:val="18"/>
                <w:szCs w:val="18"/>
              </w:rPr>
            </w:pPr>
            <w:r w:rsidRPr="000F39DB">
              <w:rPr>
                <w:rFonts w:cs="Arial"/>
                <w:noProof/>
                <w:sz w:val="18"/>
                <w:szCs w:val="18"/>
              </w:rPr>
              <w:t>wind_onshore_land_use_percentage_medium</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reference scenario (Reference - Large turbines)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0F39DB" w:rsidRDefault="00E136EA" w:rsidP="00E136EA">
            <w:pPr>
              <w:spacing w:after="0"/>
              <w:rPr>
                <w:rFonts w:cs="Arial"/>
                <w:noProof/>
                <w:sz w:val="18"/>
                <w:szCs w:val="18"/>
              </w:rPr>
            </w:pPr>
            <w:r w:rsidRPr="000F39DB">
              <w:rPr>
                <w:rFonts w:cs="Arial"/>
                <w:noProof/>
                <w:sz w:val="18"/>
                <w:szCs w:val="18"/>
              </w:rPr>
              <w:t>wind_onshore_land_use_percentage_low</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(1200m from settlements)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0F39DB" w:rsidRDefault="00E136EA" w:rsidP="00E136EA">
            <w:pPr>
              <w:spacing w:after="0"/>
              <w:rPr>
                <w:rFonts w:cs="Arial"/>
                <w:noProof/>
                <w:sz w:val="18"/>
                <w:szCs w:val="18"/>
              </w:rPr>
            </w:pPr>
            <w:r w:rsidRPr="000F39DB">
              <w:rPr>
                <w:rFonts w:cs="Arial"/>
                <w:noProof/>
                <w:sz w:val="18"/>
                <w:szCs w:val="18"/>
              </w:rPr>
              <w:t>wind_onshore_land_use_percentage_high</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(400m from settlements)</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solar_capacity_gw_medium_total</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medium scenario (170 W/m2) – total for all 3 types</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solar_capacity_gw_low_total</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low scenario (85 W/m2) – total for all 3 types</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solar_capacity_gw_high_total</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(300 W/m2) – total for all 3 types</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solar_capacity_gw_medium_pv_roof</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medium scenario (170 W/m2) – roof &amp; façade PV</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solar_capacity_gw_low_pv_roof</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low scenario (85 W/m2) – roof &amp; façade PV</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solar_capacity_gw_high_pv_roof</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(300 W/m2) – roof &amp; façade PV</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solar_capacity_gw_medium_pv_ground</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medium scenario (170 W/m2) – ground PV</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solar_capacity_gw_low_pv_ground</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low scenario (85 W/m2) – ground PV</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solar_capacity_gw_high_pv_ground</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(300 W/m2) – ground PV</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solar_capacity_gw_medium_csp</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medium scenario (170 W/m2) – CSP</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solar_capacity_gw_low_csp</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low scenario (85 W/m2) – CSP</w:t>
            </w:r>
          </w:p>
        </w:tc>
      </w:tr>
      <w:tr w:rsidR="00E136EA" w:rsidRPr="005F6CEA" w:rsidTr="00E136EA">
        <w:tblPrEx>
          <w:tblCellMar>
            <w:left w:w="0" w:type="dxa"/>
            <w:right w:w="0" w:type="dxa"/>
          </w:tblCellMar>
        </w:tblPrEx>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solar_capacity_gw_high_csp</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(300 W/m2) – CSP</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solar_production_twh_medium_total</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medium scenario (170 W/m2) – total for all 3 types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solar_production_twh_low_total</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(85 W/m2) – total for all 3 types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solar_production_twh_high_total</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(300 W/m2) – total for all 3 types</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solar_production_twh_medium_pv_roof</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medium scenario (170 W/m2) – roof &amp; façade PV</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solar_production_twh_low_pv_roof</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(85 W/m2) – roof &amp; façade PV</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solar_production_twh_high_pv_roof</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(300 W/m2) – roof &amp; façade PV</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solar_production_twh_medium_pv_ground</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medium scenario (170 W/m2) – ground PV</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solar_production_twh_low_pv_ground</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(85 W/m2) – ground PV</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solar_production_twh_high_pv_ground</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(300 W/m2) – ground PV</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solar_production_twh_medium_csp</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medium scenario (170 W/m2) – CSP</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solar_production_twh_low_csp</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(85 W/m2) – CSP</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solar_production_twh_high_csp</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(300 W/m2) – CSP</w:t>
            </w:r>
          </w:p>
        </w:tc>
      </w:tr>
    </w:tbl>
    <w:p w:rsidR="00723041" w:rsidRDefault="00723041" w:rsidP="00723041">
      <w:pPr>
        <w:pStyle w:val="Heading1"/>
      </w:pPr>
      <w:r>
        <w:t>ENSPRESO Integrated</w:t>
      </w:r>
      <w:r w:rsidR="00FD26AD">
        <w:t xml:space="preserve"> EEZ data </w:t>
      </w:r>
      <w:r>
        <w:t>Offshore</w:t>
      </w:r>
      <w:r w:rsidR="0079772A">
        <w:t>.csv</w:t>
      </w:r>
      <w:bookmarkStart w:id="0" w:name="_GoBack"/>
      <w:bookmarkEnd w:id="0"/>
    </w:p>
    <w:tbl>
      <w:tblPr>
        <w:tblStyle w:val="TableGrid"/>
        <w:tblW w:w="9072" w:type="dxa"/>
        <w:tblCellMar>
          <w:left w:w="0" w:type="dxa"/>
          <w:right w:w="0" w:type="dxa"/>
        </w:tblCellMar>
        <w:tblLook w:val="04A0" w:firstRow="1" w:lastRow="0" w:firstColumn="1" w:lastColumn="0" w:noHBand="0" w:noVBand="1"/>
      </w:tblPr>
      <w:tblGrid>
        <w:gridCol w:w="4258"/>
        <w:gridCol w:w="4814"/>
      </w:tblGrid>
      <w:tr w:rsidR="00E136EA" w:rsidRPr="005F6CEA" w:rsidTr="00E136EA">
        <w:tc>
          <w:tcPr>
            <w:tcW w:w="4258" w:type="dxa"/>
            <w:tcBorders>
              <w:top w:val="single" w:sz="4" w:space="0" w:color="auto"/>
              <w:left w:val="single" w:sz="4" w:space="0" w:color="auto"/>
              <w:bottom w:val="single" w:sz="4" w:space="0" w:color="auto"/>
              <w:right w:val="single" w:sz="4" w:space="0" w:color="auto"/>
            </w:tcBorders>
          </w:tcPr>
          <w:p w:rsidR="00E136EA" w:rsidRPr="00E136EA" w:rsidRDefault="00E136EA" w:rsidP="0067355E">
            <w:pPr>
              <w:spacing w:after="0"/>
              <w:rPr>
                <w:rFonts w:cs="Arial"/>
                <w:b/>
                <w:noProof/>
                <w:sz w:val="18"/>
                <w:szCs w:val="18"/>
              </w:rPr>
            </w:pPr>
            <w:r w:rsidRPr="00E136EA">
              <w:rPr>
                <w:rFonts w:cs="Arial"/>
                <w:b/>
                <w:noProof/>
                <w:sz w:val="18"/>
                <w:szCs w:val="18"/>
              </w:rPr>
              <w:t>Column code</w:t>
            </w:r>
          </w:p>
        </w:tc>
        <w:tc>
          <w:tcPr>
            <w:tcW w:w="4814" w:type="dxa"/>
            <w:tcBorders>
              <w:top w:val="single" w:sz="4" w:space="0" w:color="auto"/>
              <w:left w:val="single" w:sz="4" w:space="0" w:color="auto"/>
              <w:bottom w:val="single" w:sz="4" w:space="0" w:color="auto"/>
              <w:right w:val="single" w:sz="4" w:space="0" w:color="auto"/>
            </w:tcBorders>
          </w:tcPr>
          <w:p w:rsidR="00E136EA" w:rsidRPr="00E136EA" w:rsidRDefault="00E136EA" w:rsidP="0067355E">
            <w:pPr>
              <w:spacing w:after="0"/>
              <w:rPr>
                <w:rFonts w:cs="Arial"/>
                <w:b/>
                <w:sz w:val="18"/>
                <w:szCs w:val="18"/>
              </w:rPr>
            </w:pPr>
            <w:r w:rsidRPr="00E136EA">
              <w:rPr>
                <w:rFonts w:cs="Arial"/>
                <w:b/>
                <w:sz w:val="18"/>
                <w:szCs w:val="18"/>
              </w:rPr>
              <w:t>Column description</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tcPr>
          <w:p w:rsidR="00E136EA" w:rsidRPr="000F39DB" w:rsidRDefault="00E136EA" w:rsidP="00E136EA">
            <w:pPr>
              <w:spacing w:after="0"/>
              <w:rPr>
                <w:rFonts w:cs="Arial"/>
                <w:noProof/>
                <w:sz w:val="18"/>
                <w:szCs w:val="18"/>
              </w:rPr>
            </w:pPr>
            <w:r w:rsidRPr="000F39DB">
              <w:rPr>
                <w:rFonts w:cs="Arial"/>
                <w:noProof/>
                <w:sz w:val="18"/>
                <w:szCs w:val="18"/>
              </w:rPr>
              <w:t>wind_offshore_capacity_gw_medium_total</w:t>
            </w:r>
          </w:p>
        </w:tc>
        <w:tc>
          <w:tcPr>
            <w:tcW w:w="4814" w:type="dxa"/>
            <w:tcBorders>
              <w:top w:val="single" w:sz="4" w:space="0" w:color="auto"/>
              <w:left w:val="single" w:sz="4" w:space="0" w:color="auto"/>
              <w:bottom w:val="single" w:sz="4" w:space="0" w:color="auto"/>
              <w:right w:val="single" w:sz="4" w:space="0" w:color="auto"/>
            </w:tcBorders>
          </w:tcPr>
          <w:p w:rsidR="00E136EA" w:rsidRPr="005F6CEA" w:rsidRDefault="00E136EA" w:rsidP="00E136EA">
            <w:pPr>
              <w:spacing w:after="0"/>
              <w:rPr>
                <w:rFonts w:cs="Arial"/>
                <w:sz w:val="18"/>
                <w:szCs w:val="18"/>
              </w:rPr>
            </w:pPr>
            <w:r w:rsidRPr="005F6CEA">
              <w:rPr>
                <w:rFonts w:cs="Arial"/>
                <w:sz w:val="18"/>
                <w:szCs w:val="18"/>
              </w:rPr>
              <w:t>Data for reference scenario – total</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0F39DB" w:rsidRDefault="00E136EA" w:rsidP="00E136EA">
            <w:pPr>
              <w:spacing w:after="0"/>
              <w:rPr>
                <w:rFonts w:cs="Arial"/>
                <w:noProof/>
                <w:sz w:val="18"/>
                <w:szCs w:val="18"/>
              </w:rPr>
            </w:pPr>
            <w:r w:rsidRPr="000F39DB">
              <w:rPr>
                <w:rFonts w:cs="Arial"/>
                <w:noProof/>
                <w:sz w:val="18"/>
                <w:szCs w:val="18"/>
              </w:rPr>
              <w:t>wind_offshore_capacity_gw_low_total</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low scenario – total</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wind_offshore_capacity_gw_high_total</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 total</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wind_offshore_capacity_gw_medium_0-30</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reference scenario - water depth 0-30m</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wind_offshore_capacity_gw_medium_30-60</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reference scenario - water depth 30-60m</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wind_offshore_capacity_gw_low_0-30</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low scenario - water depth 0-30m</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wind_offshore_capacity_gw_low_30-60</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low scenario - water depth 30-60m</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wind_offshore_capacity_gw_high_0-30</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 water depth 0-30m</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wind_offshore_capacity_gw_high_30-60</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 water depth 30-60m</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wind_offshore_capacity_gw_high_60-100</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 water depth 60-100m</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wind_offshore_capacity_gw_high_100-1000</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 water depth 100-1000m</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wind_offshore_capacity_gw_high_0-30_12nm</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 water depth 0-30m in 12nm zone</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wind_offshore_capacity_gw_high_30-60_12nm</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 water depth 30-60m in 12nm zone</w:t>
            </w:r>
          </w:p>
        </w:tc>
      </w:tr>
      <w:tr w:rsidR="00E136EA" w:rsidRPr="005F6CEA" w:rsidTr="00E136EA">
        <w:tc>
          <w:tcPr>
            <w:tcW w:w="4258"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noProof/>
                <w:sz w:val="18"/>
                <w:szCs w:val="18"/>
              </w:rPr>
            </w:pPr>
            <w:r w:rsidRPr="005F6CEA">
              <w:rPr>
                <w:rFonts w:cs="Arial"/>
                <w:noProof/>
                <w:sz w:val="18"/>
                <w:szCs w:val="18"/>
              </w:rPr>
              <w:t>wind_offshore_capacity_gw_high_60-100_12nm</w:t>
            </w:r>
          </w:p>
        </w:tc>
        <w:tc>
          <w:tcPr>
            <w:tcW w:w="4814" w:type="dxa"/>
            <w:tcBorders>
              <w:top w:val="single" w:sz="4" w:space="0" w:color="auto"/>
              <w:left w:val="single" w:sz="4" w:space="0" w:color="auto"/>
              <w:bottom w:val="single" w:sz="4" w:space="0" w:color="auto"/>
              <w:right w:val="single" w:sz="4" w:space="0" w:color="auto"/>
            </w:tcBorders>
            <w:hideMark/>
          </w:tcPr>
          <w:p w:rsidR="00E136EA" w:rsidRPr="005F6CEA" w:rsidRDefault="00E136EA" w:rsidP="00E136EA">
            <w:pPr>
              <w:spacing w:after="0"/>
              <w:rPr>
                <w:rFonts w:cs="Arial"/>
                <w:sz w:val="18"/>
                <w:szCs w:val="18"/>
              </w:rPr>
            </w:pPr>
            <w:r w:rsidRPr="005F6CEA">
              <w:rPr>
                <w:rFonts w:cs="Arial"/>
                <w:sz w:val="18"/>
                <w:szCs w:val="18"/>
              </w:rPr>
              <w:t>Data for high scenario - water depth 60-100m in 12nm zone</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wind_offshore_production_twh_medium_total</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reference scenario – total</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wind_offshore_production_twh_low_total</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 total</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wind_offshore_production_twh_high_total</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total</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wind_offshore_production_twh_medium_0-30</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reference scenario - water depth 0-30m</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wind_offshore_production_twh_medium_30-60</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reference scenario - water depth 30-60m</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wind_offshore_production_twh_low_0-30</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 water depth 0-30m</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wind_offshore_production_twh_low_30-60</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low scenario - water depth 30-60m</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wind_offshore_production_twh_high_0-30</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water depth 0-30m</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wind_offshore_production_twh_high_30-60</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water depth 30-60m</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wind_offshore_production_twh_high_60-100</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water depth 60-100m</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wind_offshore_production_twh_high_100-1000</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water depth 100-1000m</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wind_offshore_production_twh_high_0-30_12nm</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water depth 0-30m in 12nm zone</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wind_offshore_production_twh_high_30-60_12nm</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water depth 30-60m in 12nm zone</w:t>
            </w:r>
          </w:p>
        </w:tc>
      </w:tr>
      <w:tr w:rsidR="00E136EA" w:rsidRPr="005F6CEA" w:rsidTr="00E136EA">
        <w:tblPrEx>
          <w:tblCellMar>
            <w:left w:w="108" w:type="dxa"/>
            <w:right w:w="108" w:type="dxa"/>
          </w:tblCellMar>
        </w:tblPrEx>
        <w:tc>
          <w:tcPr>
            <w:tcW w:w="4258"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noProof/>
                <w:sz w:val="18"/>
                <w:szCs w:val="18"/>
              </w:rPr>
            </w:pPr>
            <w:r w:rsidRPr="005F6CEA">
              <w:rPr>
                <w:rFonts w:cs="Arial"/>
                <w:noProof/>
                <w:sz w:val="18"/>
                <w:szCs w:val="18"/>
              </w:rPr>
              <w:t>wind_offshore_production_twh_high_60-100_12nm</w:t>
            </w:r>
          </w:p>
        </w:tc>
        <w:tc>
          <w:tcPr>
            <w:tcW w:w="481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136EA" w:rsidRPr="005F6CEA" w:rsidRDefault="00E136EA" w:rsidP="00E136EA">
            <w:pPr>
              <w:spacing w:after="0"/>
              <w:rPr>
                <w:rFonts w:cs="Arial"/>
                <w:sz w:val="18"/>
                <w:szCs w:val="18"/>
              </w:rPr>
            </w:pPr>
            <w:r w:rsidRPr="005F6CEA">
              <w:rPr>
                <w:rFonts w:cs="Arial"/>
                <w:sz w:val="18"/>
                <w:szCs w:val="18"/>
              </w:rPr>
              <w:t>Data for high scenario - water depth 60-100m in 12nm zone</w:t>
            </w:r>
          </w:p>
        </w:tc>
      </w:tr>
    </w:tbl>
    <w:p w:rsidR="00321D1D" w:rsidRPr="00B768C9" w:rsidRDefault="007D2AF6" w:rsidP="009C2FDB">
      <w:pPr>
        <w:pStyle w:val="Heading1"/>
      </w:pPr>
      <w:r w:rsidRPr="00B768C9">
        <w:t>ENSPRESO</w:t>
      </w:r>
      <w:r w:rsidR="00EC20CE" w:rsidRPr="00B768C9">
        <w:t xml:space="preserve"> </w:t>
      </w:r>
      <w:r w:rsidR="00FC2A3D">
        <w:t>Biomass</w:t>
      </w:r>
    </w:p>
    <w:p w:rsidR="00FC2A3D" w:rsidRDefault="00FC2A3D" w:rsidP="00FC2A3D">
      <w:r>
        <w:t>ENSPRESO considers three main sources of biomass:</w:t>
      </w:r>
    </w:p>
    <w:p w:rsidR="00FC2A3D" w:rsidRDefault="00FC2A3D" w:rsidP="00FC2A3D">
      <w:pPr>
        <w:pStyle w:val="ListParagraph"/>
        <w:numPr>
          <w:ilvl w:val="0"/>
          <w:numId w:val="1"/>
        </w:numPr>
      </w:pPr>
      <w:r w:rsidRPr="00FC2A3D">
        <w:rPr>
          <w:b/>
        </w:rPr>
        <w:t>Agriculture sector energy sources</w:t>
      </w:r>
      <w:r>
        <w:t xml:space="preserve"> considered are energy crops and residues (primary, secondary and solid). “Energy crops” refers to those crops whose primary target is the production of end-use energy carriers: sugar, starchy and oily crops, energy maize silage for biogas, and lignocellulosic biomass. “Primary residues” includes the dry and wet manure coming from cattle than can be gasified. “Secondary residues” refers to olive pits while “solid agricultural” gathers the waste obtained from pruning of permanent crops (namely orchards, vineyards, olives, citrus, nuts) and the straw and stubbles residues.</w:t>
      </w:r>
    </w:p>
    <w:p w:rsidR="00FC2A3D" w:rsidRDefault="00FC2A3D" w:rsidP="00FC2A3D">
      <w:pPr>
        <w:pStyle w:val="ListParagraph"/>
        <w:numPr>
          <w:ilvl w:val="0"/>
          <w:numId w:val="1"/>
        </w:numPr>
      </w:pPr>
      <w:r w:rsidRPr="00FC2A3D">
        <w:rPr>
          <w:b/>
        </w:rPr>
        <w:t>Biomass from the forestry sector</w:t>
      </w:r>
      <w:r>
        <w:t xml:space="preserve"> is classified into roundwood production and primary and secondary residues. The roundwood used for energy purposes is considered. “Primary residues” are logging residues and other pre-commercial thinnings, while the “secondary residues” covers woodchips and pellets, sawdust and black liquor.</w:t>
      </w:r>
    </w:p>
    <w:p w:rsidR="00FC2A3D" w:rsidRDefault="00FC2A3D" w:rsidP="00FC2A3D">
      <w:pPr>
        <w:pStyle w:val="ListParagraph"/>
        <w:numPr>
          <w:ilvl w:val="0"/>
          <w:numId w:val="1"/>
        </w:numPr>
      </w:pPr>
      <w:r>
        <w:t xml:space="preserve">Finally, the </w:t>
      </w:r>
      <w:r w:rsidRPr="00FC2A3D">
        <w:rPr>
          <w:b/>
        </w:rPr>
        <w:t>waste sector produces energy biomass</w:t>
      </w:r>
      <w:r>
        <w:t xml:space="preserve"> in the primary and tertiary residues categories. The primary residues consist of residues from landscape care management, roadside verges and abandoned lands. The tertiary residues cover biomass residues from different industries and municipal solid waste.</w:t>
      </w:r>
    </w:p>
    <w:p w:rsidR="00C0419C" w:rsidRPr="002310CC" w:rsidRDefault="002310CC" w:rsidP="009C2FDB">
      <w:pPr>
        <w:pStyle w:val="Heading2"/>
      </w:pPr>
      <w:r w:rsidRPr="009C2FDB">
        <w:t>Selection</w:t>
      </w:r>
      <w:r>
        <w:t xml:space="preserve"> and aggregation</w:t>
      </w:r>
    </w:p>
    <w:p w:rsidR="0066324F" w:rsidRDefault="00E136EA" w:rsidP="00A45C4E">
      <w:pPr>
        <w:pStyle w:val="ListParagraph"/>
        <w:numPr>
          <w:ilvl w:val="0"/>
          <w:numId w:val="2"/>
        </w:numPr>
      </w:pPr>
      <w:r>
        <w:t xml:space="preserve">Three </w:t>
      </w:r>
      <w:r w:rsidR="00A45C4E">
        <w:t>bioenergy availability</w:t>
      </w:r>
      <w:r w:rsidR="00A45C4E">
        <w:t xml:space="preserve"> scenarios are considered:</w:t>
      </w:r>
    </w:p>
    <w:p w:rsidR="0061053F" w:rsidRPr="0066324F" w:rsidRDefault="00E136EA" w:rsidP="0061053F">
      <w:pPr>
        <w:pStyle w:val="ListParagraph"/>
        <w:numPr>
          <w:ilvl w:val="1"/>
          <w:numId w:val="2"/>
        </w:numPr>
      </w:pPr>
      <w:r>
        <w:t xml:space="preserve">Low is based on </w:t>
      </w:r>
      <w:r w:rsidR="0061053F" w:rsidRPr="00E136EA">
        <w:rPr>
          <w:i/>
        </w:rPr>
        <w:t>ENS_LowForestBaU</w:t>
      </w:r>
    </w:p>
    <w:p w:rsidR="0061053F" w:rsidRPr="00E136EA" w:rsidRDefault="00E136EA" w:rsidP="0061053F">
      <w:pPr>
        <w:pStyle w:val="ListParagraph"/>
        <w:numPr>
          <w:ilvl w:val="1"/>
          <w:numId w:val="2"/>
        </w:numPr>
        <w:rPr>
          <w:i/>
        </w:rPr>
      </w:pPr>
      <w:r>
        <w:t xml:space="preserve">Medium is based on </w:t>
      </w:r>
      <w:r w:rsidR="0061053F" w:rsidRPr="00E136EA">
        <w:rPr>
          <w:i/>
        </w:rPr>
        <w:t>ENS_Med_ForestBaU</w:t>
      </w:r>
    </w:p>
    <w:p w:rsidR="0061053F" w:rsidRPr="0066324F" w:rsidRDefault="00E136EA" w:rsidP="0061053F">
      <w:pPr>
        <w:pStyle w:val="ListParagraph"/>
        <w:numPr>
          <w:ilvl w:val="1"/>
          <w:numId w:val="2"/>
        </w:numPr>
      </w:pPr>
      <w:r>
        <w:t xml:space="preserve">High is based on </w:t>
      </w:r>
      <w:r w:rsidR="0061053F" w:rsidRPr="00E136EA">
        <w:rPr>
          <w:i/>
        </w:rPr>
        <w:t>ENS_High_Forest400Mm3</w:t>
      </w:r>
    </w:p>
    <w:p w:rsidR="00C0419C" w:rsidRDefault="00A45C4E" w:rsidP="00C0419C">
      <w:pPr>
        <w:pStyle w:val="ListParagraph"/>
        <w:numPr>
          <w:ilvl w:val="0"/>
          <w:numId w:val="2"/>
        </w:numPr>
      </w:pPr>
      <w:r>
        <w:t>They differ in assumptions related to land use, agricultural practices, and protected areas. See the original Excel file for the description.</w:t>
      </w:r>
      <w:r w:rsidR="00C0419C">
        <w:t xml:space="preserve">Commodities have been aggregated to 3 groups (see table below): </w:t>
      </w:r>
    </w:p>
    <w:p w:rsidR="00C0419C" w:rsidRDefault="00FD26AD" w:rsidP="00C0419C">
      <w:pPr>
        <w:pStyle w:val="ListParagraph"/>
        <w:numPr>
          <w:ilvl w:val="0"/>
          <w:numId w:val="2"/>
        </w:numPr>
      </w:pPr>
      <w:r>
        <w:t>S</w:t>
      </w:r>
      <w:r w:rsidR="00C0419C">
        <w:t xml:space="preserve">ludge and municipal waste </w:t>
      </w:r>
      <w:r w:rsidR="00E136EA">
        <w:t xml:space="preserve">was </w:t>
      </w:r>
      <w:r w:rsidR="00C0419C">
        <w:t xml:space="preserve">not considered </w:t>
      </w:r>
    </w:p>
    <w:p w:rsidR="002310CC" w:rsidRDefault="002310CC" w:rsidP="002310CC">
      <w:pPr>
        <w:pStyle w:val="ListParagraph"/>
        <w:numPr>
          <w:ilvl w:val="0"/>
          <w:numId w:val="2"/>
        </w:numPr>
      </w:pPr>
      <w:r>
        <w:t>A</w:t>
      </w:r>
      <w:r w:rsidRPr="002310CC">
        <w:t>n adjustment had to be made for regions UKI1 and UKI2</w:t>
      </w:r>
    </w:p>
    <w:p w:rsidR="00C0419C" w:rsidRDefault="00C0419C" w:rsidP="00C0419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9"/>
        <w:gridCol w:w="4359"/>
        <w:gridCol w:w="2738"/>
      </w:tblGrid>
      <w:tr w:rsidR="00C0419C" w:rsidRPr="00C0419C" w:rsidTr="00C0419C">
        <w:trPr>
          <w:tblHeader/>
        </w:trPr>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b/>
                <w:bCs/>
                <w:color w:val="000000"/>
                <w:sz w:val="18"/>
                <w:szCs w:val="18"/>
                <w:lang w:val="en-US"/>
              </w:rPr>
            </w:pPr>
            <w:r w:rsidRPr="00C0419C">
              <w:rPr>
                <w:rFonts w:eastAsia="Times New Roman" w:cs="Arial"/>
                <w:b/>
                <w:bCs/>
                <w:color w:val="000000"/>
                <w:sz w:val="18"/>
                <w:szCs w:val="18"/>
                <w:lang w:val="en-US"/>
              </w:rPr>
              <w:t>commodity</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b/>
                <w:bCs/>
                <w:color w:val="000000"/>
                <w:sz w:val="18"/>
                <w:szCs w:val="18"/>
                <w:lang w:val="en-US"/>
              </w:rPr>
            </w:pPr>
            <w:r w:rsidRPr="00C0419C">
              <w:rPr>
                <w:rFonts w:eastAsia="Times New Roman" w:cs="Arial"/>
                <w:b/>
                <w:bCs/>
                <w:color w:val="000000"/>
                <w:sz w:val="18"/>
                <w:szCs w:val="18"/>
                <w:lang w:val="en-US"/>
              </w:rPr>
              <w:t>description</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b/>
                <w:bCs/>
                <w:color w:val="000000"/>
                <w:sz w:val="18"/>
                <w:szCs w:val="18"/>
                <w:lang w:val="en-US"/>
              </w:rPr>
            </w:pPr>
            <w:r w:rsidRPr="00C0419C">
              <w:rPr>
                <w:rFonts w:eastAsia="Times New Roman" w:cs="Arial"/>
                <w:b/>
                <w:bCs/>
                <w:color w:val="000000"/>
                <w:sz w:val="18"/>
                <w:szCs w:val="18"/>
                <w:lang w:val="en-US"/>
              </w:rPr>
              <w:t>group</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MINBIOAGRW1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Agricultural waste</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Agriculture and landscape residues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MINBIOGAS1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Manure solid, liquid</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Agriculture and landscape residues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MINBIOFRSR1a</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Residues from landscape care</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Agriculture and landscape residues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MINBIOCRP11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Bioethanol barley, wheat, grain maize, oats, other cereals and rye</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Energy crops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MINBIOCRP21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Sugar from sugar beet</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Energy crops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MINBIOCRP31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Miscanthus, switchgrass, RCG</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Energy crops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MINBIOCRP41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Willow</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Energy crops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MINBIOCRP41a</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Poplar</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Energy crops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MINBIOLIQ1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 xml:space="preserve">Sunflower, soya seed </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Energy crops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MINBIORPS1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Rape seed</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Energy crops</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MINBIOFRSR1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Fuelwood residues</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Forestry</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MINBIOWOO</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FuelwoodRW</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Forestry</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MINBIOWOOa</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C&amp;P_RW</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Forestry</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MINBIOWOOW1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Secondary Forestry residues - woodchips</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Forestry</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MINBIOWOOW1a</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Sawdust</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color w:val="000000"/>
                <w:sz w:val="18"/>
                <w:szCs w:val="18"/>
                <w:lang w:val="en-US"/>
              </w:rPr>
            </w:pPr>
            <w:r w:rsidRPr="00C0419C">
              <w:rPr>
                <w:rFonts w:eastAsia="Times New Roman" w:cs="Arial"/>
                <w:color w:val="000000"/>
                <w:sz w:val="18"/>
                <w:szCs w:val="18"/>
                <w:lang w:val="en-US"/>
              </w:rPr>
              <w:t>Forestry</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strike/>
                <w:color w:val="000000"/>
                <w:sz w:val="18"/>
                <w:szCs w:val="18"/>
                <w:lang w:val="en-US"/>
              </w:rPr>
            </w:pPr>
            <w:r w:rsidRPr="00C0419C">
              <w:rPr>
                <w:rFonts w:eastAsia="Times New Roman" w:cs="Arial"/>
                <w:strike/>
                <w:color w:val="000000"/>
                <w:sz w:val="18"/>
                <w:szCs w:val="18"/>
                <w:lang w:val="en-US"/>
              </w:rPr>
              <w:t>MINBIOMUN1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strike/>
                <w:color w:val="000000"/>
                <w:sz w:val="18"/>
                <w:szCs w:val="18"/>
                <w:lang w:val="en-US"/>
              </w:rPr>
            </w:pPr>
            <w:r w:rsidRPr="00C0419C">
              <w:rPr>
                <w:rFonts w:eastAsia="Times New Roman" w:cs="Arial"/>
                <w:strike/>
                <w:color w:val="000000"/>
                <w:sz w:val="18"/>
                <w:szCs w:val="18"/>
                <w:lang w:val="en-US"/>
              </w:rPr>
              <w:t>Municipal waste</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strike/>
                <w:color w:val="000000"/>
                <w:sz w:val="18"/>
                <w:szCs w:val="18"/>
                <w:lang w:val="en-US"/>
              </w:rPr>
            </w:pPr>
            <w:r w:rsidRPr="00C0419C">
              <w:rPr>
                <w:rFonts w:eastAsia="Times New Roman" w:cs="Arial"/>
                <w:strike/>
                <w:color w:val="000000"/>
                <w:sz w:val="18"/>
                <w:szCs w:val="18"/>
                <w:lang w:val="en-US"/>
              </w:rPr>
              <w:t xml:space="preserve">ONLY NUTS0 </w:t>
            </w:r>
          </w:p>
        </w:tc>
      </w:tr>
      <w:tr w:rsidR="00C0419C" w:rsidRPr="00C0419C" w:rsidTr="00C0419C">
        <w:tc>
          <w:tcPr>
            <w:tcW w:w="1998"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strike/>
                <w:color w:val="000000"/>
                <w:sz w:val="18"/>
                <w:szCs w:val="18"/>
                <w:lang w:val="en-US"/>
              </w:rPr>
            </w:pPr>
            <w:r w:rsidRPr="00C0419C">
              <w:rPr>
                <w:rFonts w:eastAsia="Times New Roman" w:cs="Arial"/>
                <w:strike/>
                <w:color w:val="000000"/>
                <w:sz w:val="18"/>
                <w:szCs w:val="18"/>
                <w:lang w:val="en-US"/>
              </w:rPr>
              <w:t>MINBIOSLU1</w:t>
            </w:r>
          </w:p>
        </w:tc>
        <w:tc>
          <w:tcPr>
            <w:tcW w:w="4493" w:type="dxa"/>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strike/>
                <w:color w:val="000000"/>
                <w:sz w:val="18"/>
                <w:szCs w:val="18"/>
                <w:lang w:val="en-US"/>
              </w:rPr>
            </w:pPr>
            <w:r w:rsidRPr="00C0419C">
              <w:rPr>
                <w:rFonts w:eastAsia="Times New Roman" w:cs="Arial"/>
                <w:strike/>
                <w:color w:val="000000"/>
                <w:sz w:val="18"/>
                <w:szCs w:val="18"/>
                <w:lang w:val="en-US"/>
              </w:rPr>
              <w:t>Sludge</w:t>
            </w:r>
          </w:p>
        </w:tc>
        <w:tc>
          <w:tcPr>
            <w:tcW w:w="0" w:type="auto"/>
            <w:tcBorders>
              <w:top w:val="single" w:sz="4" w:space="0" w:color="auto"/>
              <w:left w:val="single" w:sz="4" w:space="0" w:color="auto"/>
              <w:bottom w:val="single" w:sz="4" w:space="0" w:color="auto"/>
              <w:right w:val="single" w:sz="4" w:space="0" w:color="auto"/>
            </w:tcBorders>
            <w:noWrap/>
            <w:hideMark/>
          </w:tcPr>
          <w:p w:rsidR="00C0419C" w:rsidRPr="00C0419C" w:rsidRDefault="00C0419C" w:rsidP="00C0419C">
            <w:pPr>
              <w:spacing w:after="0" w:line="276" w:lineRule="auto"/>
              <w:rPr>
                <w:rFonts w:eastAsia="Times New Roman" w:cs="Arial"/>
                <w:strike/>
                <w:color w:val="000000"/>
                <w:sz w:val="18"/>
                <w:szCs w:val="18"/>
                <w:lang w:val="en-US"/>
              </w:rPr>
            </w:pPr>
            <w:r w:rsidRPr="00C0419C">
              <w:rPr>
                <w:rFonts w:eastAsia="Times New Roman" w:cs="Arial"/>
                <w:strike/>
                <w:color w:val="000000"/>
                <w:sz w:val="18"/>
                <w:szCs w:val="18"/>
                <w:lang w:val="en-US"/>
              </w:rPr>
              <w:t xml:space="preserve">ONLY NUTS0 </w:t>
            </w:r>
          </w:p>
        </w:tc>
      </w:tr>
    </w:tbl>
    <w:p w:rsidR="002310CC" w:rsidRDefault="002310CC" w:rsidP="009C2FDB">
      <w:pPr>
        <w:pStyle w:val="Heading1"/>
      </w:pPr>
      <w:r>
        <w:t>ENSPRESO Wind</w:t>
      </w:r>
      <w:r w:rsidR="002554ED">
        <w:t xml:space="preserve"> </w:t>
      </w:r>
    </w:p>
    <w:p w:rsidR="002554ED" w:rsidRDefault="002554ED" w:rsidP="009C2FDB">
      <w:pPr>
        <w:pStyle w:val="Heading2"/>
      </w:pPr>
      <w:r>
        <w:t>Selection and aggregation</w:t>
      </w:r>
      <w:r w:rsidR="006D576D">
        <w:t xml:space="preserve"> onshore</w:t>
      </w:r>
    </w:p>
    <w:p w:rsidR="009C2FDB" w:rsidRDefault="002554ED" w:rsidP="009C2FDB">
      <w:pPr>
        <w:pStyle w:val="ListParagraph"/>
        <w:numPr>
          <w:ilvl w:val="0"/>
          <w:numId w:val="5"/>
        </w:numPr>
      </w:pPr>
      <w:r>
        <w:t>We select capacity, production and share of land used</w:t>
      </w:r>
      <w:r w:rsidR="009C2FDB">
        <w:t xml:space="preserve"> from the sheet "Raw data"</w:t>
      </w:r>
    </w:p>
    <w:p w:rsidR="002310CC" w:rsidRDefault="002310CC" w:rsidP="002310CC">
      <w:pPr>
        <w:pStyle w:val="ListParagraph"/>
        <w:numPr>
          <w:ilvl w:val="0"/>
          <w:numId w:val="4"/>
        </w:numPr>
        <w:spacing w:after="0"/>
      </w:pPr>
      <w:r>
        <w:t xml:space="preserve">The aggregated potential for all sites with CF&gt;20% </w:t>
      </w:r>
      <w:r w:rsidR="002554ED">
        <w:t>is selected</w:t>
      </w:r>
      <w:r>
        <w:t xml:space="preserve"> (the sum of 20%  &lt; CF &lt; 25% and CF &gt; 25%)</w:t>
      </w:r>
    </w:p>
    <w:p w:rsidR="002310CC" w:rsidRDefault="002310CC" w:rsidP="002310CC"/>
    <w:p w:rsidR="002554ED" w:rsidRDefault="002554ED" w:rsidP="009C2FDB">
      <w:pPr>
        <w:pStyle w:val="Heading2"/>
      </w:pPr>
      <w:r>
        <w:t>Selection and aggregation</w:t>
      </w:r>
      <w:r w:rsidR="006D576D">
        <w:t xml:space="preserve"> offshore</w:t>
      </w:r>
    </w:p>
    <w:p w:rsidR="009C2FDB" w:rsidRDefault="002554ED" w:rsidP="009C2FDB">
      <w:pPr>
        <w:pStyle w:val="ListParagraph"/>
        <w:numPr>
          <w:ilvl w:val="0"/>
          <w:numId w:val="5"/>
        </w:numPr>
      </w:pPr>
      <w:r>
        <w:t xml:space="preserve">We select capacity and production </w:t>
      </w:r>
      <w:r w:rsidR="009C2FDB">
        <w:t>from the sheet "Raw data"</w:t>
      </w:r>
    </w:p>
    <w:p w:rsidR="002310CC" w:rsidRDefault="002310CC" w:rsidP="002554ED">
      <w:pPr>
        <w:pStyle w:val="ListParagraph"/>
        <w:numPr>
          <w:ilvl w:val="0"/>
          <w:numId w:val="4"/>
        </w:numPr>
        <w:spacing w:after="0"/>
      </w:pPr>
      <w:r>
        <w:t>The aggregated potential for all sites with CF&gt;20% will be used (the sum of 20%  &lt; CF &lt; 25% and CF &gt; 25%)</w:t>
      </w:r>
    </w:p>
    <w:p w:rsidR="005F6CEA" w:rsidRDefault="005F6CEA" w:rsidP="005F6CEA">
      <w:pPr>
        <w:pStyle w:val="Heading1"/>
      </w:pPr>
      <w:r>
        <w:t>ENSPRESO Solar</w:t>
      </w:r>
    </w:p>
    <w:p w:rsidR="005F6CEA" w:rsidRDefault="005F6CEA" w:rsidP="005F6CEA">
      <w:r>
        <w:t xml:space="preserve">ENSPRESO Solar provides three scenarios for different </w:t>
      </w:r>
      <w:r>
        <w:rPr>
          <w:b/>
          <w:bCs/>
          <w:lang w:val="en-US"/>
        </w:rPr>
        <w:t xml:space="preserve">PV and land efficiency (roofs, facades and open field): </w:t>
      </w:r>
      <w:r>
        <w:rPr>
          <w:lang w:val="en-US"/>
        </w:rPr>
        <w:t>85, 170 and 300 MW/km2. It is assumed that 3% of the available natural areas can be used for solar.</w:t>
      </w:r>
    </w:p>
    <w:p w:rsidR="005F6CEA" w:rsidRDefault="005F6CEA" w:rsidP="005F6CEA">
      <w:pPr>
        <w:pStyle w:val="ListParagraph"/>
        <w:numPr>
          <w:ilvl w:val="0"/>
          <w:numId w:val="4"/>
        </w:numPr>
      </w:pPr>
      <w:r>
        <w:t>We select capacity and production for three different types</w:t>
      </w:r>
    </w:p>
    <w:p w:rsidR="005F6CEA" w:rsidRPr="006D576D" w:rsidRDefault="005F6CEA" w:rsidP="00881D74">
      <w:pPr>
        <w:pStyle w:val="ListParagraph"/>
        <w:numPr>
          <w:ilvl w:val="0"/>
          <w:numId w:val="4"/>
        </w:numPr>
      </w:pPr>
      <w:r>
        <w:t xml:space="preserve">The </w:t>
      </w:r>
      <w:r w:rsidR="00FD26AD">
        <w:t xml:space="preserve">ENSPRESO </w:t>
      </w:r>
      <w:r>
        <w:t xml:space="preserve">source </w:t>
      </w:r>
      <w:r w:rsidRPr="006D576D">
        <w:t xml:space="preserve">sheet is "NUTS2 170 W per m2 and 3%" </w:t>
      </w:r>
    </w:p>
    <w:p w:rsidR="000C7C38" w:rsidRDefault="000C7C38" w:rsidP="000C7C38">
      <w:pPr>
        <w:pStyle w:val="Heading1"/>
      </w:pPr>
      <w:r w:rsidRPr="009C2FDB">
        <w:t>ENSPRESO</w:t>
      </w:r>
      <w:r>
        <w:t xml:space="preserve"> </w:t>
      </w:r>
      <w:r w:rsidR="0079772A">
        <w:t xml:space="preserve">General </w:t>
      </w:r>
      <w:r w:rsidR="00194F5B">
        <w:t>information</w:t>
      </w:r>
    </w:p>
    <w:p w:rsidR="000C7C38" w:rsidRPr="008632ED" w:rsidRDefault="000C7C38" w:rsidP="000C7C38">
      <w:pPr>
        <w:pStyle w:val="NoSpacing"/>
      </w:pPr>
      <w:r w:rsidRPr="008632ED">
        <w:t>ENSPRESO is an open dataset for energy models on renewable energy potentials</w:t>
      </w:r>
      <w:r>
        <w:t xml:space="preserve"> in the EU</w:t>
      </w:r>
      <w:r w:rsidRPr="008632ED">
        <w:t>,</w:t>
      </w:r>
    </w:p>
    <w:p w:rsidR="000C7C38" w:rsidRDefault="000C7C38" w:rsidP="000C7C38">
      <w:pPr>
        <w:pStyle w:val="NoSpacing"/>
      </w:pPr>
      <w:r w:rsidRPr="008632ED">
        <w:t>at national (NUTS0) and regional levels (NUTS2). Within ENSPRESO, ENergy Systems Potential Renewable Energy SOurces, technical potentials are provided</w:t>
      </w:r>
      <w:r>
        <w:t xml:space="preserve"> </w:t>
      </w:r>
      <w:r w:rsidRPr="008632ED">
        <w:t>for wind, solar and biomass, based on coherent GIS-based land-restriction scenarios.</w:t>
      </w:r>
    </w:p>
    <w:p w:rsidR="000C7C38" w:rsidRDefault="000C7C38" w:rsidP="000C7C38">
      <w:pPr>
        <w:pStyle w:val="NoSpacing"/>
      </w:pPr>
    </w:p>
    <w:p w:rsidR="000C7C38" w:rsidRPr="008632ED" w:rsidRDefault="000C7C38" w:rsidP="000C7C38">
      <w:pPr>
        <w:pStyle w:val="NoSpacing"/>
        <w:rPr>
          <w:b/>
        </w:rPr>
      </w:pPr>
      <w:r w:rsidRPr="008632ED">
        <w:rPr>
          <w:b/>
        </w:rPr>
        <w:t>Open acc</w:t>
      </w:r>
      <w:r>
        <w:rPr>
          <w:b/>
        </w:rPr>
        <w:t>ess journal describing ENSPRESO</w:t>
      </w:r>
    </w:p>
    <w:p w:rsidR="000C7C38" w:rsidRPr="008632ED" w:rsidRDefault="000C7C38" w:rsidP="000C7C38">
      <w:pPr>
        <w:pStyle w:val="NoSpacing"/>
      </w:pPr>
      <w:hyperlink r:id="rId10" w:history="1">
        <w:r w:rsidRPr="0010428F">
          <w:rPr>
            <w:rStyle w:val="Hyperlink"/>
          </w:rPr>
          <w:t>https://www.sciencedirect.com/science/article/pii/S2211467X19300720</w:t>
        </w:r>
      </w:hyperlink>
      <w:r>
        <w:t xml:space="preserve"> </w:t>
      </w:r>
      <w:r w:rsidRPr="008632ED">
        <w:t xml:space="preserve"> </w:t>
      </w:r>
    </w:p>
    <w:p w:rsidR="000C7C38" w:rsidRPr="008632ED" w:rsidRDefault="000C7C38" w:rsidP="000C7C38">
      <w:pPr>
        <w:pStyle w:val="NoSpacing"/>
      </w:pPr>
    </w:p>
    <w:p w:rsidR="000C7C38" w:rsidRPr="008632ED" w:rsidRDefault="000C7C38" w:rsidP="000C7C38">
      <w:pPr>
        <w:pStyle w:val="NoSpacing"/>
        <w:rPr>
          <w:b/>
        </w:rPr>
      </w:pPr>
      <w:r w:rsidRPr="008632ED">
        <w:rPr>
          <w:b/>
        </w:rPr>
        <w:t>Data are in line with following JRC report</w:t>
      </w:r>
      <w:r>
        <w:rPr>
          <w:b/>
        </w:rPr>
        <w:t>s</w:t>
      </w:r>
    </w:p>
    <w:p w:rsidR="000C7C38" w:rsidRPr="008632ED" w:rsidRDefault="000C7C38" w:rsidP="000C7C38">
      <w:pPr>
        <w:pStyle w:val="NoSpacing"/>
      </w:pPr>
      <w:r w:rsidRPr="008632ED">
        <w:t>Wind potentials for EU  and neighbouring countries, 2018, JRC109698</w:t>
      </w:r>
    </w:p>
    <w:p w:rsidR="000C7C38" w:rsidRDefault="000C7C38" w:rsidP="000C7C38">
      <w:pPr>
        <w:pStyle w:val="NoSpacing"/>
      </w:pPr>
      <w:hyperlink r:id="rId11" w:history="1">
        <w:r w:rsidRPr="0010428F">
          <w:rPr>
            <w:rStyle w:val="Hyperlink"/>
          </w:rPr>
          <w:t>https://publications.jrc.ec.europa.eu/repository/handle/JRC109698</w:t>
        </w:r>
      </w:hyperlink>
      <w:r>
        <w:t xml:space="preserve"> </w:t>
      </w:r>
    </w:p>
    <w:p w:rsidR="000C7C38" w:rsidRDefault="000C7C38" w:rsidP="000C7C38">
      <w:pPr>
        <w:pStyle w:val="NoSpacing"/>
      </w:pPr>
    </w:p>
    <w:p w:rsidR="000C7C38" w:rsidRDefault="000C7C38" w:rsidP="000C7C38">
      <w:pPr>
        <w:pStyle w:val="NoSpacing"/>
      </w:pPr>
      <w:r>
        <w:t>The JRC-EU-TIMES model. Bioenergy potentials for EU and neighbouring countries</w:t>
      </w:r>
    </w:p>
    <w:p w:rsidR="000C7C38" w:rsidRDefault="000C7C38" w:rsidP="000C7C38">
      <w:pPr>
        <w:pStyle w:val="NoSpacing"/>
      </w:pPr>
      <w:hyperlink r:id="rId12" w:history="1">
        <w:r w:rsidRPr="0010428F">
          <w:rPr>
            <w:rStyle w:val="Hyperlink"/>
          </w:rPr>
          <w:t>https://publications.jrc.ec.europa.eu/repository/handle/JRC98626</w:t>
        </w:r>
      </w:hyperlink>
      <w:r>
        <w:t xml:space="preserve"> </w:t>
      </w:r>
    </w:p>
    <w:p w:rsidR="000C7C38" w:rsidRDefault="000C7C38" w:rsidP="000C7C38">
      <w:pPr>
        <w:pStyle w:val="NoSpacing"/>
      </w:pPr>
    </w:p>
    <w:p w:rsidR="000C7C38" w:rsidRPr="000C7C38" w:rsidRDefault="000C7C38" w:rsidP="000C7C38">
      <w:pPr>
        <w:pStyle w:val="NoSpacing"/>
        <w:rPr>
          <w:b/>
        </w:rPr>
      </w:pPr>
      <w:r w:rsidRPr="000C7C38">
        <w:rPr>
          <w:b/>
        </w:rPr>
        <w:t>References</w:t>
      </w:r>
    </w:p>
    <w:p w:rsidR="000C7C38" w:rsidRPr="000C7C38" w:rsidRDefault="000C7C38" w:rsidP="000C7C38">
      <w:pPr>
        <w:pStyle w:val="ListParagraph"/>
        <w:numPr>
          <w:ilvl w:val="0"/>
          <w:numId w:val="1"/>
        </w:numPr>
      </w:pPr>
      <w:r w:rsidRPr="000C7C38">
        <w:t xml:space="preserve">ENSPRESO is one of the datasources used by PRIMES, see for example </w:t>
      </w:r>
      <w:hyperlink r:id="rId13" w:history="1">
        <w:r w:rsidRPr="0010428F">
          <w:rPr>
            <w:rStyle w:val="Hyperlink"/>
          </w:rPr>
          <w:t>https://ec.europa.eu/clima/policies/eu-climate-action/2030_ctp_en</w:t>
        </w:r>
      </w:hyperlink>
      <w:r>
        <w:t xml:space="preserve"> </w:t>
      </w:r>
      <w:r w:rsidRPr="000C7C38">
        <w:t xml:space="preserve"> </w:t>
      </w:r>
    </w:p>
    <w:p w:rsidR="000C7C38" w:rsidRPr="000C7C38" w:rsidRDefault="000C7C38" w:rsidP="000C7C38">
      <w:pPr>
        <w:pStyle w:val="ListParagraph"/>
        <w:numPr>
          <w:ilvl w:val="0"/>
          <w:numId w:val="1"/>
        </w:numPr>
      </w:pPr>
      <w:hyperlink r:id="rId14" w:history="1">
        <w:r w:rsidRPr="0010428F">
          <w:rPr>
            <w:rStyle w:val="Hyperlink"/>
          </w:rPr>
          <w:t>https://www.nature.com/articles/s41467-020-18812-y</w:t>
        </w:r>
      </w:hyperlink>
      <w:r>
        <w:t xml:space="preserve"> </w:t>
      </w:r>
      <w:r w:rsidRPr="000C7C38">
        <w:t xml:space="preserve"> </w:t>
      </w:r>
    </w:p>
    <w:p w:rsidR="000C7C38" w:rsidRPr="000C7C38" w:rsidRDefault="000C7C38" w:rsidP="000C7C38">
      <w:pPr>
        <w:pStyle w:val="ListParagraph"/>
        <w:numPr>
          <w:ilvl w:val="0"/>
          <w:numId w:val="1"/>
        </w:numPr>
      </w:pPr>
      <w:hyperlink r:id="rId15" w:history="1">
        <w:r w:rsidRPr="0010428F">
          <w:rPr>
            <w:rStyle w:val="Hyperlink"/>
          </w:rPr>
          <w:t>https://www.nature.com/articles/s41467-020-20015-4</w:t>
        </w:r>
      </w:hyperlink>
      <w:r>
        <w:t xml:space="preserve"> </w:t>
      </w:r>
    </w:p>
    <w:p w:rsidR="000C7C38" w:rsidRDefault="000C7C38" w:rsidP="000C7C38"/>
    <w:p w:rsidR="000C7C38" w:rsidRPr="000C7C38" w:rsidRDefault="000C7C38" w:rsidP="000C7C38">
      <w:pPr>
        <w:pStyle w:val="NoSpacing"/>
        <w:rPr>
          <w:b/>
        </w:rPr>
      </w:pPr>
      <w:r w:rsidRPr="000C7C38">
        <w:rPr>
          <w:b/>
        </w:rPr>
        <w:t>More information</w:t>
      </w:r>
    </w:p>
    <w:p w:rsidR="000C7C38" w:rsidRPr="008632ED" w:rsidRDefault="000C7C38" w:rsidP="000C7C38">
      <w:pPr>
        <w:pStyle w:val="NoSpacing"/>
      </w:pPr>
      <w:r w:rsidRPr="008632ED">
        <w:t>Data included in this database has been produced under the framework contract JRC/PTT/2013/F.6/0057/OC granted to a consortium lead by ECN</w:t>
      </w:r>
    </w:p>
    <w:p w:rsidR="000C7C38" w:rsidRPr="008632ED" w:rsidRDefault="000C7C38" w:rsidP="000C7C38">
      <w:pPr>
        <w:pStyle w:val="NoSpacing"/>
      </w:pPr>
      <w:r w:rsidRPr="008632ED">
        <w:t xml:space="preserve">The wind potentials are systematically derived from 30 years of meteorological data </w:t>
      </w:r>
      <w:r>
        <w:t>b</w:t>
      </w:r>
      <w:r w:rsidRPr="008632ED">
        <w:t>ased on the MERRA reanalysis dataset and from the Global Wind atlas</w:t>
      </w:r>
    </w:p>
    <w:p w:rsidR="000C7C38" w:rsidRPr="008632ED" w:rsidRDefault="000C7C38" w:rsidP="000C7C38">
      <w:pPr>
        <w:pStyle w:val="NoSpacing"/>
      </w:pPr>
      <w:hyperlink r:id="rId16" w:history="1">
        <w:r w:rsidRPr="0010428F">
          <w:rPr>
            <w:rStyle w:val="Hyperlink"/>
          </w:rPr>
          <w:t>https://gmao.gsfc.nasa.gov/reanalysis/MERRA/</w:t>
        </w:r>
      </w:hyperlink>
      <w:r>
        <w:t xml:space="preserve"> </w:t>
      </w:r>
      <w:r w:rsidRPr="008632ED">
        <w:t xml:space="preserve"> </w:t>
      </w:r>
    </w:p>
    <w:p w:rsidR="000C7C38" w:rsidRDefault="000C7C38" w:rsidP="000C7C38">
      <w:pPr>
        <w:pStyle w:val="NoSpacing"/>
      </w:pPr>
      <w:hyperlink r:id="rId17" w:history="1">
        <w:r w:rsidRPr="0010428F">
          <w:rPr>
            <w:rStyle w:val="Hyperlink"/>
          </w:rPr>
          <w:t>https://globalwindatlas.info</w:t>
        </w:r>
      </w:hyperlink>
      <w:r>
        <w:t xml:space="preserve"> </w:t>
      </w:r>
      <w:r w:rsidRPr="008632ED">
        <w:t xml:space="preserve"> </w:t>
      </w:r>
    </w:p>
    <w:p w:rsidR="000C7C38" w:rsidRPr="008632ED" w:rsidRDefault="000C7C38" w:rsidP="000C7C38">
      <w:pPr>
        <w:pStyle w:val="NoSpacing"/>
      </w:pPr>
    </w:p>
    <w:p w:rsidR="000C7C38" w:rsidRPr="000C7C38" w:rsidRDefault="000C7C38" w:rsidP="000C7C38">
      <w:pPr>
        <w:pStyle w:val="NoSpacing"/>
      </w:pPr>
      <w:r>
        <w:t xml:space="preserve">This dataset and the more detailed </w:t>
      </w:r>
      <w:r w:rsidRPr="006D576D">
        <w:t xml:space="preserve">ENSPRESO datasets are available for download </w:t>
      </w:r>
      <w:r>
        <w:t xml:space="preserve">from the JRC data catalogue: </w:t>
      </w:r>
      <w:hyperlink r:id="rId18" w:history="1">
        <w:r w:rsidRPr="0010428F">
          <w:rPr>
            <w:rStyle w:val="Hyperlink"/>
          </w:rPr>
          <w:t>https://data.jrc.ec.europa.eu/collection/id-00138</w:t>
        </w:r>
      </w:hyperlink>
      <w:r>
        <w:t xml:space="preserve"> </w:t>
      </w:r>
    </w:p>
    <w:p w:rsidR="000C7C38" w:rsidRDefault="000C7C38" w:rsidP="000C7C38">
      <w:pPr>
        <w:pStyle w:val="NoSpacing"/>
      </w:pPr>
    </w:p>
    <w:p w:rsidR="000C7C38" w:rsidRPr="008632ED" w:rsidRDefault="000C7C38" w:rsidP="000C7C38">
      <w:pPr>
        <w:pStyle w:val="NoSpacing"/>
      </w:pPr>
      <w:r w:rsidRPr="008632ED">
        <w:t>ENSPRESO does not include hourly data on wind however we refer to JRC EMHIRES for this:</w:t>
      </w:r>
    </w:p>
    <w:p w:rsidR="000C7C38" w:rsidRDefault="000C7C38" w:rsidP="000C7C38">
      <w:hyperlink r:id="rId19" w:history="1">
        <w:r w:rsidRPr="0010428F">
          <w:rPr>
            <w:rStyle w:val="Hyperlink"/>
          </w:rPr>
          <w:t>https://data.jrc.ec.europa.eu/collection/id-0055</w:t>
        </w:r>
      </w:hyperlink>
      <w:r>
        <w:t xml:space="preserve"> </w:t>
      </w:r>
    </w:p>
    <w:p w:rsidR="000C7C38" w:rsidRPr="008632ED" w:rsidRDefault="000C7C38" w:rsidP="000C7C38">
      <w:pPr>
        <w:pStyle w:val="NoSpacing"/>
      </w:pPr>
      <w:r w:rsidRPr="000C7C38">
        <w:t xml:space="preserve">More information on </w:t>
      </w:r>
      <w:r w:rsidRPr="000C7C38">
        <w:t>NUTS2 conversion</w:t>
      </w:r>
      <w:r w:rsidRPr="000C7C38">
        <w:t xml:space="preserve"> can be found here: </w:t>
      </w:r>
      <w:hyperlink r:id="rId20" w:history="1">
        <w:r w:rsidRPr="0010428F">
          <w:rPr>
            <w:rStyle w:val="Hyperlink"/>
          </w:rPr>
          <w:t>https://ec.europa.eu/eurostat/fr/web/nuts/history</w:t>
        </w:r>
      </w:hyperlink>
      <w:r>
        <w:t xml:space="preserve"> </w:t>
      </w:r>
      <w:r w:rsidRPr="008632ED">
        <w:t xml:space="preserve"> </w:t>
      </w:r>
    </w:p>
    <w:p w:rsidR="000C7C38" w:rsidRPr="008632ED" w:rsidRDefault="000C7C38" w:rsidP="000C7C38">
      <w:pPr>
        <w:pStyle w:val="Heading1"/>
      </w:pPr>
      <w:r w:rsidRPr="008632ED">
        <w:t xml:space="preserve">Rights and licensing </w:t>
      </w:r>
    </w:p>
    <w:p w:rsidR="000C7C38" w:rsidRPr="008632ED" w:rsidRDefault="000C7C38" w:rsidP="000C7C38">
      <w:pPr>
        <w:pStyle w:val="NoSpacing"/>
      </w:pPr>
      <w:r w:rsidRPr="008632ED">
        <w:t>The datasets are licensed under CC BY 4.0. You are free to share, copy and redistribute the datasets.</w:t>
      </w:r>
    </w:p>
    <w:p w:rsidR="000C7C38" w:rsidRPr="008632ED" w:rsidRDefault="000C7C38" w:rsidP="000C7C38">
      <w:pPr>
        <w:pStyle w:val="NoSpacing"/>
      </w:pPr>
      <w:r w:rsidRPr="008632ED">
        <w:t>You are also free to adapt, remix, transform, and build upon the datasets for any purpose, even commercially. Under the following terms:</w:t>
      </w:r>
    </w:p>
    <w:p w:rsidR="000C7C38" w:rsidRPr="008632ED" w:rsidRDefault="000C7C38" w:rsidP="000C7C38">
      <w:pPr>
        <w:pStyle w:val="NoSpacing"/>
        <w:numPr>
          <w:ilvl w:val="0"/>
          <w:numId w:val="9"/>
        </w:numPr>
      </w:pPr>
      <w:r w:rsidRPr="008632ED">
        <w:t xml:space="preserve">you must give appropriate credit: the name of the creator, a copyright notice, a license notice, a disclaimer notice, and a link to the material. </w:t>
      </w:r>
    </w:p>
    <w:p w:rsidR="000C7C38" w:rsidRPr="008632ED" w:rsidRDefault="000C7C38" w:rsidP="000C7C38">
      <w:pPr>
        <w:pStyle w:val="NoSpacing"/>
        <w:numPr>
          <w:ilvl w:val="0"/>
          <w:numId w:val="9"/>
        </w:numPr>
      </w:pPr>
      <w:r w:rsidRPr="008632ED">
        <w:t>you must indicate if changes were made.</w:t>
      </w:r>
    </w:p>
    <w:p w:rsidR="000C7C38" w:rsidRPr="008632ED" w:rsidRDefault="000C7C38" w:rsidP="000C7C38">
      <w:pPr>
        <w:pStyle w:val="NoSpacing"/>
        <w:numPr>
          <w:ilvl w:val="0"/>
          <w:numId w:val="9"/>
        </w:numPr>
      </w:pPr>
      <w:r w:rsidRPr="008632ED">
        <w:t>you may not apply legal terms or technological measures that legally restrict others from doing anything the license permits.</w:t>
      </w:r>
    </w:p>
    <w:p w:rsidR="000C7C38" w:rsidRPr="008632ED" w:rsidRDefault="000C7C38" w:rsidP="000C7C38">
      <w:pPr>
        <w:pStyle w:val="NoSpacing"/>
      </w:pPr>
      <w:hyperlink r:id="rId21" w:history="1">
        <w:r w:rsidRPr="0010428F">
          <w:rPr>
            <w:rStyle w:val="Hyperlink"/>
          </w:rPr>
          <w:t>https://creativecommons.org/licenses/by/4.0/</w:t>
        </w:r>
      </w:hyperlink>
      <w:r>
        <w:t xml:space="preserve"> </w:t>
      </w:r>
    </w:p>
    <w:sectPr w:rsidR="000C7C38" w:rsidRPr="008632E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BE8" w:rsidRDefault="00166BE8" w:rsidP="00166BE8">
      <w:pPr>
        <w:spacing w:after="0"/>
      </w:pPr>
      <w:r>
        <w:separator/>
      </w:r>
    </w:p>
  </w:endnote>
  <w:endnote w:type="continuationSeparator" w:id="0">
    <w:p w:rsidR="00166BE8" w:rsidRDefault="00166BE8" w:rsidP="00166B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010654"/>
      <w:docPartObj>
        <w:docPartGallery w:val="Page Numbers (Bottom of Page)"/>
        <w:docPartUnique/>
      </w:docPartObj>
    </w:sdtPr>
    <w:sdtEndPr>
      <w:rPr>
        <w:noProof/>
      </w:rPr>
    </w:sdtEndPr>
    <w:sdtContent>
      <w:p w:rsidR="00660AC0" w:rsidRDefault="00660AC0">
        <w:pPr>
          <w:pStyle w:val="Footer"/>
          <w:jc w:val="center"/>
        </w:pPr>
        <w:r>
          <w:fldChar w:fldCharType="begin"/>
        </w:r>
        <w:r>
          <w:instrText xml:space="preserve"> PAGE   \* MERGEFORMAT </w:instrText>
        </w:r>
        <w:r>
          <w:fldChar w:fldCharType="separate"/>
        </w:r>
        <w:r w:rsidR="0079772A">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79772A">
          <w:rPr>
            <w:noProof/>
          </w:rPr>
          <w:t>4</w:t>
        </w:r>
        <w:r>
          <w:rPr>
            <w:noProof/>
          </w:rPr>
          <w:fldChar w:fldCharType="end"/>
        </w:r>
      </w:p>
    </w:sdtContent>
  </w:sdt>
  <w:p w:rsidR="00166BE8" w:rsidRDefault="00166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BE8" w:rsidRDefault="00166BE8" w:rsidP="00166BE8">
      <w:pPr>
        <w:spacing w:after="0"/>
      </w:pPr>
      <w:r>
        <w:separator/>
      </w:r>
    </w:p>
  </w:footnote>
  <w:footnote w:type="continuationSeparator" w:id="0">
    <w:p w:rsidR="00166BE8" w:rsidRDefault="00166BE8" w:rsidP="00166B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4A0"/>
    <w:multiLevelType w:val="hybridMultilevel"/>
    <w:tmpl w:val="BDD05EC8"/>
    <w:lvl w:ilvl="0" w:tplc="7FFEAE1A">
      <w:start w:val="3"/>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C7055"/>
    <w:multiLevelType w:val="hybridMultilevel"/>
    <w:tmpl w:val="877660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A45B0"/>
    <w:multiLevelType w:val="hybridMultilevel"/>
    <w:tmpl w:val="5DF6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A785E"/>
    <w:multiLevelType w:val="hybridMultilevel"/>
    <w:tmpl w:val="2092EB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6201A32"/>
    <w:multiLevelType w:val="hybridMultilevel"/>
    <w:tmpl w:val="4370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61E43"/>
    <w:multiLevelType w:val="hybridMultilevel"/>
    <w:tmpl w:val="67689A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E9922A1"/>
    <w:multiLevelType w:val="hybridMultilevel"/>
    <w:tmpl w:val="576A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C23BC"/>
    <w:multiLevelType w:val="hybridMultilevel"/>
    <w:tmpl w:val="16AAD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101E9"/>
    <w:multiLevelType w:val="hybridMultilevel"/>
    <w:tmpl w:val="DA1A9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A0880"/>
    <w:multiLevelType w:val="hybridMultilevel"/>
    <w:tmpl w:val="1672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3"/>
  </w:num>
  <w:num w:numId="5">
    <w:abstractNumId w:val="5"/>
  </w:num>
  <w:num w:numId="6">
    <w:abstractNumId w:val="6"/>
  </w:num>
  <w:num w:numId="7">
    <w:abstractNumId w:val="4"/>
  </w:num>
  <w:num w:numId="8">
    <w:abstractNumId w:val="7"/>
  </w:num>
  <w:num w:numId="9">
    <w:abstractNumId w:val="8"/>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hdrShapeDefaults>
    <o:shapedefaults v:ext="edit" spidmax="3277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6734A1"/>
    <w:rsid w:val="000C7C38"/>
    <w:rsid w:val="000E7117"/>
    <w:rsid w:val="000F39DB"/>
    <w:rsid w:val="00166BE8"/>
    <w:rsid w:val="0019212F"/>
    <w:rsid w:val="00194F5B"/>
    <w:rsid w:val="001D131A"/>
    <w:rsid w:val="00223ACA"/>
    <w:rsid w:val="002310CC"/>
    <w:rsid w:val="002554ED"/>
    <w:rsid w:val="002658A4"/>
    <w:rsid w:val="00321D1D"/>
    <w:rsid w:val="003F5C98"/>
    <w:rsid w:val="00424BF5"/>
    <w:rsid w:val="004D25DA"/>
    <w:rsid w:val="00513271"/>
    <w:rsid w:val="005A4447"/>
    <w:rsid w:val="005F6CEA"/>
    <w:rsid w:val="0061053F"/>
    <w:rsid w:val="0064690A"/>
    <w:rsid w:val="00660AC0"/>
    <w:rsid w:val="0066324F"/>
    <w:rsid w:val="006734A1"/>
    <w:rsid w:val="00696DAA"/>
    <w:rsid w:val="006D576D"/>
    <w:rsid w:val="00723041"/>
    <w:rsid w:val="0076067E"/>
    <w:rsid w:val="0079772A"/>
    <w:rsid w:val="007D2AF6"/>
    <w:rsid w:val="00807ACE"/>
    <w:rsid w:val="008632ED"/>
    <w:rsid w:val="00871453"/>
    <w:rsid w:val="008F7B29"/>
    <w:rsid w:val="009C2FDB"/>
    <w:rsid w:val="00A45C4E"/>
    <w:rsid w:val="00A77AEA"/>
    <w:rsid w:val="00B21885"/>
    <w:rsid w:val="00B219F6"/>
    <w:rsid w:val="00B768C9"/>
    <w:rsid w:val="00C0419C"/>
    <w:rsid w:val="00C757BA"/>
    <w:rsid w:val="00D106B2"/>
    <w:rsid w:val="00D90803"/>
    <w:rsid w:val="00E136EA"/>
    <w:rsid w:val="00E964C8"/>
    <w:rsid w:val="00EA099D"/>
    <w:rsid w:val="00EC20CE"/>
    <w:rsid w:val="00F73145"/>
    <w:rsid w:val="00FC2A3D"/>
    <w:rsid w:val="00FC306C"/>
    <w:rsid w:val="00FD26AD"/>
    <w:rsid w:val="00FE0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14:docId w14:val="34344410"/>
  <w15:chartTrackingRefBased/>
  <w15:docId w15:val="{0E4945B6-E07C-4602-9EA3-7EB45520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pPr>
    <w:rPr>
      <w:rFonts w:ascii="Arial" w:hAnsi="Arial"/>
      <w:sz w:val="20"/>
    </w:rPr>
  </w:style>
  <w:style w:type="paragraph" w:styleId="Heading1">
    <w:name w:val="heading 1"/>
    <w:basedOn w:val="Normal"/>
    <w:next w:val="Normal"/>
    <w:link w:val="Heading1Char"/>
    <w:uiPriority w:val="9"/>
    <w:qFormat/>
    <w:rsid w:val="0079772A"/>
    <w:pPr>
      <w:keepNext/>
      <w:keepLines/>
      <w:spacing w:before="240"/>
      <w:outlineLvl w:val="0"/>
    </w:pPr>
    <w:rPr>
      <w:rFonts w:eastAsiaTheme="majorEastAsia" w:cstheme="majorBidi"/>
      <w:b/>
      <w:color w:val="365F91" w:themeColor="accent1" w:themeShade="BF"/>
      <w:sz w:val="36"/>
      <w:szCs w:val="32"/>
    </w:rPr>
  </w:style>
  <w:style w:type="paragraph" w:styleId="Heading2">
    <w:name w:val="heading 2"/>
    <w:basedOn w:val="Normal"/>
    <w:next w:val="Normal"/>
    <w:link w:val="Heading2Char"/>
    <w:uiPriority w:val="9"/>
    <w:unhideWhenUsed/>
    <w:qFormat/>
    <w:rsid w:val="009C2FDB"/>
    <w:pPr>
      <w:keepNext/>
      <w:keepLines/>
      <w:spacing w:before="40" w:after="0"/>
      <w:outlineLvl w:val="1"/>
    </w:pPr>
    <w:rPr>
      <w:rFonts w:eastAsiaTheme="majorEastAsia" w:cstheme="majorBidi"/>
      <w:b/>
      <w:color w:val="365F9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af">
    <w:name w:val="leaf"/>
    <w:basedOn w:val="DefaultParagraphFont"/>
    <w:rsid w:val="00166BE8"/>
  </w:style>
  <w:style w:type="paragraph" w:styleId="Header">
    <w:name w:val="header"/>
    <w:basedOn w:val="Normal"/>
    <w:link w:val="HeaderChar"/>
    <w:uiPriority w:val="99"/>
    <w:unhideWhenUsed/>
    <w:rsid w:val="00166BE8"/>
    <w:pPr>
      <w:tabs>
        <w:tab w:val="center" w:pos="4513"/>
        <w:tab w:val="right" w:pos="9026"/>
      </w:tabs>
      <w:spacing w:after="0"/>
    </w:pPr>
  </w:style>
  <w:style w:type="character" w:customStyle="1" w:styleId="HeaderChar">
    <w:name w:val="Header Char"/>
    <w:basedOn w:val="DefaultParagraphFont"/>
    <w:link w:val="Header"/>
    <w:uiPriority w:val="99"/>
    <w:rsid w:val="00166BE8"/>
    <w:rPr>
      <w:rFonts w:ascii="Arial" w:hAnsi="Arial"/>
      <w:sz w:val="20"/>
    </w:rPr>
  </w:style>
  <w:style w:type="paragraph" w:styleId="Footer">
    <w:name w:val="footer"/>
    <w:basedOn w:val="Normal"/>
    <w:link w:val="FooterChar"/>
    <w:uiPriority w:val="99"/>
    <w:unhideWhenUsed/>
    <w:rsid w:val="00166BE8"/>
    <w:pPr>
      <w:tabs>
        <w:tab w:val="center" w:pos="4513"/>
        <w:tab w:val="right" w:pos="9026"/>
      </w:tabs>
      <w:spacing w:after="0"/>
    </w:pPr>
  </w:style>
  <w:style w:type="character" w:customStyle="1" w:styleId="FooterChar">
    <w:name w:val="Footer Char"/>
    <w:basedOn w:val="DefaultParagraphFont"/>
    <w:link w:val="Footer"/>
    <w:uiPriority w:val="99"/>
    <w:rsid w:val="00166BE8"/>
    <w:rPr>
      <w:rFonts w:ascii="Arial" w:hAnsi="Arial"/>
      <w:sz w:val="20"/>
    </w:rPr>
  </w:style>
  <w:style w:type="character" w:styleId="Hyperlink">
    <w:name w:val="Hyperlink"/>
    <w:basedOn w:val="DefaultParagraphFont"/>
    <w:uiPriority w:val="99"/>
    <w:unhideWhenUsed/>
    <w:rsid w:val="00660AC0"/>
    <w:rPr>
      <w:color w:val="0000FF" w:themeColor="hyperlink"/>
      <w:u w:val="single"/>
    </w:rPr>
  </w:style>
  <w:style w:type="character" w:styleId="FollowedHyperlink">
    <w:name w:val="FollowedHyperlink"/>
    <w:basedOn w:val="DefaultParagraphFont"/>
    <w:uiPriority w:val="99"/>
    <w:semiHidden/>
    <w:unhideWhenUsed/>
    <w:rsid w:val="0019212F"/>
    <w:rPr>
      <w:color w:val="800080" w:themeColor="followedHyperlink"/>
      <w:u w:val="single"/>
    </w:rPr>
  </w:style>
  <w:style w:type="paragraph" w:styleId="ListParagraph">
    <w:name w:val="List Paragraph"/>
    <w:basedOn w:val="Normal"/>
    <w:uiPriority w:val="34"/>
    <w:qFormat/>
    <w:rsid w:val="00FC2A3D"/>
    <w:pPr>
      <w:ind w:left="720"/>
      <w:contextualSpacing/>
    </w:pPr>
  </w:style>
  <w:style w:type="table" w:styleId="TableGrid">
    <w:name w:val="Table Grid"/>
    <w:basedOn w:val="TableNormal"/>
    <w:uiPriority w:val="59"/>
    <w:rsid w:val="00696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06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67E"/>
    <w:rPr>
      <w:rFonts w:ascii="Segoe UI" w:hAnsi="Segoe UI" w:cs="Segoe UI"/>
      <w:sz w:val="18"/>
      <w:szCs w:val="18"/>
    </w:rPr>
  </w:style>
  <w:style w:type="paragraph" w:styleId="CommentText">
    <w:name w:val="annotation text"/>
    <w:basedOn w:val="Normal"/>
    <w:link w:val="CommentTextChar"/>
    <w:uiPriority w:val="99"/>
    <w:semiHidden/>
    <w:unhideWhenUsed/>
    <w:rsid w:val="00C0419C"/>
    <w:rPr>
      <w:szCs w:val="20"/>
    </w:rPr>
  </w:style>
  <w:style w:type="character" w:customStyle="1" w:styleId="CommentTextChar">
    <w:name w:val="Comment Text Char"/>
    <w:basedOn w:val="DefaultParagraphFont"/>
    <w:link w:val="CommentText"/>
    <w:uiPriority w:val="99"/>
    <w:semiHidden/>
    <w:rsid w:val="00C0419C"/>
    <w:rPr>
      <w:rFonts w:ascii="Arial" w:hAnsi="Arial"/>
      <w:sz w:val="20"/>
      <w:szCs w:val="20"/>
    </w:rPr>
  </w:style>
  <w:style w:type="character" w:styleId="CommentReference">
    <w:name w:val="annotation reference"/>
    <w:basedOn w:val="DefaultParagraphFont"/>
    <w:uiPriority w:val="99"/>
    <w:semiHidden/>
    <w:unhideWhenUsed/>
    <w:rsid w:val="00C0419C"/>
    <w:rPr>
      <w:sz w:val="16"/>
      <w:szCs w:val="16"/>
    </w:rPr>
  </w:style>
  <w:style w:type="character" w:customStyle="1" w:styleId="Heading1Char">
    <w:name w:val="Heading 1 Char"/>
    <w:basedOn w:val="DefaultParagraphFont"/>
    <w:link w:val="Heading1"/>
    <w:uiPriority w:val="9"/>
    <w:rsid w:val="0079772A"/>
    <w:rPr>
      <w:rFonts w:ascii="Arial" w:eastAsiaTheme="majorEastAsia" w:hAnsi="Arial" w:cstheme="majorBidi"/>
      <w:b/>
      <w:color w:val="365F91" w:themeColor="accent1" w:themeShade="BF"/>
      <w:sz w:val="36"/>
      <w:szCs w:val="32"/>
    </w:rPr>
  </w:style>
  <w:style w:type="character" w:customStyle="1" w:styleId="Heading2Char">
    <w:name w:val="Heading 2 Char"/>
    <w:basedOn w:val="DefaultParagraphFont"/>
    <w:link w:val="Heading2"/>
    <w:uiPriority w:val="9"/>
    <w:rsid w:val="009C2FDB"/>
    <w:rPr>
      <w:rFonts w:ascii="Arial" w:eastAsiaTheme="majorEastAsia" w:hAnsi="Arial" w:cstheme="majorBidi"/>
      <w:b/>
      <w:color w:val="365F91" w:themeColor="accent1" w:themeShade="BF"/>
      <w:sz w:val="28"/>
      <w:szCs w:val="26"/>
    </w:rPr>
  </w:style>
  <w:style w:type="paragraph" w:styleId="NoSpacing">
    <w:name w:val="No Spacing"/>
    <w:uiPriority w:val="1"/>
    <w:qFormat/>
    <w:rsid w:val="008632ED"/>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6459">
      <w:bodyDiv w:val="1"/>
      <w:marLeft w:val="0"/>
      <w:marRight w:val="0"/>
      <w:marTop w:val="0"/>
      <w:marBottom w:val="0"/>
      <w:divBdr>
        <w:top w:val="none" w:sz="0" w:space="0" w:color="auto"/>
        <w:left w:val="none" w:sz="0" w:space="0" w:color="auto"/>
        <w:bottom w:val="none" w:sz="0" w:space="0" w:color="auto"/>
        <w:right w:val="none" w:sz="0" w:space="0" w:color="auto"/>
      </w:divBdr>
    </w:div>
    <w:div w:id="398787645">
      <w:bodyDiv w:val="1"/>
      <w:marLeft w:val="0"/>
      <w:marRight w:val="0"/>
      <w:marTop w:val="0"/>
      <w:marBottom w:val="0"/>
      <w:divBdr>
        <w:top w:val="none" w:sz="0" w:space="0" w:color="auto"/>
        <w:left w:val="none" w:sz="0" w:space="0" w:color="auto"/>
        <w:bottom w:val="none" w:sz="0" w:space="0" w:color="auto"/>
        <w:right w:val="none" w:sz="0" w:space="0" w:color="auto"/>
      </w:divBdr>
    </w:div>
    <w:div w:id="725304425">
      <w:bodyDiv w:val="1"/>
      <w:marLeft w:val="0"/>
      <w:marRight w:val="0"/>
      <w:marTop w:val="0"/>
      <w:marBottom w:val="0"/>
      <w:divBdr>
        <w:top w:val="none" w:sz="0" w:space="0" w:color="auto"/>
        <w:left w:val="none" w:sz="0" w:space="0" w:color="auto"/>
        <w:bottom w:val="none" w:sz="0" w:space="0" w:color="auto"/>
        <w:right w:val="none" w:sz="0" w:space="0" w:color="auto"/>
      </w:divBdr>
    </w:div>
    <w:div w:id="774322529">
      <w:bodyDiv w:val="1"/>
      <w:marLeft w:val="0"/>
      <w:marRight w:val="0"/>
      <w:marTop w:val="0"/>
      <w:marBottom w:val="0"/>
      <w:divBdr>
        <w:top w:val="none" w:sz="0" w:space="0" w:color="auto"/>
        <w:left w:val="none" w:sz="0" w:space="0" w:color="auto"/>
        <w:bottom w:val="none" w:sz="0" w:space="0" w:color="auto"/>
        <w:right w:val="none" w:sz="0" w:space="0" w:color="auto"/>
      </w:divBdr>
    </w:div>
    <w:div w:id="824050555">
      <w:bodyDiv w:val="1"/>
      <w:marLeft w:val="0"/>
      <w:marRight w:val="0"/>
      <w:marTop w:val="0"/>
      <w:marBottom w:val="0"/>
      <w:divBdr>
        <w:top w:val="none" w:sz="0" w:space="0" w:color="auto"/>
        <w:left w:val="none" w:sz="0" w:space="0" w:color="auto"/>
        <w:bottom w:val="none" w:sz="0" w:space="0" w:color="auto"/>
        <w:right w:val="none" w:sz="0" w:space="0" w:color="auto"/>
      </w:divBdr>
    </w:div>
    <w:div w:id="1126046133">
      <w:bodyDiv w:val="1"/>
      <w:marLeft w:val="0"/>
      <w:marRight w:val="0"/>
      <w:marTop w:val="0"/>
      <w:marBottom w:val="0"/>
      <w:divBdr>
        <w:top w:val="none" w:sz="0" w:space="0" w:color="auto"/>
        <w:left w:val="none" w:sz="0" w:space="0" w:color="auto"/>
        <w:bottom w:val="none" w:sz="0" w:space="0" w:color="auto"/>
        <w:right w:val="none" w:sz="0" w:space="0" w:color="auto"/>
      </w:divBdr>
    </w:div>
    <w:div w:id="1140271362">
      <w:bodyDiv w:val="1"/>
      <w:marLeft w:val="0"/>
      <w:marRight w:val="0"/>
      <w:marTop w:val="0"/>
      <w:marBottom w:val="0"/>
      <w:divBdr>
        <w:top w:val="none" w:sz="0" w:space="0" w:color="auto"/>
        <w:left w:val="none" w:sz="0" w:space="0" w:color="auto"/>
        <w:bottom w:val="none" w:sz="0" w:space="0" w:color="auto"/>
        <w:right w:val="none" w:sz="0" w:space="0" w:color="auto"/>
      </w:divBdr>
    </w:div>
    <w:div w:id="1234658832">
      <w:bodyDiv w:val="1"/>
      <w:marLeft w:val="0"/>
      <w:marRight w:val="0"/>
      <w:marTop w:val="0"/>
      <w:marBottom w:val="0"/>
      <w:divBdr>
        <w:top w:val="none" w:sz="0" w:space="0" w:color="auto"/>
        <w:left w:val="none" w:sz="0" w:space="0" w:color="auto"/>
        <w:bottom w:val="none" w:sz="0" w:space="0" w:color="auto"/>
        <w:right w:val="none" w:sz="0" w:space="0" w:color="auto"/>
      </w:divBdr>
    </w:div>
    <w:div w:id="1248461695">
      <w:bodyDiv w:val="1"/>
      <w:marLeft w:val="0"/>
      <w:marRight w:val="0"/>
      <w:marTop w:val="0"/>
      <w:marBottom w:val="0"/>
      <w:divBdr>
        <w:top w:val="none" w:sz="0" w:space="0" w:color="auto"/>
        <w:left w:val="none" w:sz="0" w:space="0" w:color="auto"/>
        <w:bottom w:val="none" w:sz="0" w:space="0" w:color="auto"/>
        <w:right w:val="none" w:sz="0" w:space="0" w:color="auto"/>
      </w:divBdr>
    </w:div>
    <w:div w:id="1262645218">
      <w:bodyDiv w:val="1"/>
      <w:marLeft w:val="0"/>
      <w:marRight w:val="0"/>
      <w:marTop w:val="0"/>
      <w:marBottom w:val="0"/>
      <w:divBdr>
        <w:top w:val="none" w:sz="0" w:space="0" w:color="auto"/>
        <w:left w:val="none" w:sz="0" w:space="0" w:color="auto"/>
        <w:bottom w:val="none" w:sz="0" w:space="0" w:color="auto"/>
        <w:right w:val="none" w:sz="0" w:space="0" w:color="auto"/>
      </w:divBdr>
    </w:div>
    <w:div w:id="1587692571">
      <w:bodyDiv w:val="1"/>
      <w:marLeft w:val="0"/>
      <w:marRight w:val="0"/>
      <w:marTop w:val="0"/>
      <w:marBottom w:val="0"/>
      <w:divBdr>
        <w:top w:val="none" w:sz="0" w:space="0" w:color="auto"/>
        <w:left w:val="none" w:sz="0" w:space="0" w:color="auto"/>
        <w:bottom w:val="none" w:sz="0" w:space="0" w:color="auto"/>
        <w:right w:val="none" w:sz="0" w:space="0" w:color="auto"/>
      </w:divBdr>
    </w:div>
    <w:div w:id="1783916972">
      <w:bodyDiv w:val="1"/>
      <w:marLeft w:val="0"/>
      <w:marRight w:val="0"/>
      <w:marTop w:val="0"/>
      <w:marBottom w:val="0"/>
      <w:divBdr>
        <w:top w:val="none" w:sz="0" w:space="0" w:color="auto"/>
        <w:left w:val="none" w:sz="0" w:space="0" w:color="auto"/>
        <w:bottom w:val="none" w:sz="0" w:space="0" w:color="auto"/>
        <w:right w:val="none" w:sz="0" w:space="0" w:color="auto"/>
      </w:divBdr>
    </w:div>
    <w:div w:id="1897665024">
      <w:bodyDiv w:val="1"/>
      <w:marLeft w:val="0"/>
      <w:marRight w:val="0"/>
      <w:marTop w:val="0"/>
      <w:marBottom w:val="0"/>
      <w:divBdr>
        <w:top w:val="none" w:sz="0" w:space="0" w:color="auto"/>
        <w:left w:val="none" w:sz="0" w:space="0" w:color="auto"/>
        <w:bottom w:val="none" w:sz="0" w:space="0" w:color="auto"/>
        <w:right w:val="none" w:sz="0" w:space="0" w:color="auto"/>
      </w:divBdr>
    </w:div>
    <w:div w:id="209315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c.europa.eu/clima/policies/eu-climate-action/2030_ctp_en" TargetMode="External"/><Relationship Id="rId18" Type="http://schemas.openxmlformats.org/officeDocument/2006/relationships/hyperlink" Target="https://data.jrc.ec.europa.eu/collection/id-00138" TargetMode="External"/><Relationship Id="rId3" Type="http://schemas.openxmlformats.org/officeDocument/2006/relationships/styles" Target="styles.xml"/><Relationship Id="rId21" Type="http://schemas.openxmlformats.org/officeDocument/2006/relationships/hyperlink" Target="https://creativecommons.org/licenses/by/4.0/" TargetMode="External"/><Relationship Id="rId7" Type="http://schemas.openxmlformats.org/officeDocument/2006/relationships/endnotes" Target="endnotes.xml"/><Relationship Id="rId12" Type="http://schemas.openxmlformats.org/officeDocument/2006/relationships/hyperlink" Target="https://publications.jrc.ec.europa.eu/repository/handle/JRC98626" TargetMode="External"/><Relationship Id="rId17" Type="http://schemas.openxmlformats.org/officeDocument/2006/relationships/hyperlink" Target="https://globalwindatlas.info" TargetMode="External"/><Relationship Id="rId2" Type="http://schemas.openxmlformats.org/officeDocument/2006/relationships/numbering" Target="numbering.xml"/><Relationship Id="rId16" Type="http://schemas.openxmlformats.org/officeDocument/2006/relationships/hyperlink" Target="https://gmao.gsfc.nasa.gov/reanalysis/MERRA/" TargetMode="External"/><Relationship Id="rId20" Type="http://schemas.openxmlformats.org/officeDocument/2006/relationships/hyperlink" Target="https://ec.europa.eu/eurostat/fr/web/nuts/h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ations.jrc.ec.europa.eu/repository/handle/JRC10969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ture.com/articles/s41467-020-20015-4" TargetMode="External"/><Relationship Id="rId23" Type="http://schemas.openxmlformats.org/officeDocument/2006/relationships/fontTable" Target="fontTable.xml"/><Relationship Id="rId10" Type="http://schemas.openxmlformats.org/officeDocument/2006/relationships/hyperlink" Target="https://www.sciencedirect.com/science/article/pii/S2211467X19300720" TargetMode="External"/><Relationship Id="rId19" Type="http://schemas.openxmlformats.org/officeDocument/2006/relationships/hyperlink" Target="https://data.jrc.ec.europa.eu/collection/id-0055" TargetMode="External"/><Relationship Id="rId4" Type="http://schemas.openxmlformats.org/officeDocument/2006/relationships/settings" Target="settings.xml"/><Relationship Id="rId9" Type="http://schemas.openxmlformats.org/officeDocument/2006/relationships/hyperlink" Target="mailto:JRC-DATA-ENERGY-UNION@ec.europa.eu" TargetMode="External"/><Relationship Id="rId14" Type="http://schemas.openxmlformats.org/officeDocument/2006/relationships/hyperlink" Target="https://www.nature.com/articles/s41467-020-18812-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E261DBBC-40E1-4836-BA74-3651D118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UIHLEIN Andreas (JRC-PETTEN)</dc:creator>
  <cp:keywords/>
  <dc:description/>
  <cp:lastModifiedBy>NIJS Wouter (JRC-PETTEN)</cp:lastModifiedBy>
  <cp:revision>11</cp:revision>
  <dcterms:created xsi:type="dcterms:W3CDTF">2021-09-24T12:08:00Z</dcterms:created>
  <dcterms:modified xsi:type="dcterms:W3CDTF">2021-09-27T13:50:00Z</dcterms:modified>
</cp:coreProperties>
</file>