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0882E" w14:textId="249D1B78" w:rsidR="00E4099B" w:rsidRPr="00921937" w:rsidRDefault="00CC121E" w:rsidP="00E4099B">
      <w:pPr>
        <w:pStyle w:val="Stluspapertitle17pt3"/>
        <w:rPr>
          <w:rFonts w:eastAsia="MS Mincho"/>
          <w:lang w:val="en-GB"/>
        </w:rPr>
      </w:pPr>
      <w:r>
        <w:rPr>
          <w:rFonts w:eastAsia="MS Mincho"/>
          <w:lang w:val="en-GB"/>
        </w:rPr>
        <w:t>ENSPRESO</w:t>
      </w:r>
      <w:r w:rsidR="00C61D6E" w:rsidRPr="00921937">
        <w:rPr>
          <w:rFonts w:eastAsia="MS Mincho"/>
          <w:lang w:val="en-GB"/>
        </w:rPr>
        <w:t>-</w:t>
      </w:r>
      <w:r w:rsidR="00E4099B" w:rsidRPr="00921937">
        <w:rPr>
          <w:rFonts w:eastAsia="MS Mincho"/>
          <w:lang w:val="en-GB"/>
        </w:rPr>
        <w:t xml:space="preserve"> an open </w:t>
      </w:r>
      <w:r w:rsidR="003C570D">
        <w:rPr>
          <w:rFonts w:eastAsia="MS Mincho"/>
          <w:lang w:val="en-GB"/>
        </w:rPr>
        <w:t>data</w:t>
      </w:r>
      <w:r w:rsidR="00E4099B" w:rsidRPr="00921937">
        <w:rPr>
          <w:rFonts w:eastAsia="MS Mincho"/>
          <w:lang w:val="en-GB"/>
        </w:rPr>
        <w:t xml:space="preserve">, EU-28 wide, transparent and coherent database of </w:t>
      </w:r>
      <w:r w:rsidR="00432622">
        <w:rPr>
          <w:rFonts w:eastAsia="MS Mincho"/>
          <w:lang w:val="en-GB"/>
        </w:rPr>
        <w:t>wind</w:t>
      </w:r>
      <w:r w:rsidR="00E4099B" w:rsidRPr="00921937">
        <w:rPr>
          <w:rFonts w:eastAsia="MS Mincho"/>
          <w:lang w:val="en-GB"/>
        </w:rPr>
        <w:t xml:space="preserve">, </w:t>
      </w:r>
      <w:r w:rsidR="00432622">
        <w:rPr>
          <w:rFonts w:eastAsia="MS Mincho"/>
          <w:lang w:val="en-GB"/>
        </w:rPr>
        <w:t>solar</w:t>
      </w:r>
      <w:r w:rsidR="00E4099B" w:rsidRPr="00921937">
        <w:rPr>
          <w:rFonts w:eastAsia="MS Mincho"/>
          <w:lang w:val="en-GB"/>
        </w:rPr>
        <w:t xml:space="preserve"> and </w:t>
      </w:r>
      <w:r w:rsidR="00432622">
        <w:rPr>
          <w:rFonts w:eastAsia="MS Mincho"/>
          <w:lang w:val="en-GB"/>
        </w:rPr>
        <w:t>biomass</w:t>
      </w:r>
      <w:r w:rsidR="00E4099B" w:rsidRPr="00921937">
        <w:rPr>
          <w:rFonts w:eastAsia="MS Mincho"/>
          <w:lang w:val="en-GB"/>
        </w:rPr>
        <w:t xml:space="preserve"> energy potentials </w:t>
      </w:r>
    </w:p>
    <w:p w14:paraId="5DCE0240" w14:textId="370CF5ED" w:rsidR="00A06CBB" w:rsidRPr="00921937" w:rsidRDefault="00A06CBB" w:rsidP="00D30C01">
      <w:pPr>
        <w:pStyle w:val="StlusAuthorEltte6pt"/>
        <w:rPr>
          <w:rFonts w:eastAsia="MS Mincho"/>
          <w:lang w:val="en-GB"/>
        </w:rPr>
      </w:pPr>
      <w:r w:rsidRPr="00C87106">
        <w:rPr>
          <w:rFonts w:eastAsia="MS Mincho"/>
          <w:lang w:val="en-GB"/>
        </w:rPr>
        <w:t>*P. Ruiz</w:t>
      </w:r>
      <w:r w:rsidRPr="00C87106">
        <w:rPr>
          <w:rFonts w:eastAsia="MS Mincho"/>
          <w:position w:val="6"/>
          <w:sz w:val="16"/>
          <w:lang w:val="en-GB"/>
        </w:rPr>
        <w:t>1</w:t>
      </w:r>
      <w:r w:rsidR="00A13DF5" w:rsidRPr="00C87106">
        <w:rPr>
          <w:rFonts w:eastAsia="MS Mincho"/>
          <w:position w:val="6"/>
          <w:sz w:val="16"/>
          <w:lang w:val="en-GB"/>
        </w:rPr>
        <w:t>a</w:t>
      </w:r>
      <w:r w:rsidRPr="00C87106">
        <w:rPr>
          <w:rFonts w:eastAsia="MS Mincho"/>
          <w:lang w:val="en-GB"/>
        </w:rPr>
        <w:t>, W. Nijs</w:t>
      </w:r>
      <w:r w:rsidRPr="00C87106">
        <w:rPr>
          <w:rFonts w:eastAsia="MS Mincho"/>
          <w:position w:val="6"/>
          <w:sz w:val="16"/>
          <w:lang w:val="en-GB"/>
        </w:rPr>
        <w:t>1</w:t>
      </w:r>
      <w:r w:rsidR="00A13DF5" w:rsidRPr="00C87106">
        <w:rPr>
          <w:rFonts w:eastAsia="MS Mincho"/>
          <w:position w:val="6"/>
          <w:sz w:val="16"/>
          <w:lang w:val="en-GB"/>
        </w:rPr>
        <w:t>a</w:t>
      </w:r>
      <w:r w:rsidRPr="00C87106">
        <w:rPr>
          <w:rFonts w:eastAsia="MS Mincho"/>
          <w:lang w:val="en-GB"/>
        </w:rPr>
        <w:t>, D. Tarvydas</w:t>
      </w:r>
      <w:r w:rsidRPr="00C87106">
        <w:rPr>
          <w:rFonts w:eastAsia="MS Mincho"/>
          <w:vertAlign w:val="superscript"/>
          <w:lang w:val="en-GB"/>
        </w:rPr>
        <w:t>1</w:t>
      </w:r>
      <w:r w:rsidR="00A13DF5" w:rsidRPr="00C87106">
        <w:rPr>
          <w:rFonts w:eastAsia="MS Mincho"/>
          <w:vertAlign w:val="superscript"/>
          <w:lang w:val="en-GB"/>
        </w:rPr>
        <w:t>a</w:t>
      </w:r>
      <w:r w:rsidRPr="00C87106">
        <w:rPr>
          <w:rFonts w:eastAsia="MS Mincho"/>
          <w:lang w:val="en-GB"/>
        </w:rPr>
        <w:t xml:space="preserve">, </w:t>
      </w:r>
      <w:r w:rsidR="00D00779" w:rsidRPr="00C87106">
        <w:rPr>
          <w:rFonts w:eastAsia="MS Mincho"/>
          <w:lang w:val="en-GB"/>
        </w:rPr>
        <w:t>A. Sgobbi</w:t>
      </w:r>
      <w:r w:rsidR="00D00779" w:rsidRPr="00C87106">
        <w:rPr>
          <w:rFonts w:eastAsia="MS Mincho"/>
          <w:vertAlign w:val="superscript"/>
          <w:lang w:val="en-GB"/>
        </w:rPr>
        <w:t>1a</w:t>
      </w:r>
      <w:r w:rsidR="00D00779" w:rsidRPr="00C87106">
        <w:rPr>
          <w:rFonts w:eastAsia="MS Mincho"/>
          <w:lang w:val="en-GB"/>
        </w:rPr>
        <w:t>, A.Zucker</w:t>
      </w:r>
      <w:r w:rsidR="00D00779" w:rsidRPr="00C87106">
        <w:rPr>
          <w:rFonts w:eastAsia="MS Mincho"/>
          <w:vertAlign w:val="superscript"/>
          <w:lang w:val="en-GB"/>
        </w:rPr>
        <w:t>1a</w:t>
      </w:r>
      <w:r w:rsidR="00D00779" w:rsidRPr="00C87106">
        <w:rPr>
          <w:rFonts w:eastAsia="MS Mincho"/>
          <w:lang w:val="en-GB"/>
        </w:rPr>
        <w:t>, R. Pilli</w:t>
      </w:r>
      <w:r w:rsidR="00D00779" w:rsidRPr="00C87106">
        <w:rPr>
          <w:rFonts w:eastAsia="MS Mincho"/>
          <w:vertAlign w:val="superscript"/>
          <w:lang w:val="en-GB"/>
        </w:rPr>
        <w:t>1b</w:t>
      </w:r>
      <w:r w:rsidR="00D00779" w:rsidRPr="00C87106">
        <w:rPr>
          <w:rFonts w:eastAsia="MS Mincho"/>
          <w:lang w:val="en-GB"/>
        </w:rPr>
        <w:t>, R. Jonsson</w:t>
      </w:r>
      <w:r w:rsidR="00D00779" w:rsidRPr="00C87106">
        <w:rPr>
          <w:rFonts w:eastAsia="MS Mincho"/>
          <w:vertAlign w:val="superscript"/>
          <w:lang w:val="en-GB"/>
        </w:rPr>
        <w:t>1b</w:t>
      </w:r>
      <w:r w:rsidR="00D00779" w:rsidRPr="00C87106">
        <w:rPr>
          <w:rFonts w:eastAsia="MS Mincho"/>
          <w:lang w:val="en-GB"/>
        </w:rPr>
        <w:t>, A. Camia</w:t>
      </w:r>
      <w:r w:rsidR="00D00779" w:rsidRPr="00C87106">
        <w:rPr>
          <w:rFonts w:eastAsia="MS Mincho"/>
          <w:vertAlign w:val="superscript"/>
          <w:lang w:val="en-GB"/>
        </w:rPr>
        <w:t>1b</w:t>
      </w:r>
      <w:r w:rsidR="00D00779" w:rsidRPr="00C87106">
        <w:rPr>
          <w:rFonts w:eastAsia="MS Mincho"/>
          <w:lang w:val="en-GB"/>
        </w:rPr>
        <w:t xml:space="preserve">, </w:t>
      </w:r>
      <w:r w:rsidRPr="00C87106">
        <w:rPr>
          <w:rFonts w:eastAsia="MS Mincho"/>
          <w:lang w:val="en-GB"/>
        </w:rPr>
        <w:t>C. Thiel</w:t>
      </w:r>
      <w:r w:rsidRPr="00C87106">
        <w:rPr>
          <w:rFonts w:eastAsia="MS Mincho"/>
          <w:vertAlign w:val="superscript"/>
          <w:lang w:val="en-GB"/>
        </w:rPr>
        <w:t>1</w:t>
      </w:r>
      <w:r w:rsidR="00C4532E" w:rsidRPr="00C87106">
        <w:rPr>
          <w:rFonts w:eastAsia="MS Mincho"/>
          <w:vertAlign w:val="superscript"/>
          <w:lang w:val="en-GB"/>
        </w:rPr>
        <w:t>b</w:t>
      </w:r>
      <w:r w:rsidR="00C61D6E" w:rsidRPr="00C87106">
        <w:rPr>
          <w:rFonts w:eastAsia="MS Mincho"/>
          <w:lang w:val="en-GB"/>
        </w:rPr>
        <w:t xml:space="preserve">, </w:t>
      </w:r>
      <w:r w:rsidR="00C61D6E" w:rsidRPr="00C87106">
        <w:rPr>
          <w:rFonts w:eastAsia="MS Mincho"/>
          <w:lang w:val="en-GB"/>
        </w:rPr>
        <w:br/>
      </w:r>
      <w:r w:rsidRPr="00C87106">
        <w:rPr>
          <w:rFonts w:eastAsia="MS Mincho"/>
          <w:lang w:val="en-GB"/>
        </w:rPr>
        <w:t>C.Hoyer-Klick</w:t>
      </w:r>
      <w:r w:rsidRPr="00C87106">
        <w:rPr>
          <w:rFonts w:eastAsia="MS Mincho"/>
          <w:vertAlign w:val="superscript"/>
          <w:lang w:val="en-GB"/>
        </w:rPr>
        <w:t>2</w:t>
      </w:r>
      <w:r w:rsidRPr="00C87106">
        <w:rPr>
          <w:rFonts w:eastAsia="MS Mincho"/>
          <w:lang w:val="en-GB"/>
        </w:rPr>
        <w:t>, F. Dalla Longa</w:t>
      </w:r>
      <w:r w:rsidRPr="00C87106">
        <w:rPr>
          <w:rFonts w:eastAsia="MS Mincho"/>
          <w:vertAlign w:val="superscript"/>
          <w:lang w:val="en-GB"/>
        </w:rPr>
        <w:t>3</w:t>
      </w:r>
      <w:r w:rsidRPr="00C87106">
        <w:rPr>
          <w:rFonts w:eastAsia="MS Mincho"/>
          <w:lang w:val="en-GB"/>
        </w:rPr>
        <w:t>, T. Kober</w:t>
      </w:r>
      <w:r w:rsidRPr="00C87106">
        <w:rPr>
          <w:rFonts w:eastAsia="MS Mincho"/>
          <w:vertAlign w:val="superscript"/>
          <w:lang w:val="en-GB"/>
        </w:rPr>
        <w:t>4</w:t>
      </w:r>
      <w:r w:rsidRPr="00C87106">
        <w:rPr>
          <w:rFonts w:eastAsia="MS Mincho"/>
          <w:lang w:val="en-GB"/>
        </w:rPr>
        <w:t>, J. Badger</w:t>
      </w:r>
      <w:r w:rsidRPr="00C87106">
        <w:rPr>
          <w:rFonts w:eastAsia="MS Mincho"/>
          <w:vertAlign w:val="superscript"/>
          <w:lang w:val="en-GB"/>
        </w:rPr>
        <w:t>5</w:t>
      </w:r>
      <w:r w:rsidRPr="00C87106">
        <w:rPr>
          <w:rFonts w:eastAsia="MS Mincho"/>
          <w:lang w:val="en-GB"/>
        </w:rPr>
        <w:t>, P. Volker</w:t>
      </w:r>
      <w:r w:rsidRPr="00C87106">
        <w:rPr>
          <w:rFonts w:eastAsia="MS Mincho"/>
          <w:vertAlign w:val="superscript"/>
          <w:lang w:val="en-GB"/>
        </w:rPr>
        <w:t>5</w:t>
      </w:r>
      <w:r w:rsidRPr="00C87106">
        <w:rPr>
          <w:rFonts w:eastAsia="MS Mincho"/>
          <w:lang w:val="en-GB"/>
        </w:rPr>
        <w:t xml:space="preserve">, </w:t>
      </w:r>
      <w:r w:rsidR="00C61D6E" w:rsidRPr="00C87106">
        <w:rPr>
          <w:rFonts w:eastAsia="MS Mincho"/>
          <w:lang w:val="en-GB"/>
        </w:rPr>
        <w:br/>
      </w:r>
      <w:r w:rsidRPr="00C87106">
        <w:rPr>
          <w:rFonts w:eastAsia="MS Mincho"/>
          <w:lang w:val="en-GB"/>
        </w:rPr>
        <w:t>B.S. Elbersen</w:t>
      </w:r>
      <w:r w:rsidRPr="00C87106">
        <w:rPr>
          <w:rFonts w:eastAsia="MS Mincho"/>
          <w:vertAlign w:val="superscript"/>
          <w:lang w:val="en-GB"/>
        </w:rPr>
        <w:t>6</w:t>
      </w:r>
      <w:r w:rsidRPr="00C87106">
        <w:rPr>
          <w:rFonts w:eastAsia="MS Mincho"/>
          <w:lang w:val="en-GB"/>
        </w:rPr>
        <w:t>, A. Brosowski</w:t>
      </w:r>
      <w:r w:rsidR="008A3CC2" w:rsidRPr="00C87106">
        <w:rPr>
          <w:rFonts w:eastAsia="MS Mincho"/>
          <w:vertAlign w:val="superscript"/>
          <w:lang w:val="en-GB"/>
        </w:rPr>
        <w:t>7</w:t>
      </w:r>
      <w:r w:rsidR="00F1648B" w:rsidRPr="00C87106">
        <w:rPr>
          <w:rFonts w:eastAsia="MS Mincho"/>
          <w:lang w:val="en-GB"/>
        </w:rPr>
        <w:t>,</w:t>
      </w:r>
      <w:r w:rsidR="00F1648B" w:rsidRPr="00C87106">
        <w:rPr>
          <w:lang w:val="en-GB"/>
        </w:rPr>
        <w:t xml:space="preserve"> </w:t>
      </w:r>
      <w:r w:rsidR="00F1648B" w:rsidRPr="00C87106">
        <w:rPr>
          <w:rFonts w:eastAsia="MS Mincho"/>
          <w:lang w:val="en-GB"/>
        </w:rPr>
        <w:t>D. Thrän</w:t>
      </w:r>
      <w:r w:rsidR="00F1648B" w:rsidRPr="00C87106">
        <w:rPr>
          <w:rFonts w:eastAsia="MS Mincho"/>
          <w:vertAlign w:val="superscript"/>
          <w:lang w:val="en-GB"/>
        </w:rPr>
        <w:t>8</w:t>
      </w:r>
    </w:p>
    <w:p w14:paraId="433940AB" w14:textId="1D2280FF" w:rsidR="00A06CBB" w:rsidRPr="00A13DF5" w:rsidRDefault="00A06CBB" w:rsidP="00A06CBB">
      <w:pPr>
        <w:pStyle w:val="Affiliation"/>
        <w:rPr>
          <w:rFonts w:eastAsia="MS Mincho"/>
          <w:lang w:val="en-GB"/>
        </w:rPr>
      </w:pPr>
      <w:r w:rsidRPr="00921937">
        <w:rPr>
          <w:rFonts w:eastAsia="MS Mincho"/>
          <w:position w:val="6"/>
          <w:sz w:val="14"/>
          <w:lang w:val="en-GB"/>
        </w:rPr>
        <w:t>1</w:t>
      </w:r>
      <w:r w:rsidR="00A13DF5">
        <w:rPr>
          <w:rFonts w:eastAsia="MS Mincho"/>
          <w:position w:val="6"/>
          <w:sz w:val="14"/>
          <w:lang w:val="en-GB"/>
        </w:rPr>
        <w:t>a</w:t>
      </w:r>
      <w:r w:rsidRPr="00921937">
        <w:rPr>
          <w:rFonts w:eastAsia="MS Mincho"/>
          <w:lang w:val="en-GB"/>
        </w:rPr>
        <w:t xml:space="preserve"> </w:t>
      </w:r>
      <w:r w:rsidR="00872453" w:rsidRPr="00872453">
        <w:rPr>
          <w:rFonts w:eastAsia="MS Mincho"/>
          <w:lang w:val="en-GB"/>
        </w:rPr>
        <w:t>European Commission, Joint Research Centre, Westerduinweg 3, NL-1755LE, Petten, The Netherlands</w:t>
      </w:r>
      <w:r w:rsidR="00A13DF5" w:rsidRPr="00A13DF5">
        <w:rPr>
          <w:rFonts w:eastAsia="MS Mincho"/>
          <w:lang w:val="en-GB"/>
        </w:rPr>
        <w:t xml:space="preserve"> </w:t>
      </w:r>
    </w:p>
    <w:p w14:paraId="0672BDC9" w14:textId="1F37D9AF" w:rsidR="00A06CBB" w:rsidRPr="00A13DF5" w:rsidRDefault="00A06CBB" w:rsidP="00A06CBB">
      <w:pPr>
        <w:pStyle w:val="Affiliation"/>
        <w:rPr>
          <w:rStyle w:val="Hyperlink"/>
          <w:rFonts w:eastAsia="MS Mincho"/>
          <w:lang w:val="en-GB"/>
        </w:rPr>
      </w:pPr>
      <w:r w:rsidRPr="00871F74">
        <w:rPr>
          <w:rFonts w:eastAsia="MS Mincho"/>
          <w:lang w:val="en-GB"/>
        </w:rPr>
        <w:t>pablo.ruiz-castello@ec.europa.eu</w:t>
      </w:r>
      <w:r w:rsidRPr="00A13DF5">
        <w:rPr>
          <w:rFonts w:eastAsia="MS Mincho"/>
          <w:lang w:val="en-GB"/>
        </w:rPr>
        <w:t xml:space="preserve"> </w:t>
      </w:r>
    </w:p>
    <w:p w14:paraId="7AE77D71" w14:textId="26A5B56E" w:rsidR="00C4532E" w:rsidRPr="00921937" w:rsidRDefault="00C4532E" w:rsidP="00A06CBB">
      <w:pPr>
        <w:pStyle w:val="Affiliation"/>
        <w:rPr>
          <w:rFonts w:eastAsia="MS Mincho"/>
          <w:lang w:val="en-GB"/>
        </w:rPr>
      </w:pPr>
      <w:r w:rsidRPr="00921937">
        <w:rPr>
          <w:rFonts w:eastAsia="MS Mincho"/>
          <w:position w:val="6"/>
          <w:sz w:val="14"/>
          <w:lang w:val="en-GB"/>
        </w:rPr>
        <w:t xml:space="preserve">1b </w:t>
      </w:r>
      <w:r w:rsidR="00872453" w:rsidRPr="00872453">
        <w:rPr>
          <w:rFonts w:eastAsia="MS Mincho"/>
          <w:lang w:val="en-GB"/>
        </w:rPr>
        <w:t>European Commission, Joint Research Centre (JRC), Ispra, Italy</w:t>
      </w:r>
      <w:r w:rsidR="00D969A6">
        <w:rPr>
          <w:rFonts w:eastAsia="MS Mincho"/>
          <w:lang w:val="en-GB"/>
        </w:rPr>
        <w:t>.</w:t>
      </w:r>
    </w:p>
    <w:p w14:paraId="0DA907C0" w14:textId="1508E737" w:rsidR="00A06CBB" w:rsidRPr="00921937" w:rsidRDefault="00A06CBB" w:rsidP="00A06CBB">
      <w:pPr>
        <w:pStyle w:val="Affiliation"/>
        <w:rPr>
          <w:rFonts w:eastAsia="MS Mincho"/>
          <w:lang w:val="en-GB"/>
        </w:rPr>
      </w:pPr>
      <w:r w:rsidRPr="00921937">
        <w:rPr>
          <w:rFonts w:eastAsia="MS Mincho"/>
          <w:vertAlign w:val="superscript"/>
          <w:lang w:val="en-GB"/>
        </w:rPr>
        <w:t>2</w:t>
      </w:r>
      <w:r w:rsidR="00726E19">
        <w:rPr>
          <w:rFonts w:eastAsia="MS Mincho"/>
          <w:lang w:val="en-GB"/>
        </w:rPr>
        <w:t>German Aerospace Cent</w:t>
      </w:r>
      <w:r w:rsidRPr="00921937">
        <w:rPr>
          <w:rFonts w:eastAsia="MS Mincho"/>
          <w:lang w:val="en-GB"/>
        </w:rPr>
        <w:t>r</w:t>
      </w:r>
      <w:r w:rsidR="00726E19">
        <w:rPr>
          <w:rFonts w:eastAsia="MS Mincho"/>
          <w:lang w:val="en-GB"/>
        </w:rPr>
        <w:t>e</w:t>
      </w:r>
      <w:r w:rsidRPr="00921937">
        <w:rPr>
          <w:rFonts w:eastAsia="MS Mincho"/>
          <w:lang w:val="en-GB"/>
        </w:rPr>
        <w:t xml:space="preserve">, Institute of Engineering Thermodynamics, Department of Systems Analysis and Technology Assessment, Stuttgart, Germany </w:t>
      </w:r>
      <w:r w:rsidRPr="00921937">
        <w:rPr>
          <w:rFonts w:eastAsia="MS Mincho"/>
          <w:lang w:val="en-GB"/>
        </w:rPr>
        <w:br/>
      </w:r>
      <w:r w:rsidRPr="00921937">
        <w:rPr>
          <w:rFonts w:eastAsia="MS Mincho"/>
          <w:vertAlign w:val="superscript"/>
          <w:lang w:val="en-GB"/>
        </w:rPr>
        <w:t>3</w:t>
      </w:r>
      <w:r w:rsidRPr="00921937">
        <w:rPr>
          <w:rFonts w:eastAsia="MS Mincho"/>
          <w:lang w:val="en-GB"/>
        </w:rPr>
        <w:t>Energy Transition Studies, ECN part of TNO, Amsterdam, The Netherlands</w:t>
      </w:r>
    </w:p>
    <w:p w14:paraId="5DB619F9" w14:textId="77777777" w:rsidR="00A06CBB" w:rsidRPr="00921937" w:rsidRDefault="00A06CBB" w:rsidP="00A06CBB">
      <w:pPr>
        <w:pStyle w:val="Affiliation"/>
        <w:rPr>
          <w:rFonts w:eastAsia="MS Mincho"/>
          <w:lang w:val="en-GB"/>
        </w:rPr>
      </w:pPr>
      <w:r w:rsidRPr="00921937">
        <w:rPr>
          <w:rFonts w:eastAsia="MS Mincho"/>
          <w:vertAlign w:val="superscript"/>
          <w:lang w:val="en-GB"/>
        </w:rPr>
        <w:t>4</w:t>
      </w:r>
      <w:r w:rsidRPr="00921937">
        <w:rPr>
          <w:rFonts w:eastAsia="MS Mincho"/>
          <w:lang w:val="en-GB"/>
        </w:rPr>
        <w:t>Paul Scherrer Institute (PSI), Laboratory for Energy systems Analysis, Switzerland</w:t>
      </w:r>
    </w:p>
    <w:p w14:paraId="1DDBCBAB" w14:textId="77777777" w:rsidR="00A06CBB" w:rsidRPr="00921937" w:rsidRDefault="00A06CBB" w:rsidP="00A06CBB">
      <w:pPr>
        <w:pStyle w:val="Affiliation"/>
        <w:rPr>
          <w:rFonts w:eastAsia="MS Mincho"/>
          <w:lang w:val="en-GB"/>
        </w:rPr>
      </w:pPr>
      <w:r w:rsidRPr="00921937">
        <w:rPr>
          <w:rFonts w:eastAsia="MS Mincho"/>
          <w:vertAlign w:val="superscript"/>
          <w:lang w:val="en-GB"/>
        </w:rPr>
        <w:t>5</w:t>
      </w:r>
      <w:r w:rsidRPr="00921937">
        <w:rPr>
          <w:rFonts w:eastAsia="MS Mincho"/>
          <w:lang w:val="en-GB"/>
        </w:rPr>
        <w:t>DTU Wind Energy, Technical University of Denmark, Roskilde, Denmark</w:t>
      </w:r>
    </w:p>
    <w:p w14:paraId="5368EE0A" w14:textId="77777777" w:rsidR="00A06CBB" w:rsidRPr="00921937" w:rsidRDefault="00A06CBB" w:rsidP="00A06CBB">
      <w:pPr>
        <w:pStyle w:val="Affiliation"/>
        <w:rPr>
          <w:rFonts w:eastAsia="MS Mincho"/>
          <w:lang w:val="en-GB"/>
        </w:rPr>
      </w:pPr>
      <w:r w:rsidRPr="00921937">
        <w:rPr>
          <w:rFonts w:eastAsia="MS Mincho"/>
          <w:vertAlign w:val="superscript"/>
          <w:lang w:val="en-GB"/>
        </w:rPr>
        <w:t>6</w:t>
      </w:r>
      <w:r w:rsidRPr="00921937">
        <w:rPr>
          <w:rFonts w:eastAsia="MS Mincho"/>
          <w:lang w:val="en-GB"/>
        </w:rPr>
        <w:t>Wageningen Environmental Research (Alterra), Wageningen University, The Netherlands</w:t>
      </w:r>
    </w:p>
    <w:p w14:paraId="176D8917" w14:textId="77777777" w:rsidR="00A06CBB" w:rsidRPr="00921937" w:rsidRDefault="00A06CBB" w:rsidP="00A06CBB">
      <w:pPr>
        <w:pStyle w:val="Affiliation"/>
        <w:rPr>
          <w:rFonts w:eastAsia="MS Mincho"/>
          <w:lang w:val="en-GB"/>
        </w:rPr>
      </w:pPr>
      <w:r w:rsidRPr="00921937">
        <w:rPr>
          <w:rFonts w:eastAsia="MS Mincho"/>
          <w:vertAlign w:val="superscript"/>
          <w:lang w:val="en-GB"/>
        </w:rPr>
        <w:t>7</w:t>
      </w:r>
      <w:r w:rsidRPr="00921937">
        <w:rPr>
          <w:rFonts w:eastAsia="MS Mincho"/>
          <w:lang w:val="en-GB"/>
        </w:rPr>
        <w:t>German Biomass Research Centre (DBFZ), Leipzig, Germany</w:t>
      </w:r>
    </w:p>
    <w:p w14:paraId="4FDBBCFB" w14:textId="77777777" w:rsidR="00F1648B" w:rsidRDefault="00945726" w:rsidP="00F1648B">
      <w:pPr>
        <w:pStyle w:val="Affiliation"/>
        <w:rPr>
          <w:rFonts w:eastAsia="MS Mincho"/>
          <w:lang w:val="en-GB"/>
        </w:rPr>
      </w:pPr>
      <w:r w:rsidRPr="00921937">
        <w:rPr>
          <w:rFonts w:eastAsia="MS Mincho"/>
          <w:vertAlign w:val="superscript"/>
          <w:lang w:val="en-GB"/>
        </w:rPr>
        <w:t>8</w:t>
      </w:r>
      <w:r w:rsidR="00F1648B" w:rsidRPr="00921937">
        <w:rPr>
          <w:rFonts w:eastAsia="MS Mincho"/>
          <w:lang w:val="en-GB"/>
        </w:rPr>
        <w:t>Helmholtz Centre of Environmental Research (UFZ), Leipzig, Germany</w:t>
      </w:r>
    </w:p>
    <w:p w14:paraId="67504285" w14:textId="77777777" w:rsidR="00D30C01" w:rsidRPr="00921937" w:rsidRDefault="00D30C01" w:rsidP="00F1648B">
      <w:pPr>
        <w:pStyle w:val="Affiliation"/>
        <w:rPr>
          <w:rFonts w:eastAsia="MS Mincho"/>
          <w:lang w:val="en-GB"/>
        </w:rPr>
      </w:pPr>
    </w:p>
    <w:p w14:paraId="3B70E114" w14:textId="77777777" w:rsidR="00D30C01" w:rsidRDefault="00D30C01" w:rsidP="00D30C01">
      <w:pPr>
        <w:pStyle w:val="Heading1"/>
      </w:pPr>
      <w:r w:rsidRPr="00C61D6E">
        <w:t>Supplementary data</w:t>
      </w:r>
    </w:p>
    <w:p w14:paraId="25E60095" w14:textId="77777777" w:rsidR="000D6FFF" w:rsidRPr="000D6FFF" w:rsidRDefault="000D6FFF" w:rsidP="000D6FFF"/>
    <w:p w14:paraId="33B8112A" w14:textId="7EB8EC33" w:rsidR="004E5B7B" w:rsidRPr="00C61D6E" w:rsidRDefault="002A0498" w:rsidP="004E5B7B">
      <w:pPr>
        <w:pStyle w:val="Heading2"/>
      </w:pPr>
      <w:r>
        <w:t>Time</w:t>
      </w:r>
      <w:r w:rsidR="004E5B7B" w:rsidRPr="00C61D6E">
        <w:t>slices structure</w:t>
      </w:r>
      <w:r w:rsidR="00C92B2A">
        <w:t xml:space="preserve"> used for solar</w:t>
      </w:r>
    </w:p>
    <w:p w14:paraId="37774C2E" w14:textId="0754D14F" w:rsidR="004E5B7B" w:rsidRPr="00724076" w:rsidRDefault="004E5B7B" w:rsidP="00724076">
      <w:pPr>
        <w:pStyle w:val="JRCTabletitle"/>
      </w:pPr>
      <w:bookmarkStart w:id="0" w:name="_Ref501545700"/>
      <w:bookmarkStart w:id="1" w:name="_Toc509218678"/>
      <w:r w:rsidRPr="00724076">
        <w:t xml:space="preserve">Table </w:t>
      </w:r>
      <w:r w:rsidR="009575E9">
        <w:rPr>
          <w:noProof/>
        </w:rPr>
        <w:t>2</w:t>
      </w:r>
      <w:bookmarkEnd w:id="0"/>
      <w:r w:rsidRPr="00724076">
        <w:t>. Day time D (day), N (night), P (peak) as a function of the season</w:t>
      </w:r>
      <w:bookmarkEnd w:id="1"/>
    </w:p>
    <w:tbl>
      <w:tblPr>
        <w:tblStyle w:val="LightShading"/>
        <w:tblW w:w="3699" w:type="pct"/>
        <w:tblLook w:val="06A0" w:firstRow="1" w:lastRow="0" w:firstColumn="1" w:lastColumn="0" w:noHBand="1" w:noVBand="1"/>
      </w:tblPr>
      <w:tblGrid>
        <w:gridCol w:w="1374"/>
        <w:gridCol w:w="1374"/>
        <w:gridCol w:w="1374"/>
        <w:gridCol w:w="1374"/>
        <w:gridCol w:w="1374"/>
      </w:tblGrid>
      <w:tr w:rsidR="004E5B7B" w:rsidRPr="000D6FFF" w14:paraId="276270A2" w14:textId="77777777" w:rsidTr="000D6FFF">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76B244F8"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Hour of day</w:t>
            </w:r>
          </w:p>
        </w:tc>
        <w:tc>
          <w:tcPr>
            <w:tcW w:w="1000" w:type="pct"/>
            <w:noWrap/>
            <w:hideMark/>
          </w:tcPr>
          <w:p w14:paraId="300CCA24" w14:textId="77777777" w:rsidR="004E5B7B" w:rsidRPr="000D6FFF" w:rsidRDefault="004E5B7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Spring</w:t>
            </w:r>
          </w:p>
        </w:tc>
        <w:tc>
          <w:tcPr>
            <w:tcW w:w="1000" w:type="pct"/>
            <w:noWrap/>
            <w:hideMark/>
          </w:tcPr>
          <w:p w14:paraId="75B39E37" w14:textId="77777777" w:rsidR="004E5B7B" w:rsidRPr="000D6FFF" w:rsidRDefault="004E5B7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Summer</w:t>
            </w:r>
          </w:p>
        </w:tc>
        <w:tc>
          <w:tcPr>
            <w:tcW w:w="1000" w:type="pct"/>
            <w:noWrap/>
            <w:hideMark/>
          </w:tcPr>
          <w:p w14:paraId="06C9ADB4" w14:textId="77777777" w:rsidR="004E5B7B" w:rsidRPr="000D6FFF" w:rsidRDefault="004E5B7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Fall</w:t>
            </w:r>
          </w:p>
        </w:tc>
        <w:tc>
          <w:tcPr>
            <w:tcW w:w="1000" w:type="pct"/>
            <w:noWrap/>
            <w:hideMark/>
          </w:tcPr>
          <w:p w14:paraId="0219807A" w14:textId="77777777" w:rsidR="004E5B7B" w:rsidRPr="000D6FFF" w:rsidRDefault="004E5B7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Winter</w:t>
            </w:r>
          </w:p>
        </w:tc>
      </w:tr>
      <w:tr w:rsidR="004E5B7B" w:rsidRPr="000D6FFF" w14:paraId="39D14E70"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0687C60F"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w:t>
            </w:r>
          </w:p>
        </w:tc>
        <w:tc>
          <w:tcPr>
            <w:tcW w:w="1000" w:type="pct"/>
            <w:noWrap/>
            <w:hideMark/>
          </w:tcPr>
          <w:p w14:paraId="21C5D15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3CFCD0A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49DE16B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68199E0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294D31C5"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DBADFE0"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2</w:t>
            </w:r>
          </w:p>
        </w:tc>
        <w:tc>
          <w:tcPr>
            <w:tcW w:w="1000" w:type="pct"/>
            <w:noWrap/>
            <w:hideMark/>
          </w:tcPr>
          <w:p w14:paraId="752B6F4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1E5843D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3B2F7B8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27A2BD8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0B88927C"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17B0A9E"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3</w:t>
            </w:r>
          </w:p>
        </w:tc>
        <w:tc>
          <w:tcPr>
            <w:tcW w:w="1000" w:type="pct"/>
            <w:noWrap/>
            <w:hideMark/>
          </w:tcPr>
          <w:p w14:paraId="3852FDC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62DEA5D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128D0E3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4865FC3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2DC9542A"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16858BF"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4</w:t>
            </w:r>
          </w:p>
        </w:tc>
        <w:tc>
          <w:tcPr>
            <w:tcW w:w="1000" w:type="pct"/>
            <w:noWrap/>
            <w:hideMark/>
          </w:tcPr>
          <w:p w14:paraId="6B21459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76789B02"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0BDF890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19996BC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68981CF9"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FAEAE0B"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5</w:t>
            </w:r>
          </w:p>
        </w:tc>
        <w:tc>
          <w:tcPr>
            <w:tcW w:w="1000" w:type="pct"/>
            <w:noWrap/>
            <w:hideMark/>
          </w:tcPr>
          <w:p w14:paraId="0B57AD3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3D9D134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4DF9BE7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010CF17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1056BD5D"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E9C65E2"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6</w:t>
            </w:r>
          </w:p>
        </w:tc>
        <w:tc>
          <w:tcPr>
            <w:tcW w:w="1000" w:type="pct"/>
            <w:noWrap/>
            <w:hideMark/>
          </w:tcPr>
          <w:p w14:paraId="40FD63D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53EC400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2960BE8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7F7A428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040AB72D"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6AAB528D"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7</w:t>
            </w:r>
          </w:p>
        </w:tc>
        <w:tc>
          <w:tcPr>
            <w:tcW w:w="1000" w:type="pct"/>
            <w:noWrap/>
            <w:hideMark/>
          </w:tcPr>
          <w:p w14:paraId="498AED26"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71B8A34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535D61F1"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40833165"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0BB1BA94"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A21F7C4"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8</w:t>
            </w:r>
          </w:p>
        </w:tc>
        <w:tc>
          <w:tcPr>
            <w:tcW w:w="1000" w:type="pct"/>
            <w:noWrap/>
            <w:hideMark/>
          </w:tcPr>
          <w:p w14:paraId="742AD971"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2AE4A995"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214A716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3FED3FB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47984CF7"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C4F7F9B"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9</w:t>
            </w:r>
          </w:p>
        </w:tc>
        <w:tc>
          <w:tcPr>
            <w:tcW w:w="1000" w:type="pct"/>
            <w:noWrap/>
            <w:hideMark/>
          </w:tcPr>
          <w:p w14:paraId="50DF2DD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CEF0E8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A0C9D45"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70FA2632"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1DA12192"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8CD82DD"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10</w:t>
            </w:r>
          </w:p>
        </w:tc>
        <w:tc>
          <w:tcPr>
            <w:tcW w:w="1000" w:type="pct"/>
            <w:noWrap/>
            <w:hideMark/>
          </w:tcPr>
          <w:p w14:paraId="3F2217A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9F314F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D77849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0D269EA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3AB6E8AF"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49919AA8"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11</w:t>
            </w:r>
          </w:p>
        </w:tc>
        <w:tc>
          <w:tcPr>
            <w:tcW w:w="1000" w:type="pct"/>
            <w:noWrap/>
            <w:hideMark/>
          </w:tcPr>
          <w:p w14:paraId="71E6F6D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4498B82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31DE6BFE"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3CE1BA5A"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77B319E3"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6096130"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12</w:t>
            </w:r>
          </w:p>
        </w:tc>
        <w:tc>
          <w:tcPr>
            <w:tcW w:w="1000" w:type="pct"/>
            <w:noWrap/>
            <w:hideMark/>
          </w:tcPr>
          <w:p w14:paraId="00E2193A"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7CEE6EAE"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w:t>
            </w:r>
          </w:p>
        </w:tc>
        <w:tc>
          <w:tcPr>
            <w:tcW w:w="1000" w:type="pct"/>
            <w:noWrap/>
            <w:hideMark/>
          </w:tcPr>
          <w:p w14:paraId="6218F448"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7260694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0F2B18DE"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CF4FEB2"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13</w:t>
            </w:r>
          </w:p>
        </w:tc>
        <w:tc>
          <w:tcPr>
            <w:tcW w:w="1000" w:type="pct"/>
            <w:noWrap/>
            <w:hideMark/>
          </w:tcPr>
          <w:p w14:paraId="4DDBB56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00CBEA5F"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29EAF4D6"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35BF83A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59DDE22B"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0365C170"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14</w:t>
            </w:r>
          </w:p>
        </w:tc>
        <w:tc>
          <w:tcPr>
            <w:tcW w:w="1000" w:type="pct"/>
            <w:noWrap/>
            <w:hideMark/>
          </w:tcPr>
          <w:p w14:paraId="71BA8F6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D1D02BF"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7CFF0B1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5F584F0F"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26982872"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03A5ECB"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15</w:t>
            </w:r>
          </w:p>
        </w:tc>
        <w:tc>
          <w:tcPr>
            <w:tcW w:w="1000" w:type="pct"/>
            <w:noWrap/>
            <w:hideMark/>
          </w:tcPr>
          <w:p w14:paraId="4A535D0C"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7B25844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694F84D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2AA8BE45"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3930072B"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6546CEA"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16</w:t>
            </w:r>
          </w:p>
        </w:tc>
        <w:tc>
          <w:tcPr>
            <w:tcW w:w="1000" w:type="pct"/>
            <w:noWrap/>
            <w:hideMark/>
          </w:tcPr>
          <w:p w14:paraId="5FE31C21"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26BB170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726E1BE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0530B8D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525D398D"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028FC827"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17</w:t>
            </w:r>
          </w:p>
        </w:tc>
        <w:tc>
          <w:tcPr>
            <w:tcW w:w="1000" w:type="pct"/>
            <w:noWrap/>
            <w:hideMark/>
          </w:tcPr>
          <w:p w14:paraId="60FE373D"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39A0C6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7DADC2F"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423DA7DA"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1DEC5CBE"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5D75AA84"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18</w:t>
            </w:r>
          </w:p>
        </w:tc>
        <w:tc>
          <w:tcPr>
            <w:tcW w:w="1000" w:type="pct"/>
            <w:noWrap/>
            <w:hideMark/>
          </w:tcPr>
          <w:p w14:paraId="061B710F"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65CCFD86"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0426FCE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66C13A74"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55A17430"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0FAEAE62"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19</w:t>
            </w:r>
          </w:p>
        </w:tc>
        <w:tc>
          <w:tcPr>
            <w:tcW w:w="1000" w:type="pct"/>
            <w:noWrap/>
            <w:hideMark/>
          </w:tcPr>
          <w:p w14:paraId="3B64926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1C51917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0045B15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0CAFF6F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r>
      <w:tr w:rsidR="004E5B7B" w:rsidRPr="000D6FFF" w14:paraId="46633367"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2DF3283A"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20</w:t>
            </w:r>
          </w:p>
        </w:tc>
        <w:tc>
          <w:tcPr>
            <w:tcW w:w="1000" w:type="pct"/>
            <w:noWrap/>
            <w:hideMark/>
          </w:tcPr>
          <w:p w14:paraId="645AF89C"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w:t>
            </w:r>
          </w:p>
        </w:tc>
        <w:tc>
          <w:tcPr>
            <w:tcW w:w="1000" w:type="pct"/>
            <w:noWrap/>
            <w:hideMark/>
          </w:tcPr>
          <w:p w14:paraId="110053B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w:t>
            </w:r>
          </w:p>
        </w:tc>
        <w:tc>
          <w:tcPr>
            <w:tcW w:w="1000" w:type="pct"/>
            <w:noWrap/>
            <w:hideMark/>
          </w:tcPr>
          <w:p w14:paraId="54983B31"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w:t>
            </w:r>
          </w:p>
        </w:tc>
        <w:tc>
          <w:tcPr>
            <w:tcW w:w="1000" w:type="pct"/>
            <w:noWrap/>
            <w:hideMark/>
          </w:tcPr>
          <w:p w14:paraId="6F23AAFA"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w:t>
            </w:r>
          </w:p>
        </w:tc>
      </w:tr>
      <w:tr w:rsidR="004E5B7B" w:rsidRPr="000D6FFF" w14:paraId="02E22E40"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66B7D68D"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21</w:t>
            </w:r>
          </w:p>
        </w:tc>
        <w:tc>
          <w:tcPr>
            <w:tcW w:w="1000" w:type="pct"/>
            <w:noWrap/>
            <w:hideMark/>
          </w:tcPr>
          <w:p w14:paraId="35AEBAC9"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0B40898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45E82DEC"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77368D93"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1765159B"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3A150BD1"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22</w:t>
            </w:r>
          </w:p>
        </w:tc>
        <w:tc>
          <w:tcPr>
            <w:tcW w:w="1000" w:type="pct"/>
            <w:noWrap/>
            <w:hideMark/>
          </w:tcPr>
          <w:p w14:paraId="54731E1A"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5F56BFBC"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1E06658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76723B9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283501F0"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BFA97A1"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23</w:t>
            </w:r>
          </w:p>
        </w:tc>
        <w:tc>
          <w:tcPr>
            <w:tcW w:w="1000" w:type="pct"/>
            <w:noWrap/>
            <w:hideMark/>
          </w:tcPr>
          <w:p w14:paraId="7797B76E"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1264DCCB"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4277058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6B1BE535"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r w:rsidR="004E5B7B" w:rsidRPr="000D6FFF" w14:paraId="0703F58C" w14:textId="77777777" w:rsidTr="000D6FFF">
        <w:trPr>
          <w:trHeight w:val="227"/>
        </w:trPr>
        <w:tc>
          <w:tcPr>
            <w:cnfStyle w:val="001000000000" w:firstRow="0" w:lastRow="0" w:firstColumn="1" w:lastColumn="0" w:oddVBand="0" w:evenVBand="0" w:oddHBand="0" w:evenHBand="0" w:firstRowFirstColumn="0" w:firstRowLastColumn="0" w:lastRowFirstColumn="0" w:lastRowLastColumn="0"/>
            <w:tcW w:w="1000" w:type="pct"/>
            <w:noWrap/>
            <w:hideMark/>
          </w:tcPr>
          <w:p w14:paraId="14982C62" w14:textId="77777777" w:rsidR="004E5B7B" w:rsidRPr="000D6FFF" w:rsidRDefault="004E5B7B" w:rsidP="00C73F6B">
            <w:pPr>
              <w:rPr>
                <w:rFonts w:asciiTheme="minorHAnsi" w:hAnsiTheme="minorHAnsi"/>
                <w:sz w:val="20"/>
                <w:szCs w:val="20"/>
              </w:rPr>
            </w:pPr>
            <w:r w:rsidRPr="000D6FFF">
              <w:rPr>
                <w:rFonts w:asciiTheme="minorHAnsi" w:hAnsiTheme="minorHAnsi"/>
                <w:sz w:val="20"/>
                <w:szCs w:val="20"/>
              </w:rPr>
              <w:t>24</w:t>
            </w:r>
          </w:p>
        </w:tc>
        <w:tc>
          <w:tcPr>
            <w:tcW w:w="1000" w:type="pct"/>
            <w:noWrap/>
            <w:hideMark/>
          </w:tcPr>
          <w:p w14:paraId="2CEB5710"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5B77C1C6"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1C51B547"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c>
          <w:tcPr>
            <w:tcW w:w="1000" w:type="pct"/>
            <w:noWrap/>
            <w:hideMark/>
          </w:tcPr>
          <w:p w14:paraId="05A4314C" w14:textId="77777777" w:rsidR="004E5B7B" w:rsidRPr="000D6FFF" w:rsidRDefault="004E5B7B"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w:t>
            </w:r>
          </w:p>
        </w:tc>
      </w:tr>
    </w:tbl>
    <w:p w14:paraId="3DEFB388" w14:textId="77777777" w:rsidR="004E5B7B" w:rsidRPr="00C61D6E" w:rsidRDefault="004E5B7B" w:rsidP="004E5B7B"/>
    <w:p w14:paraId="3D772933" w14:textId="77777777" w:rsidR="000D6FFF" w:rsidRDefault="000D6FFF">
      <w:pPr>
        <w:spacing w:before="120" w:after="200" w:line="276" w:lineRule="auto"/>
        <w:ind w:left="709" w:hanging="357"/>
        <w:jc w:val="both"/>
      </w:pPr>
      <w:r>
        <w:br w:type="page"/>
      </w:r>
    </w:p>
    <w:p w14:paraId="2FC740AC" w14:textId="03B12222" w:rsidR="00E64FFA" w:rsidRPr="00C61D6E" w:rsidRDefault="00A06B94" w:rsidP="00E72419">
      <w:pPr>
        <w:pStyle w:val="Heading2"/>
      </w:pPr>
      <w:r>
        <w:lastRenderedPageBreak/>
        <w:t>Assumed</w:t>
      </w:r>
      <w:r w:rsidR="00E72419" w:rsidRPr="00C61D6E">
        <w:t xml:space="preserve"> minimum distances to settlement</w:t>
      </w:r>
    </w:p>
    <w:p w14:paraId="0A08DF47" w14:textId="77777777" w:rsidR="00C73F6B" w:rsidRPr="00C61D6E" w:rsidRDefault="00C73F6B" w:rsidP="00C73F6B"/>
    <w:p w14:paraId="116A63A3" w14:textId="77777777" w:rsidR="00E72419" w:rsidRPr="00C61D6E" w:rsidRDefault="00E72419" w:rsidP="00E72419">
      <w:r w:rsidRPr="00C61D6E">
        <w:t>These distances can increase in the case of different turbine type/design (up to 2 times in case of height limitations). Having several turbines in one site could increase sound limited placement distance considerably.</w:t>
      </w:r>
    </w:p>
    <w:p w14:paraId="397D2A93" w14:textId="77777777" w:rsidR="00C2564B" w:rsidRPr="00C61D6E" w:rsidRDefault="00C2564B" w:rsidP="00E72419"/>
    <w:p w14:paraId="02E9104C" w14:textId="689AD4F8" w:rsidR="00663A49" w:rsidRPr="00B00B67" w:rsidRDefault="00E72419" w:rsidP="003F3126">
      <w:pPr>
        <w:pStyle w:val="Caption"/>
        <w:jc w:val="center"/>
      </w:pPr>
      <w:bookmarkStart w:id="2" w:name="_Ref501546719"/>
      <w:bookmarkStart w:id="3" w:name="_Toc509218673"/>
      <w:r w:rsidRPr="00724076">
        <w:t xml:space="preserve">Table </w:t>
      </w:r>
      <w:r w:rsidR="009575E9">
        <w:rPr>
          <w:noProof/>
        </w:rPr>
        <w:t>3</w:t>
      </w:r>
      <w:bookmarkEnd w:id="2"/>
      <w:r w:rsidRPr="00724076">
        <w:t>.</w:t>
      </w:r>
      <w:r w:rsidR="00A06B94" w:rsidRPr="00724076">
        <w:t xml:space="preserve"> Assumed</w:t>
      </w:r>
      <w:r w:rsidRPr="00724076">
        <w:t xml:space="preserve"> minimum distances to settlement, based on different size of wind turbines and other limitations.</w:t>
      </w:r>
      <w:bookmarkEnd w:id="3"/>
    </w:p>
    <w:tbl>
      <w:tblPr>
        <w:tblStyle w:val="LightShading"/>
        <w:tblW w:w="0" w:type="auto"/>
        <w:tblLook w:val="0620" w:firstRow="1" w:lastRow="0" w:firstColumn="0" w:lastColumn="0" w:noHBand="1" w:noVBand="1"/>
      </w:tblPr>
      <w:tblGrid>
        <w:gridCol w:w="1343"/>
        <w:gridCol w:w="797"/>
        <w:gridCol w:w="2457"/>
        <w:gridCol w:w="2431"/>
      </w:tblGrid>
      <w:tr w:rsidR="00E72419" w:rsidRPr="00C61D6E" w14:paraId="7EE1F2FA" w14:textId="77777777" w:rsidTr="00663A49">
        <w:trPr>
          <w:cnfStyle w:val="100000000000" w:firstRow="1" w:lastRow="0" w:firstColumn="0" w:lastColumn="0" w:oddVBand="0" w:evenVBand="0" w:oddHBand="0" w:evenHBand="0" w:firstRowFirstColumn="0" w:firstRowLastColumn="0" w:lastRowFirstColumn="0" w:lastRowLastColumn="0"/>
          <w:trHeight w:val="301"/>
        </w:trPr>
        <w:tc>
          <w:tcPr>
            <w:tcW w:w="0" w:type="auto"/>
            <w:noWrap/>
            <w:hideMark/>
          </w:tcPr>
          <w:p w14:paraId="4222ED28" w14:textId="77777777" w:rsidR="00E72419" w:rsidRPr="00C61D6E" w:rsidRDefault="00E72419" w:rsidP="00C73F6B"/>
        </w:tc>
        <w:tc>
          <w:tcPr>
            <w:tcW w:w="0" w:type="auto"/>
            <w:noWrap/>
            <w:hideMark/>
          </w:tcPr>
          <w:p w14:paraId="50F0DE31" w14:textId="77777777" w:rsidR="00E72419" w:rsidRPr="00C61D6E" w:rsidRDefault="00E72419" w:rsidP="00C73F6B"/>
        </w:tc>
        <w:tc>
          <w:tcPr>
            <w:tcW w:w="0" w:type="auto"/>
            <w:hideMark/>
          </w:tcPr>
          <w:p w14:paraId="4388D34B" w14:textId="77777777" w:rsidR="00E72419" w:rsidRPr="00C61D6E" w:rsidRDefault="00E72419" w:rsidP="00C73F6B">
            <w:r w:rsidRPr="00C61D6E">
              <w:t>Large Wind Turbines</w:t>
            </w:r>
          </w:p>
        </w:tc>
        <w:tc>
          <w:tcPr>
            <w:tcW w:w="0" w:type="auto"/>
            <w:hideMark/>
          </w:tcPr>
          <w:p w14:paraId="731EC7C0" w14:textId="77777777" w:rsidR="00E72419" w:rsidRPr="00C61D6E" w:rsidRDefault="00E72419" w:rsidP="00C73F6B">
            <w:r w:rsidRPr="00C61D6E">
              <w:t>Small Wind Turbines</w:t>
            </w:r>
          </w:p>
        </w:tc>
      </w:tr>
      <w:tr w:rsidR="00E72419" w:rsidRPr="00C61D6E" w14:paraId="3D1B33A2" w14:textId="77777777" w:rsidTr="00663A49">
        <w:trPr>
          <w:trHeight w:val="300"/>
        </w:trPr>
        <w:tc>
          <w:tcPr>
            <w:tcW w:w="0" w:type="auto"/>
            <w:noWrap/>
            <w:hideMark/>
          </w:tcPr>
          <w:p w14:paraId="3D33661E" w14:textId="77777777" w:rsidR="00E72419" w:rsidRPr="00C61D6E" w:rsidRDefault="00E72419" w:rsidP="00C73F6B"/>
        </w:tc>
        <w:tc>
          <w:tcPr>
            <w:tcW w:w="0" w:type="auto"/>
            <w:noWrap/>
            <w:hideMark/>
          </w:tcPr>
          <w:p w14:paraId="77E16C21" w14:textId="77777777" w:rsidR="00E72419" w:rsidRPr="00C61D6E" w:rsidRDefault="00E72419" w:rsidP="00C73F6B"/>
        </w:tc>
        <w:tc>
          <w:tcPr>
            <w:tcW w:w="0" w:type="auto"/>
            <w:noWrap/>
            <w:hideMark/>
          </w:tcPr>
          <w:p w14:paraId="1DFE2906" w14:textId="77777777" w:rsidR="00E72419" w:rsidRPr="00C61D6E" w:rsidRDefault="00E72419" w:rsidP="00C73F6B">
            <w:r w:rsidRPr="00C61D6E">
              <w:t>(m)</w:t>
            </w:r>
          </w:p>
        </w:tc>
        <w:tc>
          <w:tcPr>
            <w:tcW w:w="0" w:type="auto"/>
            <w:noWrap/>
            <w:hideMark/>
          </w:tcPr>
          <w:p w14:paraId="3A78888C" w14:textId="77777777" w:rsidR="00E72419" w:rsidRPr="00C61D6E" w:rsidRDefault="00E72419" w:rsidP="00C73F6B">
            <w:r w:rsidRPr="00C61D6E">
              <w:t>(m)</w:t>
            </w:r>
          </w:p>
        </w:tc>
      </w:tr>
      <w:tr w:rsidR="00E72419" w:rsidRPr="00C61D6E" w14:paraId="6C7AFB0A" w14:textId="77777777" w:rsidTr="00663A49">
        <w:trPr>
          <w:trHeight w:val="300"/>
        </w:trPr>
        <w:tc>
          <w:tcPr>
            <w:tcW w:w="0" w:type="auto"/>
            <w:noWrap/>
            <w:hideMark/>
          </w:tcPr>
          <w:p w14:paraId="5798A059" w14:textId="77777777" w:rsidR="00E72419" w:rsidRPr="00C61D6E" w:rsidRDefault="00E72419" w:rsidP="00C73F6B">
            <w:r w:rsidRPr="00C61D6E">
              <w:t>Noise</w:t>
            </w:r>
          </w:p>
        </w:tc>
        <w:tc>
          <w:tcPr>
            <w:tcW w:w="0" w:type="auto"/>
            <w:noWrap/>
            <w:hideMark/>
          </w:tcPr>
          <w:p w14:paraId="154C4FA6" w14:textId="77777777" w:rsidR="00E72419" w:rsidRPr="00C61D6E" w:rsidRDefault="00E72419" w:rsidP="00C73F6B">
            <w:r w:rsidRPr="00C61D6E">
              <w:t>45 dB</w:t>
            </w:r>
          </w:p>
        </w:tc>
        <w:tc>
          <w:tcPr>
            <w:tcW w:w="0" w:type="auto"/>
            <w:noWrap/>
            <w:hideMark/>
          </w:tcPr>
          <w:p w14:paraId="2B985A90" w14:textId="77777777" w:rsidR="00E72419" w:rsidRPr="00C61D6E" w:rsidRDefault="00E72419" w:rsidP="00C73F6B">
            <w:r w:rsidRPr="00C61D6E">
              <w:t>500</w:t>
            </w:r>
          </w:p>
        </w:tc>
        <w:tc>
          <w:tcPr>
            <w:tcW w:w="0" w:type="auto"/>
            <w:noWrap/>
            <w:hideMark/>
          </w:tcPr>
          <w:p w14:paraId="0ED71630" w14:textId="77777777" w:rsidR="00E72419" w:rsidRPr="00C61D6E" w:rsidRDefault="00E72419" w:rsidP="00C73F6B">
            <w:r w:rsidRPr="00C61D6E">
              <w:t>120</w:t>
            </w:r>
          </w:p>
        </w:tc>
      </w:tr>
      <w:tr w:rsidR="00E72419" w:rsidRPr="00C61D6E" w14:paraId="3F700783" w14:textId="77777777" w:rsidTr="00663A49">
        <w:trPr>
          <w:trHeight w:val="300"/>
        </w:trPr>
        <w:tc>
          <w:tcPr>
            <w:tcW w:w="0" w:type="auto"/>
            <w:noWrap/>
            <w:hideMark/>
          </w:tcPr>
          <w:p w14:paraId="44FD9309" w14:textId="77777777" w:rsidR="00E72419" w:rsidRPr="00C61D6E" w:rsidRDefault="00E72419" w:rsidP="00C73F6B"/>
        </w:tc>
        <w:tc>
          <w:tcPr>
            <w:tcW w:w="0" w:type="auto"/>
            <w:noWrap/>
            <w:hideMark/>
          </w:tcPr>
          <w:p w14:paraId="4EFEA965" w14:textId="77777777" w:rsidR="00E72419" w:rsidRPr="00C61D6E" w:rsidRDefault="00E72419" w:rsidP="00C73F6B">
            <w:r w:rsidRPr="00C61D6E">
              <w:t>40 dB</w:t>
            </w:r>
          </w:p>
        </w:tc>
        <w:tc>
          <w:tcPr>
            <w:tcW w:w="0" w:type="auto"/>
            <w:noWrap/>
            <w:hideMark/>
          </w:tcPr>
          <w:p w14:paraId="1AB55B77" w14:textId="77777777" w:rsidR="00E72419" w:rsidRPr="00C61D6E" w:rsidRDefault="00E72419" w:rsidP="00C73F6B">
            <w:r w:rsidRPr="00C61D6E">
              <w:t>700</w:t>
            </w:r>
          </w:p>
        </w:tc>
        <w:tc>
          <w:tcPr>
            <w:tcW w:w="0" w:type="auto"/>
            <w:noWrap/>
            <w:hideMark/>
          </w:tcPr>
          <w:p w14:paraId="3A829A8E" w14:textId="77777777" w:rsidR="00E72419" w:rsidRPr="00C61D6E" w:rsidRDefault="00E72419" w:rsidP="00C73F6B">
            <w:r w:rsidRPr="00C61D6E">
              <w:t>200</w:t>
            </w:r>
          </w:p>
        </w:tc>
      </w:tr>
      <w:tr w:rsidR="00E72419" w:rsidRPr="00C61D6E" w14:paraId="4FF46ECA" w14:textId="77777777" w:rsidTr="00663A49">
        <w:trPr>
          <w:trHeight w:val="300"/>
        </w:trPr>
        <w:tc>
          <w:tcPr>
            <w:tcW w:w="0" w:type="auto"/>
            <w:noWrap/>
            <w:hideMark/>
          </w:tcPr>
          <w:p w14:paraId="47DD02D5" w14:textId="77777777" w:rsidR="00E72419" w:rsidRPr="00C61D6E" w:rsidRDefault="00E72419" w:rsidP="00C73F6B">
            <w:r w:rsidRPr="00C61D6E">
              <w:t>Hub Height</w:t>
            </w:r>
          </w:p>
        </w:tc>
        <w:tc>
          <w:tcPr>
            <w:tcW w:w="0" w:type="auto"/>
            <w:noWrap/>
            <w:hideMark/>
          </w:tcPr>
          <w:p w14:paraId="04C281D8" w14:textId="77777777" w:rsidR="00E72419" w:rsidRPr="00C61D6E" w:rsidRDefault="00E72419" w:rsidP="00C73F6B">
            <w:r w:rsidRPr="00C61D6E">
              <w:t>1x</w:t>
            </w:r>
          </w:p>
        </w:tc>
        <w:tc>
          <w:tcPr>
            <w:tcW w:w="0" w:type="auto"/>
            <w:noWrap/>
            <w:hideMark/>
          </w:tcPr>
          <w:p w14:paraId="34FBF47D" w14:textId="77777777" w:rsidR="00E72419" w:rsidRPr="00C61D6E" w:rsidRDefault="00E72419" w:rsidP="00C73F6B">
            <w:r w:rsidRPr="00C61D6E">
              <w:t>80</w:t>
            </w:r>
          </w:p>
        </w:tc>
        <w:tc>
          <w:tcPr>
            <w:tcW w:w="0" w:type="auto"/>
            <w:noWrap/>
            <w:hideMark/>
          </w:tcPr>
          <w:p w14:paraId="40DF4204" w14:textId="77777777" w:rsidR="00E72419" w:rsidRPr="00C61D6E" w:rsidRDefault="00E72419" w:rsidP="00C73F6B">
            <w:r w:rsidRPr="00C61D6E">
              <w:t>35</w:t>
            </w:r>
          </w:p>
        </w:tc>
      </w:tr>
      <w:tr w:rsidR="00E72419" w:rsidRPr="00C61D6E" w14:paraId="4D25DB75" w14:textId="77777777" w:rsidTr="00663A49">
        <w:trPr>
          <w:trHeight w:val="300"/>
        </w:trPr>
        <w:tc>
          <w:tcPr>
            <w:tcW w:w="0" w:type="auto"/>
            <w:noWrap/>
            <w:hideMark/>
          </w:tcPr>
          <w:p w14:paraId="6F4B2554" w14:textId="77777777" w:rsidR="00E72419" w:rsidRPr="00C61D6E" w:rsidRDefault="00E72419" w:rsidP="00C73F6B">
            <w:r w:rsidRPr="00C61D6E">
              <w:t>Tip Height</w:t>
            </w:r>
          </w:p>
        </w:tc>
        <w:tc>
          <w:tcPr>
            <w:tcW w:w="0" w:type="auto"/>
            <w:noWrap/>
            <w:hideMark/>
          </w:tcPr>
          <w:p w14:paraId="30E40193" w14:textId="77777777" w:rsidR="00E72419" w:rsidRPr="00C61D6E" w:rsidRDefault="00E72419" w:rsidP="00C73F6B">
            <w:r w:rsidRPr="00C61D6E">
              <w:t>1x</w:t>
            </w:r>
          </w:p>
        </w:tc>
        <w:tc>
          <w:tcPr>
            <w:tcW w:w="0" w:type="auto"/>
            <w:noWrap/>
            <w:hideMark/>
          </w:tcPr>
          <w:p w14:paraId="361D3A32" w14:textId="77777777" w:rsidR="00E72419" w:rsidRPr="00C61D6E" w:rsidRDefault="00E72419" w:rsidP="00C73F6B">
            <w:r w:rsidRPr="00C61D6E">
              <w:t>125</w:t>
            </w:r>
          </w:p>
        </w:tc>
        <w:tc>
          <w:tcPr>
            <w:tcW w:w="0" w:type="auto"/>
            <w:noWrap/>
            <w:hideMark/>
          </w:tcPr>
          <w:p w14:paraId="1A4E692E" w14:textId="77777777" w:rsidR="00E72419" w:rsidRPr="00C61D6E" w:rsidRDefault="00E72419" w:rsidP="00C73F6B">
            <w:r w:rsidRPr="00C61D6E">
              <w:t>55</w:t>
            </w:r>
          </w:p>
        </w:tc>
      </w:tr>
      <w:tr w:rsidR="00E72419" w:rsidRPr="00C61D6E" w14:paraId="083CF0A6" w14:textId="77777777" w:rsidTr="00663A49">
        <w:trPr>
          <w:trHeight w:val="300"/>
        </w:trPr>
        <w:tc>
          <w:tcPr>
            <w:tcW w:w="0" w:type="auto"/>
            <w:noWrap/>
            <w:hideMark/>
          </w:tcPr>
          <w:p w14:paraId="4060F7DD" w14:textId="77777777" w:rsidR="00E72419" w:rsidRPr="00C61D6E" w:rsidRDefault="00E72419" w:rsidP="00C73F6B">
            <w:r w:rsidRPr="00C61D6E">
              <w:t>Hub Height</w:t>
            </w:r>
          </w:p>
        </w:tc>
        <w:tc>
          <w:tcPr>
            <w:tcW w:w="0" w:type="auto"/>
            <w:noWrap/>
            <w:hideMark/>
          </w:tcPr>
          <w:p w14:paraId="6311A363" w14:textId="77777777" w:rsidR="00E72419" w:rsidRPr="00C61D6E" w:rsidRDefault="00E72419" w:rsidP="00C73F6B">
            <w:r w:rsidRPr="00C61D6E">
              <w:t>4x</w:t>
            </w:r>
          </w:p>
        </w:tc>
        <w:tc>
          <w:tcPr>
            <w:tcW w:w="0" w:type="auto"/>
            <w:noWrap/>
            <w:hideMark/>
          </w:tcPr>
          <w:p w14:paraId="36B5FF75" w14:textId="77777777" w:rsidR="00E72419" w:rsidRPr="00C61D6E" w:rsidRDefault="00E72419" w:rsidP="00C73F6B">
            <w:r w:rsidRPr="00C61D6E">
              <w:t>320</w:t>
            </w:r>
          </w:p>
        </w:tc>
        <w:tc>
          <w:tcPr>
            <w:tcW w:w="0" w:type="auto"/>
            <w:noWrap/>
            <w:hideMark/>
          </w:tcPr>
          <w:p w14:paraId="7F15F3F5" w14:textId="77777777" w:rsidR="00E72419" w:rsidRPr="00C61D6E" w:rsidRDefault="00E72419" w:rsidP="00C73F6B">
            <w:r w:rsidRPr="00C61D6E">
              <w:t>140</w:t>
            </w:r>
          </w:p>
        </w:tc>
      </w:tr>
      <w:tr w:rsidR="00E72419" w:rsidRPr="00C61D6E" w14:paraId="627C98BE" w14:textId="77777777" w:rsidTr="00663A49">
        <w:trPr>
          <w:trHeight w:val="300"/>
        </w:trPr>
        <w:tc>
          <w:tcPr>
            <w:tcW w:w="0" w:type="auto"/>
            <w:noWrap/>
            <w:hideMark/>
          </w:tcPr>
          <w:p w14:paraId="24E8C07C" w14:textId="77777777" w:rsidR="00E72419" w:rsidRPr="00C61D6E" w:rsidRDefault="00E72419" w:rsidP="00C73F6B">
            <w:r w:rsidRPr="00C61D6E">
              <w:t>Tip Height</w:t>
            </w:r>
          </w:p>
        </w:tc>
        <w:tc>
          <w:tcPr>
            <w:tcW w:w="0" w:type="auto"/>
            <w:noWrap/>
            <w:hideMark/>
          </w:tcPr>
          <w:p w14:paraId="102D2706" w14:textId="77777777" w:rsidR="00E72419" w:rsidRPr="00C61D6E" w:rsidRDefault="00E72419" w:rsidP="00C73F6B">
            <w:r w:rsidRPr="00C61D6E">
              <w:t>4x</w:t>
            </w:r>
          </w:p>
        </w:tc>
        <w:tc>
          <w:tcPr>
            <w:tcW w:w="0" w:type="auto"/>
            <w:noWrap/>
            <w:hideMark/>
          </w:tcPr>
          <w:p w14:paraId="2F3EB9B8" w14:textId="77777777" w:rsidR="00E72419" w:rsidRPr="00C61D6E" w:rsidRDefault="00E72419" w:rsidP="00C73F6B">
            <w:r w:rsidRPr="00C61D6E">
              <w:t>500</w:t>
            </w:r>
          </w:p>
        </w:tc>
        <w:tc>
          <w:tcPr>
            <w:tcW w:w="0" w:type="auto"/>
            <w:noWrap/>
            <w:hideMark/>
          </w:tcPr>
          <w:p w14:paraId="14678596" w14:textId="77777777" w:rsidR="00E72419" w:rsidRPr="00C61D6E" w:rsidRDefault="00E72419" w:rsidP="00C73F6B">
            <w:r w:rsidRPr="00C61D6E">
              <w:t>220</w:t>
            </w:r>
          </w:p>
        </w:tc>
      </w:tr>
    </w:tbl>
    <w:p w14:paraId="0D14E7D9" w14:textId="77777777" w:rsidR="00D30C01" w:rsidRDefault="00D30C01" w:rsidP="00D30C01">
      <w:bookmarkStart w:id="4" w:name="_Toc509218675"/>
    </w:p>
    <w:p w14:paraId="54F79FFB" w14:textId="77777777" w:rsidR="00F55C1B" w:rsidRPr="00C61D6E" w:rsidRDefault="00F55C1B" w:rsidP="00F55C1B">
      <w:pPr>
        <w:pStyle w:val="Heading2"/>
      </w:pPr>
      <w:r w:rsidRPr="00C61D6E">
        <w:t>Offshore available area scenarios</w:t>
      </w:r>
    </w:p>
    <w:p w14:paraId="3AC13C32" w14:textId="77777777" w:rsidR="00F55C1B" w:rsidRPr="00C61D6E" w:rsidRDefault="00F55C1B" w:rsidP="00F55C1B"/>
    <w:p w14:paraId="222F261A" w14:textId="17F93197" w:rsidR="00F55C1B" w:rsidRPr="00C61D6E" w:rsidRDefault="00F55C1B" w:rsidP="00F55C1B">
      <w:r w:rsidRPr="00C61D6E">
        <w:t>The following table depicts the how the selected parameters are used to define the available area scenarios for wind offshore</w:t>
      </w:r>
      <w:r w:rsidR="00002394">
        <w:t>.</w:t>
      </w:r>
    </w:p>
    <w:p w14:paraId="05D5886B" w14:textId="77777777" w:rsidR="00F55C1B" w:rsidRPr="00C61D6E" w:rsidRDefault="00F55C1B" w:rsidP="00F55C1B"/>
    <w:p w14:paraId="6BDF2398" w14:textId="2DAB509E" w:rsidR="00CC7735" w:rsidRPr="00C61D6E" w:rsidRDefault="00F55C1B" w:rsidP="00F55C1B">
      <w:pPr>
        <w:pStyle w:val="Caption"/>
        <w:jc w:val="center"/>
      </w:pPr>
      <w:bookmarkStart w:id="5" w:name="_Ref523514660"/>
      <w:r w:rsidRPr="00C61D6E">
        <w:t xml:space="preserve">Table </w:t>
      </w:r>
      <w:r w:rsidR="009575E9">
        <w:rPr>
          <w:noProof/>
        </w:rPr>
        <w:t>4</w:t>
      </w:r>
      <w:bookmarkEnd w:id="5"/>
      <w:r w:rsidRPr="00C61D6E">
        <w:t xml:space="preserve">. </w:t>
      </w:r>
      <w:r w:rsidR="00CC7735" w:rsidRPr="00C61D6E">
        <w:t xml:space="preserve">Offshore wind </w:t>
      </w:r>
      <w:r w:rsidRPr="00C61D6E">
        <w:t xml:space="preserve">scenario definition </w:t>
      </w:r>
      <w:r w:rsidR="00CC7735" w:rsidRPr="00C61D6E">
        <w:t>parameters</w:t>
      </w:r>
      <w:bookmarkEnd w:id="4"/>
    </w:p>
    <w:tbl>
      <w:tblPr>
        <w:tblStyle w:val="LightShading"/>
        <w:tblW w:w="9288" w:type="dxa"/>
        <w:tblLayout w:type="fixed"/>
        <w:tblLook w:val="06A0" w:firstRow="1" w:lastRow="0" w:firstColumn="1" w:lastColumn="0" w:noHBand="1" w:noVBand="1"/>
      </w:tblPr>
      <w:tblGrid>
        <w:gridCol w:w="1915"/>
        <w:gridCol w:w="1170"/>
        <w:gridCol w:w="1134"/>
        <w:gridCol w:w="992"/>
        <w:gridCol w:w="4077"/>
      </w:tblGrid>
      <w:tr w:rsidR="00CC7735" w:rsidRPr="00964F73" w14:paraId="01936366" w14:textId="77777777" w:rsidTr="00663A4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6A657D4B"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Parameter</w:t>
            </w:r>
          </w:p>
        </w:tc>
        <w:tc>
          <w:tcPr>
            <w:tcW w:w="1170" w:type="dxa"/>
            <w:noWrap/>
            <w:hideMark/>
          </w:tcPr>
          <w:p w14:paraId="5284A8D8" w14:textId="77777777" w:rsidR="00CC7735" w:rsidRPr="00964F73" w:rsidRDefault="00F55C1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H</w:t>
            </w:r>
            <w:r w:rsidR="00CC7735" w:rsidRPr="00964F73">
              <w:rPr>
                <w:rFonts w:asciiTheme="minorHAnsi" w:hAnsiTheme="minorHAnsi"/>
                <w:sz w:val="20"/>
                <w:szCs w:val="20"/>
              </w:rPr>
              <w:t>igh</w:t>
            </w:r>
            <w:r w:rsidRPr="00964F73">
              <w:rPr>
                <w:rFonts w:asciiTheme="minorHAnsi" w:hAnsiTheme="minorHAnsi"/>
                <w:sz w:val="20"/>
                <w:szCs w:val="20"/>
              </w:rPr>
              <w:t xml:space="preserve"> scen</w:t>
            </w:r>
          </w:p>
        </w:tc>
        <w:tc>
          <w:tcPr>
            <w:tcW w:w="1134" w:type="dxa"/>
            <w:noWrap/>
            <w:hideMark/>
          </w:tcPr>
          <w:p w14:paraId="464E5750" w14:textId="77777777" w:rsidR="00CC7735" w:rsidRPr="00964F73" w:rsidRDefault="00F55C1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Low scen</w:t>
            </w:r>
          </w:p>
        </w:tc>
        <w:tc>
          <w:tcPr>
            <w:tcW w:w="992" w:type="dxa"/>
            <w:noWrap/>
            <w:hideMark/>
          </w:tcPr>
          <w:p w14:paraId="467860AB" w14:textId="77777777" w:rsidR="00CC7735" w:rsidRPr="00964F73" w:rsidRDefault="00F55C1B"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R</w:t>
            </w:r>
            <w:r w:rsidR="00CC7735" w:rsidRPr="00964F73">
              <w:rPr>
                <w:rFonts w:asciiTheme="minorHAnsi" w:hAnsiTheme="minorHAnsi"/>
                <w:sz w:val="20"/>
                <w:szCs w:val="20"/>
              </w:rPr>
              <w:t xml:space="preserve">ef </w:t>
            </w:r>
            <w:r w:rsidRPr="00964F73">
              <w:rPr>
                <w:rFonts w:asciiTheme="minorHAnsi" w:hAnsiTheme="minorHAnsi"/>
                <w:sz w:val="20"/>
                <w:szCs w:val="20"/>
              </w:rPr>
              <w:t>scen</w:t>
            </w:r>
          </w:p>
        </w:tc>
        <w:tc>
          <w:tcPr>
            <w:tcW w:w="4077" w:type="dxa"/>
            <w:noWrap/>
            <w:hideMark/>
          </w:tcPr>
          <w:p w14:paraId="13215A56" w14:textId="77777777" w:rsidR="00CC7735" w:rsidRPr="00964F73" w:rsidRDefault="00CC7735"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Comment</w:t>
            </w:r>
          </w:p>
        </w:tc>
      </w:tr>
      <w:tr w:rsidR="00CC7735" w:rsidRPr="00964F73" w14:paraId="4C72689F"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0E58DE7B"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Sea depth</w:t>
            </w:r>
          </w:p>
        </w:tc>
        <w:tc>
          <w:tcPr>
            <w:tcW w:w="1170" w:type="dxa"/>
            <w:noWrap/>
            <w:hideMark/>
          </w:tcPr>
          <w:p w14:paraId="025BBE6D" w14:textId="4A58AF10"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&lt; 100</w:t>
            </w:r>
            <w:r w:rsidR="00FA30B2" w:rsidRPr="00964F73">
              <w:rPr>
                <w:rFonts w:asciiTheme="minorHAnsi" w:hAnsiTheme="minorHAnsi"/>
                <w:sz w:val="20"/>
                <w:szCs w:val="20"/>
              </w:rPr>
              <w:t xml:space="preserve"> </w:t>
            </w:r>
            <w:r w:rsidRPr="00964F73">
              <w:rPr>
                <w:rFonts w:asciiTheme="minorHAnsi" w:hAnsiTheme="minorHAnsi"/>
                <w:sz w:val="20"/>
                <w:szCs w:val="20"/>
              </w:rPr>
              <w:t>m</w:t>
            </w:r>
          </w:p>
        </w:tc>
        <w:tc>
          <w:tcPr>
            <w:tcW w:w="1134" w:type="dxa"/>
            <w:noWrap/>
            <w:hideMark/>
          </w:tcPr>
          <w:p w14:paraId="14A4FAE2" w14:textId="4740E89B"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&lt; 50</w:t>
            </w:r>
            <w:r w:rsidR="00FA30B2" w:rsidRPr="00964F73">
              <w:rPr>
                <w:rFonts w:asciiTheme="minorHAnsi" w:hAnsiTheme="minorHAnsi"/>
                <w:sz w:val="20"/>
                <w:szCs w:val="20"/>
              </w:rPr>
              <w:t xml:space="preserve"> </w:t>
            </w:r>
            <w:r w:rsidRPr="00964F73">
              <w:rPr>
                <w:rFonts w:asciiTheme="minorHAnsi" w:hAnsiTheme="minorHAnsi"/>
                <w:sz w:val="20"/>
                <w:szCs w:val="20"/>
              </w:rPr>
              <w:t>m</w:t>
            </w:r>
          </w:p>
        </w:tc>
        <w:tc>
          <w:tcPr>
            <w:tcW w:w="992" w:type="dxa"/>
            <w:noWrap/>
            <w:hideMark/>
          </w:tcPr>
          <w:p w14:paraId="1839706F" w14:textId="20285C73"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&lt; 50</w:t>
            </w:r>
            <w:r w:rsidR="00FA30B2" w:rsidRPr="00964F73">
              <w:rPr>
                <w:rFonts w:asciiTheme="minorHAnsi" w:hAnsiTheme="minorHAnsi"/>
                <w:sz w:val="20"/>
                <w:szCs w:val="20"/>
              </w:rPr>
              <w:t xml:space="preserve"> </w:t>
            </w:r>
            <w:r w:rsidRPr="00964F73">
              <w:rPr>
                <w:rFonts w:asciiTheme="minorHAnsi" w:hAnsiTheme="minorHAnsi"/>
                <w:sz w:val="20"/>
                <w:szCs w:val="20"/>
              </w:rPr>
              <w:t>m</w:t>
            </w:r>
          </w:p>
        </w:tc>
        <w:tc>
          <w:tcPr>
            <w:tcW w:w="4077" w:type="dxa"/>
            <w:noWrap/>
            <w:hideMark/>
          </w:tcPr>
          <w:p w14:paraId="6E9B0742"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Based on the scenarios analysed in the WindSpeed project</w:t>
            </w:r>
          </w:p>
        </w:tc>
      </w:tr>
      <w:tr w:rsidR="00CC7735" w:rsidRPr="00964F73" w14:paraId="1CEA7FC1"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5C2484BC"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Shipping density (ships per year)</w:t>
            </w:r>
          </w:p>
        </w:tc>
        <w:tc>
          <w:tcPr>
            <w:tcW w:w="1170" w:type="dxa"/>
            <w:noWrap/>
            <w:hideMark/>
          </w:tcPr>
          <w:p w14:paraId="00050C7F"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&lt; 500</w:t>
            </w:r>
          </w:p>
        </w:tc>
        <w:tc>
          <w:tcPr>
            <w:tcW w:w="1134" w:type="dxa"/>
            <w:noWrap/>
            <w:hideMark/>
          </w:tcPr>
          <w:p w14:paraId="5CBD22B3" w14:textId="7E53435C"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&lt; 5</w:t>
            </w:r>
            <w:r w:rsidR="00643E3D" w:rsidRPr="00964F73">
              <w:rPr>
                <w:rFonts w:asciiTheme="minorHAnsi" w:hAnsiTheme="minorHAnsi"/>
                <w:sz w:val="20"/>
                <w:szCs w:val="20"/>
              </w:rPr>
              <w:t>,</w:t>
            </w:r>
            <w:r w:rsidRPr="00964F73">
              <w:rPr>
                <w:rFonts w:asciiTheme="minorHAnsi" w:hAnsiTheme="minorHAnsi"/>
                <w:sz w:val="20"/>
                <w:szCs w:val="20"/>
              </w:rPr>
              <w:t>000</w:t>
            </w:r>
          </w:p>
        </w:tc>
        <w:tc>
          <w:tcPr>
            <w:tcW w:w="992" w:type="dxa"/>
            <w:noWrap/>
            <w:hideMark/>
          </w:tcPr>
          <w:p w14:paraId="5EE92091" w14:textId="5B4C195B"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&lt; 1</w:t>
            </w:r>
            <w:r w:rsidR="00643E3D" w:rsidRPr="00964F73">
              <w:rPr>
                <w:rFonts w:asciiTheme="minorHAnsi" w:hAnsiTheme="minorHAnsi"/>
                <w:sz w:val="20"/>
                <w:szCs w:val="20"/>
              </w:rPr>
              <w:t>,</w:t>
            </w:r>
            <w:r w:rsidRPr="00964F73">
              <w:rPr>
                <w:rFonts w:asciiTheme="minorHAnsi" w:hAnsiTheme="minorHAnsi"/>
                <w:sz w:val="20"/>
                <w:szCs w:val="20"/>
              </w:rPr>
              <w:t>000</w:t>
            </w:r>
          </w:p>
        </w:tc>
        <w:tc>
          <w:tcPr>
            <w:tcW w:w="4077" w:type="dxa"/>
            <w:noWrap/>
            <w:hideMark/>
          </w:tcPr>
          <w:p w14:paraId="309345D3"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Based on the scenarios analysed in the WindSpeed project</w:t>
            </w:r>
          </w:p>
        </w:tc>
      </w:tr>
      <w:tr w:rsidR="00CC7735" w:rsidRPr="00964F73" w14:paraId="67A991BF"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6B33C941"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Distance to shipping lanes</w:t>
            </w:r>
          </w:p>
        </w:tc>
        <w:tc>
          <w:tcPr>
            <w:tcW w:w="1170" w:type="dxa"/>
            <w:noWrap/>
            <w:hideMark/>
          </w:tcPr>
          <w:p w14:paraId="3CBCC105"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1134" w:type="dxa"/>
            <w:noWrap/>
            <w:hideMark/>
          </w:tcPr>
          <w:p w14:paraId="3045A0C7"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4NM</w:t>
            </w:r>
          </w:p>
        </w:tc>
        <w:tc>
          <w:tcPr>
            <w:tcW w:w="992" w:type="dxa"/>
            <w:noWrap/>
            <w:hideMark/>
          </w:tcPr>
          <w:p w14:paraId="7A35C277"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4077" w:type="dxa"/>
            <w:noWrap/>
            <w:hideMark/>
          </w:tcPr>
          <w:p w14:paraId="7B7236B4"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Based on the scenarios analysed in the WindSpeed project</w:t>
            </w:r>
          </w:p>
        </w:tc>
      </w:tr>
      <w:tr w:rsidR="00CC7735" w:rsidRPr="00964F73" w14:paraId="409A0D06"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6F493E0D"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Distance to gas &amp; oil pipelines</w:t>
            </w:r>
          </w:p>
        </w:tc>
        <w:tc>
          <w:tcPr>
            <w:tcW w:w="1170" w:type="dxa"/>
            <w:noWrap/>
            <w:hideMark/>
          </w:tcPr>
          <w:p w14:paraId="67DE679D"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1134" w:type="dxa"/>
            <w:noWrap/>
            <w:hideMark/>
          </w:tcPr>
          <w:p w14:paraId="5A39EBA4"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4NM</w:t>
            </w:r>
          </w:p>
        </w:tc>
        <w:tc>
          <w:tcPr>
            <w:tcW w:w="992" w:type="dxa"/>
            <w:noWrap/>
            <w:hideMark/>
          </w:tcPr>
          <w:p w14:paraId="7B11EB36"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4077" w:type="dxa"/>
            <w:noWrap/>
            <w:hideMark/>
          </w:tcPr>
          <w:p w14:paraId="79796163"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Based on the scenarios analysed in the WindSpeed project</w:t>
            </w:r>
          </w:p>
        </w:tc>
      </w:tr>
      <w:tr w:rsidR="00CC7735" w:rsidRPr="00964F73" w14:paraId="3F898DB0"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70F274F8"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Distance to oil and gas wells</w:t>
            </w:r>
          </w:p>
        </w:tc>
        <w:tc>
          <w:tcPr>
            <w:tcW w:w="1170" w:type="dxa"/>
            <w:noWrap/>
            <w:hideMark/>
          </w:tcPr>
          <w:p w14:paraId="207E4D79"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1134" w:type="dxa"/>
            <w:noWrap/>
            <w:hideMark/>
          </w:tcPr>
          <w:p w14:paraId="286EECB5"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4NM</w:t>
            </w:r>
          </w:p>
        </w:tc>
        <w:tc>
          <w:tcPr>
            <w:tcW w:w="992" w:type="dxa"/>
            <w:noWrap/>
            <w:hideMark/>
          </w:tcPr>
          <w:p w14:paraId="427B95C0"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4077" w:type="dxa"/>
            <w:noWrap/>
            <w:hideMark/>
          </w:tcPr>
          <w:p w14:paraId="1A2CB0DB"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Based on the scenarios analysed in the WindSpeed project</w:t>
            </w:r>
          </w:p>
        </w:tc>
      </w:tr>
      <w:tr w:rsidR="00CC7735" w:rsidRPr="00964F73" w14:paraId="24F522D5"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1B0D6165" w14:textId="14DA1A91" w:rsidR="00CC7735" w:rsidRPr="00964F73" w:rsidRDefault="00CC7735" w:rsidP="00C73F6B">
            <w:pPr>
              <w:rPr>
                <w:rFonts w:asciiTheme="minorHAnsi" w:hAnsiTheme="minorHAnsi"/>
                <w:sz w:val="20"/>
                <w:szCs w:val="20"/>
              </w:rPr>
            </w:pPr>
            <w:r w:rsidRPr="00964F73">
              <w:rPr>
                <w:rFonts w:asciiTheme="minorHAnsi" w:hAnsiTheme="minorHAnsi"/>
                <w:sz w:val="20"/>
                <w:szCs w:val="20"/>
              </w:rPr>
              <w:t>Min</w:t>
            </w:r>
            <w:r w:rsidR="00ED4B18" w:rsidRPr="00964F73">
              <w:rPr>
                <w:rFonts w:asciiTheme="minorHAnsi" w:hAnsiTheme="minorHAnsi"/>
                <w:sz w:val="20"/>
                <w:szCs w:val="20"/>
              </w:rPr>
              <w:t>i</w:t>
            </w:r>
            <w:r w:rsidRPr="00964F73">
              <w:rPr>
                <w:rFonts w:asciiTheme="minorHAnsi" w:hAnsiTheme="minorHAnsi"/>
                <w:sz w:val="20"/>
                <w:szCs w:val="20"/>
              </w:rPr>
              <w:t>mum distance to shore</w:t>
            </w:r>
          </w:p>
        </w:tc>
        <w:tc>
          <w:tcPr>
            <w:tcW w:w="1170" w:type="dxa"/>
            <w:noWrap/>
            <w:hideMark/>
          </w:tcPr>
          <w:p w14:paraId="6B5E2BF7"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12NM</w:t>
            </w:r>
          </w:p>
        </w:tc>
        <w:tc>
          <w:tcPr>
            <w:tcW w:w="1134" w:type="dxa"/>
            <w:noWrap/>
            <w:hideMark/>
          </w:tcPr>
          <w:p w14:paraId="16C99F7D"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12NM</w:t>
            </w:r>
          </w:p>
        </w:tc>
        <w:tc>
          <w:tcPr>
            <w:tcW w:w="992" w:type="dxa"/>
            <w:noWrap/>
            <w:hideMark/>
          </w:tcPr>
          <w:p w14:paraId="4FF84285"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12NM</w:t>
            </w:r>
          </w:p>
        </w:tc>
        <w:tc>
          <w:tcPr>
            <w:tcW w:w="4077" w:type="dxa"/>
            <w:noWrap/>
            <w:hideMark/>
          </w:tcPr>
          <w:p w14:paraId="021CC66E" w14:textId="5D1CAC8E"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 xml:space="preserve">While near-shore areas are typically available for wind installations, in practice these are often used for other purposes (e.g. sand extraction) or </w:t>
            </w:r>
            <w:r w:rsidR="00ED4B18" w:rsidRPr="00964F73">
              <w:rPr>
                <w:rFonts w:asciiTheme="minorHAnsi" w:hAnsiTheme="minorHAnsi"/>
                <w:sz w:val="20"/>
                <w:szCs w:val="20"/>
              </w:rPr>
              <w:t>are</w:t>
            </w:r>
            <w:r w:rsidRPr="00964F73">
              <w:rPr>
                <w:rFonts w:asciiTheme="minorHAnsi" w:hAnsiTheme="minorHAnsi"/>
                <w:sz w:val="20"/>
                <w:szCs w:val="20"/>
              </w:rPr>
              <w:t xml:space="preserve"> kept free to minimise visual impact (especially in touristic regions). An exception to this rule of thumb may be Denmark where very near shore installations </w:t>
            </w:r>
            <w:r w:rsidR="00ED4B18" w:rsidRPr="00964F73">
              <w:rPr>
                <w:rFonts w:asciiTheme="minorHAnsi" w:hAnsiTheme="minorHAnsi"/>
                <w:sz w:val="20"/>
                <w:szCs w:val="20"/>
              </w:rPr>
              <w:t>occur</w:t>
            </w:r>
            <w:r w:rsidRPr="00964F73">
              <w:rPr>
                <w:rFonts w:asciiTheme="minorHAnsi" w:hAnsiTheme="minorHAnsi"/>
                <w:sz w:val="20"/>
                <w:szCs w:val="20"/>
              </w:rPr>
              <w:t xml:space="preserve"> and may represent a significant potential in the future. </w:t>
            </w:r>
          </w:p>
        </w:tc>
      </w:tr>
      <w:tr w:rsidR="00CC7735" w:rsidRPr="00964F73" w14:paraId="79DCBA8D" w14:textId="77777777" w:rsidTr="00663A49">
        <w:trPr>
          <w:trHeight w:val="300"/>
        </w:trPr>
        <w:tc>
          <w:tcPr>
            <w:cnfStyle w:val="001000000000" w:firstRow="0" w:lastRow="0" w:firstColumn="1" w:lastColumn="0" w:oddVBand="0" w:evenVBand="0" w:oddHBand="0" w:evenHBand="0" w:firstRowFirstColumn="0" w:firstRowLastColumn="0" w:lastRowFirstColumn="0" w:lastRowLastColumn="0"/>
            <w:tcW w:w="1915" w:type="dxa"/>
            <w:noWrap/>
            <w:hideMark/>
          </w:tcPr>
          <w:p w14:paraId="6B461A0C" w14:textId="77777777" w:rsidR="00CC7735" w:rsidRPr="00964F73" w:rsidRDefault="00CC7735" w:rsidP="00C73F6B">
            <w:pPr>
              <w:rPr>
                <w:rFonts w:asciiTheme="minorHAnsi" w:hAnsiTheme="minorHAnsi"/>
                <w:sz w:val="20"/>
                <w:szCs w:val="20"/>
              </w:rPr>
            </w:pPr>
            <w:r w:rsidRPr="00964F73">
              <w:rPr>
                <w:rFonts w:asciiTheme="minorHAnsi" w:hAnsiTheme="minorHAnsi"/>
                <w:sz w:val="20"/>
                <w:szCs w:val="20"/>
              </w:rPr>
              <w:t>Submarine cables</w:t>
            </w:r>
          </w:p>
        </w:tc>
        <w:tc>
          <w:tcPr>
            <w:tcW w:w="1170" w:type="dxa"/>
            <w:noWrap/>
            <w:hideMark/>
          </w:tcPr>
          <w:p w14:paraId="7B6238F0"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1134" w:type="dxa"/>
            <w:noWrap/>
            <w:hideMark/>
          </w:tcPr>
          <w:p w14:paraId="022F55B0"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4NM</w:t>
            </w:r>
          </w:p>
        </w:tc>
        <w:tc>
          <w:tcPr>
            <w:tcW w:w="992" w:type="dxa"/>
            <w:noWrap/>
            <w:hideMark/>
          </w:tcPr>
          <w:p w14:paraId="6CF6F636"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2NM</w:t>
            </w:r>
          </w:p>
        </w:tc>
        <w:tc>
          <w:tcPr>
            <w:tcW w:w="4077" w:type="dxa"/>
            <w:noWrap/>
            <w:hideMark/>
          </w:tcPr>
          <w:p w14:paraId="59505514" w14:textId="77777777" w:rsidR="00CC7735" w:rsidRPr="00964F73" w:rsidRDefault="00CC7735"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964F73">
              <w:rPr>
                <w:rFonts w:asciiTheme="minorHAnsi" w:hAnsiTheme="minorHAnsi"/>
                <w:sz w:val="20"/>
                <w:szCs w:val="20"/>
              </w:rPr>
              <w:t>Based on the scenarios analysed in the WindSpeed project</w:t>
            </w:r>
          </w:p>
        </w:tc>
      </w:tr>
    </w:tbl>
    <w:p w14:paraId="23EDAEB5" w14:textId="77777777" w:rsidR="00F55C1B" w:rsidRDefault="00F55C1B" w:rsidP="00F55C1B"/>
    <w:p w14:paraId="0743514E" w14:textId="77777777" w:rsidR="00D30C01" w:rsidRPr="00C61D6E" w:rsidRDefault="00D30C01" w:rsidP="00F55C1B"/>
    <w:p w14:paraId="406C5FA9" w14:textId="77777777" w:rsidR="00726F2E" w:rsidRDefault="00726F2E">
      <w:pPr>
        <w:spacing w:before="120" w:after="200" w:line="276" w:lineRule="auto"/>
        <w:ind w:left="709" w:hanging="357"/>
        <w:jc w:val="both"/>
      </w:pPr>
      <w:r>
        <w:br w:type="page"/>
      </w:r>
    </w:p>
    <w:p w14:paraId="7054166A" w14:textId="227D6A86" w:rsidR="009F3141" w:rsidRPr="00C61D6E" w:rsidRDefault="009F3141" w:rsidP="009F3141">
      <w:pPr>
        <w:pStyle w:val="Heading2"/>
      </w:pPr>
      <w:r w:rsidRPr="00C61D6E">
        <w:lastRenderedPageBreak/>
        <w:t>Onshore wind exclusion zones</w:t>
      </w:r>
    </w:p>
    <w:p w14:paraId="64ECD758" w14:textId="77777777" w:rsidR="00F55C1B" w:rsidRPr="00C61D6E" w:rsidRDefault="00F55C1B" w:rsidP="00F55C1B"/>
    <w:p w14:paraId="6D0E281A" w14:textId="33B31727" w:rsidR="009F3141" w:rsidRPr="00C61D6E" w:rsidRDefault="009F3141" w:rsidP="00724076">
      <w:pPr>
        <w:pStyle w:val="Caption"/>
        <w:jc w:val="center"/>
      </w:pPr>
      <w:bookmarkStart w:id="6" w:name="_Ref501545564"/>
      <w:r w:rsidRPr="00C61D6E">
        <w:t xml:space="preserve">Table </w:t>
      </w:r>
      <w:r w:rsidR="009575E9">
        <w:rPr>
          <w:noProof/>
        </w:rPr>
        <w:t>5</w:t>
      </w:r>
      <w:bookmarkEnd w:id="6"/>
      <w:r w:rsidRPr="00C61D6E">
        <w:t>. Onshore wind exclusion zones</w:t>
      </w:r>
    </w:p>
    <w:tbl>
      <w:tblPr>
        <w:tblStyle w:val="LightGrid-Accent1"/>
        <w:tblW w:w="5000" w:type="pct"/>
        <w:tblLayout w:type="fixed"/>
        <w:tblLook w:val="06A0" w:firstRow="1" w:lastRow="0" w:firstColumn="1" w:lastColumn="0" w:noHBand="1" w:noVBand="1"/>
      </w:tblPr>
      <w:tblGrid>
        <w:gridCol w:w="1010"/>
        <w:gridCol w:w="5124"/>
        <w:gridCol w:w="1053"/>
        <w:gridCol w:w="1053"/>
        <w:gridCol w:w="1046"/>
      </w:tblGrid>
      <w:tr w:rsidR="009F3141" w:rsidRPr="000D6FFF" w14:paraId="425A2CEE" w14:textId="77777777" w:rsidTr="00AE626F">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3303" w:type="pct"/>
            <w:gridSpan w:val="2"/>
            <w:noWrap/>
            <w:hideMark/>
          </w:tcPr>
          <w:p w14:paraId="5325652E"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Scenario</w:t>
            </w:r>
          </w:p>
        </w:tc>
        <w:tc>
          <w:tcPr>
            <w:tcW w:w="567" w:type="pct"/>
            <w:noWrap/>
            <w:hideMark/>
          </w:tcPr>
          <w:p w14:paraId="5CA779BD"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Wind high</w:t>
            </w:r>
          </w:p>
        </w:tc>
        <w:tc>
          <w:tcPr>
            <w:tcW w:w="567" w:type="pct"/>
            <w:noWrap/>
            <w:hideMark/>
          </w:tcPr>
          <w:p w14:paraId="1FF6344F"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Wind low</w:t>
            </w:r>
          </w:p>
        </w:tc>
        <w:tc>
          <w:tcPr>
            <w:tcW w:w="563" w:type="pct"/>
            <w:noWrap/>
            <w:hideMark/>
          </w:tcPr>
          <w:p w14:paraId="43417CB6"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Wind ref</w:t>
            </w:r>
          </w:p>
        </w:tc>
      </w:tr>
      <w:tr w:rsidR="009F3141" w:rsidRPr="000D6FFF" w14:paraId="3CAF252E" w14:textId="77777777" w:rsidTr="00AE626F">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544" w:type="pct"/>
            <w:noWrap/>
            <w:hideMark/>
          </w:tcPr>
          <w:p w14:paraId="187A85FF" w14:textId="77777777" w:rsidR="009F3141" w:rsidRPr="000D6FFF" w:rsidRDefault="009F3141" w:rsidP="00C73F6B">
            <w:pPr>
              <w:rPr>
                <w:rFonts w:asciiTheme="minorHAnsi" w:hAnsiTheme="minorHAnsi"/>
                <w:sz w:val="20"/>
                <w:szCs w:val="20"/>
              </w:rPr>
            </w:pPr>
          </w:p>
        </w:tc>
        <w:tc>
          <w:tcPr>
            <w:tcW w:w="2759" w:type="pct"/>
            <w:noWrap/>
            <w:hideMark/>
          </w:tcPr>
          <w:p w14:paraId="2F7351D1"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567" w:type="pct"/>
            <w:noWrap/>
            <w:hideMark/>
          </w:tcPr>
          <w:p w14:paraId="76169205"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Usable</w:t>
            </w:r>
          </w:p>
        </w:tc>
        <w:tc>
          <w:tcPr>
            <w:tcW w:w="567" w:type="pct"/>
            <w:noWrap/>
            <w:hideMark/>
          </w:tcPr>
          <w:p w14:paraId="5AECB483"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Usable</w:t>
            </w:r>
          </w:p>
        </w:tc>
        <w:tc>
          <w:tcPr>
            <w:tcW w:w="563" w:type="pct"/>
            <w:noWrap/>
            <w:hideMark/>
          </w:tcPr>
          <w:p w14:paraId="45D5F89B"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Usable</w:t>
            </w:r>
          </w:p>
        </w:tc>
      </w:tr>
      <w:tr w:rsidR="009F3141" w:rsidRPr="000D6FFF" w14:paraId="656C667A" w14:textId="77777777" w:rsidTr="003E3856">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3303" w:type="pct"/>
            <w:gridSpan w:val="2"/>
            <w:shd w:val="clear" w:color="auto" w:fill="auto"/>
            <w:hideMark/>
          </w:tcPr>
          <w:p w14:paraId="26322B81"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GLCplus</w:t>
            </w:r>
          </w:p>
        </w:tc>
        <w:tc>
          <w:tcPr>
            <w:tcW w:w="1134" w:type="pct"/>
            <w:gridSpan w:val="2"/>
            <w:shd w:val="clear" w:color="auto" w:fill="auto"/>
            <w:hideMark/>
          </w:tcPr>
          <w:p w14:paraId="6DBBCCE0"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w:t>
            </w:r>
          </w:p>
        </w:tc>
        <w:tc>
          <w:tcPr>
            <w:tcW w:w="563" w:type="pct"/>
            <w:shd w:val="clear" w:color="auto" w:fill="auto"/>
            <w:hideMark/>
          </w:tcPr>
          <w:p w14:paraId="58AFA57C" w14:textId="77777777" w:rsidR="009F3141" w:rsidRPr="000D6FFF" w:rsidRDefault="009F3141" w:rsidP="00C73F6B">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w:t>
            </w:r>
          </w:p>
        </w:tc>
      </w:tr>
      <w:tr w:rsidR="009F3141" w:rsidRPr="000D6FFF" w14:paraId="2561E302"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0AA44DC2"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Class</w:t>
            </w:r>
          </w:p>
        </w:tc>
        <w:tc>
          <w:tcPr>
            <w:tcW w:w="2759" w:type="pct"/>
            <w:hideMark/>
          </w:tcPr>
          <w:p w14:paraId="5C47D37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Class Description</w:t>
            </w:r>
          </w:p>
        </w:tc>
        <w:tc>
          <w:tcPr>
            <w:tcW w:w="567" w:type="pct"/>
            <w:hideMark/>
          </w:tcPr>
          <w:p w14:paraId="4A8904E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w:t>
            </w:r>
          </w:p>
        </w:tc>
        <w:tc>
          <w:tcPr>
            <w:tcW w:w="567" w:type="pct"/>
            <w:hideMark/>
          </w:tcPr>
          <w:p w14:paraId="058CF47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w:t>
            </w:r>
          </w:p>
        </w:tc>
        <w:tc>
          <w:tcPr>
            <w:tcW w:w="563" w:type="pct"/>
            <w:hideMark/>
          </w:tcPr>
          <w:p w14:paraId="0B8C6DE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w:t>
            </w:r>
          </w:p>
        </w:tc>
      </w:tr>
      <w:tr w:rsidR="009F3141" w:rsidRPr="000D6FFF" w14:paraId="122A5C79"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74E8943"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11</w:t>
            </w:r>
          </w:p>
        </w:tc>
        <w:tc>
          <w:tcPr>
            <w:tcW w:w="2759" w:type="pct"/>
            <w:noWrap/>
            <w:hideMark/>
          </w:tcPr>
          <w:p w14:paraId="5AF4986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Post-flooding or irrigated croplands (or aquatic)</w:t>
            </w:r>
          </w:p>
        </w:tc>
        <w:tc>
          <w:tcPr>
            <w:tcW w:w="567" w:type="pct"/>
            <w:noWrap/>
            <w:hideMark/>
          </w:tcPr>
          <w:p w14:paraId="7487385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289B07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77444C2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5CA643D7"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E2A5283"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14</w:t>
            </w:r>
          </w:p>
        </w:tc>
        <w:tc>
          <w:tcPr>
            <w:tcW w:w="2759" w:type="pct"/>
            <w:noWrap/>
            <w:hideMark/>
          </w:tcPr>
          <w:p w14:paraId="38AC738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Rainfed croplands</w:t>
            </w:r>
          </w:p>
        </w:tc>
        <w:tc>
          <w:tcPr>
            <w:tcW w:w="567" w:type="pct"/>
            <w:noWrap/>
            <w:hideMark/>
          </w:tcPr>
          <w:p w14:paraId="4AD82F3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629968B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3254073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772E3B29"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1856E09"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20</w:t>
            </w:r>
          </w:p>
        </w:tc>
        <w:tc>
          <w:tcPr>
            <w:tcW w:w="2759" w:type="pct"/>
            <w:noWrap/>
            <w:hideMark/>
          </w:tcPr>
          <w:p w14:paraId="26DB54C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Mosaic cropland (50-70%) / vegetation (grassland/shrubland/forest) (20-50%)</w:t>
            </w:r>
          </w:p>
        </w:tc>
        <w:tc>
          <w:tcPr>
            <w:tcW w:w="567" w:type="pct"/>
            <w:noWrap/>
            <w:hideMark/>
          </w:tcPr>
          <w:p w14:paraId="4750BD9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7F8665D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61FE632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26759ACA"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43A080FD"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30</w:t>
            </w:r>
          </w:p>
        </w:tc>
        <w:tc>
          <w:tcPr>
            <w:tcW w:w="2759" w:type="pct"/>
            <w:noWrap/>
            <w:hideMark/>
          </w:tcPr>
          <w:p w14:paraId="7F8155B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xml:space="preserve">Mosaic vegetation (grassland/shrubland/forest) (50-70%) / cropland (20-50%) </w:t>
            </w:r>
          </w:p>
        </w:tc>
        <w:tc>
          <w:tcPr>
            <w:tcW w:w="567" w:type="pct"/>
            <w:noWrap/>
            <w:hideMark/>
          </w:tcPr>
          <w:p w14:paraId="1FC2CF6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0F9AC48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3F727EC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46D491A8"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08C007B6"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40</w:t>
            </w:r>
          </w:p>
        </w:tc>
        <w:tc>
          <w:tcPr>
            <w:tcW w:w="2759" w:type="pct"/>
            <w:noWrap/>
            <w:hideMark/>
          </w:tcPr>
          <w:p w14:paraId="49F479C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to open (&gt;15%) broadleaved evergreen or semi-deciduous forest (&gt;5m)</w:t>
            </w:r>
          </w:p>
        </w:tc>
        <w:tc>
          <w:tcPr>
            <w:tcW w:w="567" w:type="pct"/>
            <w:noWrap/>
            <w:hideMark/>
          </w:tcPr>
          <w:p w14:paraId="42F19F8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4A814FF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DE5755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2127E44C"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63E4B332"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50</w:t>
            </w:r>
          </w:p>
        </w:tc>
        <w:tc>
          <w:tcPr>
            <w:tcW w:w="2759" w:type="pct"/>
            <w:noWrap/>
            <w:hideMark/>
          </w:tcPr>
          <w:p w14:paraId="57BB64D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(&gt;40%) broadleaved deciduous forest (&gt;5m)</w:t>
            </w:r>
          </w:p>
        </w:tc>
        <w:tc>
          <w:tcPr>
            <w:tcW w:w="567" w:type="pct"/>
            <w:noWrap/>
            <w:hideMark/>
          </w:tcPr>
          <w:p w14:paraId="4B18B0F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D49252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4A224E6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44E853BA"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26E07A3"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60</w:t>
            </w:r>
          </w:p>
        </w:tc>
        <w:tc>
          <w:tcPr>
            <w:tcW w:w="2759" w:type="pct"/>
            <w:noWrap/>
            <w:hideMark/>
          </w:tcPr>
          <w:p w14:paraId="2227AB65" w14:textId="476F6EF6"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Open (15-40%) broadleaved deciduous forest/woodland (&gt;5</w:t>
            </w:r>
            <w:r w:rsidR="00FA30B2" w:rsidRPr="000D6FFF">
              <w:rPr>
                <w:rFonts w:asciiTheme="minorHAnsi" w:hAnsiTheme="minorHAnsi"/>
                <w:sz w:val="20"/>
                <w:szCs w:val="20"/>
              </w:rPr>
              <w:t xml:space="preserve"> </w:t>
            </w:r>
            <w:r w:rsidRPr="000D6FFF">
              <w:rPr>
                <w:rFonts w:asciiTheme="minorHAnsi" w:hAnsiTheme="minorHAnsi"/>
                <w:sz w:val="20"/>
                <w:szCs w:val="20"/>
              </w:rPr>
              <w:t>m)</w:t>
            </w:r>
          </w:p>
        </w:tc>
        <w:tc>
          <w:tcPr>
            <w:tcW w:w="567" w:type="pct"/>
            <w:noWrap/>
            <w:hideMark/>
          </w:tcPr>
          <w:p w14:paraId="66E6F77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45B1604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40C79D3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22C5568"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FE0D83F"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70</w:t>
            </w:r>
          </w:p>
        </w:tc>
        <w:tc>
          <w:tcPr>
            <w:tcW w:w="2759" w:type="pct"/>
            <w:noWrap/>
            <w:hideMark/>
          </w:tcPr>
          <w:p w14:paraId="0FD49BE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(&gt;40%) needleleaved evergreen forest (&gt;5m)</w:t>
            </w:r>
          </w:p>
        </w:tc>
        <w:tc>
          <w:tcPr>
            <w:tcW w:w="567" w:type="pct"/>
            <w:noWrap/>
            <w:hideMark/>
          </w:tcPr>
          <w:p w14:paraId="6A6E2E3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1FF07F8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685A103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ED471B9"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59D571AA"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90</w:t>
            </w:r>
          </w:p>
        </w:tc>
        <w:tc>
          <w:tcPr>
            <w:tcW w:w="2759" w:type="pct"/>
            <w:noWrap/>
            <w:hideMark/>
          </w:tcPr>
          <w:p w14:paraId="6C765C66" w14:textId="19009C46"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Open (15-40%) needleleaved deciduous or evergreen forest (&gt;5</w:t>
            </w:r>
            <w:r w:rsidR="00FA30B2" w:rsidRPr="000D6FFF">
              <w:rPr>
                <w:rFonts w:asciiTheme="minorHAnsi" w:hAnsiTheme="minorHAnsi"/>
                <w:sz w:val="20"/>
                <w:szCs w:val="20"/>
              </w:rPr>
              <w:t xml:space="preserve"> </w:t>
            </w:r>
            <w:r w:rsidRPr="000D6FFF">
              <w:rPr>
                <w:rFonts w:asciiTheme="minorHAnsi" w:hAnsiTheme="minorHAnsi"/>
                <w:sz w:val="20"/>
                <w:szCs w:val="20"/>
              </w:rPr>
              <w:t>m)</w:t>
            </w:r>
          </w:p>
        </w:tc>
        <w:tc>
          <w:tcPr>
            <w:tcW w:w="567" w:type="pct"/>
            <w:noWrap/>
            <w:hideMark/>
          </w:tcPr>
          <w:p w14:paraId="13C3A68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53D7304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0163DAF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0AFA06AC"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671BBC4B"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100</w:t>
            </w:r>
          </w:p>
        </w:tc>
        <w:tc>
          <w:tcPr>
            <w:tcW w:w="2759" w:type="pct"/>
            <w:noWrap/>
            <w:hideMark/>
          </w:tcPr>
          <w:p w14:paraId="2E1378D1" w14:textId="4777F92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to open (&gt;15%) mixed broadleaved and needleleaved forest (&gt;5</w:t>
            </w:r>
            <w:r w:rsidR="00FA30B2" w:rsidRPr="000D6FFF">
              <w:rPr>
                <w:rFonts w:asciiTheme="minorHAnsi" w:hAnsiTheme="minorHAnsi"/>
                <w:sz w:val="20"/>
                <w:szCs w:val="20"/>
              </w:rPr>
              <w:t xml:space="preserve"> </w:t>
            </w:r>
            <w:r w:rsidRPr="000D6FFF">
              <w:rPr>
                <w:rFonts w:asciiTheme="minorHAnsi" w:hAnsiTheme="minorHAnsi"/>
                <w:sz w:val="20"/>
                <w:szCs w:val="20"/>
              </w:rPr>
              <w:t>m)</w:t>
            </w:r>
          </w:p>
        </w:tc>
        <w:tc>
          <w:tcPr>
            <w:tcW w:w="567" w:type="pct"/>
            <w:noWrap/>
            <w:hideMark/>
          </w:tcPr>
          <w:p w14:paraId="3C0EAF2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1A628B7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18C35D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20DFA4A5"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4DEA33E"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110</w:t>
            </w:r>
          </w:p>
        </w:tc>
        <w:tc>
          <w:tcPr>
            <w:tcW w:w="2759" w:type="pct"/>
            <w:noWrap/>
            <w:hideMark/>
          </w:tcPr>
          <w:p w14:paraId="5C29422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Mosaic forest or shrubland (50-70%) / grassland (20-50%)</w:t>
            </w:r>
          </w:p>
        </w:tc>
        <w:tc>
          <w:tcPr>
            <w:tcW w:w="567" w:type="pct"/>
            <w:noWrap/>
            <w:hideMark/>
          </w:tcPr>
          <w:p w14:paraId="35DCFBE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79B8F6A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47DA684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322638EB"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EBC058A"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120</w:t>
            </w:r>
          </w:p>
        </w:tc>
        <w:tc>
          <w:tcPr>
            <w:tcW w:w="2759" w:type="pct"/>
            <w:noWrap/>
            <w:hideMark/>
          </w:tcPr>
          <w:p w14:paraId="4E2D506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xml:space="preserve">Mosaic grassland (50-70%) / forest or shrubland (20-50%) </w:t>
            </w:r>
          </w:p>
        </w:tc>
        <w:tc>
          <w:tcPr>
            <w:tcW w:w="567" w:type="pct"/>
            <w:noWrap/>
            <w:hideMark/>
          </w:tcPr>
          <w:p w14:paraId="3B7368D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558B15D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53D1C95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483E3B5C"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F626430"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130</w:t>
            </w:r>
          </w:p>
        </w:tc>
        <w:tc>
          <w:tcPr>
            <w:tcW w:w="2759" w:type="pct"/>
            <w:noWrap/>
            <w:hideMark/>
          </w:tcPr>
          <w:p w14:paraId="7CAA76F3" w14:textId="609E3132"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to open (&gt;15%) (broadleaved or needleleaved, evergreen or deciduous) shrubland (&lt;5</w:t>
            </w:r>
            <w:r w:rsidR="00FA30B2" w:rsidRPr="000D6FFF">
              <w:rPr>
                <w:rFonts w:asciiTheme="minorHAnsi" w:hAnsiTheme="minorHAnsi"/>
                <w:sz w:val="20"/>
                <w:szCs w:val="20"/>
              </w:rPr>
              <w:t xml:space="preserve"> </w:t>
            </w:r>
            <w:r w:rsidRPr="000D6FFF">
              <w:rPr>
                <w:rFonts w:asciiTheme="minorHAnsi" w:hAnsiTheme="minorHAnsi"/>
                <w:sz w:val="20"/>
                <w:szCs w:val="20"/>
              </w:rPr>
              <w:t>m)</w:t>
            </w:r>
          </w:p>
        </w:tc>
        <w:tc>
          <w:tcPr>
            <w:tcW w:w="567" w:type="pct"/>
            <w:noWrap/>
            <w:hideMark/>
          </w:tcPr>
          <w:p w14:paraId="32A24FA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17D75C0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3BF1D9D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29B7542C"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6780BBF"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140</w:t>
            </w:r>
          </w:p>
        </w:tc>
        <w:tc>
          <w:tcPr>
            <w:tcW w:w="2759" w:type="pct"/>
            <w:noWrap/>
            <w:hideMark/>
          </w:tcPr>
          <w:p w14:paraId="16675144" w14:textId="1B423440"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to open (&gt;15%) herbaceous vegetation (grassland, savannas or lichens/mosses)</w:t>
            </w:r>
          </w:p>
        </w:tc>
        <w:tc>
          <w:tcPr>
            <w:tcW w:w="567" w:type="pct"/>
            <w:noWrap/>
            <w:hideMark/>
          </w:tcPr>
          <w:p w14:paraId="14A55DF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2713AD4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38EAFB4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7FA22DA2"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924F359"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150</w:t>
            </w:r>
          </w:p>
        </w:tc>
        <w:tc>
          <w:tcPr>
            <w:tcW w:w="2759" w:type="pct"/>
            <w:noWrap/>
            <w:hideMark/>
          </w:tcPr>
          <w:p w14:paraId="1998959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Sparse (&lt;15%) vegetation</w:t>
            </w:r>
          </w:p>
        </w:tc>
        <w:tc>
          <w:tcPr>
            <w:tcW w:w="567" w:type="pct"/>
            <w:noWrap/>
            <w:hideMark/>
          </w:tcPr>
          <w:p w14:paraId="0DAFB03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280869E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65D38BA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24C93485"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0BBD8C20"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160</w:t>
            </w:r>
          </w:p>
        </w:tc>
        <w:tc>
          <w:tcPr>
            <w:tcW w:w="2759" w:type="pct"/>
            <w:noWrap/>
            <w:hideMark/>
          </w:tcPr>
          <w:p w14:paraId="01B56D3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to open (&gt;15%) broadleaved forest regularly flooded (semi-permanently or temporarily) - Fresh or brackish water</w:t>
            </w:r>
          </w:p>
        </w:tc>
        <w:tc>
          <w:tcPr>
            <w:tcW w:w="567" w:type="pct"/>
            <w:noWrap/>
            <w:hideMark/>
          </w:tcPr>
          <w:p w14:paraId="282C66D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4A715FD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7A763B2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7545D960"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55F09FDE"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170</w:t>
            </w:r>
          </w:p>
        </w:tc>
        <w:tc>
          <w:tcPr>
            <w:tcW w:w="2759" w:type="pct"/>
            <w:noWrap/>
            <w:hideMark/>
          </w:tcPr>
          <w:p w14:paraId="0B31E16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(&gt;40%) broadleaved forest or shrubland permanently flooded - Saline or brackish water</w:t>
            </w:r>
          </w:p>
        </w:tc>
        <w:tc>
          <w:tcPr>
            <w:tcW w:w="567" w:type="pct"/>
            <w:noWrap/>
            <w:hideMark/>
          </w:tcPr>
          <w:p w14:paraId="13A16A3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3274772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390AFAD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9C7EC9E"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3B13ED3"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180</w:t>
            </w:r>
          </w:p>
        </w:tc>
        <w:tc>
          <w:tcPr>
            <w:tcW w:w="2759" w:type="pct"/>
            <w:noWrap/>
            <w:hideMark/>
          </w:tcPr>
          <w:p w14:paraId="11C3DD6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Closed to open (&gt;15%) grassland or woody vegetation on regularly flooded or waterlogged soil - Fresh, brackish or saline water</w:t>
            </w:r>
          </w:p>
        </w:tc>
        <w:tc>
          <w:tcPr>
            <w:tcW w:w="567" w:type="pct"/>
            <w:noWrap/>
            <w:hideMark/>
          </w:tcPr>
          <w:p w14:paraId="2210729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6C09902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45EB2A7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24EA1A1D"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5CD52C0"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190</w:t>
            </w:r>
          </w:p>
        </w:tc>
        <w:tc>
          <w:tcPr>
            <w:tcW w:w="2759" w:type="pct"/>
            <w:noWrap/>
            <w:hideMark/>
          </w:tcPr>
          <w:p w14:paraId="20EC521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Artificial surfaces and associated areas (Urban areas &gt;50%)</w:t>
            </w:r>
          </w:p>
        </w:tc>
        <w:tc>
          <w:tcPr>
            <w:tcW w:w="567" w:type="pct"/>
            <w:noWrap/>
            <w:hideMark/>
          </w:tcPr>
          <w:p w14:paraId="2515002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31B30DC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3D23E3E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5384A2B6"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hideMark/>
          </w:tcPr>
          <w:p w14:paraId="43F8892D"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191</w:t>
            </w:r>
          </w:p>
        </w:tc>
        <w:tc>
          <w:tcPr>
            <w:tcW w:w="2759" w:type="pct"/>
            <w:hideMark/>
          </w:tcPr>
          <w:p w14:paraId="30B3577E" w14:textId="58CF76E0"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Artificial surfaces,</w:t>
            </w:r>
            <w:r w:rsidR="00ED4B18" w:rsidRPr="000D6FFF">
              <w:rPr>
                <w:rFonts w:asciiTheme="minorHAnsi" w:hAnsiTheme="minorHAnsi"/>
                <w:sz w:val="20"/>
                <w:szCs w:val="20"/>
              </w:rPr>
              <w:t xml:space="preserve"> </w:t>
            </w:r>
            <w:r w:rsidRPr="000D6FFF">
              <w:rPr>
                <w:rFonts w:asciiTheme="minorHAnsi" w:hAnsiTheme="minorHAnsi"/>
                <w:sz w:val="20"/>
                <w:szCs w:val="20"/>
              </w:rPr>
              <w:t>Urban fabric,</w:t>
            </w:r>
            <w:r w:rsidR="00ED4B18" w:rsidRPr="000D6FFF">
              <w:rPr>
                <w:rFonts w:asciiTheme="minorHAnsi" w:hAnsiTheme="minorHAnsi"/>
                <w:sz w:val="20"/>
                <w:szCs w:val="20"/>
              </w:rPr>
              <w:t xml:space="preserve"> </w:t>
            </w:r>
            <w:r w:rsidRPr="000D6FFF">
              <w:rPr>
                <w:rFonts w:asciiTheme="minorHAnsi" w:hAnsiTheme="minorHAnsi"/>
                <w:sz w:val="20"/>
                <w:szCs w:val="20"/>
              </w:rPr>
              <w:t>Continuous urban fabric</w:t>
            </w:r>
          </w:p>
        </w:tc>
        <w:tc>
          <w:tcPr>
            <w:tcW w:w="567" w:type="pct"/>
            <w:noWrap/>
            <w:hideMark/>
          </w:tcPr>
          <w:p w14:paraId="6B3055F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385DB7D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7E63BE3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3FA53FA" w14:textId="77777777" w:rsidTr="00AE626F">
        <w:trPr>
          <w:trHeight w:val="330"/>
        </w:trPr>
        <w:tc>
          <w:tcPr>
            <w:cnfStyle w:val="001000000000" w:firstRow="0" w:lastRow="0" w:firstColumn="1" w:lastColumn="0" w:oddVBand="0" w:evenVBand="0" w:oddHBand="0" w:evenHBand="0" w:firstRowFirstColumn="0" w:firstRowLastColumn="0" w:lastRowFirstColumn="0" w:lastRowLastColumn="0"/>
            <w:tcW w:w="544" w:type="pct"/>
            <w:hideMark/>
          </w:tcPr>
          <w:p w14:paraId="22630772"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192</w:t>
            </w:r>
          </w:p>
        </w:tc>
        <w:tc>
          <w:tcPr>
            <w:tcW w:w="2759" w:type="pct"/>
            <w:hideMark/>
          </w:tcPr>
          <w:p w14:paraId="4C216666" w14:textId="4CC1A111"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Artificial surfaces,</w:t>
            </w:r>
            <w:r w:rsidR="00ED4B18" w:rsidRPr="000D6FFF">
              <w:rPr>
                <w:rFonts w:asciiTheme="minorHAnsi" w:hAnsiTheme="minorHAnsi"/>
                <w:sz w:val="20"/>
                <w:szCs w:val="20"/>
              </w:rPr>
              <w:t xml:space="preserve"> </w:t>
            </w:r>
            <w:r w:rsidRPr="000D6FFF">
              <w:rPr>
                <w:rFonts w:asciiTheme="minorHAnsi" w:hAnsiTheme="minorHAnsi"/>
                <w:sz w:val="20"/>
                <w:szCs w:val="20"/>
              </w:rPr>
              <w:t>Urban fabric,</w:t>
            </w:r>
            <w:r w:rsidR="00ED4B18" w:rsidRPr="000D6FFF">
              <w:rPr>
                <w:rFonts w:asciiTheme="minorHAnsi" w:hAnsiTheme="minorHAnsi"/>
                <w:sz w:val="20"/>
                <w:szCs w:val="20"/>
              </w:rPr>
              <w:t xml:space="preserve"> </w:t>
            </w:r>
            <w:r w:rsidRPr="000D6FFF">
              <w:rPr>
                <w:rFonts w:asciiTheme="minorHAnsi" w:hAnsiTheme="minorHAnsi"/>
                <w:sz w:val="20"/>
                <w:szCs w:val="20"/>
              </w:rPr>
              <w:t>Discontinuous urban fabric</w:t>
            </w:r>
          </w:p>
        </w:tc>
        <w:tc>
          <w:tcPr>
            <w:tcW w:w="567" w:type="pct"/>
            <w:noWrap/>
            <w:hideMark/>
          </w:tcPr>
          <w:p w14:paraId="3862238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27FAE9E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FEB612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56DAFFDE"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15749CFA"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193</w:t>
            </w:r>
          </w:p>
        </w:tc>
        <w:tc>
          <w:tcPr>
            <w:tcW w:w="2759" w:type="pct"/>
            <w:hideMark/>
          </w:tcPr>
          <w:p w14:paraId="35B6DFA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Industrial, commercial and transport units</w:t>
            </w:r>
          </w:p>
        </w:tc>
        <w:tc>
          <w:tcPr>
            <w:tcW w:w="567" w:type="pct"/>
            <w:noWrap/>
            <w:hideMark/>
          </w:tcPr>
          <w:p w14:paraId="43AF431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35AE9EE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0711F46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158433AB"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2A96D4AC"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194</w:t>
            </w:r>
          </w:p>
        </w:tc>
        <w:tc>
          <w:tcPr>
            <w:tcW w:w="2759" w:type="pct"/>
            <w:hideMark/>
          </w:tcPr>
          <w:p w14:paraId="776988F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Road and rail networks and associated land</w:t>
            </w:r>
          </w:p>
        </w:tc>
        <w:tc>
          <w:tcPr>
            <w:tcW w:w="567" w:type="pct"/>
            <w:noWrap/>
            <w:hideMark/>
          </w:tcPr>
          <w:p w14:paraId="26B8A50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149FDF0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43BCF1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3864584F"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0BBEF533"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195</w:t>
            </w:r>
          </w:p>
        </w:tc>
        <w:tc>
          <w:tcPr>
            <w:tcW w:w="2759" w:type="pct"/>
            <w:hideMark/>
          </w:tcPr>
          <w:p w14:paraId="37D1635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Port areas</w:t>
            </w:r>
          </w:p>
        </w:tc>
        <w:tc>
          <w:tcPr>
            <w:tcW w:w="567" w:type="pct"/>
            <w:noWrap/>
            <w:hideMark/>
          </w:tcPr>
          <w:p w14:paraId="76DCFB2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169D409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29C2FCA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75526704"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7C9C91E8"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196</w:t>
            </w:r>
          </w:p>
        </w:tc>
        <w:tc>
          <w:tcPr>
            <w:tcW w:w="2759" w:type="pct"/>
            <w:hideMark/>
          </w:tcPr>
          <w:p w14:paraId="1D966ED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Airports</w:t>
            </w:r>
          </w:p>
        </w:tc>
        <w:tc>
          <w:tcPr>
            <w:tcW w:w="567" w:type="pct"/>
            <w:noWrap/>
            <w:hideMark/>
          </w:tcPr>
          <w:p w14:paraId="2F27D83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269FB91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88B5BE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0098870F"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7546EF13"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197</w:t>
            </w:r>
          </w:p>
        </w:tc>
        <w:tc>
          <w:tcPr>
            <w:tcW w:w="2759" w:type="pct"/>
            <w:hideMark/>
          </w:tcPr>
          <w:p w14:paraId="3D4E9806" w14:textId="11688E36"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Artificial surfaces,</w:t>
            </w:r>
            <w:r w:rsidR="00ED4B18" w:rsidRPr="000D6FFF">
              <w:rPr>
                <w:rFonts w:asciiTheme="minorHAnsi" w:hAnsiTheme="minorHAnsi"/>
                <w:sz w:val="20"/>
                <w:szCs w:val="20"/>
              </w:rPr>
              <w:t xml:space="preserve"> </w:t>
            </w:r>
            <w:r w:rsidRPr="000D6FFF">
              <w:rPr>
                <w:rFonts w:asciiTheme="minorHAnsi" w:hAnsiTheme="minorHAnsi"/>
                <w:sz w:val="20"/>
                <w:szCs w:val="20"/>
              </w:rPr>
              <w:t>"Artificial, non-agricultural vegetated areas",</w:t>
            </w:r>
            <w:r w:rsidR="00ED4B18" w:rsidRPr="000D6FFF">
              <w:rPr>
                <w:rFonts w:asciiTheme="minorHAnsi" w:hAnsiTheme="minorHAnsi"/>
                <w:sz w:val="20"/>
                <w:szCs w:val="20"/>
              </w:rPr>
              <w:t xml:space="preserve"> </w:t>
            </w:r>
            <w:r w:rsidRPr="000D6FFF">
              <w:rPr>
                <w:rFonts w:asciiTheme="minorHAnsi" w:hAnsiTheme="minorHAnsi"/>
                <w:sz w:val="20"/>
                <w:szCs w:val="20"/>
              </w:rPr>
              <w:t>Green urban areas</w:t>
            </w:r>
          </w:p>
        </w:tc>
        <w:tc>
          <w:tcPr>
            <w:tcW w:w="567" w:type="pct"/>
            <w:noWrap/>
            <w:hideMark/>
          </w:tcPr>
          <w:p w14:paraId="0B2AFC3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B1AA24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17CF23A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3099AABB"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7681EA71"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198</w:t>
            </w:r>
          </w:p>
        </w:tc>
        <w:tc>
          <w:tcPr>
            <w:tcW w:w="2759" w:type="pct"/>
            <w:hideMark/>
          </w:tcPr>
          <w:p w14:paraId="710BE065" w14:textId="583D09E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Artificial surfaces,"</w:t>
            </w:r>
            <w:r w:rsidR="00ED4B18" w:rsidRPr="000D6FFF">
              <w:rPr>
                <w:rFonts w:asciiTheme="minorHAnsi" w:hAnsiTheme="minorHAnsi"/>
                <w:sz w:val="20"/>
                <w:szCs w:val="20"/>
              </w:rPr>
              <w:t xml:space="preserve"> </w:t>
            </w:r>
            <w:r w:rsidRPr="000D6FFF">
              <w:rPr>
                <w:rFonts w:asciiTheme="minorHAnsi" w:hAnsiTheme="minorHAnsi"/>
                <w:sz w:val="20"/>
                <w:szCs w:val="20"/>
              </w:rPr>
              <w:t>Artificial, non-agricultural vegetated areas",</w:t>
            </w:r>
            <w:r w:rsidR="00ED4B18" w:rsidRPr="000D6FFF">
              <w:rPr>
                <w:rFonts w:asciiTheme="minorHAnsi" w:hAnsiTheme="minorHAnsi"/>
                <w:sz w:val="20"/>
                <w:szCs w:val="20"/>
              </w:rPr>
              <w:t xml:space="preserve"> </w:t>
            </w:r>
            <w:r w:rsidRPr="000D6FFF">
              <w:rPr>
                <w:rFonts w:asciiTheme="minorHAnsi" w:hAnsiTheme="minorHAnsi"/>
                <w:sz w:val="20"/>
                <w:szCs w:val="20"/>
              </w:rPr>
              <w:t>Sport and leisure facilities</w:t>
            </w:r>
          </w:p>
        </w:tc>
        <w:tc>
          <w:tcPr>
            <w:tcW w:w="567" w:type="pct"/>
            <w:noWrap/>
            <w:hideMark/>
          </w:tcPr>
          <w:p w14:paraId="6FAC64E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43A890A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34C2CF5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35ECB4F1"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noWrap/>
            <w:hideMark/>
          </w:tcPr>
          <w:p w14:paraId="12378527"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lastRenderedPageBreak/>
              <w:t>200</w:t>
            </w:r>
          </w:p>
        </w:tc>
        <w:tc>
          <w:tcPr>
            <w:tcW w:w="2759" w:type="pct"/>
            <w:noWrap/>
            <w:hideMark/>
          </w:tcPr>
          <w:p w14:paraId="76FBEC0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Bare areas</w:t>
            </w:r>
          </w:p>
        </w:tc>
        <w:tc>
          <w:tcPr>
            <w:tcW w:w="567" w:type="pct"/>
            <w:noWrap/>
            <w:hideMark/>
          </w:tcPr>
          <w:p w14:paraId="3999BD1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59F8671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29978C4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2DD77584"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noWrap/>
            <w:hideMark/>
          </w:tcPr>
          <w:p w14:paraId="54E649C8"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210</w:t>
            </w:r>
          </w:p>
        </w:tc>
        <w:tc>
          <w:tcPr>
            <w:tcW w:w="2759" w:type="pct"/>
            <w:noWrap/>
            <w:hideMark/>
          </w:tcPr>
          <w:p w14:paraId="21A95B6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Water bodies</w:t>
            </w:r>
          </w:p>
        </w:tc>
        <w:tc>
          <w:tcPr>
            <w:tcW w:w="567" w:type="pct"/>
            <w:noWrap/>
            <w:hideMark/>
          </w:tcPr>
          <w:p w14:paraId="7923EE1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727184E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080473B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2203C52"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noWrap/>
            <w:hideMark/>
          </w:tcPr>
          <w:p w14:paraId="3DC41A7A"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220</w:t>
            </w:r>
          </w:p>
        </w:tc>
        <w:tc>
          <w:tcPr>
            <w:tcW w:w="2759" w:type="pct"/>
            <w:noWrap/>
            <w:hideMark/>
          </w:tcPr>
          <w:p w14:paraId="273885C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Permanent snow and ice</w:t>
            </w:r>
          </w:p>
        </w:tc>
        <w:tc>
          <w:tcPr>
            <w:tcW w:w="567" w:type="pct"/>
            <w:noWrap/>
            <w:hideMark/>
          </w:tcPr>
          <w:p w14:paraId="3E70D36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96ABB1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E97017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0850397A"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noWrap/>
            <w:hideMark/>
          </w:tcPr>
          <w:p w14:paraId="09B70CEE"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230</w:t>
            </w:r>
          </w:p>
        </w:tc>
        <w:tc>
          <w:tcPr>
            <w:tcW w:w="2759" w:type="pct"/>
            <w:noWrap/>
            <w:hideMark/>
          </w:tcPr>
          <w:p w14:paraId="4E77B29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 data (burnt areas, clouds,…)</w:t>
            </w:r>
          </w:p>
        </w:tc>
        <w:tc>
          <w:tcPr>
            <w:tcW w:w="567" w:type="pct"/>
            <w:noWrap/>
            <w:hideMark/>
          </w:tcPr>
          <w:p w14:paraId="610B4A8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937310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2560A96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2D193C2D"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3303" w:type="pct"/>
            <w:gridSpan w:val="2"/>
            <w:shd w:val="clear" w:color="auto" w:fill="B8CCE4" w:themeFill="accent1" w:themeFillTint="66"/>
            <w:hideMark/>
          </w:tcPr>
          <w:p w14:paraId="08B9BB5D"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LUISA</w:t>
            </w:r>
          </w:p>
        </w:tc>
        <w:tc>
          <w:tcPr>
            <w:tcW w:w="1134" w:type="pct"/>
            <w:gridSpan w:val="2"/>
            <w:shd w:val="clear" w:color="auto" w:fill="B8CCE4" w:themeFill="accent1" w:themeFillTint="66"/>
            <w:hideMark/>
          </w:tcPr>
          <w:p w14:paraId="5855A18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563" w:type="pct"/>
            <w:shd w:val="clear" w:color="auto" w:fill="B8CCE4" w:themeFill="accent1" w:themeFillTint="66"/>
            <w:hideMark/>
          </w:tcPr>
          <w:p w14:paraId="68234BA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F3141" w:rsidRPr="000D6FFF" w14:paraId="0F966752"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hideMark/>
          </w:tcPr>
          <w:p w14:paraId="3C265846"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Class</w:t>
            </w:r>
          </w:p>
        </w:tc>
        <w:tc>
          <w:tcPr>
            <w:tcW w:w="2759" w:type="pct"/>
            <w:hideMark/>
          </w:tcPr>
          <w:p w14:paraId="26154BA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Class Description</w:t>
            </w:r>
          </w:p>
        </w:tc>
        <w:tc>
          <w:tcPr>
            <w:tcW w:w="567" w:type="pct"/>
            <w:hideMark/>
          </w:tcPr>
          <w:p w14:paraId="1A04E1F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567" w:type="pct"/>
            <w:hideMark/>
          </w:tcPr>
          <w:p w14:paraId="485CE04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563" w:type="pct"/>
            <w:hideMark/>
          </w:tcPr>
          <w:p w14:paraId="2E15A63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F3141" w:rsidRPr="000D6FFF" w14:paraId="3FF69CD8"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8067861"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w:t>
            </w:r>
          </w:p>
        </w:tc>
        <w:tc>
          <w:tcPr>
            <w:tcW w:w="2759" w:type="pct"/>
            <w:noWrap/>
            <w:hideMark/>
          </w:tcPr>
          <w:p w14:paraId="4B44CE9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Urban</w:t>
            </w:r>
          </w:p>
        </w:tc>
        <w:tc>
          <w:tcPr>
            <w:tcW w:w="567" w:type="pct"/>
            <w:noWrap/>
            <w:hideMark/>
          </w:tcPr>
          <w:p w14:paraId="29B58CC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34E5C08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6D17AA8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963FF4C"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2EBD82B"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w:t>
            </w:r>
          </w:p>
        </w:tc>
        <w:tc>
          <w:tcPr>
            <w:tcW w:w="2759" w:type="pct"/>
            <w:noWrap/>
            <w:hideMark/>
          </w:tcPr>
          <w:p w14:paraId="5CD0D15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Industry</w:t>
            </w:r>
          </w:p>
        </w:tc>
        <w:tc>
          <w:tcPr>
            <w:tcW w:w="567" w:type="pct"/>
            <w:noWrap/>
            <w:hideMark/>
          </w:tcPr>
          <w:p w14:paraId="51FB1F9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29F8A84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435D326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53F7CA5F"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C45EAF0"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3</w:t>
            </w:r>
          </w:p>
        </w:tc>
        <w:tc>
          <w:tcPr>
            <w:tcW w:w="2759" w:type="pct"/>
            <w:noWrap/>
            <w:hideMark/>
          </w:tcPr>
          <w:p w14:paraId="6152DB5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Other Arable</w:t>
            </w:r>
          </w:p>
        </w:tc>
        <w:tc>
          <w:tcPr>
            <w:tcW w:w="567" w:type="pct"/>
            <w:noWrap/>
            <w:hideMark/>
          </w:tcPr>
          <w:p w14:paraId="42B596D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4B69523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2284993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32571564"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641B7919"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4</w:t>
            </w:r>
          </w:p>
        </w:tc>
        <w:tc>
          <w:tcPr>
            <w:tcW w:w="2759" w:type="pct"/>
            <w:noWrap/>
            <w:hideMark/>
          </w:tcPr>
          <w:p w14:paraId="0D01A51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Permanent Crops</w:t>
            </w:r>
          </w:p>
        </w:tc>
        <w:tc>
          <w:tcPr>
            <w:tcW w:w="567" w:type="pct"/>
            <w:noWrap/>
            <w:hideMark/>
          </w:tcPr>
          <w:p w14:paraId="1326A07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4BE6076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52B62FD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7517F387"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51DC6A94"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5</w:t>
            </w:r>
          </w:p>
        </w:tc>
        <w:tc>
          <w:tcPr>
            <w:tcW w:w="2759" w:type="pct"/>
            <w:noWrap/>
            <w:hideMark/>
          </w:tcPr>
          <w:p w14:paraId="0FF1940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Pastures</w:t>
            </w:r>
          </w:p>
        </w:tc>
        <w:tc>
          <w:tcPr>
            <w:tcW w:w="567" w:type="pct"/>
            <w:noWrap/>
            <w:hideMark/>
          </w:tcPr>
          <w:p w14:paraId="41C85F0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3EF1856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52968FD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7CDD07A1"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2E6817F"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6</w:t>
            </w:r>
          </w:p>
        </w:tc>
        <w:tc>
          <w:tcPr>
            <w:tcW w:w="2759" w:type="pct"/>
            <w:noWrap/>
            <w:hideMark/>
          </w:tcPr>
          <w:p w14:paraId="5002BDE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Forests</w:t>
            </w:r>
          </w:p>
        </w:tc>
        <w:tc>
          <w:tcPr>
            <w:tcW w:w="567" w:type="pct"/>
            <w:noWrap/>
            <w:hideMark/>
          </w:tcPr>
          <w:p w14:paraId="143D104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5A746B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7D4FE3A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0DB32992"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467AB1D6"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7</w:t>
            </w:r>
          </w:p>
        </w:tc>
        <w:tc>
          <w:tcPr>
            <w:tcW w:w="2759" w:type="pct"/>
            <w:noWrap/>
            <w:hideMark/>
          </w:tcPr>
          <w:p w14:paraId="6C052C7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Transitional woodland-shrub</w:t>
            </w:r>
          </w:p>
        </w:tc>
        <w:tc>
          <w:tcPr>
            <w:tcW w:w="567" w:type="pct"/>
            <w:noWrap/>
            <w:hideMark/>
          </w:tcPr>
          <w:p w14:paraId="1D86D2C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584FF89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0EFFFDA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6C797BD3"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2D4E6C1B"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8</w:t>
            </w:r>
          </w:p>
        </w:tc>
        <w:tc>
          <w:tcPr>
            <w:tcW w:w="2759" w:type="pct"/>
            <w:noWrap/>
            <w:hideMark/>
          </w:tcPr>
          <w:p w14:paraId="349605C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Cereals</w:t>
            </w:r>
          </w:p>
        </w:tc>
        <w:tc>
          <w:tcPr>
            <w:tcW w:w="567" w:type="pct"/>
            <w:noWrap/>
            <w:hideMark/>
          </w:tcPr>
          <w:p w14:paraId="7A685F1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1114A6E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6053087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6FCAD7ED"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0B903462"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9</w:t>
            </w:r>
          </w:p>
        </w:tc>
        <w:tc>
          <w:tcPr>
            <w:tcW w:w="2759" w:type="pct"/>
            <w:noWrap/>
            <w:hideMark/>
          </w:tcPr>
          <w:p w14:paraId="3636484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Maize</w:t>
            </w:r>
          </w:p>
        </w:tc>
        <w:tc>
          <w:tcPr>
            <w:tcW w:w="567" w:type="pct"/>
            <w:noWrap/>
            <w:hideMark/>
          </w:tcPr>
          <w:p w14:paraId="5B7F99D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493EBDD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0705423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1EB88CC0"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53CAA106"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10</w:t>
            </w:r>
          </w:p>
        </w:tc>
        <w:tc>
          <w:tcPr>
            <w:tcW w:w="2759" w:type="pct"/>
            <w:noWrap/>
            <w:hideMark/>
          </w:tcPr>
          <w:p w14:paraId="1F903BD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Root crops</w:t>
            </w:r>
          </w:p>
        </w:tc>
        <w:tc>
          <w:tcPr>
            <w:tcW w:w="567" w:type="pct"/>
            <w:noWrap/>
            <w:hideMark/>
          </w:tcPr>
          <w:p w14:paraId="7B53BC8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5675888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7604518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4CD0979A"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28FC5A06"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11</w:t>
            </w:r>
          </w:p>
        </w:tc>
        <w:tc>
          <w:tcPr>
            <w:tcW w:w="2759" w:type="pct"/>
            <w:noWrap/>
            <w:hideMark/>
          </w:tcPr>
          <w:p w14:paraId="74165B7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Abandoned Arable Land</w:t>
            </w:r>
          </w:p>
        </w:tc>
        <w:tc>
          <w:tcPr>
            <w:tcW w:w="567" w:type="pct"/>
            <w:noWrap/>
            <w:hideMark/>
          </w:tcPr>
          <w:p w14:paraId="18BFC26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0F9242C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7918F08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5E06F039"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954D512"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12</w:t>
            </w:r>
          </w:p>
        </w:tc>
        <w:tc>
          <w:tcPr>
            <w:tcW w:w="2759" w:type="pct"/>
            <w:noWrap/>
            <w:hideMark/>
          </w:tcPr>
          <w:p w14:paraId="467F037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Abandoned Permanent Crops</w:t>
            </w:r>
          </w:p>
        </w:tc>
        <w:tc>
          <w:tcPr>
            <w:tcW w:w="567" w:type="pct"/>
            <w:noWrap/>
            <w:hideMark/>
          </w:tcPr>
          <w:p w14:paraId="11B56DE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7846508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3C8BE61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79988468"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4B3A9BD0"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13</w:t>
            </w:r>
          </w:p>
        </w:tc>
        <w:tc>
          <w:tcPr>
            <w:tcW w:w="2759" w:type="pct"/>
            <w:noWrap/>
            <w:hideMark/>
          </w:tcPr>
          <w:p w14:paraId="227863FD" w14:textId="3014A6CB"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 xml:space="preserve">Abandoned </w:t>
            </w:r>
            <w:r w:rsidR="00ED4B18" w:rsidRPr="000D6FFF">
              <w:rPr>
                <w:rFonts w:asciiTheme="minorHAnsi" w:hAnsiTheme="minorHAnsi"/>
                <w:sz w:val="20"/>
                <w:szCs w:val="20"/>
              </w:rPr>
              <w:t>P</w:t>
            </w:r>
            <w:r w:rsidRPr="000D6FFF">
              <w:rPr>
                <w:rFonts w:asciiTheme="minorHAnsi" w:hAnsiTheme="minorHAnsi"/>
                <w:sz w:val="20"/>
                <w:szCs w:val="20"/>
              </w:rPr>
              <w:t>astures</w:t>
            </w:r>
          </w:p>
        </w:tc>
        <w:tc>
          <w:tcPr>
            <w:tcW w:w="567" w:type="pct"/>
            <w:noWrap/>
            <w:hideMark/>
          </w:tcPr>
          <w:p w14:paraId="7FA0AA3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51ADE60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175D83D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24F8D3EF"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6B1C82CA"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14</w:t>
            </w:r>
          </w:p>
        </w:tc>
        <w:tc>
          <w:tcPr>
            <w:tcW w:w="2759" w:type="pct"/>
            <w:noWrap/>
            <w:hideMark/>
          </w:tcPr>
          <w:p w14:paraId="3FD266B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Abandoned Urban</w:t>
            </w:r>
          </w:p>
        </w:tc>
        <w:tc>
          <w:tcPr>
            <w:tcW w:w="567" w:type="pct"/>
            <w:noWrap/>
            <w:hideMark/>
          </w:tcPr>
          <w:p w14:paraId="05BB1A2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75E803D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60E7501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1FCA8729"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78E72D2C"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15</w:t>
            </w:r>
          </w:p>
        </w:tc>
        <w:tc>
          <w:tcPr>
            <w:tcW w:w="2759" w:type="pct"/>
            <w:noWrap/>
            <w:hideMark/>
          </w:tcPr>
          <w:p w14:paraId="57BCD76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Abandoned Industry</w:t>
            </w:r>
          </w:p>
        </w:tc>
        <w:tc>
          <w:tcPr>
            <w:tcW w:w="567" w:type="pct"/>
            <w:noWrap/>
            <w:hideMark/>
          </w:tcPr>
          <w:p w14:paraId="02A0BCA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6B72F10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339615A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4751694E"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37AFE64B"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16</w:t>
            </w:r>
          </w:p>
        </w:tc>
        <w:tc>
          <w:tcPr>
            <w:tcW w:w="2759" w:type="pct"/>
            <w:noWrap/>
            <w:hideMark/>
          </w:tcPr>
          <w:p w14:paraId="7222A02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New Energy Crops</w:t>
            </w:r>
          </w:p>
        </w:tc>
        <w:tc>
          <w:tcPr>
            <w:tcW w:w="567" w:type="pct"/>
            <w:noWrap/>
            <w:hideMark/>
          </w:tcPr>
          <w:p w14:paraId="3566573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322C1C5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6148F7A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335FF075"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941B28D"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17</w:t>
            </w:r>
          </w:p>
        </w:tc>
        <w:tc>
          <w:tcPr>
            <w:tcW w:w="2759" w:type="pct"/>
            <w:noWrap/>
            <w:hideMark/>
          </w:tcPr>
          <w:p w14:paraId="086B7D3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Natural land</w:t>
            </w:r>
          </w:p>
        </w:tc>
        <w:tc>
          <w:tcPr>
            <w:tcW w:w="567" w:type="pct"/>
            <w:noWrap/>
            <w:hideMark/>
          </w:tcPr>
          <w:p w14:paraId="1EAEED4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7" w:type="pct"/>
            <w:noWrap/>
            <w:hideMark/>
          </w:tcPr>
          <w:p w14:paraId="37D1E89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c>
          <w:tcPr>
            <w:tcW w:w="563" w:type="pct"/>
            <w:noWrap/>
            <w:hideMark/>
          </w:tcPr>
          <w:p w14:paraId="0AD5490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yes</w:t>
            </w:r>
          </w:p>
        </w:tc>
      </w:tr>
      <w:tr w:rsidR="009F3141" w:rsidRPr="000D6FFF" w14:paraId="37B43391"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02987A98"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18</w:t>
            </w:r>
          </w:p>
        </w:tc>
        <w:tc>
          <w:tcPr>
            <w:tcW w:w="2759" w:type="pct"/>
            <w:noWrap/>
            <w:hideMark/>
          </w:tcPr>
          <w:p w14:paraId="2EA3D4A3"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Infrastructure</w:t>
            </w:r>
          </w:p>
        </w:tc>
        <w:tc>
          <w:tcPr>
            <w:tcW w:w="567" w:type="pct"/>
            <w:noWrap/>
            <w:hideMark/>
          </w:tcPr>
          <w:p w14:paraId="5E214CA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3E859E0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270CF8D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3379A46E"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172B1021"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19</w:t>
            </w:r>
          </w:p>
        </w:tc>
        <w:tc>
          <w:tcPr>
            <w:tcW w:w="2759" w:type="pct"/>
            <w:noWrap/>
            <w:hideMark/>
          </w:tcPr>
          <w:p w14:paraId="6A167C48"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Other Nature</w:t>
            </w:r>
          </w:p>
        </w:tc>
        <w:tc>
          <w:tcPr>
            <w:tcW w:w="567" w:type="pct"/>
            <w:noWrap/>
            <w:hideMark/>
          </w:tcPr>
          <w:p w14:paraId="7BAABC2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6000465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0598016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7047D0F2"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5CA5E0A8"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20</w:t>
            </w:r>
          </w:p>
        </w:tc>
        <w:tc>
          <w:tcPr>
            <w:tcW w:w="2759" w:type="pct"/>
            <w:noWrap/>
            <w:hideMark/>
          </w:tcPr>
          <w:p w14:paraId="62A87EE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Wetlands</w:t>
            </w:r>
          </w:p>
        </w:tc>
        <w:tc>
          <w:tcPr>
            <w:tcW w:w="567" w:type="pct"/>
            <w:noWrap/>
            <w:hideMark/>
          </w:tcPr>
          <w:p w14:paraId="751A012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1ABBBD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3453073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3AEA3A45" w14:textId="77777777" w:rsidTr="00AE626F">
        <w:trPr>
          <w:trHeight w:val="330"/>
        </w:trPr>
        <w:tc>
          <w:tcPr>
            <w:cnfStyle w:val="001000000000" w:firstRow="0" w:lastRow="0" w:firstColumn="1" w:lastColumn="0" w:oddVBand="0" w:evenVBand="0" w:oddHBand="0" w:evenHBand="0" w:firstRowFirstColumn="0" w:firstRowLastColumn="0" w:lastRowFirstColumn="0" w:lastRowLastColumn="0"/>
            <w:tcW w:w="544" w:type="pct"/>
            <w:noWrap/>
            <w:hideMark/>
          </w:tcPr>
          <w:p w14:paraId="0E27C536"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21</w:t>
            </w:r>
          </w:p>
        </w:tc>
        <w:tc>
          <w:tcPr>
            <w:tcW w:w="2759" w:type="pct"/>
            <w:noWrap/>
            <w:hideMark/>
          </w:tcPr>
          <w:p w14:paraId="26C54E4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Water Bodies</w:t>
            </w:r>
          </w:p>
        </w:tc>
        <w:tc>
          <w:tcPr>
            <w:tcW w:w="567" w:type="pct"/>
            <w:noWrap/>
            <w:hideMark/>
          </w:tcPr>
          <w:p w14:paraId="7A59EE2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671377D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70E922D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0E688C7A"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noWrap/>
            <w:hideMark/>
          </w:tcPr>
          <w:p w14:paraId="46CA2A54"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22</w:t>
            </w:r>
          </w:p>
        </w:tc>
        <w:tc>
          <w:tcPr>
            <w:tcW w:w="2759" w:type="pct"/>
            <w:noWrap/>
            <w:hideMark/>
          </w:tcPr>
          <w:p w14:paraId="54C6BA5F"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Urban green leisure</w:t>
            </w:r>
          </w:p>
        </w:tc>
        <w:tc>
          <w:tcPr>
            <w:tcW w:w="567" w:type="pct"/>
            <w:noWrap/>
            <w:hideMark/>
          </w:tcPr>
          <w:p w14:paraId="66E8B0E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7D707A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5F4C5512"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165F7F1E"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shd w:val="clear" w:color="auto" w:fill="B8CCE4" w:themeFill="accent1" w:themeFillTint="66"/>
            <w:noWrap/>
            <w:hideMark/>
          </w:tcPr>
          <w:p w14:paraId="5BE1DE3D"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 </w:t>
            </w:r>
          </w:p>
        </w:tc>
        <w:tc>
          <w:tcPr>
            <w:tcW w:w="2759" w:type="pct"/>
            <w:shd w:val="clear" w:color="auto" w:fill="B8CCE4" w:themeFill="accent1" w:themeFillTint="66"/>
            <w:noWrap/>
            <w:hideMark/>
          </w:tcPr>
          <w:p w14:paraId="0317B3A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Additional Criteria:</w:t>
            </w:r>
          </w:p>
        </w:tc>
        <w:tc>
          <w:tcPr>
            <w:tcW w:w="567" w:type="pct"/>
            <w:shd w:val="clear" w:color="auto" w:fill="B8CCE4" w:themeFill="accent1" w:themeFillTint="66"/>
            <w:noWrap/>
            <w:hideMark/>
          </w:tcPr>
          <w:p w14:paraId="3F542AA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567" w:type="pct"/>
            <w:shd w:val="clear" w:color="auto" w:fill="B8CCE4" w:themeFill="accent1" w:themeFillTint="66"/>
            <w:noWrap/>
            <w:hideMark/>
          </w:tcPr>
          <w:p w14:paraId="1AF4C40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c>
          <w:tcPr>
            <w:tcW w:w="563" w:type="pct"/>
            <w:shd w:val="clear" w:color="auto" w:fill="B8CCE4" w:themeFill="accent1" w:themeFillTint="66"/>
            <w:noWrap/>
            <w:hideMark/>
          </w:tcPr>
          <w:p w14:paraId="3B1100FB"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p>
        </w:tc>
      </w:tr>
      <w:tr w:rsidR="009F3141" w:rsidRPr="000D6FFF" w14:paraId="76B99883"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689C64E2"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 </w:t>
            </w:r>
          </w:p>
        </w:tc>
        <w:tc>
          <w:tcPr>
            <w:tcW w:w="2759" w:type="pct"/>
            <w:noWrap/>
            <w:hideMark/>
          </w:tcPr>
          <w:p w14:paraId="52D71AC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Protected Areas</w:t>
            </w:r>
          </w:p>
        </w:tc>
        <w:tc>
          <w:tcPr>
            <w:tcW w:w="567" w:type="pct"/>
            <w:noWrap/>
            <w:hideMark/>
          </w:tcPr>
          <w:p w14:paraId="212B149E"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CC2C07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265DC775"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03889EB0"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491CBE98"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 </w:t>
            </w:r>
          </w:p>
        </w:tc>
        <w:tc>
          <w:tcPr>
            <w:tcW w:w="2759" w:type="pct"/>
            <w:noWrap/>
            <w:hideMark/>
          </w:tcPr>
          <w:p w14:paraId="6EC8A15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Geomorphology</w:t>
            </w:r>
          </w:p>
        </w:tc>
        <w:tc>
          <w:tcPr>
            <w:tcW w:w="567" w:type="pct"/>
            <w:noWrap/>
            <w:hideMark/>
          </w:tcPr>
          <w:p w14:paraId="21E345F4"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26FF5B1D"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2D57273A"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3AE66C1E" w14:textId="77777777" w:rsidTr="00AE626F">
        <w:trPr>
          <w:trHeight w:val="300"/>
        </w:trPr>
        <w:tc>
          <w:tcPr>
            <w:cnfStyle w:val="001000000000" w:firstRow="0" w:lastRow="0" w:firstColumn="1" w:lastColumn="0" w:oddVBand="0" w:evenVBand="0" w:oddHBand="0" w:evenHBand="0" w:firstRowFirstColumn="0" w:firstRowLastColumn="0" w:lastRowFirstColumn="0" w:lastRowLastColumn="0"/>
            <w:tcW w:w="544" w:type="pct"/>
            <w:noWrap/>
            <w:hideMark/>
          </w:tcPr>
          <w:p w14:paraId="2B3C6569"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 </w:t>
            </w:r>
          </w:p>
        </w:tc>
        <w:tc>
          <w:tcPr>
            <w:tcW w:w="2759" w:type="pct"/>
            <w:noWrap/>
            <w:hideMark/>
          </w:tcPr>
          <w:p w14:paraId="470B2BB6"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Slope &lt;2.1°</w:t>
            </w:r>
          </w:p>
        </w:tc>
        <w:tc>
          <w:tcPr>
            <w:tcW w:w="567" w:type="pct"/>
            <w:noWrap/>
            <w:hideMark/>
          </w:tcPr>
          <w:p w14:paraId="1298B24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7" w:type="pct"/>
            <w:noWrap/>
            <w:hideMark/>
          </w:tcPr>
          <w:p w14:paraId="06FCC489"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c>
          <w:tcPr>
            <w:tcW w:w="563" w:type="pct"/>
            <w:noWrap/>
            <w:hideMark/>
          </w:tcPr>
          <w:p w14:paraId="2A0C74B7"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no</w:t>
            </w:r>
          </w:p>
        </w:tc>
      </w:tr>
      <w:tr w:rsidR="009F3141" w:rsidRPr="000D6FFF" w14:paraId="41420DF6" w14:textId="77777777" w:rsidTr="00AE626F">
        <w:trPr>
          <w:trHeight w:val="315"/>
        </w:trPr>
        <w:tc>
          <w:tcPr>
            <w:cnfStyle w:val="001000000000" w:firstRow="0" w:lastRow="0" w:firstColumn="1" w:lastColumn="0" w:oddVBand="0" w:evenVBand="0" w:oddHBand="0" w:evenHBand="0" w:firstRowFirstColumn="0" w:firstRowLastColumn="0" w:lastRowFirstColumn="0" w:lastRowLastColumn="0"/>
            <w:tcW w:w="544" w:type="pct"/>
            <w:noWrap/>
            <w:hideMark/>
          </w:tcPr>
          <w:p w14:paraId="34CE9A5C" w14:textId="77777777" w:rsidR="009F3141" w:rsidRPr="000D6FFF" w:rsidRDefault="009F3141" w:rsidP="00C73F6B">
            <w:pPr>
              <w:rPr>
                <w:rFonts w:asciiTheme="minorHAnsi" w:hAnsiTheme="minorHAnsi"/>
                <w:sz w:val="20"/>
                <w:szCs w:val="20"/>
              </w:rPr>
            </w:pPr>
            <w:r w:rsidRPr="000D6FFF">
              <w:rPr>
                <w:rFonts w:asciiTheme="minorHAnsi" w:hAnsiTheme="minorHAnsi"/>
                <w:sz w:val="20"/>
                <w:szCs w:val="20"/>
              </w:rPr>
              <w:t> </w:t>
            </w:r>
          </w:p>
        </w:tc>
        <w:tc>
          <w:tcPr>
            <w:tcW w:w="2759" w:type="pct"/>
            <w:noWrap/>
            <w:hideMark/>
          </w:tcPr>
          <w:p w14:paraId="75047EA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Distance to Settlements</w:t>
            </w:r>
          </w:p>
        </w:tc>
        <w:tc>
          <w:tcPr>
            <w:tcW w:w="567" w:type="pct"/>
            <w:noWrap/>
            <w:hideMark/>
          </w:tcPr>
          <w:p w14:paraId="487AE411"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MS - specific values</w:t>
            </w:r>
          </w:p>
        </w:tc>
        <w:tc>
          <w:tcPr>
            <w:tcW w:w="567" w:type="pct"/>
            <w:noWrap/>
            <w:hideMark/>
          </w:tcPr>
          <w:p w14:paraId="2D8C4A80"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MS - specific values</w:t>
            </w:r>
          </w:p>
        </w:tc>
        <w:tc>
          <w:tcPr>
            <w:tcW w:w="563" w:type="pct"/>
            <w:noWrap/>
            <w:hideMark/>
          </w:tcPr>
          <w:p w14:paraId="7A12E0AC" w14:textId="77777777" w:rsidR="009F3141" w:rsidRPr="000D6FFF" w:rsidRDefault="009F3141" w:rsidP="00C73F6B">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0D6FFF">
              <w:rPr>
                <w:rFonts w:asciiTheme="minorHAnsi" w:hAnsiTheme="minorHAnsi"/>
                <w:sz w:val="20"/>
                <w:szCs w:val="20"/>
              </w:rPr>
              <w:t>MS - specific values</w:t>
            </w:r>
          </w:p>
        </w:tc>
      </w:tr>
    </w:tbl>
    <w:p w14:paraId="1E1E6A5D" w14:textId="008FB176" w:rsidR="00D30C01" w:rsidRDefault="00D30C01" w:rsidP="00E72419"/>
    <w:p w14:paraId="2397A142" w14:textId="77777777" w:rsidR="00D30C01" w:rsidRDefault="00D30C01">
      <w:pPr>
        <w:spacing w:before="120" w:after="200" w:line="276" w:lineRule="auto"/>
        <w:ind w:left="709" w:hanging="357"/>
        <w:jc w:val="both"/>
      </w:pPr>
      <w:r>
        <w:br w:type="page"/>
      </w:r>
    </w:p>
    <w:p w14:paraId="0FE33D04" w14:textId="77777777" w:rsidR="00AC0CDF" w:rsidRDefault="00E64FFA" w:rsidP="00AA48FF">
      <w:pPr>
        <w:pStyle w:val="Heading2"/>
      </w:pPr>
      <w:r w:rsidRPr="00C61D6E">
        <w:lastRenderedPageBreak/>
        <w:t>Wind onshore available land</w:t>
      </w:r>
    </w:p>
    <w:p w14:paraId="01639E59" w14:textId="77777777" w:rsidR="00D30C01" w:rsidRPr="00C61D6E" w:rsidRDefault="00D30C01" w:rsidP="00D30C01"/>
    <w:p w14:paraId="625A23E3" w14:textId="77777777" w:rsidR="00D30C01" w:rsidRDefault="00D30C01" w:rsidP="00AC0CDF">
      <w:pPr>
        <w:pStyle w:val="Caption"/>
        <w:jc w:val="center"/>
      </w:pPr>
      <w:bookmarkStart w:id="7" w:name="_Ref523513462"/>
      <w:r>
        <w:rPr>
          <w:noProof/>
        </w:rPr>
        <w:drawing>
          <wp:inline distT="0" distB="0" distL="0" distR="0" wp14:anchorId="492E437A" wp14:editId="0F852185">
            <wp:extent cx="4367902" cy="8091578"/>
            <wp:effectExtent l="0" t="0" r="0" b="5080"/>
            <wp:docPr id="2" name="Picture 2" descr="H:\Desktop\FI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Desktop\FIG8.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67782" cy="8091355"/>
                    </a:xfrm>
                    <a:prstGeom prst="rect">
                      <a:avLst/>
                    </a:prstGeom>
                    <a:noFill/>
                    <a:ln>
                      <a:noFill/>
                    </a:ln>
                  </pic:spPr>
                </pic:pic>
              </a:graphicData>
            </a:graphic>
          </wp:inline>
        </w:drawing>
      </w:r>
    </w:p>
    <w:p w14:paraId="0A719E30" w14:textId="371FA557" w:rsidR="00AC0CDF" w:rsidRPr="00C61D6E" w:rsidRDefault="00AC0CDF" w:rsidP="00AC0CDF">
      <w:pPr>
        <w:pStyle w:val="Caption"/>
        <w:jc w:val="center"/>
      </w:pPr>
      <w:r w:rsidRPr="0037138D">
        <w:t xml:space="preserve">Figure </w:t>
      </w:r>
      <w:r w:rsidR="009575E9">
        <w:rPr>
          <w:noProof/>
        </w:rPr>
        <w:t>8</w:t>
      </w:r>
      <w:bookmarkEnd w:id="7"/>
      <w:r w:rsidRPr="00C61D6E">
        <w:t xml:space="preserve"> Available land for wind onshore in the reference scenario</w:t>
      </w:r>
    </w:p>
    <w:p w14:paraId="43CE5F5E" w14:textId="77777777" w:rsidR="00AC0CDF" w:rsidRPr="00C61D6E" w:rsidRDefault="00AC0CDF" w:rsidP="00AC0CDF"/>
    <w:p w14:paraId="5F2D815F" w14:textId="77777777" w:rsidR="00DC6E89" w:rsidRPr="00C61D6E" w:rsidRDefault="00180978" w:rsidP="004D1549">
      <w:pPr>
        <w:pStyle w:val="Heading2"/>
      </w:pPr>
      <w:r w:rsidRPr="00C61D6E">
        <w:lastRenderedPageBreak/>
        <w:t>Wind offshore available area</w:t>
      </w:r>
    </w:p>
    <w:p w14:paraId="6FC90CC0" w14:textId="77777777" w:rsidR="00C73F6B" w:rsidRPr="00C61D6E" w:rsidRDefault="00C73F6B" w:rsidP="00C73F6B"/>
    <w:p w14:paraId="4FA9498C" w14:textId="647A2A80" w:rsidR="007A656D" w:rsidRPr="00C61D6E" w:rsidRDefault="00D30C01" w:rsidP="00785087">
      <w:pPr>
        <w:jc w:val="center"/>
      </w:pPr>
      <w:r>
        <w:rPr>
          <w:noProof/>
          <w:lang w:eastAsia="en-GB"/>
        </w:rPr>
        <w:drawing>
          <wp:inline distT="0" distB="0" distL="0" distR="0" wp14:anchorId="785F5F6D" wp14:editId="6328CB4E">
            <wp:extent cx="4451721" cy="8246853"/>
            <wp:effectExtent l="0" t="0" r="6350" b="1905"/>
            <wp:docPr id="7" name="Picture 7" descr="H:\Desktop\FIG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Desktop\FIG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598" cy="8246626"/>
                    </a:xfrm>
                    <a:prstGeom prst="rect">
                      <a:avLst/>
                    </a:prstGeom>
                    <a:noFill/>
                    <a:ln>
                      <a:noFill/>
                    </a:ln>
                  </pic:spPr>
                </pic:pic>
              </a:graphicData>
            </a:graphic>
          </wp:inline>
        </w:drawing>
      </w:r>
    </w:p>
    <w:p w14:paraId="2C7760F8" w14:textId="2E4AF9E2" w:rsidR="00AC0CDF" w:rsidRPr="00C61D6E" w:rsidRDefault="00AC0CDF" w:rsidP="00AC0CDF">
      <w:pPr>
        <w:pStyle w:val="Caption"/>
        <w:jc w:val="center"/>
      </w:pPr>
      <w:bookmarkStart w:id="8" w:name="_Ref523513463"/>
      <w:bookmarkStart w:id="9" w:name="_Ref523514908"/>
      <w:r w:rsidRPr="0037138D">
        <w:t xml:space="preserve">Figure </w:t>
      </w:r>
      <w:r w:rsidR="009575E9">
        <w:rPr>
          <w:noProof/>
        </w:rPr>
        <w:t>9</w:t>
      </w:r>
      <w:bookmarkEnd w:id="8"/>
      <w:r w:rsidRPr="00C61D6E">
        <w:t xml:space="preserve"> Available area for wind onshore in the reference scenario</w:t>
      </w:r>
      <w:bookmarkEnd w:id="9"/>
    </w:p>
    <w:p w14:paraId="7ACFCD27" w14:textId="77777777" w:rsidR="004D1549" w:rsidRPr="00C61D6E" w:rsidRDefault="004D1549" w:rsidP="00AA48FF"/>
    <w:p w14:paraId="10FE40D0" w14:textId="77777777" w:rsidR="004D1549" w:rsidRPr="00C61D6E" w:rsidRDefault="004D1549" w:rsidP="004D1549">
      <w:pPr>
        <w:pStyle w:val="Heading2"/>
      </w:pPr>
      <w:r w:rsidRPr="00C61D6E">
        <w:t>Wind technologies scheme</w:t>
      </w:r>
    </w:p>
    <w:p w14:paraId="050937EB" w14:textId="77777777" w:rsidR="00F77A26" w:rsidRPr="00C61D6E" w:rsidRDefault="00F77A26" w:rsidP="00E81C97"/>
    <w:p w14:paraId="4DB2E95E" w14:textId="77777777" w:rsidR="004D1549" w:rsidRPr="00C61D6E" w:rsidRDefault="004D1549" w:rsidP="00F77A26">
      <w:r w:rsidRPr="00C61D6E">
        <w:rPr>
          <w:noProof/>
          <w:lang w:eastAsia="en-GB"/>
        </w:rPr>
        <w:drawing>
          <wp:inline distT="0" distB="0" distL="0" distR="0" wp14:anchorId="1F308360" wp14:editId="232CCFD2">
            <wp:extent cx="5747657" cy="4821382"/>
            <wp:effectExtent l="0" t="0" r="5715" b="0"/>
            <wp:docPr id="20" name="Picture 2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832340"/>
                    </a:xfrm>
                    <a:prstGeom prst="rect">
                      <a:avLst/>
                    </a:prstGeom>
                    <a:noFill/>
                    <a:ln>
                      <a:noFill/>
                    </a:ln>
                  </pic:spPr>
                </pic:pic>
              </a:graphicData>
            </a:graphic>
          </wp:inline>
        </w:drawing>
      </w:r>
    </w:p>
    <w:p w14:paraId="63AFA16C" w14:textId="77777777" w:rsidR="00844488" w:rsidRPr="0037138D" w:rsidRDefault="00844488" w:rsidP="00726F2E">
      <w:pPr>
        <w:spacing w:before="120" w:after="200" w:line="276" w:lineRule="auto"/>
        <w:jc w:val="both"/>
      </w:pPr>
      <w:r w:rsidRPr="0037138D">
        <w:br w:type="page"/>
      </w:r>
    </w:p>
    <w:p w14:paraId="63D0AA1D" w14:textId="77777777" w:rsidR="00E81C97" w:rsidRPr="0037138D" w:rsidRDefault="00E81C97" w:rsidP="00E81C97">
      <w:pPr>
        <w:pStyle w:val="Heading2"/>
      </w:pPr>
      <w:r w:rsidRPr="0037138D">
        <w:lastRenderedPageBreak/>
        <w:t>Wind technology matrix</w:t>
      </w:r>
    </w:p>
    <w:p w14:paraId="571AFA5E" w14:textId="77011C34" w:rsidR="007834DD" w:rsidRPr="00C61D6E" w:rsidRDefault="007834DD" w:rsidP="00724076">
      <w:pPr>
        <w:pStyle w:val="Caption"/>
        <w:jc w:val="center"/>
      </w:pPr>
      <w:bookmarkStart w:id="10" w:name="_Ref523515108"/>
      <w:bookmarkStart w:id="11" w:name="_Ref523515103"/>
      <w:r w:rsidRPr="00B00B67">
        <w:t xml:space="preserve">Table </w:t>
      </w:r>
      <w:r w:rsidR="009575E9">
        <w:rPr>
          <w:noProof/>
        </w:rPr>
        <w:t>6</w:t>
      </w:r>
      <w:bookmarkEnd w:id="10"/>
      <w:r w:rsidRPr="00C61D6E">
        <w:t>. Wind technology Matrix</w:t>
      </w:r>
      <w:bookmarkEnd w:id="11"/>
    </w:p>
    <w:p w14:paraId="4103CE33" w14:textId="77777777" w:rsidR="002E765B" w:rsidRPr="00C61D6E" w:rsidRDefault="002E765B" w:rsidP="004E5B7B">
      <w:r w:rsidRPr="00C61D6E">
        <w:rPr>
          <w:noProof/>
          <w:lang w:eastAsia="en-GB"/>
        </w:rPr>
        <w:drawing>
          <wp:inline distT="0" distB="0" distL="0" distR="0" wp14:anchorId="092D7A44" wp14:editId="30B8476A">
            <wp:extent cx="5759450" cy="430420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304204"/>
                    </a:xfrm>
                    <a:prstGeom prst="rect">
                      <a:avLst/>
                    </a:prstGeom>
                    <a:noFill/>
                    <a:ln>
                      <a:noFill/>
                    </a:ln>
                  </pic:spPr>
                </pic:pic>
              </a:graphicData>
            </a:graphic>
          </wp:inline>
        </w:drawing>
      </w:r>
    </w:p>
    <w:p w14:paraId="4A0A6380" w14:textId="77777777" w:rsidR="00E81C97" w:rsidRPr="0037138D" w:rsidRDefault="00E81C97" w:rsidP="00F77A26"/>
    <w:p w14:paraId="62FD3765" w14:textId="77777777" w:rsidR="000D6FFF" w:rsidRDefault="000D6FFF">
      <w:pPr>
        <w:spacing w:before="120" w:after="200" w:line="276" w:lineRule="auto"/>
        <w:ind w:left="709" w:hanging="357"/>
        <w:jc w:val="both"/>
      </w:pPr>
      <w:bookmarkStart w:id="12" w:name="_Ref523570502"/>
      <w:r>
        <w:br w:type="page"/>
      </w:r>
    </w:p>
    <w:p w14:paraId="0B9811B3" w14:textId="231E7863" w:rsidR="00E81C97" w:rsidRDefault="004E5B7B" w:rsidP="004E5B7B">
      <w:pPr>
        <w:pStyle w:val="Heading2"/>
      </w:pPr>
      <w:r w:rsidRPr="00B00B67">
        <w:lastRenderedPageBreak/>
        <w:t>Wind capacity factor derivation</w:t>
      </w:r>
      <w:bookmarkEnd w:id="12"/>
    </w:p>
    <w:p w14:paraId="0AEEA78F" w14:textId="77777777" w:rsidR="00D30C01" w:rsidRPr="00B00B67" w:rsidRDefault="00D30C01" w:rsidP="00D30C01"/>
    <w:p w14:paraId="63EBBE97" w14:textId="7F8CFEEF" w:rsidR="004E5B7B" w:rsidRPr="00C61D6E" w:rsidRDefault="004E5B7B" w:rsidP="00724076">
      <w:pPr>
        <w:pStyle w:val="Caption"/>
        <w:jc w:val="center"/>
      </w:pPr>
      <w:bookmarkStart w:id="13" w:name="_Ref501545688"/>
      <w:bookmarkStart w:id="14" w:name="_Toc509218677"/>
      <w:r w:rsidRPr="00C61D6E">
        <w:t xml:space="preserve">Table </w:t>
      </w:r>
      <w:r w:rsidR="009575E9">
        <w:rPr>
          <w:noProof/>
        </w:rPr>
        <w:t>7</w:t>
      </w:r>
      <w:bookmarkEnd w:id="13"/>
      <w:r w:rsidRPr="00C61D6E">
        <w:t>. List of dependencies in the processing</w:t>
      </w:r>
      <w:bookmarkEnd w:id="14"/>
    </w:p>
    <w:tbl>
      <w:tblPr>
        <w:tblStyle w:val="TableGrid"/>
        <w:tblW w:w="0" w:type="auto"/>
        <w:jc w:val="center"/>
        <w:tblLook w:val="06A0" w:firstRow="1" w:lastRow="0" w:firstColumn="1" w:lastColumn="0" w:noHBand="1" w:noVBand="1"/>
      </w:tblPr>
      <w:tblGrid>
        <w:gridCol w:w="1793"/>
        <w:gridCol w:w="4652"/>
      </w:tblGrid>
      <w:tr w:rsidR="004E5B7B" w:rsidRPr="00C61D6E" w14:paraId="5575E321" w14:textId="77777777" w:rsidTr="004E5B7B">
        <w:trPr>
          <w:trHeight w:val="300"/>
          <w:jc w:val="center"/>
        </w:trPr>
        <w:tc>
          <w:tcPr>
            <w:tcW w:w="1793" w:type="dxa"/>
            <w:noWrap/>
            <w:hideMark/>
          </w:tcPr>
          <w:p w14:paraId="65FB9A65" w14:textId="77777777" w:rsidR="004E5B7B" w:rsidRPr="00C61D6E" w:rsidRDefault="004E5B7B" w:rsidP="00C73F6B">
            <w:r w:rsidRPr="00C61D6E">
              <w:t xml:space="preserve">Height: </w:t>
            </w:r>
          </w:p>
        </w:tc>
        <w:tc>
          <w:tcPr>
            <w:tcW w:w="4652" w:type="dxa"/>
            <w:noWrap/>
            <w:hideMark/>
          </w:tcPr>
          <w:p w14:paraId="005EF1FB" w14:textId="2FD237D0" w:rsidR="004E5B7B" w:rsidRPr="00C61D6E" w:rsidRDefault="004E5B7B" w:rsidP="00C73F6B">
            <w:r w:rsidRPr="00C61D6E">
              <w:t>(1) 50 m, (2) 100 m, and (3) 200</w:t>
            </w:r>
            <w:r w:rsidR="00FA30B2">
              <w:t xml:space="preserve"> </w:t>
            </w:r>
            <w:r w:rsidRPr="00C61D6E">
              <w:t>m</w:t>
            </w:r>
          </w:p>
        </w:tc>
      </w:tr>
      <w:tr w:rsidR="004E5B7B" w:rsidRPr="00C61D6E" w14:paraId="27DC5DE0" w14:textId="77777777" w:rsidTr="004E5B7B">
        <w:trPr>
          <w:trHeight w:val="300"/>
          <w:jc w:val="center"/>
        </w:trPr>
        <w:tc>
          <w:tcPr>
            <w:tcW w:w="1793" w:type="dxa"/>
            <w:noWrap/>
            <w:hideMark/>
          </w:tcPr>
          <w:p w14:paraId="269744A1" w14:textId="77777777" w:rsidR="004E5B7B" w:rsidRPr="00C61D6E" w:rsidRDefault="004E5B7B" w:rsidP="00C73F6B">
            <w:r w:rsidRPr="00C61D6E">
              <w:t xml:space="preserve">Sector: </w:t>
            </w:r>
          </w:p>
        </w:tc>
        <w:tc>
          <w:tcPr>
            <w:tcW w:w="4652" w:type="dxa"/>
            <w:noWrap/>
            <w:hideMark/>
          </w:tcPr>
          <w:p w14:paraId="14309BF9" w14:textId="77777777" w:rsidR="004E5B7B" w:rsidRPr="00C61D6E" w:rsidRDefault="004E5B7B" w:rsidP="00C73F6B">
            <w:r w:rsidRPr="00C61D6E">
              <w:t>12 x 30° sectors</w:t>
            </w:r>
          </w:p>
        </w:tc>
      </w:tr>
      <w:tr w:rsidR="004E5B7B" w:rsidRPr="00C61D6E" w14:paraId="4FB9E823" w14:textId="77777777" w:rsidTr="004E5B7B">
        <w:trPr>
          <w:trHeight w:val="1230"/>
          <w:jc w:val="center"/>
        </w:trPr>
        <w:tc>
          <w:tcPr>
            <w:tcW w:w="1793" w:type="dxa"/>
            <w:noWrap/>
            <w:hideMark/>
          </w:tcPr>
          <w:p w14:paraId="4C0A199D" w14:textId="77777777" w:rsidR="004E5B7B" w:rsidRPr="00C61D6E" w:rsidRDefault="004E5B7B" w:rsidP="00C73F6B">
            <w:r w:rsidRPr="00C61D6E">
              <w:t xml:space="preserve">Season: </w:t>
            </w:r>
          </w:p>
        </w:tc>
        <w:tc>
          <w:tcPr>
            <w:tcW w:w="4652" w:type="dxa"/>
            <w:noWrap/>
            <w:hideMark/>
          </w:tcPr>
          <w:p w14:paraId="3A858190" w14:textId="77777777" w:rsidR="004E5B7B" w:rsidRPr="00C61D6E" w:rsidRDefault="004E5B7B" w:rsidP="00C73F6B">
            <w:r w:rsidRPr="00C61D6E">
              <w:t>(1) Spring(15/03 - 31/05)</w:t>
            </w:r>
          </w:p>
          <w:p w14:paraId="2EC84FE0" w14:textId="77777777" w:rsidR="004E5B7B" w:rsidRPr="00C61D6E" w:rsidRDefault="004E5B7B" w:rsidP="00C73F6B">
            <w:r w:rsidRPr="00C61D6E">
              <w:t>(2) Summer(01/06 - 30/08)</w:t>
            </w:r>
          </w:p>
          <w:p w14:paraId="55AD00B1" w14:textId="77777777" w:rsidR="004E5B7B" w:rsidRPr="00C61D6E" w:rsidRDefault="004E5B7B" w:rsidP="00C73F6B">
            <w:r w:rsidRPr="00C61D6E">
              <w:t>(3) Autumn(31/08 - 15/11)</w:t>
            </w:r>
          </w:p>
          <w:p w14:paraId="6900689B" w14:textId="77777777" w:rsidR="004E5B7B" w:rsidRPr="00C61D6E" w:rsidRDefault="004E5B7B" w:rsidP="00C73F6B">
            <w:r w:rsidRPr="00C61D6E">
              <w:t>(4) Winter(16/11 - 14/03)</w:t>
            </w:r>
          </w:p>
        </w:tc>
      </w:tr>
      <w:tr w:rsidR="004E5B7B" w:rsidRPr="00C61D6E" w14:paraId="63D058C8" w14:textId="77777777" w:rsidTr="004E5B7B">
        <w:trPr>
          <w:trHeight w:val="300"/>
          <w:jc w:val="center"/>
        </w:trPr>
        <w:tc>
          <w:tcPr>
            <w:tcW w:w="1793" w:type="dxa"/>
            <w:noWrap/>
            <w:hideMark/>
          </w:tcPr>
          <w:p w14:paraId="2A0B5AC9" w14:textId="5543456B" w:rsidR="004E5B7B" w:rsidRPr="00C61D6E" w:rsidRDefault="009729F0" w:rsidP="00C73F6B">
            <w:r>
              <w:t>Time of day</w:t>
            </w:r>
            <w:r w:rsidR="004E5B7B" w:rsidRPr="00C61D6E">
              <w:t xml:space="preserve">: </w:t>
            </w:r>
          </w:p>
        </w:tc>
        <w:tc>
          <w:tcPr>
            <w:tcW w:w="4652" w:type="dxa"/>
            <w:noWrap/>
            <w:hideMark/>
          </w:tcPr>
          <w:p w14:paraId="10A6A338" w14:textId="77777777" w:rsidR="004E5B7B" w:rsidRPr="00C61D6E" w:rsidRDefault="004E5B7B" w:rsidP="00C73F6B">
            <w:r w:rsidRPr="00C61D6E">
              <w:t>(1) day (D), (2) night (N), and (3) peak (P)</w:t>
            </w:r>
          </w:p>
        </w:tc>
      </w:tr>
      <w:tr w:rsidR="004E5B7B" w:rsidRPr="00C61D6E" w14:paraId="0C8E80AC" w14:textId="77777777" w:rsidTr="004E5B7B">
        <w:trPr>
          <w:trHeight w:val="300"/>
          <w:jc w:val="center"/>
        </w:trPr>
        <w:tc>
          <w:tcPr>
            <w:tcW w:w="1793" w:type="dxa"/>
            <w:noWrap/>
            <w:hideMark/>
          </w:tcPr>
          <w:p w14:paraId="4AEAEEC3" w14:textId="77777777" w:rsidR="004E5B7B" w:rsidRPr="00C61D6E" w:rsidRDefault="004E5B7B" w:rsidP="00C73F6B">
            <w:r w:rsidRPr="00C61D6E">
              <w:t xml:space="preserve">Turbine technology: </w:t>
            </w:r>
          </w:p>
        </w:tc>
        <w:tc>
          <w:tcPr>
            <w:tcW w:w="4652" w:type="dxa"/>
            <w:noWrap/>
            <w:hideMark/>
          </w:tcPr>
          <w:p w14:paraId="31D67D37" w14:textId="77777777" w:rsidR="004E5B7B" w:rsidRPr="00C61D6E" w:rsidRDefault="004E5B7B" w:rsidP="00C73F6B">
            <w:r w:rsidRPr="00C61D6E">
              <w:t>(1) Vestas V90, (2) Vestas V112, and (3) Vestas V136</w:t>
            </w:r>
          </w:p>
        </w:tc>
      </w:tr>
    </w:tbl>
    <w:p w14:paraId="51EB0A38" w14:textId="77777777" w:rsidR="00186D16" w:rsidRPr="00C61D6E" w:rsidRDefault="00186D16" w:rsidP="00186D16"/>
    <w:p w14:paraId="40F3E7FA" w14:textId="523C1D72" w:rsidR="00663A49" w:rsidRPr="00C61D6E" w:rsidRDefault="004E5B7B" w:rsidP="00844488">
      <w:pPr>
        <w:tabs>
          <w:tab w:val="left" w:pos="8364"/>
        </w:tabs>
        <w:rPr>
          <w:lang w:eastAsia="en-GB"/>
        </w:rPr>
      </w:pPr>
      <w:r w:rsidRPr="00C61D6E">
        <w:t>Global Wind Atlas (GWA) Weibull A (A</w:t>
      </w:r>
      <w:r w:rsidRPr="00C61D6E">
        <w:rPr>
          <w:vertAlign w:val="subscript"/>
        </w:rPr>
        <w:t>gwa</w:t>
      </w:r>
      <w:r w:rsidRPr="00C61D6E">
        <w:t>) and k (k</w:t>
      </w:r>
      <w:r w:rsidRPr="00C61D6E">
        <w:rPr>
          <w:vertAlign w:val="subscript"/>
        </w:rPr>
        <w:t>gwa</w:t>
      </w:r>
      <w:r w:rsidRPr="00C61D6E">
        <w:t>) parameters are available</w:t>
      </w:r>
      <w:r w:rsidR="00ED4B18">
        <w:t xml:space="preserve"> </w:t>
      </w:r>
      <w:r w:rsidR="00ED4B18" w:rsidRPr="00C61D6E">
        <w:t>sector</w:t>
      </w:r>
      <w:r w:rsidR="00ED4B18">
        <w:t>-</w:t>
      </w:r>
      <w:r w:rsidR="00ED4B18" w:rsidRPr="00C61D6E">
        <w:t>wise</w:t>
      </w:r>
      <w:r w:rsidRPr="00C61D6E">
        <w:t xml:space="preserve"> </w:t>
      </w:r>
      <w:r w:rsidR="00ED4B18">
        <w:t>for</w:t>
      </w:r>
      <w:r w:rsidR="00ED4B18" w:rsidRPr="00C61D6E">
        <w:t xml:space="preserve"> </w:t>
      </w:r>
      <w:r w:rsidRPr="00C61D6E">
        <w:t>50 m, 100</w:t>
      </w:r>
      <w:r w:rsidR="00910142">
        <w:t xml:space="preserve"> </w:t>
      </w:r>
      <w:r w:rsidRPr="00C61D6E">
        <w:t>m, and 200 m heights with a 250 m spatial resolution. Now, for every heigh</w:t>
      </w:r>
      <w:r w:rsidR="002A0498">
        <w:t>t, time</w:t>
      </w:r>
      <w:r w:rsidRPr="00C61D6E">
        <w:t>slice (day time and season) and sector, we step through the wind speed distribution with a resolution of dws (set to 1m/s). For every bin, we correct the lower boundary of the bin with:</w:t>
      </w:r>
      <m:oMath>
        <m:r>
          <m:rPr>
            <m:sty m:val="p"/>
          </m:rPr>
          <w:rPr>
            <w:rFonts w:ascii="Cambria Math" w:hAnsi="Cambria Math"/>
          </w:rPr>
          <w:br/>
        </m:r>
        <m:sSub>
          <m:sSubPr>
            <m:ctrlPr>
              <w:rPr>
                <w:rFonts w:ascii="Cambria Math" w:hAnsi="Cambria Math"/>
                <w:i/>
              </w:rPr>
            </m:ctrlPr>
          </m:sSubPr>
          <m:e>
            <m:r>
              <w:rPr>
                <w:rFonts w:ascii="Cambria Math" w:hAnsi="Cambria Math"/>
              </w:rPr>
              <m:t>U</m:t>
            </m:r>
          </m:e>
          <m:sub>
            <m:r>
              <w:rPr>
                <w:rFonts w:ascii="Cambria Math" w:hAnsi="Cambria Math"/>
              </w:rPr>
              <m:t xml:space="preserve"> c1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gwa</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b1</m:t>
                        </m:r>
                      </m:sub>
                    </m:sSub>
                  </m:num>
                  <m:den>
                    <m:sSub>
                      <m:sSubPr>
                        <m:ctrlPr>
                          <w:rPr>
                            <w:rFonts w:ascii="Cambria Math" w:hAnsi="Cambria Math"/>
                            <w:i/>
                          </w:rPr>
                        </m:ctrlPr>
                      </m:sSubPr>
                      <m:e>
                        <m:r>
                          <w:rPr>
                            <w:rFonts w:ascii="Cambria Math" w:hAnsi="Cambria Math"/>
                          </w:rPr>
                          <m:t>A</m:t>
                        </m:r>
                      </m:e>
                      <m:sub>
                        <m:r>
                          <w:rPr>
                            <w:rFonts w:ascii="Cambria Math" w:hAnsi="Cambria Math"/>
                          </w:rPr>
                          <m:t>ren</m:t>
                        </m:r>
                      </m:sub>
                    </m:sSub>
                  </m:den>
                </m:f>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ren</m:t>
                    </m:r>
                  </m:sub>
                </m:sSub>
              </m:num>
              <m:den>
                <m:sSub>
                  <m:sSubPr>
                    <m:ctrlPr>
                      <w:rPr>
                        <w:rFonts w:ascii="Cambria Math" w:hAnsi="Cambria Math"/>
                        <w:i/>
                      </w:rPr>
                    </m:ctrlPr>
                  </m:sSubPr>
                  <m:e>
                    <m:r>
                      <w:rPr>
                        <w:rFonts w:ascii="Cambria Math" w:hAnsi="Cambria Math"/>
                      </w:rPr>
                      <m:t>k</m:t>
                    </m:r>
                  </m:e>
                  <m:sub>
                    <m:r>
                      <w:rPr>
                        <w:rFonts w:ascii="Cambria Math" w:hAnsi="Cambria Math"/>
                      </w:rPr>
                      <m:t>gwa</m:t>
                    </m:r>
                  </m:sub>
                </m:sSub>
              </m:den>
            </m:f>
          </m:sup>
        </m:sSup>
        <m:r>
          <w:rPr>
            <w:rFonts w:ascii="Cambria Math" w:hAnsi="Cambria Math"/>
          </w:rPr>
          <m:t xml:space="preserve"> </m:t>
        </m:r>
      </m:oMath>
      <w:r w:rsidR="001D2999" w:rsidRPr="00C61D6E">
        <w:tab/>
      </w:r>
      <w:r w:rsidR="00663A49" w:rsidRPr="00C61D6E">
        <w:t xml:space="preserve">( </w:t>
      </w:r>
      <w:r w:rsidR="009575E9">
        <w:rPr>
          <w:noProof/>
        </w:rPr>
        <w:t>1</w:t>
      </w:r>
      <w:r w:rsidR="00663A49" w:rsidRPr="00C61D6E">
        <w:t xml:space="preserve"> )</w:t>
      </w:r>
    </w:p>
    <w:p w14:paraId="68172F4B" w14:textId="4DF63F60" w:rsidR="004E5B7B" w:rsidRPr="0037138D" w:rsidRDefault="004E5B7B" w:rsidP="00186D16">
      <w:r w:rsidRPr="0037138D">
        <w:t>and</w:t>
      </w:r>
      <w:r w:rsidR="00E5579E">
        <w:t xml:space="preserve"> the</w:t>
      </w:r>
      <w:r w:rsidRPr="0037138D">
        <w:t xml:space="preserve"> upper boundary of the bin with:</w:t>
      </w:r>
    </w:p>
    <w:p w14:paraId="5C7E4967" w14:textId="58456E3C" w:rsidR="004E5B7B" w:rsidRPr="00C61D6E" w:rsidRDefault="00726F2E" w:rsidP="001D2999">
      <w:pPr>
        <w:tabs>
          <w:tab w:val="left" w:pos="8364"/>
        </w:tabs>
      </w:pPr>
      <m:oMath>
        <m:sSub>
          <m:sSubPr>
            <m:ctrlPr>
              <w:rPr>
                <w:rFonts w:ascii="Cambria Math" w:hAnsi="Cambria Math"/>
                <w:i/>
              </w:rPr>
            </m:ctrlPr>
          </m:sSubPr>
          <m:e>
            <m:r>
              <w:rPr>
                <w:rFonts w:ascii="Cambria Math" w:hAnsi="Cambria Math"/>
              </w:rPr>
              <m:t>U</m:t>
            </m:r>
          </m:e>
          <m:sub>
            <m:r>
              <w:rPr>
                <w:rFonts w:ascii="Cambria Math" w:hAnsi="Cambria Math"/>
              </w:rPr>
              <m:t xml:space="preserve"> c2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gwa</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b2</m:t>
                        </m:r>
                      </m:sub>
                    </m:sSub>
                  </m:num>
                  <m:den>
                    <m:sSub>
                      <m:sSubPr>
                        <m:ctrlPr>
                          <w:rPr>
                            <w:rFonts w:ascii="Cambria Math" w:hAnsi="Cambria Math"/>
                            <w:i/>
                          </w:rPr>
                        </m:ctrlPr>
                      </m:sSubPr>
                      <m:e>
                        <m:r>
                          <w:rPr>
                            <w:rFonts w:ascii="Cambria Math" w:hAnsi="Cambria Math"/>
                          </w:rPr>
                          <m:t>A</m:t>
                        </m:r>
                      </m:e>
                      <m:sub>
                        <m:r>
                          <w:rPr>
                            <w:rFonts w:ascii="Cambria Math" w:hAnsi="Cambria Math"/>
                          </w:rPr>
                          <m:t>ren</m:t>
                        </m:r>
                      </m:sub>
                    </m:sSub>
                  </m:den>
                </m:f>
              </m:e>
            </m:d>
          </m:e>
          <m:sup>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ren</m:t>
                    </m:r>
                  </m:sub>
                </m:sSub>
              </m:num>
              <m:den>
                <m:sSub>
                  <m:sSubPr>
                    <m:ctrlPr>
                      <w:rPr>
                        <w:rFonts w:ascii="Cambria Math" w:hAnsi="Cambria Math"/>
                        <w:i/>
                      </w:rPr>
                    </m:ctrlPr>
                  </m:sSubPr>
                  <m:e>
                    <m:r>
                      <w:rPr>
                        <w:rFonts w:ascii="Cambria Math" w:hAnsi="Cambria Math"/>
                      </w:rPr>
                      <m:t>k</m:t>
                    </m:r>
                  </m:e>
                  <m:sub>
                    <m:r>
                      <w:rPr>
                        <w:rFonts w:ascii="Cambria Math" w:hAnsi="Cambria Math"/>
                      </w:rPr>
                      <m:t>gwa</m:t>
                    </m:r>
                  </m:sub>
                </m:sSub>
              </m:den>
            </m:f>
          </m:sup>
        </m:sSup>
      </m:oMath>
      <w:r w:rsidR="001D2999" w:rsidRPr="00C61D6E">
        <w:tab/>
        <w:t xml:space="preserve">( </w:t>
      </w:r>
      <w:r w:rsidR="009575E9">
        <w:rPr>
          <w:noProof/>
        </w:rPr>
        <w:t>2</w:t>
      </w:r>
      <w:r w:rsidR="001D2999" w:rsidRPr="00C61D6E">
        <w:t xml:space="preserve"> )</w:t>
      </w:r>
    </w:p>
    <w:p w14:paraId="73D2E99A" w14:textId="77777777" w:rsidR="001D2999" w:rsidRPr="0037138D" w:rsidRDefault="001D2999" w:rsidP="001D2999">
      <w:pPr>
        <w:tabs>
          <w:tab w:val="left" w:pos="8364"/>
        </w:tabs>
      </w:pPr>
    </w:p>
    <w:p w14:paraId="7D58BC71" w14:textId="7AEA1ED0" w:rsidR="004E5B7B" w:rsidRPr="00C61D6E" w:rsidRDefault="004E5B7B" w:rsidP="00186D16">
      <w:r w:rsidRPr="00B00B67">
        <w:t>Here</w:t>
      </w:r>
      <w:r w:rsidR="00E5579E">
        <w:t>,</w:t>
      </w:r>
      <w:r w:rsidRPr="00B00B67">
        <w:t xml:space="preserve"> U</w:t>
      </w:r>
      <w:r w:rsidRPr="00B00B67">
        <w:rPr>
          <w:vertAlign w:val="subscript"/>
        </w:rPr>
        <w:t>c</w:t>
      </w:r>
      <w:r w:rsidRPr="00B00B67">
        <w:t xml:space="preserve"> and U</w:t>
      </w:r>
      <w:r w:rsidRPr="00B00B67">
        <w:rPr>
          <w:vertAlign w:val="subscript"/>
        </w:rPr>
        <w:t>b</w:t>
      </w:r>
      <w:r w:rsidRPr="00B00B67">
        <w:t xml:space="preserve"> are the corrected and original bin boundaries. From the corrected lower and upper bin boundaries the corrected average wind speed (U</w:t>
      </w:r>
      <w:r w:rsidRPr="00C61D6E">
        <w:rPr>
          <w:vertAlign w:val="subscript"/>
        </w:rPr>
        <w:t>av</w:t>
      </w:r>
      <w:r w:rsidRPr="00C61D6E">
        <w:t>) is calculated. Then, we loop over the turbine technologies and if U</w:t>
      </w:r>
      <w:r w:rsidRPr="00C61D6E">
        <w:rPr>
          <w:vertAlign w:val="subscript"/>
        </w:rPr>
        <w:t>av</w:t>
      </w:r>
      <w:r w:rsidRPr="00C61D6E">
        <w:t xml:space="preserve"> is between the cut-in (U</w:t>
      </w:r>
      <w:r w:rsidRPr="00C61D6E">
        <w:rPr>
          <w:vertAlign w:val="subscript"/>
        </w:rPr>
        <w:t>in</w:t>
      </w:r>
      <w:r w:rsidRPr="00C61D6E">
        <w:t>) and cut-out (U</w:t>
      </w:r>
      <w:r w:rsidRPr="00C61D6E">
        <w:rPr>
          <w:vertAlign w:val="subscript"/>
        </w:rPr>
        <w:t>out</w:t>
      </w:r>
      <w:r w:rsidRPr="00C61D6E">
        <w:t>) wind speed of the specific turbine, the wind direction (FWD</w:t>
      </w:r>
      <w:r w:rsidRPr="00C61D6E">
        <w:rPr>
          <w:vertAlign w:val="subscript"/>
        </w:rPr>
        <w:t>ts</w:t>
      </w:r>
      <w:r w:rsidRPr="00C61D6E">
        <w:t>) and wind speed (FWS</w:t>
      </w:r>
      <w:r w:rsidRPr="00C61D6E">
        <w:rPr>
          <w:vertAlign w:val="subscript"/>
        </w:rPr>
        <w:t>ts</w:t>
      </w:r>
      <w:r w:rsidRPr="00C61D6E">
        <w:t>) weighted capacity factor is calculated:</w:t>
      </w:r>
    </w:p>
    <w:p w14:paraId="504232DC" w14:textId="77777777" w:rsidR="00785087" w:rsidRPr="00C61D6E" w:rsidRDefault="00785087" w:rsidP="00186D16"/>
    <w:p w14:paraId="16A60CD9" w14:textId="4A013836" w:rsidR="004E5B7B" w:rsidRPr="00C61D6E" w:rsidRDefault="001D2999" w:rsidP="002C0186">
      <w:pPr>
        <w:tabs>
          <w:tab w:val="left" w:pos="8364"/>
        </w:tabs>
        <w:ind w:right="-1136"/>
      </w:pPr>
      <m:oMath>
        <m:r>
          <w:rPr>
            <w:rFonts w:ascii="Cambria Math" w:hAnsi="Cambria Math"/>
          </w:rPr>
          <m:t>CF</m:t>
        </m:r>
        <m:d>
          <m:dPr>
            <m:ctrlPr>
              <w:rPr>
                <w:rFonts w:ascii="Cambria Math" w:hAnsi="Cambria Math"/>
                <w:i/>
              </w:rPr>
            </m:ctrlPr>
          </m:dPr>
          <m:e>
            <m:r>
              <w:rPr>
                <w:rFonts w:ascii="Cambria Math" w:hAnsi="Cambria Math"/>
              </w:rPr>
              <m:t>i,j,k,l,m</m:t>
            </m:r>
          </m:e>
        </m:d>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12</m:t>
            </m:r>
          </m:sup>
          <m:e>
            <m:nary>
              <m:naryPr>
                <m:chr m:val="∑"/>
                <m:limLoc m:val="undOvr"/>
                <m:ctrlPr>
                  <w:rPr>
                    <w:rFonts w:ascii="Cambria Math" w:hAnsi="Cambria Math"/>
                    <w:i/>
                  </w:rPr>
                </m:ctrlPr>
              </m:naryPr>
              <m: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e>
                </m:d>
              </m:sub>
              <m:sup>
                <m:sSub>
                  <m:sSubPr>
                    <m:ctrlPr>
                      <w:rPr>
                        <w:rFonts w:ascii="Cambria Math" w:hAnsi="Cambria Math"/>
                        <w:i/>
                      </w:rPr>
                    </m:ctrlPr>
                  </m:sSubPr>
                  <m:e>
                    <m:r>
                      <w:rPr>
                        <w:rFonts w:ascii="Cambria Math" w:hAnsi="Cambria Math"/>
                      </w:rPr>
                      <m:t>U</m:t>
                    </m:r>
                  </m:e>
                  <m:sub>
                    <m:r>
                      <w:rPr>
                        <w:rFonts w:ascii="Cambria Math" w:hAnsi="Cambria Math"/>
                      </w:rPr>
                      <m:t>out</m:t>
                    </m:r>
                  </m:sub>
                </m:sSub>
              </m:sup>
              <m:e>
                <m:sSub>
                  <m:sSubPr>
                    <m:ctrlPr>
                      <w:rPr>
                        <w:rFonts w:ascii="Cambria Math" w:hAnsi="Cambria Math"/>
                        <w:i/>
                      </w:rPr>
                    </m:ctrlPr>
                  </m:sSubPr>
                  <m:e>
                    <m:r>
                      <w:rPr>
                        <w:rFonts w:ascii="Cambria Math" w:hAnsi="Cambria Math"/>
                      </w:rPr>
                      <m:t>FWD</m:t>
                    </m:r>
                  </m:e>
                  <m:sub>
                    <m:r>
                      <w:rPr>
                        <w:rFonts w:ascii="Cambria Math" w:hAnsi="Cambria Math"/>
                      </w:rPr>
                      <m:t>ts</m:t>
                    </m:r>
                  </m:sub>
                </m:sSub>
                <m:d>
                  <m:dPr>
                    <m:ctrlPr>
                      <w:rPr>
                        <w:rFonts w:ascii="Cambria Math" w:hAnsi="Cambria Math"/>
                        <w:i/>
                      </w:rPr>
                    </m:ctrlPr>
                  </m:dPr>
                  <m:e>
                    <m:r>
                      <w:rPr>
                        <w:rFonts w:ascii="Cambria Math" w:hAnsi="Cambria Math"/>
                      </w:rPr>
                      <m:t>i,j,k,l,q</m:t>
                    </m:r>
                  </m:e>
                </m:d>
                <m:r>
                  <w:rPr>
                    <w:rFonts w:ascii="Cambria Math" w:hAnsi="Cambria Math"/>
                  </w:rPr>
                  <m:t>∙</m:t>
                </m:r>
                <m:sSub>
                  <m:sSubPr>
                    <m:ctrlPr>
                      <w:rPr>
                        <w:rFonts w:ascii="Cambria Math" w:hAnsi="Cambria Math"/>
                        <w:i/>
                      </w:rPr>
                    </m:ctrlPr>
                  </m:sSubPr>
                  <m:e>
                    <m:r>
                      <w:rPr>
                        <w:rFonts w:ascii="Cambria Math" w:hAnsi="Cambria Math"/>
                      </w:rPr>
                      <m:t>FW</m:t>
                    </m:r>
                    <m:r>
                      <w:rPr>
                        <w:rFonts w:ascii="Cambria Math" w:hAnsi="Cambria Math"/>
                      </w:rPr>
                      <m:t>S</m:t>
                    </m:r>
                  </m:e>
                  <m:sub>
                    <m:r>
                      <w:rPr>
                        <w:rFonts w:ascii="Cambria Math" w:hAnsi="Cambria Math"/>
                      </w:rPr>
                      <m:t>ts</m:t>
                    </m:r>
                  </m:sub>
                </m:sSub>
              </m:e>
            </m:nary>
          </m:e>
        </m:nary>
        <m:r>
          <w:rPr>
            <w:rFonts w:ascii="Cambria Math" w:hAnsi="Cambria Math"/>
          </w:rPr>
          <m:t>∙</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p,m</m:t>
                        </m:r>
                      </m:e>
                    </m:d>
                    <m:r>
                      <w:rPr>
                        <w:rFonts w:ascii="Cambria Math" w:hAnsi="Cambria Math"/>
                      </w:rPr>
                      <m:t>-P</m:t>
                    </m:r>
                    <m:d>
                      <m:dPr>
                        <m:ctrlPr>
                          <w:rPr>
                            <w:rFonts w:ascii="Cambria Math" w:hAnsi="Cambria Math"/>
                            <w:i/>
                          </w:rPr>
                        </m:ctrlPr>
                      </m:dPr>
                      <m:e>
                        <m:r>
                          <w:rPr>
                            <w:rFonts w:ascii="Cambria Math" w:hAnsi="Cambria Math"/>
                          </w:rPr>
                          <m:t>p-1,m</m:t>
                        </m:r>
                      </m:e>
                    </m:d>
                  </m:e>
                </m:d>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av</m:t>
                        </m:r>
                      </m:sub>
                    </m:sSub>
                    <m:r>
                      <w:rPr>
                        <w:rFonts w:ascii="Cambria Math" w:hAnsi="Cambria Math"/>
                      </w:rPr>
                      <m:t>-U</m:t>
                    </m:r>
                    <m:d>
                      <m:dPr>
                        <m:ctrlPr>
                          <w:rPr>
                            <w:rFonts w:ascii="Cambria Math" w:hAnsi="Cambria Math"/>
                            <w:i/>
                          </w:rPr>
                        </m:ctrlPr>
                      </m:dPr>
                      <m:e>
                        <m:r>
                          <w:rPr>
                            <w:rFonts w:ascii="Cambria Math" w:hAnsi="Cambria Math"/>
                          </w:rPr>
                          <m:t>p-1</m:t>
                        </m:r>
                      </m:e>
                    </m:d>
                  </m:e>
                </m:d>
              </m:num>
              <m:den>
                <m:r>
                  <w:rPr>
                    <w:rFonts w:ascii="Cambria Math" w:hAnsi="Cambria Math"/>
                  </w:rPr>
                  <m:t>U</m:t>
                </m:r>
                <m:d>
                  <m:dPr>
                    <m:ctrlPr>
                      <w:rPr>
                        <w:rFonts w:ascii="Cambria Math" w:hAnsi="Cambria Math"/>
                        <w:i/>
                      </w:rPr>
                    </m:ctrlPr>
                  </m:dPr>
                  <m:e>
                    <m:r>
                      <w:rPr>
                        <w:rFonts w:ascii="Cambria Math" w:hAnsi="Cambria Math"/>
                      </w:rPr>
                      <m:t>p</m:t>
                    </m:r>
                  </m:e>
                </m:d>
                <m:r>
                  <w:rPr>
                    <w:rFonts w:ascii="Cambria Math" w:hAnsi="Cambria Math"/>
                  </w:rPr>
                  <m:t>-U</m:t>
                </m:r>
                <m:d>
                  <m:dPr>
                    <m:ctrlPr>
                      <w:rPr>
                        <w:rFonts w:ascii="Cambria Math" w:hAnsi="Cambria Math"/>
                        <w:i/>
                      </w:rPr>
                    </m:ctrlPr>
                  </m:dPr>
                  <m:e>
                    <m:r>
                      <w:rPr>
                        <w:rFonts w:ascii="Cambria Math" w:hAnsi="Cambria Math"/>
                      </w:rPr>
                      <m:t>p-1</m:t>
                    </m:r>
                  </m:e>
                </m:d>
              </m:den>
            </m:f>
            <m:r>
              <w:rPr>
                <w:rFonts w:ascii="Cambria Math" w:hAnsi="Cambria Math"/>
              </w:rPr>
              <m:t>++ P</m:t>
            </m:r>
            <m:d>
              <m:dPr>
                <m:ctrlPr>
                  <w:rPr>
                    <w:rFonts w:ascii="Cambria Math" w:hAnsi="Cambria Math"/>
                    <w:i/>
                  </w:rPr>
                </m:ctrlPr>
              </m:dPr>
              <m:e>
                <m:r>
                  <w:rPr>
                    <w:rFonts w:ascii="Cambria Math" w:hAnsi="Cambria Math"/>
                  </w:rPr>
                  <m:t>p-1,m</m:t>
                </m:r>
              </m:e>
            </m:d>
          </m:e>
        </m:d>
      </m:oMath>
      <w:r w:rsidR="002C0186" w:rsidRPr="00C61D6E">
        <w:tab/>
        <w:t xml:space="preserve">( </w:t>
      </w:r>
      <w:r w:rsidR="009575E9">
        <w:rPr>
          <w:noProof/>
        </w:rPr>
        <w:t>3</w:t>
      </w:r>
      <w:r w:rsidR="002C0186" w:rsidRPr="00C61D6E">
        <w:t xml:space="preserve"> )</w:t>
      </w:r>
    </w:p>
    <w:p w14:paraId="7B479C06" w14:textId="77777777" w:rsidR="001D2999" w:rsidRPr="0037138D" w:rsidRDefault="001D2999" w:rsidP="00186D16"/>
    <w:p w14:paraId="05397F0E" w14:textId="35CDCF7C" w:rsidR="004E5B7B" w:rsidRPr="00B00B67" w:rsidRDefault="004E5B7B" w:rsidP="00186D16">
      <w:r w:rsidRPr="00B00B67">
        <w:t xml:space="preserve">where i is the longitude, j </w:t>
      </w:r>
      <w:r w:rsidR="00E5579E">
        <w:t xml:space="preserve">is </w:t>
      </w:r>
      <w:r w:rsidRPr="00B00B67">
        <w:t>the latitude, k the season. l day time, m the turbine technology, and P the normalised turbine power production. The wind direction weights is normalised such that:</w:t>
      </w:r>
    </w:p>
    <w:p w14:paraId="09CBECB8" w14:textId="77777777" w:rsidR="002C0186" w:rsidRPr="00C61D6E" w:rsidRDefault="002C0186" w:rsidP="00186D16"/>
    <w:p w14:paraId="6F44FDE5" w14:textId="73DA5CCE" w:rsidR="002C0186" w:rsidRPr="00C61D6E" w:rsidRDefault="00726F2E" w:rsidP="002C0186">
      <w:pPr>
        <w:tabs>
          <w:tab w:val="left" w:pos="8364"/>
        </w:tabs>
      </w:pPr>
      <m:oMath>
        <m:nary>
          <m:naryPr>
            <m:chr m:val="∑"/>
            <m:limLoc m:val="undOvr"/>
            <m:ctrlPr>
              <w:rPr>
                <w:rFonts w:ascii="Cambria Math" w:hAnsi="Cambria Math"/>
                <w:i/>
              </w:rPr>
            </m:ctrlPr>
          </m:naryPr>
          <m:sub>
            <m:r>
              <w:rPr>
                <w:rFonts w:ascii="Cambria Math" w:hAnsi="Cambria Math"/>
              </w:rPr>
              <m:t>q=1</m:t>
            </m:r>
          </m:sub>
          <m:sup>
            <m:r>
              <w:rPr>
                <w:rFonts w:ascii="Cambria Math" w:hAnsi="Cambria Math"/>
              </w:rPr>
              <m:t>12</m:t>
            </m:r>
          </m:sup>
          <m:e>
            <m:sSub>
              <m:sSubPr>
                <m:ctrlPr>
                  <w:rPr>
                    <w:rFonts w:ascii="Cambria Math" w:hAnsi="Cambria Math"/>
                    <w:i/>
                  </w:rPr>
                </m:ctrlPr>
              </m:sSubPr>
              <m:e>
                <m:r>
                  <w:rPr>
                    <w:rFonts w:ascii="Cambria Math" w:hAnsi="Cambria Math"/>
                  </w:rPr>
                  <m:t>FWD</m:t>
                </m:r>
              </m:e>
              <m:sub>
                <m:r>
                  <w:rPr>
                    <w:rFonts w:ascii="Cambria Math" w:hAnsi="Cambria Math"/>
                  </w:rPr>
                  <m:t>ts</m:t>
                </m:r>
              </m:sub>
            </m:sSub>
            <m:d>
              <m:dPr>
                <m:ctrlPr>
                  <w:rPr>
                    <w:rFonts w:ascii="Cambria Math" w:hAnsi="Cambria Math"/>
                    <w:i/>
                  </w:rPr>
                </m:ctrlPr>
              </m:dPr>
              <m:e>
                <m:r>
                  <w:rPr>
                    <w:rFonts w:ascii="Cambria Math" w:hAnsi="Cambria Math"/>
                  </w:rPr>
                  <m:t>i,j,k,l,q</m:t>
                </m:r>
              </m:e>
            </m:d>
            <m:r>
              <w:rPr>
                <w:rFonts w:ascii="Cambria Math" w:hAnsi="Cambria Math"/>
              </w:rPr>
              <m:t>=1 ∀ i,j,k,l.</m:t>
            </m:r>
          </m:e>
        </m:nary>
      </m:oMath>
      <w:r w:rsidR="002C0186" w:rsidRPr="00C61D6E">
        <w:tab/>
        <w:t xml:space="preserve">( </w:t>
      </w:r>
      <w:r w:rsidR="009575E9">
        <w:rPr>
          <w:noProof/>
        </w:rPr>
        <w:t>4</w:t>
      </w:r>
      <w:r w:rsidR="002C0186" w:rsidRPr="00C61D6E">
        <w:t xml:space="preserve"> )</w:t>
      </w:r>
    </w:p>
    <w:p w14:paraId="44CD3D17" w14:textId="77777777" w:rsidR="002C0186" w:rsidRPr="0037138D" w:rsidRDefault="002C0186" w:rsidP="00186D16"/>
    <w:p w14:paraId="10AD81C9" w14:textId="77777777" w:rsidR="004E5B7B" w:rsidRPr="00B00B67" w:rsidRDefault="004E5B7B" w:rsidP="00186D16">
      <w:r w:rsidRPr="00B00B67">
        <w:t>The wind speed weights (FWS</w:t>
      </w:r>
      <w:r w:rsidRPr="00B00B67">
        <w:rPr>
          <w:vertAlign w:val="subscript"/>
        </w:rPr>
        <w:t>ts</w:t>
      </w:r>
      <w:r w:rsidRPr="00B00B67">
        <w:t>) are obtained from difference of the season and day time dependent weibull cumulative distribution functions of the upper:</w:t>
      </w:r>
    </w:p>
    <w:p w14:paraId="6B58BB1B" w14:textId="77777777" w:rsidR="00844488" w:rsidRPr="00C61D6E" w:rsidRDefault="00844488" w:rsidP="00186D16"/>
    <w:p w14:paraId="460EF8C3" w14:textId="6036104C" w:rsidR="004E5B7B" w:rsidRPr="00C61D6E" w:rsidRDefault="00726F2E" w:rsidP="00BA2DDB">
      <w:pPr>
        <w:tabs>
          <w:tab w:val="left" w:pos="8364"/>
        </w:tabs>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c2</m:t>
                            </m:r>
                          </m:sub>
                        </m:sSub>
                      </m:num>
                      <m:den>
                        <m:sSub>
                          <m:sSubPr>
                            <m:ctrlPr>
                              <w:rPr>
                                <w:rFonts w:ascii="Cambria Math" w:hAnsi="Cambria Math"/>
                                <w:i/>
                              </w:rPr>
                            </m:ctrlPr>
                          </m:sSubPr>
                          <m:e>
                            <m:r>
                              <w:rPr>
                                <w:rFonts w:ascii="Cambria Math" w:hAnsi="Cambria Math"/>
                              </w:rPr>
                              <m:t>A</m:t>
                            </m:r>
                          </m:e>
                          <m:sub>
                            <m:r>
                              <w:rPr>
                                <w:rFonts w:ascii="Cambria Math" w:hAnsi="Cambria Math"/>
                              </w:rPr>
                              <m:t>ts</m:t>
                            </m:r>
                          </m:sub>
                        </m:sSub>
                      </m:den>
                    </m:f>
                  </m:e>
                </m:d>
              </m:e>
              <m:sup>
                <m:sSub>
                  <m:sSubPr>
                    <m:ctrlPr>
                      <w:rPr>
                        <w:rFonts w:ascii="Cambria Math" w:hAnsi="Cambria Math"/>
                        <w:i/>
                      </w:rPr>
                    </m:ctrlPr>
                  </m:sSubPr>
                  <m:e>
                    <m:r>
                      <w:rPr>
                        <w:rFonts w:ascii="Cambria Math" w:hAnsi="Cambria Math"/>
                      </w:rPr>
                      <m:t>k</m:t>
                    </m:r>
                  </m:e>
                  <m:sub>
                    <m:r>
                      <w:rPr>
                        <w:rFonts w:ascii="Cambria Math" w:hAnsi="Cambria Math"/>
                      </w:rPr>
                      <m:t>ts</m:t>
                    </m:r>
                  </m:sub>
                </m:sSub>
              </m:sup>
            </m:sSup>
          </m:e>
        </m:d>
      </m:oMath>
      <w:r w:rsidR="00BA2DDB" w:rsidRPr="00C61D6E">
        <w:tab/>
        <w:t xml:space="preserve">( </w:t>
      </w:r>
      <w:r w:rsidR="009575E9">
        <w:rPr>
          <w:noProof/>
        </w:rPr>
        <w:t>5</w:t>
      </w:r>
      <w:r w:rsidR="00BA2DDB" w:rsidRPr="00C61D6E">
        <w:t xml:space="preserve"> )</w:t>
      </w:r>
    </w:p>
    <w:p w14:paraId="476A37B7" w14:textId="77777777" w:rsidR="004E5B7B" w:rsidRPr="0037138D" w:rsidRDefault="004E5B7B" w:rsidP="00186D16">
      <w:r w:rsidRPr="0037138D">
        <w:t>and lower:</w:t>
      </w:r>
    </w:p>
    <w:p w14:paraId="50E85061" w14:textId="0BB5435B" w:rsidR="004E5B7B" w:rsidRPr="00C61D6E" w:rsidRDefault="00726F2E" w:rsidP="00BA2DDB">
      <w:pPr>
        <w:tabs>
          <w:tab w:val="left" w:pos="8364"/>
        </w:tabs>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=1-exp</m:t>
        </m:r>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c1</m:t>
                            </m:r>
                          </m:sub>
                        </m:sSub>
                      </m:num>
                      <m:den>
                        <m:sSub>
                          <m:sSubPr>
                            <m:ctrlPr>
                              <w:rPr>
                                <w:rFonts w:ascii="Cambria Math" w:hAnsi="Cambria Math"/>
                                <w:i/>
                              </w:rPr>
                            </m:ctrlPr>
                          </m:sSubPr>
                          <m:e>
                            <m:r>
                              <w:rPr>
                                <w:rFonts w:ascii="Cambria Math" w:hAnsi="Cambria Math"/>
                              </w:rPr>
                              <m:t>A</m:t>
                            </m:r>
                          </m:e>
                          <m:sub>
                            <m:r>
                              <w:rPr>
                                <w:rFonts w:ascii="Cambria Math" w:hAnsi="Cambria Math"/>
                              </w:rPr>
                              <m:t>ts</m:t>
                            </m:r>
                          </m:sub>
                        </m:sSub>
                      </m:den>
                    </m:f>
                  </m:e>
                </m:d>
              </m:e>
              <m:sup>
                <m:sSub>
                  <m:sSubPr>
                    <m:ctrlPr>
                      <w:rPr>
                        <w:rFonts w:ascii="Cambria Math" w:hAnsi="Cambria Math"/>
                        <w:i/>
                      </w:rPr>
                    </m:ctrlPr>
                  </m:sSubPr>
                  <m:e>
                    <m:r>
                      <w:rPr>
                        <w:rFonts w:ascii="Cambria Math" w:hAnsi="Cambria Math"/>
                      </w:rPr>
                      <m:t>k</m:t>
                    </m:r>
                  </m:e>
                  <m:sub>
                    <m:r>
                      <w:rPr>
                        <w:rFonts w:ascii="Cambria Math" w:hAnsi="Cambria Math"/>
                      </w:rPr>
                      <m:t>ts</m:t>
                    </m:r>
                  </m:sub>
                </m:sSub>
              </m:sup>
            </m:sSup>
          </m:e>
        </m:d>
      </m:oMath>
      <w:r w:rsidR="00BA2DDB" w:rsidRPr="00C61D6E">
        <w:tab/>
        <w:t xml:space="preserve">( </w:t>
      </w:r>
      <w:r w:rsidR="009575E9">
        <w:rPr>
          <w:noProof/>
        </w:rPr>
        <w:t>6</w:t>
      </w:r>
      <w:r w:rsidR="00BA2DDB" w:rsidRPr="00C61D6E">
        <w:t xml:space="preserve"> )</w:t>
      </w:r>
    </w:p>
    <w:p w14:paraId="7B607E77" w14:textId="77777777" w:rsidR="00844488" w:rsidRPr="0037138D" w:rsidRDefault="00844488" w:rsidP="00BA2DDB">
      <w:pPr>
        <w:tabs>
          <w:tab w:val="left" w:pos="8364"/>
        </w:tabs>
      </w:pPr>
    </w:p>
    <w:p w14:paraId="57C8798D" w14:textId="671DE2E1" w:rsidR="003E77C7" w:rsidRPr="00C61D6E" w:rsidRDefault="004E5B7B" w:rsidP="00D30C01">
      <w:r w:rsidRPr="00B00B67">
        <w:t>corrected wind speed bin. The results are stored in geotiff tiles.</w:t>
      </w:r>
      <w:r w:rsidR="003E77C7" w:rsidRPr="00C61D6E">
        <w:br w:type="page"/>
      </w:r>
    </w:p>
    <w:p w14:paraId="09BBF1D9" w14:textId="0DF8BDBF" w:rsidR="00C92B2A" w:rsidRDefault="00BD3029" w:rsidP="00C92B2A">
      <w:pPr>
        <w:pStyle w:val="Heading2"/>
      </w:pPr>
      <w:r>
        <w:lastRenderedPageBreak/>
        <w:t>Wind c</w:t>
      </w:r>
      <w:r w:rsidR="00C92B2A" w:rsidRPr="00C92B2A">
        <w:t>apacity factor distributions</w:t>
      </w:r>
    </w:p>
    <w:p w14:paraId="7005AEA4" w14:textId="77777777" w:rsidR="00BD3029" w:rsidRDefault="00BD3029" w:rsidP="00BD3029"/>
    <w:p w14:paraId="64C8790B" w14:textId="5C81CB32" w:rsidR="00BD3029" w:rsidRDefault="00BD3029" w:rsidP="00BD3029">
      <w:r>
        <w:t>The blue dots represent the CF of each available raster cell in the country. The three red lines represent the average of</w:t>
      </w:r>
      <w:r w:rsidR="00E5579E">
        <w:t xml:space="preserve"> </w:t>
      </w:r>
      <w:r>
        <w:t>the top 10% of the CFs (classified as high resource areas), the middle 40% (medium resource areas), and the lowest 50% (low resource areas)</w:t>
      </w:r>
      <w:r w:rsidR="00E5579E" w:rsidRPr="00E5579E">
        <w:t xml:space="preserve"> </w:t>
      </w:r>
      <w:r w:rsidR="00E5579E">
        <w:t>, respectively</w:t>
      </w:r>
      <w:r>
        <w:t>.</w:t>
      </w:r>
    </w:p>
    <w:p w14:paraId="63D0C116" w14:textId="20F7C13E" w:rsidR="00C92B2A" w:rsidRDefault="00BD3029" w:rsidP="00C92B2A">
      <w:r>
        <w:t>In this way the available area is subdivided into three separate classes in each country (see technology matrix), depending on the wind resource level. The three levels of capacity factors per country are then used in the input files for the energy system models.</w:t>
      </w:r>
    </w:p>
    <w:p w14:paraId="5D306029" w14:textId="6CA34E09" w:rsidR="00C92B2A" w:rsidRDefault="00D30C01" w:rsidP="00C92B2A">
      <w:r>
        <w:rPr>
          <w:noProof/>
          <w:lang w:eastAsia="en-GB"/>
        </w:rPr>
        <w:drawing>
          <wp:inline distT="0" distB="0" distL="0" distR="0" wp14:anchorId="6EDD5F68" wp14:editId="745C7D25">
            <wp:extent cx="5753735" cy="3838575"/>
            <wp:effectExtent l="0" t="0" r="0" b="9525"/>
            <wp:docPr id="10" name="Picture 10" descr="H:\Desktop\FI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Desktop\FIG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3838575"/>
                    </a:xfrm>
                    <a:prstGeom prst="rect">
                      <a:avLst/>
                    </a:prstGeom>
                    <a:noFill/>
                    <a:ln>
                      <a:noFill/>
                    </a:ln>
                  </pic:spPr>
                </pic:pic>
              </a:graphicData>
            </a:graphic>
          </wp:inline>
        </w:drawing>
      </w:r>
    </w:p>
    <w:p w14:paraId="2A25D5D2" w14:textId="68C3402E" w:rsidR="00C92B2A" w:rsidRPr="00724076" w:rsidRDefault="00C92B2A" w:rsidP="00C92B2A">
      <w:pPr>
        <w:pStyle w:val="Caption"/>
        <w:jc w:val="center"/>
      </w:pPr>
      <w:bookmarkStart w:id="15" w:name="_Ref525900952"/>
      <w:r w:rsidRPr="00724076">
        <w:t xml:space="preserve">Figure </w:t>
      </w:r>
      <w:r w:rsidR="009575E9">
        <w:rPr>
          <w:noProof/>
        </w:rPr>
        <w:t>10</w:t>
      </w:r>
      <w:bookmarkEnd w:id="15"/>
      <w:r w:rsidRPr="00724076">
        <w:t>. Onshore capacity factor distributions for the Netherlands (top left), France (top right), Spain (bottom left) and Germany (bottom right). Note the difference in y-axis scale in the ‘DE’ panel.</w:t>
      </w:r>
    </w:p>
    <w:p w14:paraId="39C3116F" w14:textId="77777777" w:rsidR="00C92B2A" w:rsidRDefault="00C92B2A" w:rsidP="00C92B2A"/>
    <w:p w14:paraId="1E56D258" w14:textId="77777777" w:rsidR="00D30C01" w:rsidRDefault="00D30C01">
      <w:pPr>
        <w:spacing w:before="120" w:after="200" w:line="276" w:lineRule="auto"/>
        <w:ind w:left="709" w:hanging="357"/>
        <w:jc w:val="both"/>
      </w:pPr>
      <w:r>
        <w:br w:type="page"/>
      </w:r>
    </w:p>
    <w:p w14:paraId="391188B5" w14:textId="735DA418" w:rsidR="003E77C7" w:rsidRDefault="00B33CF5" w:rsidP="003E77C7">
      <w:pPr>
        <w:pStyle w:val="Heading2"/>
      </w:pPr>
      <w:r w:rsidRPr="00C61D6E">
        <w:lastRenderedPageBreak/>
        <w:t>Potential capacity for wind onshore</w:t>
      </w:r>
    </w:p>
    <w:p w14:paraId="03D04D98" w14:textId="693D689A" w:rsidR="00D30C01" w:rsidRPr="00C61D6E" w:rsidRDefault="00D30C01" w:rsidP="003E77C7">
      <w:r>
        <w:rPr>
          <w:noProof/>
          <w:lang w:eastAsia="en-GB"/>
        </w:rPr>
        <w:drawing>
          <wp:inline distT="0" distB="0" distL="0" distR="0" wp14:anchorId="73E2D879" wp14:editId="609795D0">
            <wp:extent cx="5753735" cy="8177530"/>
            <wp:effectExtent l="0" t="0" r="0" b="0"/>
            <wp:docPr id="12" name="Picture 12" descr="H:\Desktop\FIG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Desktop\FIG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735" cy="8177530"/>
                    </a:xfrm>
                    <a:prstGeom prst="rect">
                      <a:avLst/>
                    </a:prstGeom>
                    <a:noFill/>
                    <a:ln>
                      <a:noFill/>
                    </a:ln>
                  </pic:spPr>
                </pic:pic>
              </a:graphicData>
            </a:graphic>
          </wp:inline>
        </w:drawing>
      </w:r>
    </w:p>
    <w:p w14:paraId="70B64B69" w14:textId="3341D8FC" w:rsidR="00B33CF5" w:rsidRPr="0037138D" w:rsidRDefault="00B33CF5" w:rsidP="00B33CF5"/>
    <w:p w14:paraId="1C77FC2C" w14:textId="0D5013AB" w:rsidR="00A130C8" w:rsidRPr="00C61D6E" w:rsidRDefault="00180978" w:rsidP="00180978">
      <w:pPr>
        <w:pStyle w:val="Caption"/>
        <w:jc w:val="center"/>
      </w:pPr>
      <w:bookmarkStart w:id="16" w:name="_Ref523573424"/>
      <w:r w:rsidRPr="00B00B67">
        <w:t xml:space="preserve">Figure </w:t>
      </w:r>
      <w:r w:rsidR="009575E9">
        <w:rPr>
          <w:noProof/>
        </w:rPr>
        <w:t>11</w:t>
      </w:r>
      <w:bookmarkEnd w:id="16"/>
      <w:r w:rsidRPr="00C61D6E">
        <w:t xml:space="preserve"> Potential capacity (GW)with capacity factor over 20% and technology matrix cell</w:t>
      </w:r>
    </w:p>
    <w:p w14:paraId="53AE3152" w14:textId="77777777" w:rsidR="00D07FF1" w:rsidRPr="00C61D6E" w:rsidRDefault="00D07FF1" w:rsidP="00180978">
      <w:pPr>
        <w:rPr>
          <w:lang w:eastAsia="en-GB"/>
        </w:rPr>
      </w:pPr>
    </w:p>
    <w:p w14:paraId="5CA6E8C2" w14:textId="77777777" w:rsidR="00A130C8" w:rsidRPr="00C61D6E" w:rsidRDefault="00A130C8" w:rsidP="00A130C8">
      <w:pPr>
        <w:pStyle w:val="Heading2"/>
      </w:pPr>
      <w:r w:rsidRPr="00C61D6E">
        <w:lastRenderedPageBreak/>
        <w:t>Solar area, irradiations and technology clusters</w:t>
      </w:r>
    </w:p>
    <w:p w14:paraId="0A3C4FBE" w14:textId="77777777" w:rsidR="00A130C8" w:rsidRPr="00C61D6E" w:rsidRDefault="00A130C8" w:rsidP="00A130C8"/>
    <w:p w14:paraId="46CBE9C4" w14:textId="27C48508" w:rsidR="00A130C8" w:rsidRPr="00C61D6E" w:rsidRDefault="00A130C8" w:rsidP="00724076">
      <w:pPr>
        <w:pStyle w:val="Caption"/>
        <w:jc w:val="center"/>
      </w:pPr>
      <w:bookmarkStart w:id="17" w:name="_Ref418260101"/>
      <w:r w:rsidRPr="00C61D6E">
        <w:t xml:space="preserve">Table </w:t>
      </w:r>
      <w:r w:rsidR="009575E9">
        <w:rPr>
          <w:noProof/>
        </w:rPr>
        <w:t>8</w:t>
      </w:r>
      <w:bookmarkEnd w:id="17"/>
      <w:r w:rsidRPr="00C61D6E">
        <w:t xml:space="preserve">: </w:t>
      </w:r>
      <w:r w:rsidRPr="00724076">
        <w:t>Interrelations between area, irradiations and technology clusters</w:t>
      </w:r>
    </w:p>
    <w:p w14:paraId="17D3D175" w14:textId="77777777" w:rsidR="00A130C8" w:rsidRPr="0037138D" w:rsidRDefault="00A130C8" w:rsidP="00A130C8">
      <w:r w:rsidRPr="0037138D">
        <w:rPr>
          <w:noProof/>
          <w:lang w:eastAsia="en-GB"/>
        </w:rPr>
        <w:drawing>
          <wp:inline distT="0" distB="0" distL="0" distR="0" wp14:anchorId="5B9D2BA9" wp14:editId="37A0E855">
            <wp:extent cx="5760720" cy="3515291"/>
            <wp:effectExtent l="0" t="0" r="0" b="9525"/>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515291"/>
                    </a:xfrm>
                    <a:prstGeom prst="rect">
                      <a:avLst/>
                    </a:prstGeom>
                    <a:noFill/>
                    <a:ln>
                      <a:noFill/>
                    </a:ln>
                  </pic:spPr>
                </pic:pic>
              </a:graphicData>
            </a:graphic>
          </wp:inline>
        </w:drawing>
      </w:r>
    </w:p>
    <w:p w14:paraId="34173365" w14:textId="77777777" w:rsidR="007B0A0D" w:rsidRPr="00B00B67" w:rsidRDefault="007B0A0D" w:rsidP="007B0A0D"/>
    <w:p w14:paraId="791B84E0" w14:textId="77777777" w:rsidR="002D53E2" w:rsidRPr="00C61D6E" w:rsidRDefault="002D53E2" w:rsidP="002D53E2">
      <w:pPr>
        <w:pStyle w:val="Heading2"/>
      </w:pPr>
      <w:bookmarkStart w:id="18" w:name="_Ref521140973"/>
      <w:r w:rsidRPr="00C61D6E">
        <w:t>Solar land exclusion criteria summary</w:t>
      </w:r>
      <w:bookmarkEnd w:id="18"/>
    </w:p>
    <w:p w14:paraId="2FC587C0" w14:textId="77777777" w:rsidR="002D53E2" w:rsidRPr="00C61D6E" w:rsidRDefault="002D53E2" w:rsidP="002D53E2"/>
    <w:p w14:paraId="47F5ACB0" w14:textId="77777777" w:rsidR="002D53E2" w:rsidRPr="00C61D6E" w:rsidRDefault="002D53E2" w:rsidP="002D53E2">
      <w:r w:rsidRPr="00C61D6E">
        <w:t>We distinguish between:</w:t>
      </w:r>
    </w:p>
    <w:p w14:paraId="36EEB0E8" w14:textId="77777777" w:rsidR="002D53E2" w:rsidRPr="00C61D6E" w:rsidRDefault="002D53E2" w:rsidP="002D53E2">
      <w:pPr>
        <w:pStyle w:val="ListParagraph"/>
        <w:numPr>
          <w:ilvl w:val="0"/>
          <w:numId w:val="5"/>
        </w:numPr>
      </w:pPr>
      <w:r w:rsidRPr="00C61D6E">
        <w:t xml:space="preserve">natural areas, for which we assume ground-mounted solar technology to be applied, </w:t>
      </w:r>
    </w:p>
    <w:p w14:paraId="7E058D5E" w14:textId="77777777" w:rsidR="002D53E2" w:rsidRPr="00C61D6E" w:rsidRDefault="002D53E2" w:rsidP="002D53E2">
      <w:pPr>
        <w:pStyle w:val="ListParagraph"/>
        <w:numPr>
          <w:ilvl w:val="0"/>
          <w:numId w:val="5"/>
        </w:numPr>
      </w:pPr>
      <w:r w:rsidRPr="00C61D6E">
        <w:t xml:space="preserve">and artificial land area, for which we consider roof-top-mounted and façade-mounted solar applications. The artificial areas were further subdivided into residential and industrial area. </w:t>
      </w:r>
    </w:p>
    <w:p w14:paraId="360D4E3A" w14:textId="77777777" w:rsidR="002D53E2" w:rsidRPr="00C61D6E" w:rsidRDefault="002D53E2" w:rsidP="002D53E2"/>
    <w:p w14:paraId="377EE34F" w14:textId="2688680C" w:rsidR="002D53E2" w:rsidRPr="0037138D" w:rsidRDefault="002D53E2" w:rsidP="002D53E2">
      <w:r w:rsidRPr="00C61D6E">
        <w:t xml:space="preserve">To calculate the available area for solar technology for these land classifications we apply exclusion criteria to the total land area (see </w:t>
      </w:r>
      <w:r w:rsidR="009575E9" w:rsidRPr="001847C0">
        <w:t xml:space="preserve">Table </w:t>
      </w:r>
      <w:r w:rsidR="009575E9" w:rsidRPr="001847C0">
        <w:rPr>
          <w:noProof/>
        </w:rPr>
        <w:t>9</w:t>
      </w:r>
      <w:r w:rsidRPr="0037138D">
        <w:t xml:space="preserve">). </w:t>
      </w:r>
    </w:p>
    <w:p w14:paraId="19E3182E" w14:textId="77777777" w:rsidR="002D53E2" w:rsidRPr="00B00B67" w:rsidRDefault="002D53E2" w:rsidP="002D53E2"/>
    <w:p w14:paraId="38236551" w14:textId="0269C254" w:rsidR="002D53E2" w:rsidRPr="00C61D6E" w:rsidRDefault="002D53E2" w:rsidP="002D53E2">
      <w:r w:rsidRPr="00C61D6E">
        <w:t xml:space="preserve">Artificial areas are classified in residential and industrial, as we think roof types will be quite different in these two areas, so it makes sense to treat them differently. More </w:t>
      </w:r>
      <w:r w:rsidR="00E5579E">
        <w:t>i</w:t>
      </w:r>
      <w:r w:rsidRPr="00C61D6E">
        <w:t>nclined roo</w:t>
      </w:r>
      <w:r w:rsidR="00E5579E">
        <w:t>ves</w:t>
      </w:r>
      <w:r w:rsidRPr="00C61D6E">
        <w:t xml:space="preserve"> are expected in residential areas, </w:t>
      </w:r>
      <w:r w:rsidR="00E5579E">
        <w:t xml:space="preserve">whilst </w:t>
      </w:r>
      <w:r w:rsidRPr="00C61D6E">
        <w:t>more flat roo</w:t>
      </w:r>
      <w:r w:rsidR="00E5579E">
        <w:t>ves</w:t>
      </w:r>
      <w:r w:rsidRPr="00C61D6E">
        <w:t xml:space="preserve"> are expected in industrial areas. </w:t>
      </w:r>
    </w:p>
    <w:p w14:paraId="40F2AEA4" w14:textId="77777777" w:rsidR="002D53E2" w:rsidRPr="00C61D6E" w:rsidRDefault="002D53E2" w:rsidP="002D53E2"/>
    <w:p w14:paraId="38107695" w14:textId="765FD2DD" w:rsidR="00E551DF" w:rsidRDefault="002D53E2" w:rsidP="002D53E2">
      <w:pPr>
        <w:sectPr w:rsidR="00E551DF" w:rsidSect="008A49D4">
          <w:footerReference w:type="default" r:id="rId16"/>
          <w:type w:val="continuous"/>
          <w:pgSz w:w="11906" w:h="16838"/>
          <w:pgMar w:top="1418" w:right="1418" w:bottom="1418" w:left="1418" w:header="708" w:footer="708" w:gutter="0"/>
          <w:cols w:space="708"/>
          <w:docGrid w:linePitch="360"/>
        </w:sectPr>
      </w:pPr>
      <w:r w:rsidRPr="00C61D6E">
        <w:t>The natural areas are further subdivided into high and low radiation areas. The distinction is done by additionally applying a threshold of 1</w:t>
      </w:r>
      <w:r w:rsidR="00643E3D">
        <w:t>,</w:t>
      </w:r>
      <w:r w:rsidRPr="00C61D6E">
        <w:t xml:space="preserve">800 kWh/m² DNI and a maximum slope of 2.1° to the natural areas. The regions which fulfil both criteria are marked as high radiation areas. These are areas which are typically suitable for large scale concentrating technologies. All other suitable natural areas are marked as low. The distinction of high and low radiation areas has been applied to avoid that high radiation areas are averaged out if the data are further aggregated or averaged from the NUTS2 level. While the allocation into different irradiation classes is done at pixel level, the distinction between agricultural and non-agricultural areas is done at NUTS2 level, by considering crop data from the Bioenergy Work Package and subtracting them from the total natural land area suitable for solar applications, which is derived from the GIS analysis. As this analysis has been done </w:t>
      </w:r>
      <w:r w:rsidR="00E5579E">
        <w:t>at the</w:t>
      </w:r>
      <w:r w:rsidR="00E5579E" w:rsidRPr="00C61D6E">
        <w:t xml:space="preserve"> </w:t>
      </w:r>
      <w:r w:rsidRPr="00C61D6E">
        <w:t xml:space="preserve">NUTS2 region </w:t>
      </w:r>
      <w:r w:rsidRPr="00C61D6E">
        <w:lastRenderedPageBreak/>
        <w:t>level</w:t>
      </w:r>
      <w:r w:rsidR="00E5579E">
        <w:t>,</w:t>
      </w:r>
      <w:r w:rsidRPr="00C61D6E">
        <w:t xml:space="preserve"> both high and low irradiation areas were treated equally, meaning that the shares of agricultural areas and non-agricultural areas are the same for high and low irradiation clusters per NUTS2 region.</w:t>
      </w:r>
    </w:p>
    <w:p w14:paraId="392297BB" w14:textId="614BE802" w:rsidR="002D53E2" w:rsidRPr="00C61D6E" w:rsidRDefault="002D53E2" w:rsidP="002D53E2"/>
    <w:p w14:paraId="7F23A5B7" w14:textId="77777777" w:rsidR="002D53E2" w:rsidRPr="00C61D6E" w:rsidRDefault="002D53E2" w:rsidP="002D53E2"/>
    <w:p w14:paraId="159953F2" w14:textId="6323B5B5" w:rsidR="002D53E2" w:rsidRPr="001B6CB9" w:rsidRDefault="002D53E2" w:rsidP="002D53E2">
      <w:pPr>
        <w:pStyle w:val="Caption"/>
        <w:jc w:val="center"/>
        <w:rPr>
          <w:lang w:val="fr-FR"/>
        </w:rPr>
      </w:pPr>
      <w:bookmarkStart w:id="19" w:name="_Ref521139255"/>
      <w:r w:rsidRPr="001B6CB9">
        <w:rPr>
          <w:lang w:val="fr-FR"/>
        </w:rPr>
        <w:t xml:space="preserve">Table </w:t>
      </w:r>
      <w:r w:rsidR="009575E9">
        <w:rPr>
          <w:noProof/>
          <w:lang w:val="fr-FR"/>
        </w:rPr>
        <w:t>9</w:t>
      </w:r>
      <w:bookmarkEnd w:id="19"/>
      <w:r w:rsidRPr="001B6CB9">
        <w:rPr>
          <w:lang w:val="fr-FR"/>
        </w:rPr>
        <w:t xml:space="preserve"> Solar land exclusion criteria</w:t>
      </w:r>
    </w:p>
    <w:p w14:paraId="36362522" w14:textId="77777777" w:rsidR="002D53E2" w:rsidRPr="001B6CB9" w:rsidRDefault="002D53E2" w:rsidP="00E551DF">
      <w:pPr>
        <w:ind w:left="-709"/>
        <w:rPr>
          <w:lang w:val="fr-FR"/>
        </w:rPr>
      </w:pPr>
      <w:r w:rsidRPr="00C61D6E">
        <w:rPr>
          <w:noProof/>
          <w:lang w:eastAsia="en-GB"/>
        </w:rPr>
        <w:drawing>
          <wp:inline distT="0" distB="0" distL="0" distR="0" wp14:anchorId="32FDDAF9" wp14:editId="3CB393B1">
            <wp:extent cx="9892725" cy="4206240"/>
            <wp:effectExtent l="0" t="0" r="0" b="3810"/>
            <wp:docPr id="3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12945" cy="4214837"/>
                    </a:xfrm>
                    <a:prstGeom prst="rect">
                      <a:avLst/>
                    </a:prstGeom>
                    <a:noFill/>
                    <a:ln>
                      <a:noFill/>
                    </a:ln>
                  </pic:spPr>
                </pic:pic>
              </a:graphicData>
            </a:graphic>
          </wp:inline>
        </w:drawing>
      </w:r>
      <w:r w:rsidRPr="001B6CB9">
        <w:rPr>
          <w:lang w:val="fr-FR"/>
        </w:rPr>
        <w:t xml:space="preserve"> </w:t>
      </w:r>
    </w:p>
    <w:p w14:paraId="563B685C" w14:textId="77777777" w:rsidR="002D53E2" w:rsidRPr="001B6CB9" w:rsidRDefault="002D53E2" w:rsidP="002D53E2">
      <w:pPr>
        <w:rPr>
          <w:lang w:val="fr-FR"/>
        </w:rPr>
      </w:pPr>
    </w:p>
    <w:p w14:paraId="66F9AC05" w14:textId="77777777" w:rsidR="00E551DF" w:rsidRPr="00D5628F" w:rsidRDefault="00E551DF" w:rsidP="002D53E2">
      <w:pPr>
        <w:rPr>
          <w:lang w:val="fr-FR"/>
        </w:rPr>
        <w:sectPr w:rsidR="00E551DF" w:rsidRPr="00D5628F" w:rsidSect="00E551DF">
          <w:pgSz w:w="16838" w:h="11906" w:orient="landscape"/>
          <w:pgMar w:top="1418" w:right="1418" w:bottom="1418" w:left="1418" w:header="708" w:footer="708" w:gutter="0"/>
          <w:cols w:space="708"/>
          <w:docGrid w:linePitch="360"/>
        </w:sectPr>
      </w:pPr>
    </w:p>
    <w:p w14:paraId="401F778D" w14:textId="6C47CFC3" w:rsidR="002D53E2" w:rsidRPr="00B00B67" w:rsidRDefault="00E5579E" w:rsidP="002D53E2">
      <w:r>
        <w:lastRenderedPageBreak/>
        <w:t>In addition</w:t>
      </w:r>
      <w:r w:rsidRPr="00C61D6E">
        <w:t xml:space="preserve"> </w:t>
      </w:r>
      <w:r w:rsidR="002D53E2" w:rsidRPr="00C61D6E">
        <w:t>to the exclusion criteria provided in this table</w:t>
      </w:r>
      <w:r>
        <w:t>,</w:t>
      </w:r>
      <w:r w:rsidR="002D53E2" w:rsidRPr="00C61D6E">
        <w:t xml:space="preserve"> we assume protected areas (based on World Data of Protected Areas 2010) (www.wpda.org</w:t>
      </w:r>
      <w:r w:rsidR="004A0843" w:rsidRPr="0037138D">
        <w:t xml:space="preserve">) </w:t>
      </w:r>
      <w:r>
        <w:t xml:space="preserve">are </w:t>
      </w:r>
      <w:r w:rsidR="004A0843" w:rsidRPr="0037138D">
        <w:t>not</w:t>
      </w:r>
      <w:r w:rsidR="002D53E2" w:rsidRPr="0037138D">
        <w:t xml:space="preserve"> to be used for solar application, as well as area</w:t>
      </w:r>
      <w:r>
        <w:t>s</w:t>
      </w:r>
      <w:r w:rsidR="002D53E2" w:rsidRPr="0037138D">
        <w:t xml:space="preserve"> with unsuitable geomorphology based on FAO’s Digital Soil Map of the World. We apply coefficients (area factors) to selected land types which are meant to r</w:t>
      </w:r>
      <w:r w:rsidR="002D53E2" w:rsidRPr="00B00B67">
        <w:t>eflect the actual usable area.</w:t>
      </w:r>
    </w:p>
    <w:p w14:paraId="123A25CE" w14:textId="77777777" w:rsidR="002D53E2" w:rsidRPr="00C61D6E" w:rsidRDefault="002D53E2" w:rsidP="002D53E2"/>
    <w:p w14:paraId="5BC9118C" w14:textId="52EF1A91" w:rsidR="006C64A2" w:rsidRPr="00C61D6E" w:rsidRDefault="002D53E2" w:rsidP="006C64A2">
      <w:r w:rsidRPr="00C61D6E">
        <w:t xml:space="preserve">Sports and leisure has only been assessed as available area, as there is a very high uncertainty and no empirical base </w:t>
      </w:r>
      <w:r w:rsidR="00E5579E">
        <w:t>as to</w:t>
      </w:r>
      <w:r w:rsidR="00E5579E" w:rsidRPr="00C61D6E">
        <w:t xml:space="preserve"> </w:t>
      </w:r>
      <w:r w:rsidRPr="00C61D6E">
        <w:t xml:space="preserve">how much of the sports and leisure area </w:t>
      </w:r>
      <w:r w:rsidR="00E5579E">
        <w:t>is</w:t>
      </w:r>
      <w:r w:rsidRPr="00C61D6E">
        <w:t xml:space="preserve"> actually buildings which could be used for solar applications. Sports and Leisure is about 7% of the residential area, so the maximum contribution of sports and leisure could theoretically be 7% if it would be treated similar</w:t>
      </w:r>
      <w:r w:rsidR="00E5579E">
        <w:t>ly</w:t>
      </w:r>
      <w:r w:rsidRPr="00C61D6E">
        <w:t xml:space="preserve"> to residential areas. However, as most of the sports and leisure area is probably playground and grasslands with only a very small fraction of buildings, the actual contribution will be much smaller and probably close to 0%.</w:t>
      </w:r>
      <w:bookmarkStart w:id="20" w:name="_Toc448327613"/>
    </w:p>
    <w:p w14:paraId="4BB30D29" w14:textId="77777777" w:rsidR="006C64A2" w:rsidRPr="00C61D6E" w:rsidRDefault="006C64A2" w:rsidP="006C64A2"/>
    <w:p w14:paraId="2F0CCDEA" w14:textId="77777777" w:rsidR="006C64A2" w:rsidRPr="00C61D6E" w:rsidRDefault="006C64A2" w:rsidP="006C64A2">
      <w:pPr>
        <w:pStyle w:val="Heading2"/>
      </w:pPr>
      <w:bookmarkStart w:id="21" w:name="_Ref521140981"/>
      <w:r w:rsidRPr="00C61D6E">
        <w:t>Shares of available area for ground mounted solar</w:t>
      </w:r>
      <w:bookmarkEnd w:id="20"/>
      <w:bookmarkEnd w:id="21"/>
    </w:p>
    <w:p w14:paraId="194452B1" w14:textId="5985776C" w:rsidR="006C64A2" w:rsidRPr="00B00B67" w:rsidRDefault="006C64A2" w:rsidP="006C64A2">
      <w:r w:rsidRPr="00C61D6E">
        <w:t xml:space="preserve">In some countries the share of available area for ground-mounted solar installation is very high (above 60%). </w:t>
      </w:r>
      <w:r w:rsidR="009575E9" w:rsidRPr="00753A21">
        <w:t xml:space="preserve">Table </w:t>
      </w:r>
      <w:r w:rsidR="009575E9">
        <w:rPr>
          <w:noProof/>
        </w:rPr>
        <w:t>10</w:t>
      </w:r>
      <w:r w:rsidRPr="0037138D">
        <w:t xml:space="preserve"> presents the total shares of available area for ground-mounted solar per country, and the land-use category providing the highest contribution to the total share. </w:t>
      </w:r>
      <w:r w:rsidRPr="00B00B67">
        <w:t>The countries where the total share of available area for ground mounted is above 60% are highlighted in bold font.</w:t>
      </w:r>
    </w:p>
    <w:p w14:paraId="6D250B1E" w14:textId="77777777" w:rsidR="006C64A2" w:rsidRPr="00C61D6E" w:rsidRDefault="006C64A2" w:rsidP="006C64A2">
      <w:pPr>
        <w:jc w:val="center"/>
      </w:pPr>
    </w:p>
    <w:p w14:paraId="41286E4B" w14:textId="43D5A33F" w:rsidR="006C64A2" w:rsidRDefault="006C64A2" w:rsidP="00724076">
      <w:pPr>
        <w:pStyle w:val="Caption"/>
        <w:jc w:val="center"/>
      </w:pPr>
      <w:bookmarkStart w:id="22" w:name="_Ref424046033"/>
      <w:r w:rsidRPr="00753A21">
        <w:t xml:space="preserve">Table </w:t>
      </w:r>
      <w:r w:rsidR="009575E9">
        <w:rPr>
          <w:noProof/>
        </w:rPr>
        <w:t>10</w:t>
      </w:r>
      <w:bookmarkEnd w:id="22"/>
      <w:r w:rsidRPr="00753A21">
        <w:t>: Land-use categories influencing area availability for ground-mounted solar.</w:t>
      </w:r>
    </w:p>
    <w:p w14:paraId="55A12D83" w14:textId="77777777" w:rsidR="000D6FFF" w:rsidRPr="000D6FFF" w:rsidRDefault="000D6FFF" w:rsidP="000D6FFF">
      <w:pPr>
        <w:rPr>
          <w:lang w:eastAsia="en-GB"/>
        </w:rPr>
      </w:pPr>
    </w:p>
    <w:tbl>
      <w:tblPr>
        <w:tblStyle w:val="TableGrid1"/>
        <w:tblW w:w="5285" w:type="dxa"/>
        <w:jc w:val="center"/>
        <w:tblLook w:val="04A0" w:firstRow="1" w:lastRow="0" w:firstColumn="1" w:lastColumn="0" w:noHBand="0" w:noVBand="1"/>
      </w:tblPr>
      <w:tblGrid>
        <w:gridCol w:w="1200"/>
        <w:gridCol w:w="1866"/>
        <w:gridCol w:w="2219"/>
      </w:tblGrid>
      <w:tr w:rsidR="006C64A2" w:rsidRPr="000D6FFF" w14:paraId="66CE3510" w14:textId="77777777" w:rsidTr="000D6FFF">
        <w:trPr>
          <w:trHeight w:val="227"/>
          <w:jc w:val="center"/>
        </w:trPr>
        <w:tc>
          <w:tcPr>
            <w:tcW w:w="1200" w:type="dxa"/>
            <w:noWrap/>
            <w:vAlign w:val="center"/>
            <w:hideMark/>
          </w:tcPr>
          <w:p w14:paraId="471BF868" w14:textId="77777777" w:rsidR="006C64A2" w:rsidRPr="000D6FFF" w:rsidRDefault="006C64A2" w:rsidP="006C64A2">
            <w:pPr>
              <w:jc w:val="center"/>
              <w:rPr>
                <w:rFonts w:asciiTheme="minorHAnsi" w:hAnsiTheme="minorHAnsi" w:cs="Calibri"/>
                <w:b/>
                <w:bCs/>
                <w:color w:val="000000"/>
                <w:sz w:val="16"/>
                <w:szCs w:val="16"/>
              </w:rPr>
            </w:pPr>
            <w:bookmarkStart w:id="23" w:name="RANGE!AN2"/>
            <w:r w:rsidRPr="000D6FFF">
              <w:rPr>
                <w:rFonts w:asciiTheme="minorHAnsi" w:hAnsiTheme="minorHAnsi" w:cs="Calibri"/>
                <w:b/>
                <w:bCs/>
                <w:color w:val="000000"/>
                <w:sz w:val="16"/>
                <w:szCs w:val="16"/>
              </w:rPr>
              <w:t>Country</w:t>
            </w:r>
            <w:bookmarkEnd w:id="23"/>
          </w:p>
        </w:tc>
        <w:tc>
          <w:tcPr>
            <w:tcW w:w="1866" w:type="dxa"/>
            <w:noWrap/>
            <w:vAlign w:val="center"/>
            <w:hideMark/>
          </w:tcPr>
          <w:p w14:paraId="17157A5C" w14:textId="45AEB22D" w:rsidR="006C64A2" w:rsidRPr="000D6FFF" w:rsidRDefault="006C64A2" w:rsidP="001A1EAA">
            <w:pPr>
              <w:jc w:val="center"/>
              <w:rPr>
                <w:rFonts w:asciiTheme="minorHAnsi" w:hAnsiTheme="minorHAnsi" w:cs="Calibri"/>
                <w:b/>
                <w:bCs/>
                <w:color w:val="000000"/>
                <w:sz w:val="16"/>
                <w:szCs w:val="16"/>
              </w:rPr>
            </w:pPr>
            <w:r w:rsidRPr="000D6FFF">
              <w:rPr>
                <w:rFonts w:asciiTheme="minorHAnsi" w:hAnsiTheme="minorHAnsi" w:cs="Calibri"/>
                <w:b/>
                <w:bCs/>
                <w:color w:val="000000"/>
                <w:sz w:val="16"/>
                <w:szCs w:val="16"/>
              </w:rPr>
              <w:t>Total share of</w:t>
            </w:r>
            <w:r w:rsidR="00910142" w:rsidRPr="000D6FFF">
              <w:rPr>
                <w:rFonts w:asciiTheme="minorHAnsi" w:hAnsiTheme="minorHAnsi" w:cs="Calibri"/>
                <w:b/>
                <w:bCs/>
                <w:color w:val="000000"/>
                <w:sz w:val="16"/>
                <w:szCs w:val="16"/>
              </w:rPr>
              <w:t xml:space="preserve"> </w:t>
            </w:r>
            <w:r w:rsidRPr="000D6FFF">
              <w:rPr>
                <w:rFonts w:asciiTheme="minorHAnsi" w:hAnsiTheme="minorHAnsi" w:cs="Calibri"/>
                <w:b/>
                <w:bCs/>
                <w:color w:val="000000"/>
                <w:sz w:val="16"/>
                <w:szCs w:val="16"/>
              </w:rPr>
              <w:t>area available for ground mounted</w:t>
            </w:r>
          </w:p>
        </w:tc>
        <w:tc>
          <w:tcPr>
            <w:tcW w:w="2219" w:type="dxa"/>
            <w:noWrap/>
            <w:vAlign w:val="center"/>
            <w:hideMark/>
          </w:tcPr>
          <w:p w14:paraId="2E03E753" w14:textId="77777777" w:rsidR="006C64A2" w:rsidRPr="000D6FFF" w:rsidRDefault="006C64A2" w:rsidP="001F20F9">
            <w:pPr>
              <w:jc w:val="center"/>
              <w:rPr>
                <w:rFonts w:asciiTheme="minorHAnsi" w:hAnsiTheme="minorHAnsi" w:cs="Calibri"/>
                <w:b/>
                <w:bCs/>
                <w:color w:val="000000"/>
                <w:sz w:val="16"/>
                <w:szCs w:val="16"/>
              </w:rPr>
            </w:pPr>
            <w:r w:rsidRPr="000D6FFF">
              <w:rPr>
                <w:rFonts w:asciiTheme="minorHAnsi" w:hAnsiTheme="minorHAnsi" w:cs="Calibri"/>
                <w:b/>
                <w:bCs/>
                <w:color w:val="000000"/>
                <w:sz w:val="16"/>
                <w:szCs w:val="16"/>
              </w:rPr>
              <w:t>Land-use category with largest share</w:t>
            </w:r>
          </w:p>
        </w:tc>
      </w:tr>
      <w:tr w:rsidR="006C64A2" w:rsidRPr="000D6FFF" w14:paraId="7B609B6E" w14:textId="77777777" w:rsidTr="000D6FFF">
        <w:trPr>
          <w:trHeight w:val="227"/>
          <w:jc w:val="center"/>
        </w:trPr>
        <w:tc>
          <w:tcPr>
            <w:tcW w:w="1200" w:type="dxa"/>
            <w:noWrap/>
            <w:hideMark/>
          </w:tcPr>
          <w:p w14:paraId="0FD6A5D2"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AT</w:t>
            </w:r>
          </w:p>
        </w:tc>
        <w:tc>
          <w:tcPr>
            <w:tcW w:w="1866" w:type="dxa"/>
            <w:noWrap/>
            <w:hideMark/>
          </w:tcPr>
          <w:p w14:paraId="38A41832" w14:textId="77777777" w:rsidR="006C64A2" w:rsidRPr="000D6FFF" w:rsidRDefault="006C64A2" w:rsidP="001F20F9">
            <w:pPr>
              <w:jc w:val="right"/>
              <w:rPr>
                <w:rFonts w:asciiTheme="minorHAnsi" w:hAnsiTheme="minorHAnsi" w:cs="Calibri"/>
                <w:color w:val="000000"/>
                <w:sz w:val="16"/>
                <w:szCs w:val="16"/>
              </w:rPr>
            </w:pPr>
            <w:r w:rsidRPr="000D6FFF">
              <w:rPr>
                <w:rFonts w:asciiTheme="minorHAnsi" w:hAnsiTheme="minorHAnsi" w:cs="Calibri"/>
                <w:color w:val="000000"/>
                <w:sz w:val="16"/>
                <w:szCs w:val="16"/>
              </w:rPr>
              <w:t>30%</w:t>
            </w:r>
          </w:p>
        </w:tc>
        <w:tc>
          <w:tcPr>
            <w:tcW w:w="2219" w:type="dxa"/>
            <w:noWrap/>
            <w:hideMark/>
          </w:tcPr>
          <w:p w14:paraId="0A4104C4"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Pastures (11%)</w:t>
            </w:r>
          </w:p>
        </w:tc>
      </w:tr>
      <w:tr w:rsidR="006C64A2" w:rsidRPr="000D6FFF" w14:paraId="4761B7DB" w14:textId="77777777" w:rsidTr="000D6FFF">
        <w:trPr>
          <w:trHeight w:val="227"/>
          <w:jc w:val="center"/>
        </w:trPr>
        <w:tc>
          <w:tcPr>
            <w:tcW w:w="1200" w:type="dxa"/>
            <w:noWrap/>
            <w:hideMark/>
          </w:tcPr>
          <w:p w14:paraId="4437CF0F"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BE</w:t>
            </w:r>
          </w:p>
        </w:tc>
        <w:tc>
          <w:tcPr>
            <w:tcW w:w="1866" w:type="dxa"/>
            <w:noWrap/>
            <w:hideMark/>
          </w:tcPr>
          <w:p w14:paraId="2C0F5548" w14:textId="77777777" w:rsidR="006C64A2" w:rsidRPr="000D6FFF" w:rsidRDefault="006C64A2" w:rsidP="001F20F9">
            <w:pPr>
              <w:jc w:val="right"/>
              <w:rPr>
                <w:rFonts w:asciiTheme="minorHAnsi" w:hAnsiTheme="minorHAnsi" w:cs="Calibri"/>
                <w:color w:val="000000"/>
                <w:sz w:val="16"/>
                <w:szCs w:val="16"/>
              </w:rPr>
            </w:pPr>
            <w:r w:rsidRPr="000D6FFF">
              <w:rPr>
                <w:rFonts w:asciiTheme="minorHAnsi" w:hAnsiTheme="minorHAnsi" w:cs="Calibri"/>
                <w:color w:val="000000"/>
                <w:sz w:val="16"/>
                <w:szCs w:val="16"/>
              </w:rPr>
              <w:t>49%</w:t>
            </w:r>
          </w:p>
        </w:tc>
        <w:tc>
          <w:tcPr>
            <w:tcW w:w="2219" w:type="dxa"/>
            <w:noWrap/>
            <w:hideMark/>
          </w:tcPr>
          <w:p w14:paraId="63477509"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(21%)</w:t>
            </w:r>
          </w:p>
        </w:tc>
      </w:tr>
      <w:tr w:rsidR="006C64A2" w:rsidRPr="000D6FFF" w14:paraId="3379AE28" w14:textId="77777777" w:rsidTr="000D6FFF">
        <w:trPr>
          <w:trHeight w:val="227"/>
          <w:jc w:val="center"/>
        </w:trPr>
        <w:tc>
          <w:tcPr>
            <w:tcW w:w="1200" w:type="dxa"/>
            <w:noWrap/>
            <w:hideMark/>
          </w:tcPr>
          <w:p w14:paraId="0AD72162"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BG</w:t>
            </w:r>
          </w:p>
        </w:tc>
        <w:tc>
          <w:tcPr>
            <w:tcW w:w="1866" w:type="dxa"/>
            <w:noWrap/>
            <w:hideMark/>
          </w:tcPr>
          <w:p w14:paraId="7A285163" w14:textId="77777777" w:rsidR="006C64A2" w:rsidRPr="000D6FFF" w:rsidRDefault="006C64A2" w:rsidP="001F20F9">
            <w:pPr>
              <w:jc w:val="right"/>
              <w:rPr>
                <w:rFonts w:asciiTheme="minorHAnsi" w:hAnsiTheme="minorHAnsi" w:cs="Calibri"/>
                <w:color w:val="000000"/>
                <w:sz w:val="16"/>
                <w:szCs w:val="16"/>
              </w:rPr>
            </w:pPr>
            <w:r w:rsidRPr="000D6FFF">
              <w:rPr>
                <w:rFonts w:asciiTheme="minorHAnsi" w:hAnsiTheme="minorHAnsi" w:cs="Calibri"/>
                <w:color w:val="000000"/>
                <w:sz w:val="16"/>
                <w:szCs w:val="16"/>
              </w:rPr>
              <w:t>50%</w:t>
            </w:r>
          </w:p>
        </w:tc>
        <w:tc>
          <w:tcPr>
            <w:tcW w:w="2219" w:type="dxa"/>
            <w:noWrap/>
            <w:hideMark/>
          </w:tcPr>
          <w:p w14:paraId="77C74A48"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(28%)</w:t>
            </w:r>
          </w:p>
        </w:tc>
      </w:tr>
      <w:tr w:rsidR="006C64A2" w:rsidRPr="000D6FFF" w14:paraId="16E38ADE" w14:textId="77777777" w:rsidTr="000D6FFF">
        <w:trPr>
          <w:trHeight w:val="227"/>
          <w:jc w:val="center"/>
        </w:trPr>
        <w:tc>
          <w:tcPr>
            <w:tcW w:w="1200" w:type="dxa"/>
            <w:noWrap/>
            <w:hideMark/>
          </w:tcPr>
          <w:p w14:paraId="5E1B1410"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CY</w:t>
            </w:r>
          </w:p>
        </w:tc>
        <w:tc>
          <w:tcPr>
            <w:tcW w:w="1866" w:type="dxa"/>
            <w:noWrap/>
            <w:hideMark/>
          </w:tcPr>
          <w:p w14:paraId="4FDD9A5B" w14:textId="77777777" w:rsidR="006C64A2" w:rsidRPr="000D6FFF" w:rsidRDefault="006C64A2" w:rsidP="001F20F9">
            <w:pPr>
              <w:jc w:val="right"/>
              <w:rPr>
                <w:rFonts w:asciiTheme="minorHAnsi" w:hAnsiTheme="minorHAnsi" w:cs="Calibri"/>
                <w:color w:val="000000"/>
                <w:sz w:val="16"/>
                <w:szCs w:val="16"/>
              </w:rPr>
            </w:pPr>
            <w:r w:rsidRPr="000D6FFF">
              <w:rPr>
                <w:rFonts w:asciiTheme="minorHAnsi" w:hAnsiTheme="minorHAnsi" w:cs="Calibri"/>
                <w:color w:val="000000"/>
                <w:sz w:val="16"/>
                <w:szCs w:val="16"/>
              </w:rPr>
              <w:t>46%</w:t>
            </w:r>
          </w:p>
        </w:tc>
        <w:tc>
          <w:tcPr>
            <w:tcW w:w="2219" w:type="dxa"/>
            <w:noWrap/>
            <w:hideMark/>
          </w:tcPr>
          <w:p w14:paraId="03776828"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(38%)</w:t>
            </w:r>
          </w:p>
        </w:tc>
      </w:tr>
      <w:tr w:rsidR="006C64A2" w:rsidRPr="000D6FFF" w14:paraId="1ABF025B" w14:textId="77777777" w:rsidTr="000D6FFF">
        <w:trPr>
          <w:trHeight w:val="227"/>
          <w:jc w:val="center"/>
        </w:trPr>
        <w:tc>
          <w:tcPr>
            <w:tcW w:w="1200" w:type="dxa"/>
            <w:noWrap/>
            <w:hideMark/>
          </w:tcPr>
          <w:p w14:paraId="3253334D"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CZ</w:t>
            </w:r>
          </w:p>
        </w:tc>
        <w:tc>
          <w:tcPr>
            <w:tcW w:w="1866" w:type="dxa"/>
            <w:noWrap/>
            <w:hideMark/>
          </w:tcPr>
          <w:p w14:paraId="3CE3E3D8" w14:textId="77777777" w:rsidR="006C64A2" w:rsidRPr="000D6FFF" w:rsidRDefault="006C64A2" w:rsidP="001F20F9">
            <w:pPr>
              <w:jc w:val="right"/>
              <w:rPr>
                <w:rFonts w:asciiTheme="minorHAnsi" w:hAnsiTheme="minorHAnsi" w:cs="Calibri"/>
                <w:color w:val="000000"/>
                <w:sz w:val="16"/>
                <w:szCs w:val="16"/>
              </w:rPr>
            </w:pPr>
            <w:r w:rsidRPr="000D6FFF">
              <w:rPr>
                <w:rFonts w:asciiTheme="minorHAnsi" w:hAnsiTheme="minorHAnsi" w:cs="Calibri"/>
                <w:color w:val="000000"/>
                <w:sz w:val="16"/>
                <w:szCs w:val="16"/>
              </w:rPr>
              <w:t>49%</w:t>
            </w:r>
          </w:p>
        </w:tc>
        <w:tc>
          <w:tcPr>
            <w:tcW w:w="2219" w:type="dxa"/>
            <w:noWrap/>
            <w:hideMark/>
          </w:tcPr>
          <w:p w14:paraId="0DA8AB44"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(22%)</w:t>
            </w:r>
          </w:p>
        </w:tc>
      </w:tr>
      <w:tr w:rsidR="006C64A2" w:rsidRPr="000D6FFF" w14:paraId="54642831" w14:textId="77777777" w:rsidTr="000D6FFF">
        <w:trPr>
          <w:trHeight w:val="227"/>
          <w:jc w:val="center"/>
        </w:trPr>
        <w:tc>
          <w:tcPr>
            <w:tcW w:w="1200" w:type="dxa"/>
            <w:noWrap/>
            <w:hideMark/>
          </w:tcPr>
          <w:p w14:paraId="2CCA2ECF"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DE</w:t>
            </w:r>
          </w:p>
        </w:tc>
        <w:tc>
          <w:tcPr>
            <w:tcW w:w="1866" w:type="dxa"/>
            <w:noWrap/>
            <w:hideMark/>
          </w:tcPr>
          <w:p w14:paraId="63727531" w14:textId="77777777" w:rsidR="006C64A2" w:rsidRPr="000D6FFF" w:rsidRDefault="006C64A2" w:rsidP="001F20F9">
            <w:pPr>
              <w:jc w:val="right"/>
              <w:rPr>
                <w:rFonts w:asciiTheme="minorHAnsi" w:hAnsiTheme="minorHAnsi" w:cs="Calibri"/>
                <w:color w:val="000000"/>
                <w:sz w:val="16"/>
                <w:szCs w:val="16"/>
              </w:rPr>
            </w:pPr>
            <w:r w:rsidRPr="000D6FFF">
              <w:rPr>
                <w:rFonts w:asciiTheme="minorHAnsi" w:hAnsiTheme="minorHAnsi" w:cs="Calibri"/>
                <w:color w:val="000000"/>
                <w:sz w:val="16"/>
                <w:szCs w:val="16"/>
              </w:rPr>
              <w:t>44%</w:t>
            </w:r>
          </w:p>
        </w:tc>
        <w:tc>
          <w:tcPr>
            <w:tcW w:w="2219" w:type="dxa"/>
            <w:noWrap/>
            <w:hideMark/>
          </w:tcPr>
          <w:p w14:paraId="3906C945"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cereals (14%)</w:t>
            </w:r>
          </w:p>
        </w:tc>
      </w:tr>
      <w:tr w:rsidR="006C64A2" w:rsidRPr="000D6FFF" w14:paraId="0BDAB495" w14:textId="77777777" w:rsidTr="000D6FFF">
        <w:trPr>
          <w:trHeight w:val="227"/>
          <w:jc w:val="center"/>
        </w:trPr>
        <w:tc>
          <w:tcPr>
            <w:tcW w:w="1200" w:type="dxa"/>
            <w:noWrap/>
            <w:hideMark/>
          </w:tcPr>
          <w:p w14:paraId="2166CE9F"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DK</w:t>
            </w:r>
          </w:p>
        </w:tc>
        <w:tc>
          <w:tcPr>
            <w:tcW w:w="1866" w:type="dxa"/>
            <w:noWrap/>
            <w:hideMark/>
          </w:tcPr>
          <w:p w14:paraId="0011760B"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63%</w:t>
            </w:r>
          </w:p>
        </w:tc>
        <w:tc>
          <w:tcPr>
            <w:tcW w:w="2219" w:type="dxa"/>
            <w:noWrap/>
            <w:hideMark/>
          </w:tcPr>
          <w:p w14:paraId="38EA3407"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(29%)</w:t>
            </w:r>
          </w:p>
        </w:tc>
      </w:tr>
      <w:tr w:rsidR="006C64A2" w:rsidRPr="000D6FFF" w14:paraId="520D2B3B" w14:textId="77777777" w:rsidTr="000D6FFF">
        <w:trPr>
          <w:trHeight w:val="227"/>
          <w:jc w:val="center"/>
        </w:trPr>
        <w:tc>
          <w:tcPr>
            <w:tcW w:w="1200" w:type="dxa"/>
            <w:noWrap/>
            <w:hideMark/>
          </w:tcPr>
          <w:p w14:paraId="604E768B"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EE</w:t>
            </w:r>
          </w:p>
        </w:tc>
        <w:tc>
          <w:tcPr>
            <w:tcW w:w="1866" w:type="dxa"/>
            <w:noWrap/>
            <w:hideMark/>
          </w:tcPr>
          <w:p w14:paraId="3D269819"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23%</w:t>
            </w:r>
          </w:p>
        </w:tc>
        <w:tc>
          <w:tcPr>
            <w:tcW w:w="2219" w:type="dxa"/>
            <w:noWrap/>
            <w:hideMark/>
          </w:tcPr>
          <w:p w14:paraId="0CA5DC9D"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(14%)</w:t>
            </w:r>
          </w:p>
        </w:tc>
      </w:tr>
      <w:tr w:rsidR="006C64A2" w:rsidRPr="000D6FFF" w14:paraId="630474E4" w14:textId="77777777" w:rsidTr="000D6FFF">
        <w:trPr>
          <w:trHeight w:val="227"/>
          <w:jc w:val="center"/>
        </w:trPr>
        <w:tc>
          <w:tcPr>
            <w:tcW w:w="1200" w:type="dxa"/>
            <w:noWrap/>
            <w:hideMark/>
          </w:tcPr>
          <w:p w14:paraId="5E40591D"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EL</w:t>
            </w:r>
          </w:p>
        </w:tc>
        <w:tc>
          <w:tcPr>
            <w:tcW w:w="1866" w:type="dxa"/>
            <w:noWrap/>
            <w:hideMark/>
          </w:tcPr>
          <w:p w14:paraId="65A78FD7"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43%</w:t>
            </w:r>
          </w:p>
        </w:tc>
        <w:tc>
          <w:tcPr>
            <w:tcW w:w="2219" w:type="dxa"/>
            <w:noWrap/>
            <w:hideMark/>
          </w:tcPr>
          <w:p w14:paraId="684610EE"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(20%)</w:t>
            </w:r>
          </w:p>
        </w:tc>
      </w:tr>
      <w:tr w:rsidR="006C64A2" w:rsidRPr="000D6FFF" w14:paraId="60361213" w14:textId="77777777" w:rsidTr="000D6FFF">
        <w:trPr>
          <w:trHeight w:val="227"/>
          <w:jc w:val="center"/>
        </w:trPr>
        <w:tc>
          <w:tcPr>
            <w:tcW w:w="1200" w:type="dxa"/>
            <w:noWrap/>
            <w:hideMark/>
          </w:tcPr>
          <w:p w14:paraId="3D054763"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ES</w:t>
            </w:r>
          </w:p>
        </w:tc>
        <w:tc>
          <w:tcPr>
            <w:tcW w:w="1866" w:type="dxa"/>
            <w:noWrap/>
            <w:hideMark/>
          </w:tcPr>
          <w:p w14:paraId="0E9084C6"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48%</w:t>
            </w:r>
          </w:p>
        </w:tc>
        <w:tc>
          <w:tcPr>
            <w:tcW w:w="2219" w:type="dxa"/>
            <w:noWrap/>
            <w:hideMark/>
          </w:tcPr>
          <w:p w14:paraId="5942514E"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(21%)</w:t>
            </w:r>
          </w:p>
        </w:tc>
      </w:tr>
      <w:tr w:rsidR="006C64A2" w:rsidRPr="000D6FFF" w14:paraId="62843AE7" w14:textId="77777777" w:rsidTr="000D6FFF">
        <w:trPr>
          <w:trHeight w:val="227"/>
          <w:jc w:val="center"/>
        </w:trPr>
        <w:tc>
          <w:tcPr>
            <w:tcW w:w="1200" w:type="dxa"/>
            <w:noWrap/>
            <w:hideMark/>
          </w:tcPr>
          <w:p w14:paraId="15603C98"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FI</w:t>
            </w:r>
          </w:p>
        </w:tc>
        <w:tc>
          <w:tcPr>
            <w:tcW w:w="1866" w:type="dxa"/>
            <w:noWrap/>
            <w:hideMark/>
          </w:tcPr>
          <w:p w14:paraId="280156F5"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3%</w:t>
            </w:r>
          </w:p>
        </w:tc>
        <w:tc>
          <w:tcPr>
            <w:tcW w:w="2219" w:type="dxa"/>
            <w:noWrap/>
            <w:hideMark/>
          </w:tcPr>
          <w:p w14:paraId="5671B045"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cereals (3%)</w:t>
            </w:r>
          </w:p>
        </w:tc>
      </w:tr>
      <w:tr w:rsidR="006C64A2" w:rsidRPr="000D6FFF" w14:paraId="04747126" w14:textId="77777777" w:rsidTr="000D6FFF">
        <w:trPr>
          <w:trHeight w:val="227"/>
          <w:jc w:val="center"/>
        </w:trPr>
        <w:tc>
          <w:tcPr>
            <w:tcW w:w="1200" w:type="dxa"/>
            <w:noWrap/>
            <w:hideMark/>
          </w:tcPr>
          <w:p w14:paraId="05D4A915"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FR</w:t>
            </w:r>
          </w:p>
        </w:tc>
        <w:tc>
          <w:tcPr>
            <w:tcW w:w="1866" w:type="dxa"/>
            <w:noWrap/>
            <w:hideMark/>
          </w:tcPr>
          <w:p w14:paraId="4A673317"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53%</w:t>
            </w:r>
          </w:p>
        </w:tc>
        <w:tc>
          <w:tcPr>
            <w:tcW w:w="2219" w:type="dxa"/>
            <w:noWrap/>
            <w:hideMark/>
          </w:tcPr>
          <w:p w14:paraId="741FD67D"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(19%)</w:t>
            </w:r>
          </w:p>
        </w:tc>
      </w:tr>
      <w:tr w:rsidR="006C64A2" w:rsidRPr="000D6FFF" w14:paraId="74136995" w14:textId="77777777" w:rsidTr="000D6FFF">
        <w:trPr>
          <w:trHeight w:val="227"/>
          <w:jc w:val="center"/>
        </w:trPr>
        <w:tc>
          <w:tcPr>
            <w:tcW w:w="1200" w:type="dxa"/>
            <w:noWrap/>
            <w:hideMark/>
          </w:tcPr>
          <w:p w14:paraId="02257C7A"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HR</w:t>
            </w:r>
          </w:p>
        </w:tc>
        <w:tc>
          <w:tcPr>
            <w:tcW w:w="1866" w:type="dxa"/>
            <w:noWrap/>
            <w:hideMark/>
          </w:tcPr>
          <w:p w14:paraId="7324F43D"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17%</w:t>
            </w:r>
          </w:p>
        </w:tc>
        <w:tc>
          <w:tcPr>
            <w:tcW w:w="2219" w:type="dxa"/>
            <w:noWrap/>
            <w:hideMark/>
          </w:tcPr>
          <w:p w14:paraId="6BBAB089"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cereals (10%)</w:t>
            </w:r>
          </w:p>
        </w:tc>
      </w:tr>
      <w:tr w:rsidR="006C64A2" w:rsidRPr="000D6FFF" w14:paraId="060FA33C" w14:textId="77777777" w:rsidTr="000D6FFF">
        <w:trPr>
          <w:trHeight w:val="227"/>
          <w:jc w:val="center"/>
        </w:trPr>
        <w:tc>
          <w:tcPr>
            <w:tcW w:w="1200" w:type="dxa"/>
            <w:noWrap/>
            <w:hideMark/>
          </w:tcPr>
          <w:p w14:paraId="27C67609"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HU</w:t>
            </w:r>
          </w:p>
        </w:tc>
        <w:tc>
          <w:tcPr>
            <w:tcW w:w="1866" w:type="dxa"/>
            <w:noWrap/>
            <w:hideMark/>
          </w:tcPr>
          <w:p w14:paraId="03AB0952"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63%</w:t>
            </w:r>
          </w:p>
        </w:tc>
        <w:tc>
          <w:tcPr>
            <w:tcW w:w="2219" w:type="dxa"/>
            <w:noWrap/>
            <w:hideMark/>
          </w:tcPr>
          <w:p w14:paraId="53913E4B"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(24%)</w:t>
            </w:r>
          </w:p>
        </w:tc>
      </w:tr>
      <w:tr w:rsidR="006C64A2" w:rsidRPr="000D6FFF" w14:paraId="388C63EB" w14:textId="77777777" w:rsidTr="000D6FFF">
        <w:trPr>
          <w:trHeight w:val="227"/>
          <w:jc w:val="center"/>
        </w:trPr>
        <w:tc>
          <w:tcPr>
            <w:tcW w:w="1200" w:type="dxa"/>
            <w:noWrap/>
            <w:hideMark/>
          </w:tcPr>
          <w:p w14:paraId="20F5DC10"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IE</w:t>
            </w:r>
          </w:p>
        </w:tc>
        <w:tc>
          <w:tcPr>
            <w:tcW w:w="1866" w:type="dxa"/>
            <w:noWrap/>
            <w:hideMark/>
          </w:tcPr>
          <w:p w14:paraId="13080C2F"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60%</w:t>
            </w:r>
          </w:p>
        </w:tc>
        <w:tc>
          <w:tcPr>
            <w:tcW w:w="2219" w:type="dxa"/>
            <w:noWrap/>
            <w:hideMark/>
          </w:tcPr>
          <w:p w14:paraId="36C82DA8"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Pastures (44%)</w:t>
            </w:r>
          </w:p>
        </w:tc>
      </w:tr>
      <w:tr w:rsidR="006C64A2" w:rsidRPr="000D6FFF" w14:paraId="7ED19A8D" w14:textId="77777777" w:rsidTr="000D6FFF">
        <w:trPr>
          <w:trHeight w:val="227"/>
          <w:jc w:val="center"/>
        </w:trPr>
        <w:tc>
          <w:tcPr>
            <w:tcW w:w="1200" w:type="dxa"/>
            <w:noWrap/>
            <w:hideMark/>
          </w:tcPr>
          <w:p w14:paraId="7CE1F8B2"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IT</w:t>
            </w:r>
          </w:p>
        </w:tc>
        <w:tc>
          <w:tcPr>
            <w:tcW w:w="1866" w:type="dxa"/>
            <w:noWrap/>
            <w:hideMark/>
          </w:tcPr>
          <w:p w14:paraId="040ECC10"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49%</w:t>
            </w:r>
          </w:p>
        </w:tc>
        <w:tc>
          <w:tcPr>
            <w:tcW w:w="2219" w:type="dxa"/>
            <w:noWrap/>
            <w:hideMark/>
          </w:tcPr>
          <w:p w14:paraId="46B73DFB"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(26%)</w:t>
            </w:r>
          </w:p>
        </w:tc>
      </w:tr>
      <w:tr w:rsidR="006C64A2" w:rsidRPr="000D6FFF" w14:paraId="1F035D8D" w14:textId="77777777" w:rsidTr="000D6FFF">
        <w:trPr>
          <w:trHeight w:val="227"/>
          <w:jc w:val="center"/>
        </w:trPr>
        <w:tc>
          <w:tcPr>
            <w:tcW w:w="1200" w:type="dxa"/>
            <w:noWrap/>
            <w:hideMark/>
          </w:tcPr>
          <w:p w14:paraId="4A23014B"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LT</w:t>
            </w:r>
          </w:p>
        </w:tc>
        <w:tc>
          <w:tcPr>
            <w:tcW w:w="1866" w:type="dxa"/>
            <w:noWrap/>
            <w:hideMark/>
          </w:tcPr>
          <w:p w14:paraId="3BF56DA4"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54%</w:t>
            </w:r>
          </w:p>
        </w:tc>
        <w:tc>
          <w:tcPr>
            <w:tcW w:w="2219" w:type="dxa"/>
            <w:noWrap/>
            <w:hideMark/>
          </w:tcPr>
          <w:p w14:paraId="517C0CC9"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(33%)</w:t>
            </w:r>
          </w:p>
        </w:tc>
      </w:tr>
      <w:tr w:rsidR="006C64A2" w:rsidRPr="000D6FFF" w14:paraId="7392B11C" w14:textId="77777777" w:rsidTr="000D6FFF">
        <w:trPr>
          <w:trHeight w:val="227"/>
          <w:jc w:val="center"/>
        </w:trPr>
        <w:tc>
          <w:tcPr>
            <w:tcW w:w="1200" w:type="dxa"/>
            <w:noWrap/>
            <w:hideMark/>
          </w:tcPr>
          <w:p w14:paraId="5F28BE97"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LU</w:t>
            </w:r>
          </w:p>
        </w:tc>
        <w:tc>
          <w:tcPr>
            <w:tcW w:w="1866" w:type="dxa"/>
            <w:noWrap/>
            <w:hideMark/>
          </w:tcPr>
          <w:p w14:paraId="392494ED"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36%</w:t>
            </w:r>
          </w:p>
        </w:tc>
        <w:tc>
          <w:tcPr>
            <w:tcW w:w="2219" w:type="dxa"/>
            <w:noWrap/>
            <w:hideMark/>
          </w:tcPr>
          <w:p w14:paraId="4B721B6B"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Abandoned (15%)</w:t>
            </w:r>
          </w:p>
        </w:tc>
      </w:tr>
      <w:tr w:rsidR="006C64A2" w:rsidRPr="000D6FFF" w14:paraId="49DDB71D" w14:textId="77777777" w:rsidTr="000D6FFF">
        <w:trPr>
          <w:trHeight w:val="227"/>
          <w:jc w:val="center"/>
        </w:trPr>
        <w:tc>
          <w:tcPr>
            <w:tcW w:w="1200" w:type="dxa"/>
            <w:noWrap/>
            <w:hideMark/>
          </w:tcPr>
          <w:p w14:paraId="5DA165D2"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LV</w:t>
            </w:r>
          </w:p>
        </w:tc>
        <w:tc>
          <w:tcPr>
            <w:tcW w:w="1866" w:type="dxa"/>
            <w:noWrap/>
            <w:hideMark/>
          </w:tcPr>
          <w:p w14:paraId="13CC23CD"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28%</w:t>
            </w:r>
          </w:p>
        </w:tc>
        <w:tc>
          <w:tcPr>
            <w:tcW w:w="2219" w:type="dxa"/>
            <w:noWrap/>
            <w:hideMark/>
          </w:tcPr>
          <w:p w14:paraId="19862247"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(12%)</w:t>
            </w:r>
          </w:p>
        </w:tc>
      </w:tr>
      <w:tr w:rsidR="006C64A2" w:rsidRPr="000D6FFF" w14:paraId="68C669CF" w14:textId="77777777" w:rsidTr="000D6FFF">
        <w:trPr>
          <w:trHeight w:val="227"/>
          <w:jc w:val="center"/>
        </w:trPr>
        <w:tc>
          <w:tcPr>
            <w:tcW w:w="1200" w:type="dxa"/>
            <w:noWrap/>
            <w:hideMark/>
          </w:tcPr>
          <w:p w14:paraId="59C6ABA6"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MT</w:t>
            </w:r>
          </w:p>
        </w:tc>
        <w:tc>
          <w:tcPr>
            <w:tcW w:w="1866" w:type="dxa"/>
            <w:noWrap/>
            <w:hideMark/>
          </w:tcPr>
          <w:p w14:paraId="35B3F086"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39%</w:t>
            </w:r>
          </w:p>
        </w:tc>
        <w:tc>
          <w:tcPr>
            <w:tcW w:w="2219" w:type="dxa"/>
            <w:noWrap/>
            <w:hideMark/>
          </w:tcPr>
          <w:p w14:paraId="531F09C3"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(21%)</w:t>
            </w:r>
          </w:p>
        </w:tc>
      </w:tr>
      <w:tr w:rsidR="006C64A2" w:rsidRPr="000D6FFF" w14:paraId="58547D0C" w14:textId="77777777" w:rsidTr="000D6FFF">
        <w:trPr>
          <w:trHeight w:val="227"/>
          <w:jc w:val="center"/>
        </w:trPr>
        <w:tc>
          <w:tcPr>
            <w:tcW w:w="1200" w:type="dxa"/>
            <w:noWrap/>
            <w:hideMark/>
          </w:tcPr>
          <w:p w14:paraId="1ED62097"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NL</w:t>
            </w:r>
          </w:p>
        </w:tc>
        <w:tc>
          <w:tcPr>
            <w:tcW w:w="1866" w:type="dxa"/>
            <w:noWrap/>
            <w:hideMark/>
          </w:tcPr>
          <w:p w14:paraId="17ACF409"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53%</w:t>
            </w:r>
          </w:p>
        </w:tc>
        <w:tc>
          <w:tcPr>
            <w:tcW w:w="2219" w:type="dxa"/>
            <w:noWrap/>
            <w:hideMark/>
          </w:tcPr>
          <w:p w14:paraId="611AB311"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Pastures (21%)</w:t>
            </w:r>
          </w:p>
        </w:tc>
      </w:tr>
      <w:tr w:rsidR="006C64A2" w:rsidRPr="000D6FFF" w14:paraId="4211F3EE" w14:textId="77777777" w:rsidTr="000D6FFF">
        <w:trPr>
          <w:trHeight w:val="227"/>
          <w:jc w:val="center"/>
        </w:trPr>
        <w:tc>
          <w:tcPr>
            <w:tcW w:w="1200" w:type="dxa"/>
            <w:noWrap/>
            <w:hideMark/>
          </w:tcPr>
          <w:p w14:paraId="3C4E2873"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PL</w:t>
            </w:r>
          </w:p>
        </w:tc>
        <w:tc>
          <w:tcPr>
            <w:tcW w:w="1866" w:type="dxa"/>
            <w:noWrap/>
            <w:hideMark/>
          </w:tcPr>
          <w:p w14:paraId="1D729D9E"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50%</w:t>
            </w:r>
          </w:p>
        </w:tc>
        <w:tc>
          <w:tcPr>
            <w:tcW w:w="2219" w:type="dxa"/>
            <w:noWrap/>
            <w:hideMark/>
          </w:tcPr>
          <w:p w14:paraId="51158812"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cereals (21%)</w:t>
            </w:r>
          </w:p>
        </w:tc>
      </w:tr>
      <w:tr w:rsidR="006C64A2" w:rsidRPr="000D6FFF" w14:paraId="772ACCAC" w14:textId="77777777" w:rsidTr="000D6FFF">
        <w:trPr>
          <w:trHeight w:val="227"/>
          <w:jc w:val="center"/>
        </w:trPr>
        <w:tc>
          <w:tcPr>
            <w:tcW w:w="1200" w:type="dxa"/>
            <w:noWrap/>
            <w:hideMark/>
          </w:tcPr>
          <w:p w14:paraId="45C7BFB0"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PT</w:t>
            </w:r>
          </w:p>
        </w:tc>
        <w:tc>
          <w:tcPr>
            <w:tcW w:w="1866" w:type="dxa"/>
            <w:noWrap/>
            <w:hideMark/>
          </w:tcPr>
          <w:p w14:paraId="1B118EB1"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35%</w:t>
            </w:r>
          </w:p>
        </w:tc>
        <w:tc>
          <w:tcPr>
            <w:tcW w:w="2219" w:type="dxa"/>
            <w:noWrap/>
            <w:hideMark/>
          </w:tcPr>
          <w:p w14:paraId="0B9BE848"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(19%)</w:t>
            </w:r>
          </w:p>
        </w:tc>
      </w:tr>
      <w:tr w:rsidR="006C64A2" w:rsidRPr="000D6FFF" w14:paraId="4412EAA4" w14:textId="77777777" w:rsidTr="000D6FFF">
        <w:trPr>
          <w:trHeight w:val="227"/>
          <w:jc w:val="center"/>
        </w:trPr>
        <w:tc>
          <w:tcPr>
            <w:tcW w:w="1200" w:type="dxa"/>
            <w:noWrap/>
            <w:hideMark/>
          </w:tcPr>
          <w:p w14:paraId="3FFADD5E"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RO</w:t>
            </w:r>
          </w:p>
        </w:tc>
        <w:tc>
          <w:tcPr>
            <w:tcW w:w="1866" w:type="dxa"/>
            <w:noWrap/>
            <w:hideMark/>
          </w:tcPr>
          <w:p w14:paraId="160B34CB"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59%</w:t>
            </w:r>
          </w:p>
        </w:tc>
        <w:tc>
          <w:tcPr>
            <w:tcW w:w="2219" w:type="dxa"/>
            <w:noWrap/>
            <w:hideMark/>
          </w:tcPr>
          <w:p w14:paraId="46F51AD3"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(19%)</w:t>
            </w:r>
          </w:p>
        </w:tc>
      </w:tr>
      <w:tr w:rsidR="006C64A2" w:rsidRPr="000D6FFF" w14:paraId="3C20204E" w14:textId="77777777" w:rsidTr="000D6FFF">
        <w:trPr>
          <w:trHeight w:val="227"/>
          <w:jc w:val="center"/>
        </w:trPr>
        <w:tc>
          <w:tcPr>
            <w:tcW w:w="1200" w:type="dxa"/>
            <w:noWrap/>
            <w:hideMark/>
          </w:tcPr>
          <w:p w14:paraId="24C07530"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SE</w:t>
            </w:r>
          </w:p>
        </w:tc>
        <w:tc>
          <w:tcPr>
            <w:tcW w:w="1866" w:type="dxa"/>
            <w:noWrap/>
            <w:hideMark/>
          </w:tcPr>
          <w:p w14:paraId="065C8397"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5%</w:t>
            </w:r>
          </w:p>
        </w:tc>
        <w:tc>
          <w:tcPr>
            <w:tcW w:w="2219" w:type="dxa"/>
            <w:noWrap/>
            <w:hideMark/>
          </w:tcPr>
          <w:p w14:paraId="2630E078"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(3%)</w:t>
            </w:r>
          </w:p>
        </w:tc>
      </w:tr>
      <w:tr w:rsidR="006C64A2" w:rsidRPr="000D6FFF" w14:paraId="2C525943" w14:textId="77777777" w:rsidTr="000D6FFF">
        <w:trPr>
          <w:trHeight w:val="227"/>
          <w:jc w:val="center"/>
        </w:trPr>
        <w:tc>
          <w:tcPr>
            <w:tcW w:w="1200" w:type="dxa"/>
            <w:noWrap/>
            <w:hideMark/>
          </w:tcPr>
          <w:p w14:paraId="37841977"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SI</w:t>
            </w:r>
          </w:p>
        </w:tc>
        <w:tc>
          <w:tcPr>
            <w:tcW w:w="1866" w:type="dxa"/>
            <w:noWrap/>
            <w:hideMark/>
          </w:tcPr>
          <w:p w14:paraId="61D1CEDC"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30%</w:t>
            </w:r>
          </w:p>
        </w:tc>
        <w:tc>
          <w:tcPr>
            <w:tcW w:w="2219" w:type="dxa"/>
            <w:noWrap/>
            <w:hideMark/>
          </w:tcPr>
          <w:p w14:paraId="48F9A596"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(16%)</w:t>
            </w:r>
          </w:p>
        </w:tc>
      </w:tr>
      <w:tr w:rsidR="006C64A2" w:rsidRPr="000D6FFF" w14:paraId="19A6C41E" w14:textId="77777777" w:rsidTr="000D6FFF">
        <w:trPr>
          <w:trHeight w:val="227"/>
          <w:jc w:val="center"/>
        </w:trPr>
        <w:tc>
          <w:tcPr>
            <w:tcW w:w="1200" w:type="dxa"/>
            <w:noWrap/>
            <w:hideMark/>
          </w:tcPr>
          <w:p w14:paraId="6E373D26" w14:textId="77777777" w:rsidR="006C64A2" w:rsidRPr="000D6FFF" w:rsidRDefault="006C64A2" w:rsidP="006C64A2">
            <w:pPr>
              <w:jc w:val="center"/>
              <w:rPr>
                <w:rFonts w:asciiTheme="minorHAnsi" w:hAnsiTheme="minorHAnsi" w:cs="Calibri"/>
                <w:color w:val="000000"/>
                <w:sz w:val="16"/>
                <w:szCs w:val="16"/>
              </w:rPr>
            </w:pPr>
            <w:r w:rsidRPr="000D6FFF">
              <w:rPr>
                <w:rFonts w:asciiTheme="minorHAnsi" w:hAnsiTheme="minorHAnsi" w:cs="Calibri"/>
                <w:color w:val="000000"/>
                <w:sz w:val="16"/>
                <w:szCs w:val="16"/>
              </w:rPr>
              <w:t>SK</w:t>
            </w:r>
          </w:p>
        </w:tc>
        <w:tc>
          <w:tcPr>
            <w:tcW w:w="1866" w:type="dxa"/>
            <w:noWrap/>
            <w:hideMark/>
          </w:tcPr>
          <w:p w14:paraId="5831C487" w14:textId="77777777" w:rsidR="006C64A2" w:rsidRPr="000D6FFF" w:rsidRDefault="006C64A2" w:rsidP="001A1EAA">
            <w:pPr>
              <w:jc w:val="right"/>
              <w:rPr>
                <w:rFonts w:asciiTheme="minorHAnsi" w:hAnsiTheme="minorHAnsi" w:cs="Calibri"/>
                <w:color w:val="000000"/>
                <w:sz w:val="16"/>
                <w:szCs w:val="16"/>
              </w:rPr>
            </w:pPr>
            <w:r w:rsidRPr="000D6FFF">
              <w:rPr>
                <w:rFonts w:asciiTheme="minorHAnsi" w:hAnsiTheme="minorHAnsi" w:cs="Calibri"/>
                <w:color w:val="000000"/>
                <w:sz w:val="16"/>
                <w:szCs w:val="16"/>
              </w:rPr>
              <w:t>43%</w:t>
            </w:r>
          </w:p>
        </w:tc>
        <w:tc>
          <w:tcPr>
            <w:tcW w:w="2219" w:type="dxa"/>
            <w:noWrap/>
            <w:hideMark/>
          </w:tcPr>
          <w:p w14:paraId="084D5446" w14:textId="77777777" w:rsidR="006C64A2" w:rsidRPr="000D6FFF" w:rsidRDefault="006C64A2" w:rsidP="001F20F9">
            <w:pPr>
              <w:jc w:val="center"/>
              <w:rPr>
                <w:rFonts w:asciiTheme="minorHAnsi" w:hAnsiTheme="minorHAnsi" w:cs="Calibri"/>
                <w:color w:val="000000"/>
                <w:sz w:val="16"/>
                <w:szCs w:val="16"/>
              </w:rPr>
            </w:pPr>
            <w:r w:rsidRPr="000D6FFF">
              <w:rPr>
                <w:rFonts w:asciiTheme="minorHAnsi" w:hAnsiTheme="minorHAnsi" w:cs="Calibri"/>
                <w:color w:val="000000"/>
                <w:sz w:val="16"/>
                <w:szCs w:val="16"/>
              </w:rPr>
              <w:t>other arable (22%)</w:t>
            </w:r>
          </w:p>
        </w:tc>
      </w:tr>
    </w:tbl>
    <w:p w14:paraId="2DBE7FB4" w14:textId="77777777" w:rsidR="006C64A2" w:rsidRPr="00C61D6E" w:rsidRDefault="006C64A2" w:rsidP="006C64A2"/>
    <w:p w14:paraId="16D9FBA6" w14:textId="77777777" w:rsidR="000D6FFF" w:rsidRDefault="000D6FFF">
      <w:pPr>
        <w:spacing w:before="120" w:after="200" w:line="276" w:lineRule="auto"/>
        <w:ind w:left="709" w:hanging="357"/>
        <w:jc w:val="both"/>
      </w:pPr>
      <w:bookmarkStart w:id="24" w:name="_Ref523659136"/>
      <w:r>
        <w:br w:type="page"/>
      </w:r>
    </w:p>
    <w:p w14:paraId="0035D6D7" w14:textId="235BE12B" w:rsidR="00CB69AF" w:rsidRDefault="00776FE2" w:rsidP="00CB69AF">
      <w:pPr>
        <w:pStyle w:val="Heading2"/>
      </w:pPr>
      <w:r w:rsidRPr="00C61D6E">
        <w:lastRenderedPageBreak/>
        <w:t>Heliosat Method</w:t>
      </w:r>
      <w:bookmarkEnd w:id="24"/>
    </w:p>
    <w:p w14:paraId="0D0A8BC7" w14:textId="77777777" w:rsidR="00D30C01" w:rsidRPr="00C61D6E" w:rsidRDefault="00D30C01" w:rsidP="00D30C01"/>
    <w:p w14:paraId="2C7F9D4B" w14:textId="7B49A0C3" w:rsidR="00CB69AF" w:rsidRPr="008C062F" w:rsidRDefault="009575E9" w:rsidP="00CB69AF">
      <w:r w:rsidRPr="00724076">
        <w:rPr>
          <w:b/>
        </w:rPr>
        <w:t xml:space="preserve">Figure </w:t>
      </w:r>
      <w:r>
        <w:rPr>
          <w:b/>
          <w:noProof/>
        </w:rPr>
        <w:t>12</w:t>
      </w:r>
      <w:r w:rsidR="00CB69AF" w:rsidRPr="00C61D6E">
        <w:t xml:space="preserve"> </w:t>
      </w:r>
      <w:r w:rsidR="004A0843" w:rsidRPr="00C61D6E">
        <w:t>depicts</w:t>
      </w:r>
      <w:r w:rsidR="00CB69AF" w:rsidRPr="00C61D6E">
        <w:t xml:space="preserve"> the evaluation </w:t>
      </w:r>
      <w:r w:rsidR="004A0843" w:rsidRPr="00C61D6E">
        <w:t>sequence</w:t>
      </w:r>
      <w:r w:rsidR="00CB69AF" w:rsidRPr="00C61D6E">
        <w:t xml:space="preserve"> for the Heliosat Method. The currently used Bird</w:t>
      </w:r>
      <w:r w:rsidR="00CB69AF" w:rsidRPr="005E36C5">
        <w:t xml:space="preserve"> model has originally been proposed by </w:t>
      </w:r>
      <w:bookmarkStart w:id="25" w:name="_GoBack"/>
      <w:r w:rsidR="00510E39" w:rsidRPr="00510E39">
        <w:rPr>
          <w:noProof/>
        </w:rPr>
        <w:t>[</w:t>
      </w:r>
      <w:bookmarkEnd w:id="25"/>
      <w:r w:rsidR="00510E39" w:rsidRPr="00510E39">
        <w:rPr>
          <w:noProof/>
        </w:rPr>
        <w:t>77]</w:t>
      </w:r>
      <w:r w:rsidR="003A038C" w:rsidRPr="00C61D6E">
        <w:t xml:space="preserve"> </w:t>
      </w:r>
      <w:r w:rsidR="00CB69AF" w:rsidRPr="00C61D6E">
        <w:t xml:space="preserve">and has later been modified </w:t>
      </w:r>
      <w:r w:rsidR="00CB69AF" w:rsidRPr="005E36C5">
        <w:t xml:space="preserve">by </w:t>
      </w:r>
      <w:r w:rsidR="00510E39" w:rsidRPr="00510E39">
        <w:rPr>
          <w:noProof/>
        </w:rPr>
        <w:t>[78]</w:t>
      </w:r>
      <w:r w:rsidR="0026372B" w:rsidRPr="00C61D6E">
        <w:t xml:space="preserve"> </w:t>
      </w:r>
      <w:r w:rsidR="00CB69AF" w:rsidRPr="00C61D6E">
        <w:t xml:space="preserve">as Model C. The broadband direct normal irradiance </w:t>
      </w:r>
      <w:r w:rsidR="00CB69AF" w:rsidRPr="00C61D6E">
        <w:rPr>
          <w:i/>
          <w:iCs/>
        </w:rPr>
        <w:t>G</w:t>
      </w:r>
      <w:r w:rsidR="00CB69AF" w:rsidRPr="00C61D6E">
        <w:rPr>
          <w:i/>
          <w:iCs/>
          <w:sz w:val="16"/>
          <w:szCs w:val="16"/>
          <w:vertAlign w:val="subscript"/>
        </w:rPr>
        <w:t>d</w:t>
      </w:r>
      <w:r w:rsidR="00CB69AF" w:rsidRPr="005E36C5">
        <w:rPr>
          <w:i/>
          <w:sz w:val="16"/>
          <w:szCs w:val="16"/>
          <w:vertAlign w:val="subscript"/>
        </w:rPr>
        <w:t>n</w:t>
      </w:r>
      <w:r w:rsidR="00CB69AF" w:rsidRPr="005E36C5">
        <w:rPr>
          <w:sz w:val="16"/>
          <w:szCs w:val="16"/>
        </w:rPr>
        <w:t xml:space="preserve"> </w:t>
      </w:r>
      <w:r w:rsidR="00CB69AF" w:rsidRPr="008C062F">
        <w:t>is calculated as:</w:t>
      </w:r>
    </w:p>
    <w:p w14:paraId="36C22003" w14:textId="77777777" w:rsidR="00BA2DDB" w:rsidRPr="0037138D" w:rsidRDefault="00BA2DDB" w:rsidP="00CB69AF"/>
    <w:p w14:paraId="5052EC2E" w14:textId="6069ED72" w:rsidR="00CB69AF" w:rsidRPr="00C61D6E" w:rsidRDefault="00726F2E" w:rsidP="00BA2DDB">
      <w:pPr>
        <w:pStyle w:val="CM33"/>
        <w:tabs>
          <w:tab w:val="left" w:pos="8364"/>
        </w:tabs>
        <w:spacing w:line="320" w:lineRule="atLeast"/>
        <w:rPr>
          <w:rFonts w:ascii="Times New Roman" w:hAnsi="Times New Roman"/>
          <w:lang w:val="en-GB"/>
        </w:rPr>
      </w:pPr>
      <w:r>
        <w:rPr>
          <w:rFonts w:ascii="Times New Roman" w:hAnsi="Times New Roman"/>
          <w:position w:val="-14"/>
          <w:lang w:val="en-GB"/>
        </w:rPr>
        <w:pict w14:anchorId="3556D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05pt;height:17.65pt">
            <v:imagedata r:id="rId18" o:title=""/>
          </v:shape>
        </w:pict>
      </w:r>
      <w:r w:rsidR="00BA2DDB" w:rsidRPr="00C61D6E">
        <w:rPr>
          <w:lang w:val="en-GB"/>
        </w:rPr>
        <w:tab/>
        <w:t xml:space="preserve">( </w:t>
      </w:r>
      <w:r w:rsidR="009575E9">
        <w:rPr>
          <w:noProof/>
          <w:lang w:val="en-GB"/>
        </w:rPr>
        <w:t>7</w:t>
      </w:r>
      <w:r w:rsidR="00BA2DDB" w:rsidRPr="00C61D6E">
        <w:rPr>
          <w:lang w:val="en-GB"/>
        </w:rPr>
        <w:t xml:space="preserve"> )</w:t>
      </w:r>
    </w:p>
    <w:p w14:paraId="183B796E" w14:textId="77777777" w:rsidR="00CB69AF" w:rsidRPr="00C61D6E" w:rsidRDefault="00CB69AF" w:rsidP="00CB69AF">
      <w:r w:rsidRPr="0037138D">
        <w:t>The factor 0.9751 is a conversion faction, since the model used for the development (SOLTRAN) considered the spectral interval of 0</w:t>
      </w:r>
      <w:r w:rsidRPr="00B00B67">
        <w:rPr>
          <w:i/>
          <w:iCs/>
        </w:rPr>
        <w:t>.</w:t>
      </w:r>
      <w:r w:rsidRPr="00B00B67">
        <w:t>3 -</w:t>
      </w:r>
      <w:r w:rsidRPr="00B00B67">
        <w:rPr>
          <w:position w:val="-16"/>
          <w:vertAlign w:val="subscript"/>
        </w:rPr>
        <w:t xml:space="preserve"> </w:t>
      </w:r>
      <w:r w:rsidRPr="00B00B67">
        <w:t>3</w:t>
      </w:r>
      <w:r w:rsidRPr="00B00B67">
        <w:rPr>
          <w:i/>
          <w:iCs/>
        </w:rPr>
        <w:t>.</w:t>
      </w:r>
      <w:r w:rsidRPr="00B00B67">
        <w:t>0</w:t>
      </w:r>
      <w:r w:rsidRPr="00B00B67">
        <w:rPr>
          <w:i/>
          <w:iCs/>
        </w:rPr>
        <w:t>µm</w:t>
      </w:r>
      <w:r w:rsidRPr="00B00B67">
        <w:t xml:space="preserve">. </w:t>
      </w:r>
      <w:r w:rsidRPr="00B00B67">
        <w:rPr>
          <w:i/>
          <w:iCs/>
        </w:rPr>
        <w:t>G</w:t>
      </w:r>
      <w:r w:rsidRPr="00C61D6E">
        <w:rPr>
          <w:i/>
          <w:iCs/>
          <w:vertAlign w:val="subscript"/>
        </w:rPr>
        <w:t>ex</w:t>
      </w:r>
      <w:r w:rsidRPr="00C61D6E">
        <w:rPr>
          <w:i/>
          <w:vertAlign w:val="subscript"/>
        </w:rPr>
        <w:t>t</w:t>
      </w:r>
      <w:r w:rsidRPr="00C61D6E">
        <w:rPr>
          <w:sz w:val="16"/>
          <w:szCs w:val="16"/>
        </w:rPr>
        <w:t xml:space="preserve"> </w:t>
      </w:r>
      <w:r w:rsidRPr="00C61D6E">
        <w:t xml:space="preserve">is the extraterrestrial irradiance or solar constant. The </w:t>
      </w:r>
      <w:r w:rsidRPr="00C61D6E">
        <w:rPr>
          <w:rFonts w:ascii="Arial" w:hAnsi="Arial" w:cs="Arial"/>
          <w:i/>
          <w:iCs/>
        </w:rPr>
        <w:t>τ</w:t>
      </w:r>
      <w:r w:rsidRPr="00C61D6E">
        <w:rPr>
          <w:vertAlign w:val="subscript"/>
        </w:rPr>
        <w:t>x</w:t>
      </w:r>
      <w:r w:rsidRPr="00C61D6E">
        <w:t xml:space="preserve"> are the individual transmittances of the different atmospheric constituents. They are described below. </w:t>
      </w:r>
    </w:p>
    <w:p w14:paraId="3CAE26D6" w14:textId="2714D3A6" w:rsidR="00BA2DDB" w:rsidRPr="0037138D" w:rsidRDefault="00CB69AF" w:rsidP="00CB69AF">
      <w:r w:rsidRPr="00C61D6E">
        <w:t xml:space="preserve">Iqbal uses the old air mass </w:t>
      </w:r>
      <w:r w:rsidRPr="00C61D6E">
        <w:rPr>
          <w:i/>
          <w:iCs/>
        </w:rPr>
        <w:t>m</w:t>
      </w:r>
      <w:r w:rsidRPr="00C61D6E">
        <w:rPr>
          <w:i/>
          <w:vertAlign w:val="subscript"/>
        </w:rPr>
        <w:t>a</w:t>
      </w:r>
      <w:r w:rsidRPr="00C61D6E">
        <w:t xml:space="preserve"> of </w:t>
      </w:r>
      <w:r w:rsidR="00510E39" w:rsidRPr="00510E39">
        <w:rPr>
          <w:noProof/>
        </w:rPr>
        <w:t>[79]</w:t>
      </w:r>
      <w:r w:rsidR="00B6328B" w:rsidRPr="00C61D6E">
        <w:t xml:space="preserve"> </w:t>
      </w:r>
      <w:r w:rsidRPr="00C61D6E">
        <w:t xml:space="preserve">with a correction for the height h above sea level: </w:t>
      </w:r>
    </w:p>
    <w:p w14:paraId="0014AA3A" w14:textId="1C1219A8" w:rsidR="00CB69AF" w:rsidRPr="00C61D6E" w:rsidRDefault="00726F2E" w:rsidP="003E77C7">
      <w:pPr>
        <w:tabs>
          <w:tab w:val="left" w:pos="8364"/>
        </w:tabs>
      </w:pPr>
      <w:r>
        <w:rPr>
          <w:position w:val="-30"/>
        </w:rPr>
        <w:pict w14:anchorId="630A4551">
          <v:shape id="_x0000_i1026" type="#_x0000_t75" style="width:181.35pt;height:38.05pt">
            <v:imagedata r:id="rId19" o:title=""/>
          </v:shape>
        </w:pict>
      </w:r>
      <w:r w:rsidR="003E77C7" w:rsidRPr="00C61D6E">
        <w:tab/>
        <w:t xml:space="preserve">( </w:t>
      </w:r>
      <w:r w:rsidR="009575E9">
        <w:rPr>
          <w:noProof/>
        </w:rPr>
        <w:t>8</w:t>
      </w:r>
      <w:r w:rsidR="003E77C7" w:rsidRPr="00C61D6E">
        <w:t xml:space="preserve"> )</w:t>
      </w:r>
    </w:p>
    <w:p w14:paraId="33D31550" w14:textId="77777777" w:rsidR="00BA2DDB" w:rsidRPr="0037138D" w:rsidRDefault="00BA2DDB" w:rsidP="00BA2DDB">
      <w:pPr>
        <w:rPr>
          <w:rFonts w:ascii="Arial" w:hAnsi="Arial"/>
        </w:rPr>
      </w:pPr>
    </w:p>
    <w:p w14:paraId="43E57847" w14:textId="77777777" w:rsidR="00CB69AF" w:rsidRPr="00B00B67" w:rsidRDefault="00CB69AF" w:rsidP="00CB69AF">
      <w:pPr>
        <w:rPr>
          <w:rFonts w:ascii="Arial" w:hAnsi="Arial" w:cs="Arial"/>
        </w:rPr>
      </w:pPr>
      <w:r w:rsidRPr="00B00B67">
        <w:rPr>
          <w:rFonts w:ascii="Arial" w:hAnsi="Arial" w:cs="Arial"/>
        </w:rPr>
        <w:t>θ</w:t>
      </w:r>
      <w:r w:rsidRPr="00B00B67">
        <w:rPr>
          <w:vertAlign w:val="subscript"/>
        </w:rPr>
        <w:t>z</w:t>
      </w:r>
      <w:r w:rsidRPr="00B00B67">
        <w:t xml:space="preserve"> is the solar zenith angle. The transmittance by Rayleigh scattering is calculated by: </w:t>
      </w:r>
      <w:r w:rsidRPr="00B00B67">
        <w:rPr>
          <w:rFonts w:ascii="Arial" w:hAnsi="Arial" w:cs="Arial"/>
        </w:rPr>
        <w:t>τ</w:t>
      </w:r>
    </w:p>
    <w:p w14:paraId="55441794" w14:textId="77777777" w:rsidR="00BA2DDB" w:rsidRPr="00C61D6E" w:rsidRDefault="00BA2DDB" w:rsidP="00CB69AF"/>
    <w:p w14:paraId="3049762A" w14:textId="4E1D1744" w:rsidR="00CB69AF" w:rsidRPr="00C61D6E" w:rsidRDefault="00726F2E" w:rsidP="003E77C7">
      <w:pPr>
        <w:tabs>
          <w:tab w:val="left" w:pos="8364"/>
        </w:tabs>
        <w:rPr>
          <w:rFonts w:eastAsia="CMS Y 8"/>
        </w:rPr>
      </w:pPr>
      <w:r>
        <w:rPr>
          <w:rFonts w:eastAsia="CMS Y 8"/>
          <w:position w:val="-10"/>
        </w:rPr>
        <w:pict w14:anchorId="6F3B3996">
          <v:shape id="_x0000_i1027" type="#_x0000_t75" style="width:192.25pt;height:29.9pt">
            <v:imagedata r:id="rId20" o:title=""/>
          </v:shape>
        </w:pict>
      </w:r>
      <w:r w:rsidR="003E77C7" w:rsidRPr="00C61D6E">
        <w:tab/>
        <w:t xml:space="preserve">( </w:t>
      </w:r>
      <w:r w:rsidR="009575E9">
        <w:rPr>
          <w:noProof/>
        </w:rPr>
        <w:t>9</w:t>
      </w:r>
      <w:r w:rsidR="003E77C7" w:rsidRPr="00C61D6E">
        <w:t xml:space="preserve"> )</w:t>
      </w:r>
    </w:p>
    <w:p w14:paraId="0D46E43B" w14:textId="77777777" w:rsidR="00CB69AF" w:rsidRPr="0037138D" w:rsidRDefault="00CB69AF" w:rsidP="00BA2DDB">
      <w:pPr>
        <w:rPr>
          <w:rFonts w:eastAsia="CMS Y 8"/>
        </w:rPr>
      </w:pPr>
    </w:p>
    <w:p w14:paraId="73AE5D09" w14:textId="77777777" w:rsidR="00CB69AF" w:rsidRPr="00B00B67" w:rsidRDefault="00CB69AF" w:rsidP="00CB69AF">
      <w:pPr>
        <w:rPr>
          <w:rFonts w:eastAsia="CMS Y 8"/>
        </w:rPr>
      </w:pPr>
      <w:r w:rsidRPr="00B00B67">
        <w:rPr>
          <w:rFonts w:eastAsia="CMS Y 8"/>
        </w:rPr>
        <w:t xml:space="preserve">The transmittance by ozone is: </w:t>
      </w:r>
    </w:p>
    <w:p w14:paraId="0334058E" w14:textId="77777777" w:rsidR="00BA2DDB" w:rsidRPr="00C61D6E" w:rsidRDefault="00BA2DDB" w:rsidP="00CB69AF">
      <w:pPr>
        <w:rPr>
          <w:rFonts w:eastAsia="CMS Y 8"/>
        </w:rPr>
      </w:pPr>
    </w:p>
    <w:p w14:paraId="7DC5BF9F" w14:textId="460FBED1" w:rsidR="00CB69AF" w:rsidRPr="00C61D6E" w:rsidRDefault="00726F2E" w:rsidP="003E77C7">
      <w:pPr>
        <w:tabs>
          <w:tab w:val="left" w:pos="8364"/>
        </w:tabs>
      </w:pPr>
      <w:r>
        <w:rPr>
          <w:position w:val="-30"/>
        </w:rPr>
        <w:pict w14:anchorId="1D0AE569">
          <v:shape id="_x0000_i1028" type="#_x0000_t75" style="width:374.95pt;height:38.05pt">
            <v:imagedata r:id="rId21" o:title=""/>
          </v:shape>
        </w:pict>
      </w:r>
      <w:r w:rsidR="003E77C7" w:rsidRPr="00C61D6E">
        <w:tab/>
        <w:t xml:space="preserve">( </w:t>
      </w:r>
      <w:r w:rsidR="009575E9">
        <w:rPr>
          <w:noProof/>
        </w:rPr>
        <w:t>10</w:t>
      </w:r>
      <w:r w:rsidR="003E77C7" w:rsidRPr="00C61D6E">
        <w:t xml:space="preserve"> )</w:t>
      </w:r>
    </w:p>
    <w:p w14:paraId="265528F5" w14:textId="77777777" w:rsidR="00BA2DDB" w:rsidRPr="0037138D" w:rsidRDefault="00CB69AF" w:rsidP="00CB69AF">
      <w:pPr>
        <w:rPr>
          <w:rFonts w:eastAsia="CMS Y 8"/>
        </w:rPr>
      </w:pPr>
      <w:r w:rsidRPr="0037138D">
        <w:rPr>
          <w:rFonts w:eastAsia="CMS Y 8"/>
        </w:rPr>
        <w:t xml:space="preserve">with </w:t>
      </w:r>
    </w:p>
    <w:p w14:paraId="2C1102AA" w14:textId="14A71555" w:rsidR="00CB69AF" w:rsidRPr="00C61D6E" w:rsidRDefault="00726F2E" w:rsidP="003E77C7">
      <w:pPr>
        <w:tabs>
          <w:tab w:val="left" w:pos="8364"/>
        </w:tabs>
      </w:pPr>
      <w:r>
        <w:rPr>
          <w:position w:val="-12"/>
        </w:rPr>
        <w:pict w14:anchorId="7E3A10E5">
          <v:shape id="_x0000_i1029" type="#_x0000_t75" style="width:48.9pt;height:18.35pt">
            <v:imagedata r:id="rId22" o:title=""/>
          </v:shape>
        </w:pict>
      </w:r>
      <w:r w:rsidR="003E77C7" w:rsidRPr="00C61D6E">
        <w:tab/>
        <w:t xml:space="preserve">( </w:t>
      </w:r>
      <w:r w:rsidR="009575E9">
        <w:rPr>
          <w:noProof/>
        </w:rPr>
        <w:t>11</w:t>
      </w:r>
      <w:r w:rsidR="003E77C7" w:rsidRPr="00C61D6E">
        <w:t xml:space="preserve"> )</w:t>
      </w:r>
    </w:p>
    <w:p w14:paraId="23A00E6C" w14:textId="77777777" w:rsidR="00BA2DDB" w:rsidRPr="0037138D" w:rsidRDefault="00BA2DDB" w:rsidP="00CB69AF">
      <w:pPr>
        <w:jc w:val="center"/>
      </w:pPr>
    </w:p>
    <w:p w14:paraId="4E5616D5" w14:textId="77777777" w:rsidR="00CB69AF" w:rsidRPr="00B00B67" w:rsidRDefault="00CB69AF" w:rsidP="00CB69AF">
      <w:pPr>
        <w:rPr>
          <w:rFonts w:eastAsia="CMS Y 8"/>
        </w:rPr>
      </w:pPr>
      <w:r w:rsidRPr="00B00B67">
        <w:rPr>
          <w:rFonts w:eastAsia="CMS Y 8"/>
          <w:sz w:val="22"/>
        </w:rPr>
        <w:t xml:space="preserve">l </w:t>
      </w:r>
      <w:r w:rsidRPr="00B00B67">
        <w:rPr>
          <w:rFonts w:eastAsia="CMS Y 8"/>
        </w:rPr>
        <w:t xml:space="preserve">is the vertical ozone layer thickness in cm and </w:t>
      </w:r>
      <w:r w:rsidRPr="00CC121E">
        <w:rPr>
          <w:rFonts w:eastAsia="CMS Y 8"/>
          <w:i/>
          <w:iCs/>
        </w:rPr>
        <w:t>m</w:t>
      </w:r>
      <w:r w:rsidRPr="00B00B67">
        <w:rPr>
          <w:rFonts w:eastAsia="CMS Y 8"/>
        </w:rPr>
        <w:t xml:space="preserve"> is the uncorrected air mass. The transmittance by uniformly mixed gases is given by: </w:t>
      </w:r>
    </w:p>
    <w:p w14:paraId="57B6BBCD" w14:textId="77777777" w:rsidR="00BA2DDB" w:rsidRPr="00C61D6E" w:rsidRDefault="00BA2DDB" w:rsidP="00CB69AF">
      <w:pPr>
        <w:rPr>
          <w:rFonts w:eastAsia="CMS Y 8"/>
        </w:rPr>
      </w:pPr>
    </w:p>
    <w:p w14:paraId="184F79D2" w14:textId="7AEFF567" w:rsidR="00CB69AF" w:rsidRPr="00C61D6E" w:rsidRDefault="00726F2E" w:rsidP="003E77C7">
      <w:pPr>
        <w:tabs>
          <w:tab w:val="left" w:pos="8364"/>
        </w:tabs>
        <w:rPr>
          <w:rFonts w:eastAsia="CMS Y 8"/>
        </w:rPr>
      </w:pPr>
      <w:r>
        <w:rPr>
          <w:rFonts w:eastAsia="CMS Y 8"/>
          <w:position w:val="-14"/>
        </w:rPr>
        <w:pict w14:anchorId="243406A7">
          <v:shape id="_x0000_i1030" type="#_x0000_t75" style="width:127.7pt;height:38.05pt">
            <v:imagedata r:id="rId23" o:title=""/>
          </v:shape>
        </w:pict>
      </w:r>
      <w:r w:rsidR="003E77C7" w:rsidRPr="00C61D6E">
        <w:tab/>
        <w:t xml:space="preserve">( </w:t>
      </w:r>
      <w:r w:rsidR="009575E9">
        <w:rPr>
          <w:noProof/>
        </w:rPr>
        <w:t>12</w:t>
      </w:r>
      <w:r w:rsidR="003E77C7" w:rsidRPr="00C61D6E">
        <w:t xml:space="preserve"> )</w:t>
      </w:r>
    </w:p>
    <w:p w14:paraId="3C0138AB" w14:textId="77777777" w:rsidR="00BA2DDB" w:rsidRPr="0037138D" w:rsidRDefault="00BA2DDB" w:rsidP="00BA2DDB">
      <w:pPr>
        <w:rPr>
          <w:rFonts w:eastAsia="CMS Y 8"/>
        </w:rPr>
      </w:pPr>
    </w:p>
    <w:p w14:paraId="15E7C79F" w14:textId="77777777" w:rsidR="00CB69AF" w:rsidRPr="00B00B67" w:rsidRDefault="00CB69AF" w:rsidP="00CB69AF">
      <w:pPr>
        <w:rPr>
          <w:rFonts w:eastAsia="CMS Y 8"/>
        </w:rPr>
      </w:pPr>
      <w:r w:rsidRPr="00B00B67">
        <w:rPr>
          <w:rFonts w:eastAsia="CMS Y 8"/>
        </w:rPr>
        <w:t xml:space="preserve">The transmittance by water vapour is calculated from: </w:t>
      </w:r>
    </w:p>
    <w:p w14:paraId="77E1EDE2" w14:textId="77777777" w:rsidR="00BA2DDB" w:rsidRPr="00C61D6E" w:rsidRDefault="00BA2DDB" w:rsidP="00CB69AF">
      <w:pPr>
        <w:rPr>
          <w:rFonts w:eastAsia="CMS Y 8"/>
        </w:rPr>
      </w:pPr>
    </w:p>
    <w:p w14:paraId="316FF01D" w14:textId="7A888B76" w:rsidR="00CB69AF" w:rsidRPr="00C61D6E" w:rsidRDefault="00726F2E" w:rsidP="003E77C7">
      <w:pPr>
        <w:tabs>
          <w:tab w:val="left" w:pos="8364"/>
        </w:tabs>
        <w:rPr>
          <w:rFonts w:eastAsia="CMS Y 8"/>
        </w:rPr>
      </w:pPr>
      <w:r>
        <w:rPr>
          <w:rFonts w:eastAsia="CMS Y 8"/>
          <w:position w:val="-30"/>
        </w:rPr>
        <w:pict w14:anchorId="504B79B2">
          <v:shape id="_x0000_i1031" type="#_x0000_t75" style="width:217.35pt;height:38.05pt">
            <v:imagedata r:id="rId24" o:title=""/>
          </v:shape>
        </w:pict>
      </w:r>
      <w:r w:rsidR="003E77C7" w:rsidRPr="00C61D6E">
        <w:tab/>
        <w:t xml:space="preserve">( </w:t>
      </w:r>
      <w:r w:rsidR="009575E9">
        <w:rPr>
          <w:noProof/>
        </w:rPr>
        <w:t>13</w:t>
      </w:r>
      <w:r w:rsidR="003E77C7" w:rsidRPr="00C61D6E">
        <w:t xml:space="preserve"> )</w:t>
      </w:r>
    </w:p>
    <w:p w14:paraId="2E5B4980" w14:textId="77777777" w:rsidR="00BA2DDB" w:rsidRPr="0037138D" w:rsidRDefault="00CB69AF" w:rsidP="00CB69AF">
      <w:pPr>
        <w:rPr>
          <w:rFonts w:eastAsia="CMS Y 8"/>
        </w:rPr>
      </w:pPr>
      <w:r w:rsidRPr="0037138D">
        <w:rPr>
          <w:rFonts w:eastAsia="CMS Y 8"/>
        </w:rPr>
        <w:t xml:space="preserve">with </w:t>
      </w:r>
    </w:p>
    <w:p w14:paraId="7F1F797B" w14:textId="3759DC65" w:rsidR="00CB69AF" w:rsidRPr="00C61D6E" w:rsidRDefault="00726F2E" w:rsidP="003E77C7">
      <w:pPr>
        <w:tabs>
          <w:tab w:val="left" w:pos="8364"/>
        </w:tabs>
        <w:rPr>
          <w:rFonts w:eastAsia="CMS Y 8"/>
        </w:rPr>
      </w:pPr>
      <w:r>
        <w:rPr>
          <w:rFonts w:eastAsia="CMS Y 8"/>
          <w:position w:val="-10"/>
        </w:rPr>
        <w:pict w14:anchorId="72EE3450">
          <v:shape id="_x0000_i1032" type="#_x0000_t75" style="width:46.2pt;height:16.3pt">
            <v:imagedata r:id="rId25" o:title=""/>
          </v:shape>
        </w:pict>
      </w:r>
      <w:r w:rsidR="003E77C7" w:rsidRPr="00C61D6E">
        <w:tab/>
        <w:t xml:space="preserve">( </w:t>
      </w:r>
      <w:r w:rsidR="009575E9">
        <w:rPr>
          <w:noProof/>
        </w:rPr>
        <w:t>14</w:t>
      </w:r>
      <w:r w:rsidR="003E77C7" w:rsidRPr="00C61D6E">
        <w:t xml:space="preserve"> )</w:t>
      </w:r>
    </w:p>
    <w:p w14:paraId="7584568C" w14:textId="39DB15A7" w:rsidR="00844488" w:rsidRPr="0037138D" w:rsidRDefault="00CB69AF" w:rsidP="00844488">
      <w:pPr>
        <w:rPr>
          <w:rFonts w:eastAsia="CMS Y 8"/>
        </w:rPr>
      </w:pPr>
      <w:r w:rsidRPr="0037138D">
        <w:rPr>
          <w:rFonts w:eastAsia="CMS Y 8" w:cs="Frutiger"/>
          <w:i/>
        </w:rPr>
        <w:t>w</w:t>
      </w:r>
      <w:r w:rsidRPr="0037138D">
        <w:rPr>
          <w:rFonts w:eastAsia="CMS Y 8" w:cs="Frutiger"/>
        </w:rPr>
        <w:t xml:space="preserve"> </w:t>
      </w:r>
      <w:r w:rsidR="00E5579E">
        <w:rPr>
          <w:rFonts w:eastAsia="CMS Y 8"/>
        </w:rPr>
        <w:t>i</w:t>
      </w:r>
      <w:r w:rsidRPr="0037138D">
        <w:rPr>
          <w:rFonts w:eastAsia="CMS Y 8"/>
        </w:rPr>
        <w:t xml:space="preserve">s the precipitable water. </w:t>
      </w:r>
    </w:p>
    <w:p w14:paraId="70F9243B" w14:textId="77777777" w:rsidR="00844488" w:rsidRPr="00B00B67" w:rsidRDefault="00844488" w:rsidP="00844488">
      <w:pPr>
        <w:rPr>
          <w:rFonts w:eastAsia="CMS Y 8"/>
        </w:rPr>
      </w:pPr>
    </w:p>
    <w:p w14:paraId="20EFD084" w14:textId="77777777" w:rsidR="00CB69AF" w:rsidRPr="00C61D6E" w:rsidRDefault="00CB69AF" w:rsidP="00844488">
      <w:pPr>
        <w:rPr>
          <w:rFonts w:eastAsia="CMS Y 8" w:cs="Frutiger"/>
        </w:rPr>
      </w:pPr>
      <w:r w:rsidRPr="00C61D6E">
        <w:rPr>
          <w:rFonts w:eastAsia="CMS Y 8"/>
        </w:rPr>
        <w:t>The aerosol transmittance is given by:</w:t>
      </w:r>
      <w:r w:rsidRPr="00C61D6E">
        <w:rPr>
          <w:rFonts w:eastAsia="CMS Y 8" w:cs="Frutiger"/>
        </w:rPr>
        <w:t xml:space="preserve"> </w:t>
      </w:r>
    </w:p>
    <w:p w14:paraId="2B1F0CC7" w14:textId="77777777" w:rsidR="00844488" w:rsidRPr="00C61D6E" w:rsidRDefault="00844488" w:rsidP="00844488">
      <w:pPr>
        <w:rPr>
          <w:rFonts w:eastAsia="CMS Y 8" w:cs="Frutiger"/>
        </w:rPr>
      </w:pPr>
    </w:p>
    <w:p w14:paraId="613A0A4E" w14:textId="65A0FE7B" w:rsidR="00CB69AF" w:rsidRPr="00C61D6E" w:rsidRDefault="00726F2E" w:rsidP="003E77C7">
      <w:pPr>
        <w:tabs>
          <w:tab w:val="left" w:pos="8364"/>
        </w:tabs>
        <w:rPr>
          <w:rFonts w:eastAsia="CMS Y 8"/>
        </w:rPr>
      </w:pPr>
      <w:r>
        <w:rPr>
          <w:rFonts w:eastAsia="CMS Y 8"/>
          <w:position w:val="-12"/>
        </w:rPr>
        <w:pict w14:anchorId="4E928263">
          <v:shape id="_x0000_i1033" type="#_x0000_t75" style="width:164.4pt;height:29.2pt">
            <v:imagedata r:id="rId26" o:title=""/>
          </v:shape>
        </w:pict>
      </w:r>
      <w:r w:rsidR="003E77C7" w:rsidRPr="00C61D6E">
        <w:tab/>
        <w:t xml:space="preserve">( </w:t>
      </w:r>
      <w:r w:rsidR="009575E9">
        <w:rPr>
          <w:noProof/>
        </w:rPr>
        <w:t>15</w:t>
      </w:r>
      <w:r w:rsidR="003E77C7" w:rsidRPr="00C61D6E">
        <w:t xml:space="preserve"> )</w:t>
      </w:r>
    </w:p>
    <w:p w14:paraId="0AAA2E47" w14:textId="77777777" w:rsidR="00CB69AF" w:rsidRPr="0037138D" w:rsidRDefault="00CB69AF" w:rsidP="00CB69AF">
      <w:pPr>
        <w:rPr>
          <w:rFonts w:eastAsia="CMS Y 8"/>
        </w:rPr>
      </w:pPr>
      <w:r w:rsidRPr="0037138D">
        <w:rPr>
          <w:rFonts w:eastAsia="CMS Y 8"/>
        </w:rPr>
        <w:lastRenderedPageBreak/>
        <w:t xml:space="preserve">with </w:t>
      </w:r>
    </w:p>
    <w:p w14:paraId="3DBE0866" w14:textId="3D918D3C" w:rsidR="00CB69AF" w:rsidRPr="00C61D6E" w:rsidRDefault="00726F2E" w:rsidP="003E77C7">
      <w:pPr>
        <w:tabs>
          <w:tab w:val="left" w:pos="8364"/>
        </w:tabs>
        <w:rPr>
          <w:rFonts w:eastAsia="CMS Y 8"/>
        </w:rPr>
      </w:pPr>
      <w:r>
        <w:rPr>
          <w:rFonts w:eastAsia="CMS Y 8"/>
          <w:position w:val="-14"/>
        </w:rPr>
        <w:pict w14:anchorId="1D1EB1A3">
          <v:shape id="_x0000_i1034" type="#_x0000_t75" style="width:194.95pt;height:21.75pt">
            <v:imagedata r:id="rId27" o:title=""/>
          </v:shape>
        </w:pict>
      </w:r>
      <w:r w:rsidR="003E77C7" w:rsidRPr="00C61D6E">
        <w:tab/>
        <w:t xml:space="preserve">( </w:t>
      </w:r>
      <w:r w:rsidR="009575E9">
        <w:rPr>
          <w:noProof/>
        </w:rPr>
        <w:t>16</w:t>
      </w:r>
      <w:r w:rsidR="003E77C7" w:rsidRPr="00C61D6E">
        <w:t xml:space="preserve"> )</w:t>
      </w:r>
    </w:p>
    <w:p w14:paraId="3E550A25" w14:textId="77777777" w:rsidR="00BA2DDB" w:rsidRPr="0037138D" w:rsidRDefault="00BA2DDB" w:rsidP="00BA2DDB">
      <w:pPr>
        <w:rPr>
          <w:rFonts w:eastAsia="CMS Y 8"/>
        </w:rPr>
      </w:pPr>
    </w:p>
    <w:p w14:paraId="5F730628" w14:textId="2D69548E" w:rsidR="00CB69AF" w:rsidRPr="0037138D" w:rsidRDefault="00CB69AF" w:rsidP="00CB69AF">
      <w:pPr>
        <w:rPr>
          <w:rFonts w:eastAsia="CMS Y 8"/>
        </w:rPr>
      </w:pPr>
      <w:r w:rsidRPr="0037138D">
        <w:rPr>
          <w:rFonts w:eastAsia="CMS Y 8"/>
        </w:rPr>
        <w:t xml:space="preserve">If </w:t>
      </w:r>
      <w:r w:rsidRPr="0037138D">
        <w:rPr>
          <w:rFonts w:ascii="Arial" w:eastAsia="CMS Y 8" w:hAnsi="Arial" w:cs="Arial"/>
        </w:rPr>
        <w:t>α</w:t>
      </w:r>
      <w:r w:rsidRPr="0037138D">
        <w:rPr>
          <w:rFonts w:eastAsia="CMS Y 8"/>
        </w:rPr>
        <w:t xml:space="preserve"> and </w:t>
      </w:r>
      <w:r w:rsidRPr="0037138D">
        <w:rPr>
          <w:rFonts w:ascii="Arial" w:eastAsia="CMS Y 8" w:hAnsi="Arial" w:cs="Arial"/>
        </w:rPr>
        <w:t>β</w:t>
      </w:r>
      <w:r w:rsidRPr="0037138D">
        <w:rPr>
          <w:rFonts w:eastAsia="CMS Y 8"/>
        </w:rPr>
        <w:t xml:space="preserve"> from the Angstrom law are known, the following equation from </w:t>
      </w:r>
      <w:r w:rsidR="00510E39" w:rsidRPr="00510E39">
        <w:rPr>
          <w:rFonts w:eastAsia="CMS Y 8"/>
          <w:noProof/>
        </w:rPr>
        <w:t>[80]</w:t>
      </w:r>
      <w:r w:rsidR="00B6328B" w:rsidRPr="00C61D6E">
        <w:rPr>
          <w:rFonts w:eastAsia="CMS Y 8"/>
        </w:rPr>
        <w:t xml:space="preserve"> </w:t>
      </w:r>
      <w:r w:rsidRPr="0037138D">
        <w:rPr>
          <w:rFonts w:eastAsia="CMS Y 8"/>
        </w:rPr>
        <w:t>can be used:</w:t>
      </w:r>
    </w:p>
    <w:p w14:paraId="5AC008C4" w14:textId="77777777" w:rsidR="00BA2DDB" w:rsidRPr="00B00B67" w:rsidRDefault="00BA2DDB" w:rsidP="00CB69AF">
      <w:pPr>
        <w:rPr>
          <w:rFonts w:eastAsia="CMS Y 8"/>
        </w:rPr>
      </w:pPr>
    </w:p>
    <w:p w14:paraId="141D380C" w14:textId="6D5ACB84" w:rsidR="00CB69AF" w:rsidRPr="00C61D6E" w:rsidRDefault="00726F2E" w:rsidP="003E77C7">
      <w:pPr>
        <w:tabs>
          <w:tab w:val="left" w:pos="8364"/>
        </w:tabs>
        <w:rPr>
          <w:rFonts w:eastAsia="CMS Y 8"/>
        </w:rPr>
      </w:pPr>
      <w:r>
        <w:rPr>
          <w:rFonts w:eastAsia="CMS Y 8"/>
          <w:position w:val="-12"/>
        </w:rPr>
        <w:pict w14:anchorId="7F8A07D1">
          <v:shape id="_x0000_i1035" type="#_x0000_t75" style="width:274.4pt;height:19pt">
            <v:imagedata r:id="rId28" o:title=""/>
          </v:shape>
        </w:pict>
      </w:r>
      <w:r w:rsidR="003E77C7" w:rsidRPr="00C61D6E">
        <w:tab/>
        <w:t xml:space="preserve">( </w:t>
      </w:r>
      <w:r w:rsidR="009575E9">
        <w:rPr>
          <w:noProof/>
        </w:rPr>
        <w:t>17</w:t>
      </w:r>
      <w:r w:rsidR="003E77C7" w:rsidRPr="00C61D6E">
        <w:t xml:space="preserve"> )</w:t>
      </w:r>
    </w:p>
    <w:p w14:paraId="3FFBECF7" w14:textId="77777777" w:rsidR="00BA2DDB" w:rsidRPr="0037138D" w:rsidRDefault="00BA2DDB" w:rsidP="00BA2DDB">
      <w:pPr>
        <w:rPr>
          <w:rFonts w:eastAsia="CMS Y 8"/>
        </w:rPr>
      </w:pPr>
    </w:p>
    <w:p w14:paraId="3EBE99F2" w14:textId="24DA6D81" w:rsidR="00CB69AF" w:rsidRPr="00C61D6E" w:rsidRDefault="00CB69AF" w:rsidP="00CB69AF">
      <w:pPr>
        <w:rPr>
          <w:rFonts w:eastAsia="CMS Y 8"/>
        </w:rPr>
      </w:pPr>
      <w:r w:rsidRPr="00B00B67">
        <w:rPr>
          <w:rFonts w:eastAsia="CMS Y 8"/>
        </w:rPr>
        <w:t xml:space="preserve">The diffuse irradiance </w:t>
      </w:r>
      <w:r w:rsidRPr="00B00B67">
        <w:rPr>
          <w:rFonts w:eastAsia="CMS Y 8"/>
          <w:i/>
          <w:iCs/>
        </w:rPr>
        <w:t>G</w:t>
      </w:r>
      <w:r w:rsidRPr="00B00B67">
        <w:rPr>
          <w:rFonts w:eastAsia="CMS Y 8"/>
          <w:i/>
          <w:iCs/>
          <w:vertAlign w:val="subscript"/>
        </w:rPr>
        <w:t>diff</w:t>
      </w:r>
      <w:r w:rsidRPr="00B00B67">
        <w:rPr>
          <w:rFonts w:eastAsia="CMS Y 8"/>
          <w:iCs/>
        </w:rPr>
        <w:t xml:space="preserve"> </w:t>
      </w:r>
      <w:r w:rsidRPr="00B00B67">
        <w:rPr>
          <w:rFonts w:eastAsia="CMS Y 8"/>
        </w:rPr>
        <w:t xml:space="preserve">is calculated </w:t>
      </w:r>
      <w:r w:rsidR="00E5579E">
        <w:rPr>
          <w:rFonts w:eastAsia="CMS Y 8"/>
        </w:rPr>
        <w:t>from</w:t>
      </w:r>
      <w:r w:rsidR="00E5579E" w:rsidRPr="00B00B67">
        <w:rPr>
          <w:rFonts w:eastAsia="CMS Y 8"/>
        </w:rPr>
        <w:t xml:space="preserve"> </w:t>
      </w:r>
      <w:r w:rsidRPr="00B00B67">
        <w:rPr>
          <w:rFonts w:eastAsia="CMS Y 8"/>
        </w:rPr>
        <w:t xml:space="preserve">three components, where </w:t>
      </w:r>
      <w:r w:rsidRPr="00B00B67">
        <w:rPr>
          <w:rFonts w:eastAsia="CMS Y 8"/>
          <w:i/>
          <w:iCs/>
        </w:rPr>
        <w:t>G</w:t>
      </w:r>
      <w:r w:rsidRPr="00B00B67">
        <w:rPr>
          <w:rFonts w:eastAsia="CMS Y 8"/>
          <w:i/>
          <w:iCs/>
          <w:vertAlign w:val="subscript"/>
        </w:rPr>
        <w:t>diff,</w:t>
      </w:r>
      <w:r w:rsidRPr="00B00B67">
        <w:rPr>
          <w:rFonts w:eastAsia="CMS Y 8"/>
          <w:i/>
          <w:vertAlign w:val="subscript"/>
        </w:rPr>
        <w:t>r</w:t>
      </w:r>
      <w:r w:rsidRPr="00C61D6E">
        <w:rPr>
          <w:rFonts w:eastAsia="CMS Y 8"/>
        </w:rPr>
        <w:t xml:space="preserve"> is the diffuse irradiance due to Rayleigh scattering, </w:t>
      </w:r>
      <w:r w:rsidRPr="00C61D6E">
        <w:rPr>
          <w:rFonts w:eastAsia="CMS Y 8"/>
          <w:i/>
          <w:iCs/>
        </w:rPr>
        <w:t>G</w:t>
      </w:r>
      <w:r w:rsidRPr="00C61D6E">
        <w:rPr>
          <w:rFonts w:eastAsia="CMS Y 8"/>
          <w:i/>
          <w:iCs/>
          <w:vertAlign w:val="subscript"/>
        </w:rPr>
        <w:t>diff,</w:t>
      </w:r>
      <w:r w:rsidRPr="00C61D6E">
        <w:rPr>
          <w:rFonts w:eastAsia="CMS Y 8"/>
          <w:i/>
          <w:vertAlign w:val="subscript"/>
        </w:rPr>
        <w:t>a</w:t>
      </w:r>
      <w:r w:rsidRPr="00C61D6E">
        <w:rPr>
          <w:rFonts w:eastAsia="CMS Y 8"/>
        </w:rPr>
        <w:t xml:space="preserve"> due to aerosol scattering and </w:t>
      </w:r>
      <w:r w:rsidRPr="00C61D6E">
        <w:rPr>
          <w:rFonts w:eastAsia="CMS Y 8"/>
          <w:i/>
          <w:iCs/>
        </w:rPr>
        <w:t>G</w:t>
      </w:r>
      <w:r w:rsidRPr="00C61D6E">
        <w:rPr>
          <w:rFonts w:eastAsia="CMS Y 8"/>
          <w:i/>
          <w:iCs/>
          <w:vertAlign w:val="subscript"/>
        </w:rPr>
        <w:t>diff,</w:t>
      </w:r>
      <w:r w:rsidRPr="00C61D6E">
        <w:rPr>
          <w:rFonts w:eastAsia="CMS Y 8"/>
          <w:i/>
          <w:vertAlign w:val="subscript"/>
        </w:rPr>
        <w:t>m</w:t>
      </w:r>
      <w:r w:rsidRPr="00C61D6E">
        <w:rPr>
          <w:rFonts w:eastAsia="CMS Y 8"/>
        </w:rPr>
        <w:t xml:space="preserve"> due to multiple reflections between surface and atmosphere. The diffuse irradiance due to Rayleigh scattering is: </w:t>
      </w:r>
    </w:p>
    <w:p w14:paraId="3124A711" w14:textId="2909DE6F" w:rsidR="00BA2DDB" w:rsidRPr="00C61D6E" w:rsidRDefault="00726F2E" w:rsidP="00844488">
      <w:pPr>
        <w:tabs>
          <w:tab w:val="left" w:pos="8364"/>
        </w:tabs>
        <w:rPr>
          <w:rFonts w:eastAsia="CMS Y 8"/>
        </w:rPr>
      </w:pPr>
      <w:r>
        <w:rPr>
          <w:rFonts w:eastAsia="CMS Y 8"/>
          <w:position w:val="-30"/>
        </w:rPr>
        <w:pict w14:anchorId="3284BB15">
          <v:shape id="_x0000_i1036" type="#_x0000_t75" style="width:204.45pt;height:33.95pt">
            <v:imagedata r:id="rId29" o:title=""/>
          </v:shape>
        </w:pict>
      </w:r>
      <w:r w:rsidR="003E77C7" w:rsidRPr="00C61D6E">
        <w:tab/>
        <w:t xml:space="preserve">( </w:t>
      </w:r>
      <w:r w:rsidR="009575E9">
        <w:rPr>
          <w:noProof/>
        </w:rPr>
        <w:t>18</w:t>
      </w:r>
      <w:r w:rsidR="003E77C7" w:rsidRPr="00C61D6E">
        <w:t xml:space="preserve"> )</w:t>
      </w:r>
    </w:p>
    <w:p w14:paraId="6629FBF5" w14:textId="77777777" w:rsidR="00CB69AF" w:rsidRPr="0037138D" w:rsidRDefault="00CB69AF" w:rsidP="00CB69AF">
      <w:pPr>
        <w:rPr>
          <w:rFonts w:eastAsia="CMS Y 8"/>
        </w:rPr>
      </w:pPr>
      <w:r w:rsidRPr="0037138D">
        <w:rPr>
          <w:rFonts w:eastAsia="CMS Y 8"/>
        </w:rPr>
        <w:t xml:space="preserve">where </w:t>
      </w:r>
      <w:r w:rsidRPr="0037138D">
        <w:rPr>
          <w:rFonts w:ascii="Arial" w:eastAsia="CMS Y 8" w:hAnsi="Arial" w:cs="Arial"/>
        </w:rPr>
        <w:t>τ</w:t>
      </w:r>
      <w:r w:rsidRPr="0037138D">
        <w:rPr>
          <w:rFonts w:eastAsia="CMS Y 8"/>
          <w:vertAlign w:val="subscript"/>
        </w:rPr>
        <w:t>aa</w:t>
      </w:r>
      <w:r w:rsidRPr="0037138D">
        <w:rPr>
          <w:rFonts w:eastAsia="CMS Y 8"/>
          <w:sz w:val="16"/>
          <w:szCs w:val="16"/>
        </w:rPr>
        <w:t xml:space="preserve"> </w:t>
      </w:r>
      <w:r w:rsidRPr="0037138D">
        <w:rPr>
          <w:rFonts w:eastAsia="CMS Y 8"/>
        </w:rPr>
        <w:t xml:space="preserve">is the is the transmittance of direct irradiance due to aerosol absorption: </w:t>
      </w:r>
    </w:p>
    <w:p w14:paraId="73B3DC76" w14:textId="01CAFBCA" w:rsidR="00CB69AF" w:rsidRPr="00C61D6E" w:rsidRDefault="00726F2E" w:rsidP="003E77C7">
      <w:pPr>
        <w:tabs>
          <w:tab w:val="left" w:pos="8364"/>
        </w:tabs>
        <w:rPr>
          <w:rFonts w:eastAsia="CMS Y 8"/>
        </w:rPr>
      </w:pPr>
      <w:r>
        <w:rPr>
          <w:rFonts w:eastAsia="CMS Y 8"/>
          <w:position w:val="-12"/>
        </w:rPr>
        <w:pict w14:anchorId="6BE9C22C">
          <v:shape id="_x0000_i1037" type="#_x0000_t75" style="width:192.9pt;height:19pt">
            <v:imagedata r:id="rId30" o:title=""/>
          </v:shape>
        </w:pict>
      </w:r>
      <w:r w:rsidR="00CB69AF" w:rsidRPr="00C61D6E">
        <w:rPr>
          <w:rFonts w:eastAsia="CMS Y 8"/>
        </w:rPr>
        <w:t>.</w:t>
      </w:r>
      <w:r w:rsidR="003E77C7" w:rsidRPr="00C61D6E">
        <w:tab/>
        <w:t xml:space="preserve">( </w:t>
      </w:r>
      <w:r w:rsidR="009575E9">
        <w:rPr>
          <w:noProof/>
        </w:rPr>
        <w:t>19</w:t>
      </w:r>
      <w:r w:rsidR="003E77C7" w:rsidRPr="00C61D6E">
        <w:t xml:space="preserve"> )</w:t>
      </w:r>
    </w:p>
    <w:p w14:paraId="561DA1BD" w14:textId="77777777" w:rsidR="00BA2DDB" w:rsidRPr="0037138D" w:rsidRDefault="00BA2DDB" w:rsidP="00BA2DDB">
      <w:pPr>
        <w:rPr>
          <w:rFonts w:eastAsia="CMS Y 8"/>
        </w:rPr>
      </w:pPr>
    </w:p>
    <w:p w14:paraId="49D2A7B3" w14:textId="3364AE50" w:rsidR="00CB69AF" w:rsidRPr="0037138D" w:rsidRDefault="00CB69AF" w:rsidP="00CB69AF">
      <w:pPr>
        <w:rPr>
          <w:rFonts w:eastAsia="CMS Y 8"/>
        </w:rPr>
      </w:pPr>
      <w:r w:rsidRPr="00B00B67">
        <w:rPr>
          <w:rFonts w:ascii="Arial" w:eastAsia="CMS Y 8" w:hAnsi="Arial" w:cs="Arial"/>
        </w:rPr>
        <w:t>ω</w:t>
      </w:r>
      <w:r w:rsidRPr="00B00B67">
        <w:rPr>
          <w:rFonts w:eastAsia="CMS Y 8"/>
          <w:vertAlign w:val="subscript"/>
        </w:rPr>
        <w:t>0</w:t>
      </w:r>
      <w:r w:rsidRPr="00B00B67">
        <w:rPr>
          <w:rFonts w:eastAsia="CMS Y 8"/>
        </w:rPr>
        <w:t xml:space="preserve"> is the single scattering albedo of the aerosols. It is the relation</w:t>
      </w:r>
      <w:r w:rsidR="00E5579E">
        <w:rPr>
          <w:rFonts w:eastAsia="CMS Y 8"/>
        </w:rPr>
        <w:t>ship</w:t>
      </w:r>
      <w:r w:rsidRPr="00B00B67">
        <w:rPr>
          <w:rFonts w:eastAsia="CMS Y 8"/>
        </w:rPr>
        <w:t xml:space="preserve"> of the radiation scattered by the aerosol to the total aerosol extinction. </w:t>
      </w:r>
      <w:r w:rsidR="00510E39" w:rsidRPr="00510E39">
        <w:rPr>
          <w:rFonts w:eastAsia="CMS Y 8"/>
          <w:noProof/>
        </w:rPr>
        <w:t>[77]</w:t>
      </w:r>
      <w:r w:rsidR="00373747" w:rsidRPr="00C61D6E">
        <w:rPr>
          <w:rFonts w:eastAsia="CMS Y 8"/>
        </w:rPr>
        <w:t xml:space="preserve"> </w:t>
      </w:r>
      <w:r w:rsidRPr="00C61D6E">
        <w:rPr>
          <w:rFonts w:eastAsia="CMS Y 8"/>
        </w:rPr>
        <w:t xml:space="preserve">have recommended </w:t>
      </w:r>
      <w:r w:rsidR="00844488" w:rsidRPr="0037138D">
        <w:rPr>
          <w:rFonts w:eastAsia="CMS Y 8"/>
        </w:rPr>
        <w:t>using</w:t>
      </w:r>
      <w:r w:rsidRPr="0037138D">
        <w:rPr>
          <w:rFonts w:eastAsia="CMS Y 8"/>
        </w:rPr>
        <w:t xml:space="preserve"> 0</w:t>
      </w:r>
      <w:r w:rsidRPr="0037138D">
        <w:rPr>
          <w:rFonts w:eastAsia="CMS Y 8"/>
          <w:i/>
          <w:iCs/>
        </w:rPr>
        <w:t>.</w:t>
      </w:r>
      <w:r w:rsidRPr="0037138D">
        <w:rPr>
          <w:rFonts w:eastAsia="CMS Y 8"/>
        </w:rPr>
        <w:t>9 for ω</w:t>
      </w:r>
      <w:r w:rsidRPr="0037138D">
        <w:rPr>
          <w:rFonts w:eastAsia="CMS Y 8"/>
          <w:vertAlign w:val="subscript"/>
        </w:rPr>
        <w:t>0</w:t>
      </w:r>
      <w:r w:rsidRPr="0037138D">
        <w:rPr>
          <w:rFonts w:eastAsia="CMS Y 8"/>
        </w:rPr>
        <w:t xml:space="preserve"> as long as no better value is available. </w:t>
      </w:r>
    </w:p>
    <w:p w14:paraId="31786847" w14:textId="77777777" w:rsidR="00844488" w:rsidRPr="00B00B67" w:rsidRDefault="00844488" w:rsidP="00CB69AF">
      <w:pPr>
        <w:rPr>
          <w:rFonts w:eastAsia="CMS Y 8"/>
        </w:rPr>
      </w:pPr>
    </w:p>
    <w:p w14:paraId="734534FF" w14:textId="77777777" w:rsidR="00CB69AF" w:rsidRPr="00C61D6E" w:rsidRDefault="00CB69AF" w:rsidP="00CB69AF">
      <w:pPr>
        <w:rPr>
          <w:rFonts w:eastAsia="CMS Y 8"/>
        </w:rPr>
      </w:pPr>
      <w:r w:rsidRPr="00C61D6E">
        <w:rPr>
          <w:rFonts w:eastAsia="CMS Y 8"/>
        </w:rPr>
        <w:t xml:space="preserve">The aerosol-scattered diffuse irradiance after the first pass through the atmosphere is: </w:t>
      </w:r>
    </w:p>
    <w:p w14:paraId="410F063C" w14:textId="77777777" w:rsidR="00BA2DDB" w:rsidRPr="00C61D6E" w:rsidRDefault="00BA2DDB" w:rsidP="00CB69AF">
      <w:pPr>
        <w:rPr>
          <w:rFonts w:eastAsia="CMS Y 8"/>
        </w:rPr>
      </w:pPr>
    </w:p>
    <w:p w14:paraId="786EFF57" w14:textId="1B770579" w:rsidR="00BA2DDB" w:rsidRPr="00C61D6E" w:rsidRDefault="00726F2E" w:rsidP="003E77C7">
      <w:pPr>
        <w:tabs>
          <w:tab w:val="left" w:pos="8364"/>
        </w:tabs>
        <w:rPr>
          <w:rFonts w:eastAsia="CMS Y 8"/>
        </w:rPr>
      </w:pPr>
      <w:r>
        <w:rPr>
          <w:rFonts w:eastAsia="CMS Y 8"/>
          <w:position w:val="-30"/>
        </w:rPr>
        <w:pict w14:anchorId="24138236">
          <v:shape id="_x0000_i1038" type="#_x0000_t75" style="width:230.95pt;height:33.95pt">
            <v:imagedata r:id="rId31" o:title=""/>
          </v:shape>
        </w:pict>
      </w:r>
      <w:r w:rsidR="003E77C7" w:rsidRPr="00C61D6E">
        <w:tab/>
        <w:t xml:space="preserve">( </w:t>
      </w:r>
      <w:r w:rsidR="009575E9">
        <w:rPr>
          <w:noProof/>
        </w:rPr>
        <w:t>20</w:t>
      </w:r>
      <w:r w:rsidR="003E77C7" w:rsidRPr="00C61D6E">
        <w:t xml:space="preserve"> )</w:t>
      </w:r>
    </w:p>
    <w:p w14:paraId="55469AC0" w14:textId="77777777" w:rsidR="00CB69AF" w:rsidRPr="0037138D" w:rsidRDefault="00BA2DDB" w:rsidP="00CB69AF">
      <w:pPr>
        <w:rPr>
          <w:rFonts w:eastAsia="CMS Y 8"/>
        </w:rPr>
      </w:pPr>
      <w:r w:rsidRPr="0037138D">
        <w:rPr>
          <w:rFonts w:eastAsia="CMS Y 8"/>
        </w:rPr>
        <w:t>W</w:t>
      </w:r>
      <w:r w:rsidR="00CB69AF" w:rsidRPr="0037138D">
        <w:rPr>
          <w:rFonts w:eastAsia="CMS Y 8"/>
        </w:rPr>
        <w:t>ith</w:t>
      </w:r>
    </w:p>
    <w:p w14:paraId="10AB9231" w14:textId="6E0A8113" w:rsidR="00CB69AF" w:rsidRPr="00C61D6E" w:rsidRDefault="00726F2E" w:rsidP="003E77C7">
      <w:pPr>
        <w:tabs>
          <w:tab w:val="left" w:pos="8364"/>
        </w:tabs>
        <w:rPr>
          <w:rFonts w:eastAsia="CMS Y 8"/>
        </w:rPr>
      </w:pPr>
      <w:r>
        <w:rPr>
          <w:rFonts w:eastAsia="CMS Y 8"/>
          <w:position w:val="-30"/>
        </w:rPr>
        <w:pict w14:anchorId="32547B4A">
          <v:shape id="_x0000_i1039" type="#_x0000_t75" style="width:45.5pt;height:33.95pt">
            <v:imagedata r:id="rId32" o:title=""/>
          </v:shape>
        </w:pict>
      </w:r>
      <w:r w:rsidR="003E77C7" w:rsidRPr="00C61D6E">
        <w:tab/>
        <w:t xml:space="preserve">( </w:t>
      </w:r>
      <w:r w:rsidR="009575E9">
        <w:rPr>
          <w:noProof/>
        </w:rPr>
        <w:t>21</w:t>
      </w:r>
      <w:r w:rsidR="003E77C7" w:rsidRPr="00C61D6E">
        <w:t xml:space="preserve"> )</w:t>
      </w:r>
    </w:p>
    <w:p w14:paraId="21141E7F" w14:textId="77777777" w:rsidR="00CB69AF" w:rsidRPr="0037138D" w:rsidRDefault="00CB69AF" w:rsidP="00CB69AF">
      <w:pPr>
        <w:rPr>
          <w:rFonts w:eastAsia="CMS Y 8"/>
        </w:rPr>
      </w:pPr>
      <w:r w:rsidRPr="0037138D">
        <w:rPr>
          <w:rFonts w:eastAsia="CMS Y 8"/>
        </w:rPr>
        <w:t>and Fc is recommended to be used as 0.84.</w:t>
      </w:r>
    </w:p>
    <w:p w14:paraId="1BE2A68F" w14:textId="77777777" w:rsidR="00BA2DDB" w:rsidRPr="00B00B67" w:rsidRDefault="00BA2DDB" w:rsidP="00CB69AF">
      <w:pPr>
        <w:rPr>
          <w:rFonts w:eastAsia="CMS Y 8"/>
        </w:rPr>
      </w:pPr>
    </w:p>
    <w:p w14:paraId="611C8D2B" w14:textId="77777777" w:rsidR="00BA2DDB" w:rsidRPr="00C61D6E" w:rsidRDefault="00CB69AF" w:rsidP="00CB69AF">
      <w:pPr>
        <w:rPr>
          <w:iCs/>
        </w:rPr>
      </w:pPr>
      <w:r w:rsidRPr="00C61D6E">
        <w:t xml:space="preserve">To calculate the irradiance by multiple reﬂections, the following expression for the atmospheric albedo </w:t>
      </w:r>
      <w:r w:rsidRPr="00C61D6E">
        <w:rPr>
          <w:rFonts w:ascii="Arial" w:hAnsi="Arial" w:cs="Arial"/>
          <w:i/>
          <w:iCs/>
        </w:rPr>
        <w:t>ρ</w:t>
      </w:r>
      <w:r w:rsidRPr="00C61D6E">
        <w:rPr>
          <w:i/>
          <w:iCs/>
          <w:vertAlign w:val="subscript"/>
        </w:rPr>
        <w:t>a</w:t>
      </w:r>
      <w:r w:rsidRPr="00C61D6E">
        <w:rPr>
          <w:iCs/>
        </w:rPr>
        <w:t xml:space="preserve"> is suggested:</w:t>
      </w:r>
    </w:p>
    <w:p w14:paraId="1F60A6EE" w14:textId="77777777" w:rsidR="00CB69AF" w:rsidRPr="00C61D6E" w:rsidRDefault="00CB69AF" w:rsidP="00CB69AF">
      <w:r w:rsidRPr="00C61D6E">
        <w:rPr>
          <w:iCs/>
        </w:rPr>
        <w:t xml:space="preserve"> </w:t>
      </w:r>
    </w:p>
    <w:p w14:paraId="59F0B90C" w14:textId="3DC4A9E2" w:rsidR="00CB69AF" w:rsidRPr="00C61D6E" w:rsidRDefault="00726F2E" w:rsidP="003E77C7">
      <w:pPr>
        <w:tabs>
          <w:tab w:val="left" w:pos="8364"/>
        </w:tabs>
        <w:rPr>
          <w:rFonts w:eastAsia="CMS Y 8"/>
        </w:rPr>
      </w:pPr>
      <w:r>
        <w:rPr>
          <w:rFonts w:eastAsia="CMS Y 8"/>
          <w:position w:val="-12"/>
        </w:rPr>
        <w:pict w14:anchorId="32D202DD">
          <v:shape id="_x0000_i1040" type="#_x0000_t75" style="width:153.5pt;height:18.35pt">
            <v:imagedata r:id="rId33" o:title=""/>
          </v:shape>
        </w:pict>
      </w:r>
      <w:r w:rsidR="003E77C7" w:rsidRPr="00C61D6E">
        <w:tab/>
        <w:t xml:space="preserve">( </w:t>
      </w:r>
      <w:r w:rsidR="009575E9">
        <w:rPr>
          <w:noProof/>
        </w:rPr>
        <w:t>22</w:t>
      </w:r>
      <w:r w:rsidR="003E77C7" w:rsidRPr="00C61D6E">
        <w:t xml:space="preserve"> )</w:t>
      </w:r>
    </w:p>
    <w:p w14:paraId="02F7F13B" w14:textId="77777777" w:rsidR="00BA2DDB" w:rsidRPr="0037138D" w:rsidRDefault="00BA2DDB" w:rsidP="00BA2DDB">
      <w:pPr>
        <w:rPr>
          <w:rFonts w:eastAsia="CMS Y 8"/>
        </w:rPr>
      </w:pPr>
    </w:p>
    <w:p w14:paraId="7CEE1F2D" w14:textId="77777777" w:rsidR="00CB69AF" w:rsidRPr="00B00B67" w:rsidRDefault="00CB69AF" w:rsidP="00CB69AF">
      <w:r w:rsidRPr="00B00B67">
        <w:t>The irradiance due to multiple reflections is then given by:</w:t>
      </w:r>
    </w:p>
    <w:p w14:paraId="562EEAC6" w14:textId="77777777" w:rsidR="00CB69AF" w:rsidRPr="00C61D6E" w:rsidRDefault="00CB69AF" w:rsidP="00CB69AF">
      <w:pPr>
        <w:jc w:val="center"/>
        <w:rPr>
          <w:rFonts w:eastAsia="CMS Y 8"/>
        </w:rPr>
      </w:pPr>
    </w:p>
    <w:p w14:paraId="60F18E36" w14:textId="2726B41E" w:rsidR="00CB69AF" w:rsidRPr="00C61D6E" w:rsidRDefault="00726F2E" w:rsidP="00844488">
      <w:pPr>
        <w:tabs>
          <w:tab w:val="left" w:pos="8364"/>
        </w:tabs>
        <w:rPr>
          <w:rFonts w:eastAsia="CMS Y 8"/>
        </w:rPr>
      </w:pPr>
      <w:r>
        <w:rPr>
          <w:rFonts w:eastAsia="CMS Y 8"/>
          <w:position w:val="-32"/>
        </w:rPr>
        <w:pict w14:anchorId="19D1F813">
          <v:shape id="_x0000_i1041" type="#_x0000_t75" style="width:182.7pt;height:33.95pt">
            <v:imagedata r:id="rId34" o:title=""/>
          </v:shape>
        </w:pict>
      </w:r>
      <w:r w:rsidR="00844488" w:rsidRPr="00C61D6E">
        <w:tab/>
        <w:t xml:space="preserve">( </w:t>
      </w:r>
      <w:r w:rsidR="009575E9">
        <w:rPr>
          <w:noProof/>
        </w:rPr>
        <w:t>23</w:t>
      </w:r>
      <w:r w:rsidR="00844488" w:rsidRPr="00C61D6E">
        <w:t xml:space="preserve"> )</w:t>
      </w:r>
    </w:p>
    <w:p w14:paraId="2DE9971E" w14:textId="77777777" w:rsidR="00BA2DDB" w:rsidRPr="0037138D" w:rsidRDefault="00BA2DDB" w:rsidP="00BA2DDB">
      <w:pPr>
        <w:rPr>
          <w:rFonts w:eastAsia="CMS Y 8"/>
        </w:rPr>
      </w:pPr>
    </w:p>
    <w:p w14:paraId="75572A25" w14:textId="77777777" w:rsidR="00CB69AF" w:rsidRPr="00B00B67" w:rsidRDefault="00CB69AF" w:rsidP="00CB69AF">
      <w:pPr>
        <w:rPr>
          <w:rFonts w:cs="Frutiger"/>
        </w:rPr>
      </w:pPr>
      <w:r w:rsidRPr="00B00B67">
        <w:rPr>
          <w:rFonts w:cs="Frutiger"/>
        </w:rPr>
        <w:t>with</w:t>
      </w:r>
      <w:r w:rsidRPr="00B00B67">
        <w:t xml:space="preserve"> the ground albedo </w:t>
      </w:r>
      <w:r w:rsidRPr="00B00B67">
        <w:rPr>
          <w:rFonts w:ascii="Arial" w:hAnsi="Arial" w:cs="Arial"/>
          <w:i/>
          <w:iCs/>
        </w:rPr>
        <w:t>ρ</w:t>
      </w:r>
      <w:r w:rsidRPr="00B00B67">
        <w:rPr>
          <w:i/>
          <w:iCs/>
          <w:sz w:val="16"/>
          <w:szCs w:val="16"/>
          <w:vertAlign w:val="subscript"/>
        </w:rPr>
        <w:t>g</w:t>
      </w:r>
      <w:r w:rsidRPr="00B00B67">
        <w:t>, which is taken as 0.2. The diffuse irradiance is the sum of its com</w:t>
      </w:r>
      <w:r w:rsidRPr="00B00B67">
        <w:rPr>
          <w:rFonts w:cs="Frutiger"/>
        </w:rPr>
        <w:t xml:space="preserve">ponents: </w:t>
      </w:r>
    </w:p>
    <w:p w14:paraId="2BF8BBE3" w14:textId="77777777" w:rsidR="00BA2DDB" w:rsidRPr="00C61D6E" w:rsidRDefault="00BA2DDB" w:rsidP="00CB69AF">
      <w:pPr>
        <w:rPr>
          <w:rFonts w:cs="Frutiger"/>
        </w:rPr>
      </w:pPr>
    </w:p>
    <w:p w14:paraId="004CC36B" w14:textId="27498A13" w:rsidR="00BA2DDB" w:rsidRPr="00C61D6E" w:rsidRDefault="00726F2E" w:rsidP="00844488">
      <w:pPr>
        <w:tabs>
          <w:tab w:val="left" w:pos="8364"/>
        </w:tabs>
        <w:rPr>
          <w:rFonts w:eastAsia="CMS Y 8"/>
        </w:rPr>
      </w:pPr>
      <w:r>
        <w:rPr>
          <w:rFonts w:eastAsia="CMS Y 8"/>
          <w:position w:val="-14"/>
        </w:rPr>
        <w:pict w14:anchorId="71DF86F6">
          <v:shape id="_x0000_i1042" type="#_x0000_t75" style="width:138.55pt;height:17.65pt">
            <v:imagedata r:id="rId35" o:title=""/>
          </v:shape>
        </w:pict>
      </w:r>
      <w:r w:rsidR="00844488" w:rsidRPr="00C61D6E">
        <w:tab/>
        <w:t xml:space="preserve">( </w:t>
      </w:r>
      <w:r w:rsidR="009575E9">
        <w:rPr>
          <w:noProof/>
        </w:rPr>
        <w:t>24</w:t>
      </w:r>
      <w:r w:rsidR="00844488" w:rsidRPr="00C61D6E">
        <w:t xml:space="preserve"> )</w:t>
      </w:r>
    </w:p>
    <w:p w14:paraId="1BF18C15" w14:textId="77777777" w:rsidR="00BA2DDB" w:rsidRPr="0037138D" w:rsidRDefault="00BA2DDB" w:rsidP="00CB69AF">
      <w:pPr>
        <w:rPr>
          <w:rFonts w:eastAsia="CMS Y 8"/>
        </w:rPr>
      </w:pPr>
    </w:p>
    <w:p w14:paraId="1C97BB8D" w14:textId="77777777" w:rsidR="00CB69AF" w:rsidRPr="00B00B67" w:rsidRDefault="00CB69AF" w:rsidP="00CB69AF">
      <w:r w:rsidRPr="00B00B67">
        <w:t xml:space="preserve">Finally the total clear sky irradiance on the horizontal surface is the sum of the components: </w:t>
      </w:r>
    </w:p>
    <w:p w14:paraId="0402E1C0" w14:textId="77777777" w:rsidR="00BA2DDB" w:rsidRPr="00C61D6E" w:rsidRDefault="00BA2DDB" w:rsidP="00CB69AF"/>
    <w:p w14:paraId="7D9B27D6" w14:textId="16C1C9C5" w:rsidR="00CB69AF" w:rsidRPr="00C61D6E" w:rsidRDefault="00726F2E" w:rsidP="00844488">
      <w:pPr>
        <w:pStyle w:val="CM31"/>
        <w:tabs>
          <w:tab w:val="left" w:pos="8364"/>
        </w:tabs>
        <w:spacing w:line="291" w:lineRule="atLeast"/>
        <w:rPr>
          <w:rFonts w:eastAsia="CMS Y 8"/>
          <w:lang w:val="en-GB"/>
        </w:rPr>
      </w:pPr>
      <w:r>
        <w:rPr>
          <w:rFonts w:eastAsia="CMS Y 8"/>
          <w:position w:val="-14"/>
          <w:lang w:val="en-GB"/>
        </w:rPr>
        <w:lastRenderedPageBreak/>
        <w:pict w14:anchorId="0178EA51">
          <v:shape id="_x0000_i1043" type="#_x0000_t75" style="width:156.25pt;height:17.65pt">
            <v:imagedata r:id="rId36" o:title=""/>
          </v:shape>
        </w:pict>
      </w:r>
      <w:r w:rsidR="00844488" w:rsidRPr="00921937">
        <w:rPr>
          <w:lang w:val="en-GB"/>
        </w:rPr>
        <w:tab/>
        <w:t xml:space="preserve">( </w:t>
      </w:r>
      <w:r w:rsidR="009575E9">
        <w:rPr>
          <w:noProof/>
          <w:lang w:val="en-GB"/>
        </w:rPr>
        <w:t>25</w:t>
      </w:r>
      <w:r w:rsidR="00844488" w:rsidRPr="00921937">
        <w:rPr>
          <w:lang w:val="en-GB"/>
        </w:rPr>
        <w:t xml:space="preserve"> )</w:t>
      </w:r>
    </w:p>
    <w:p w14:paraId="44543993" w14:textId="3944EA47" w:rsidR="00776FE2" w:rsidRPr="00C61D6E" w:rsidRDefault="00E20B57" w:rsidP="00E20B57">
      <w:pPr>
        <w:pStyle w:val="Caption"/>
        <w:jc w:val="center"/>
      </w:pPr>
      <w:r>
        <w:rPr>
          <w:noProof/>
        </w:rPr>
        <w:drawing>
          <wp:inline distT="0" distB="0" distL="0" distR="0" wp14:anchorId="4535FDB5" wp14:editId="52058826">
            <wp:extent cx="4194175" cy="57975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94175" cy="5797550"/>
                    </a:xfrm>
                    <a:prstGeom prst="rect">
                      <a:avLst/>
                    </a:prstGeom>
                    <a:noFill/>
                  </pic:spPr>
                </pic:pic>
              </a:graphicData>
            </a:graphic>
          </wp:inline>
        </w:drawing>
      </w:r>
    </w:p>
    <w:p w14:paraId="6E31878E" w14:textId="2AE4707A" w:rsidR="00776FE2" w:rsidRPr="003E3856" w:rsidRDefault="00776FE2" w:rsidP="004D208F">
      <w:pPr>
        <w:jc w:val="center"/>
        <w:rPr>
          <w:b/>
          <w:sz w:val="16"/>
          <w:szCs w:val="16"/>
        </w:rPr>
      </w:pPr>
      <w:bookmarkStart w:id="26" w:name="_Ref521141765"/>
      <w:r w:rsidRPr="003E3856">
        <w:rPr>
          <w:b/>
          <w:sz w:val="16"/>
          <w:szCs w:val="16"/>
        </w:rPr>
        <w:t xml:space="preserve">Figure </w:t>
      </w:r>
      <w:r w:rsidR="009575E9" w:rsidRPr="003E3856">
        <w:rPr>
          <w:b/>
          <w:noProof/>
          <w:sz w:val="16"/>
          <w:szCs w:val="16"/>
        </w:rPr>
        <w:t>12</w:t>
      </w:r>
      <w:bookmarkEnd w:id="26"/>
      <w:r w:rsidRPr="003E3856">
        <w:rPr>
          <w:b/>
          <w:sz w:val="16"/>
          <w:szCs w:val="16"/>
        </w:rPr>
        <w:t xml:space="preserve"> Outline of the Heliosat Method</w:t>
      </w:r>
    </w:p>
    <w:p w14:paraId="7D2A338A" w14:textId="77777777" w:rsidR="00776FE2" w:rsidRPr="00B00B67" w:rsidRDefault="00776FE2" w:rsidP="00186D16"/>
    <w:p w14:paraId="57083722" w14:textId="77777777" w:rsidR="00844488" w:rsidRPr="00C61D6E" w:rsidRDefault="00844488">
      <w:pPr>
        <w:spacing w:before="120" w:after="200" w:line="276" w:lineRule="auto"/>
        <w:ind w:left="709" w:hanging="357"/>
        <w:jc w:val="both"/>
      </w:pPr>
      <w:r w:rsidRPr="00C61D6E">
        <w:br w:type="page"/>
      </w:r>
    </w:p>
    <w:p w14:paraId="7137F2E2" w14:textId="77777777" w:rsidR="00186D16" w:rsidRPr="00C61D6E" w:rsidRDefault="00186D16" w:rsidP="00186D16">
      <w:pPr>
        <w:pStyle w:val="Heading2"/>
      </w:pPr>
      <w:r w:rsidRPr="00C61D6E">
        <w:lastRenderedPageBreak/>
        <w:t>Timeslice irradiation example output</w:t>
      </w:r>
    </w:p>
    <w:p w14:paraId="0A6DB8A6" w14:textId="77777777" w:rsidR="00186D16" w:rsidRDefault="00186D16" w:rsidP="00186D16">
      <w:pPr>
        <w:pStyle w:val="Caption"/>
        <w:rPr>
          <w:b w:val="0"/>
          <w:bCs w:val="0"/>
          <w:sz w:val="20"/>
          <w:szCs w:val="22"/>
        </w:rPr>
      </w:pPr>
    </w:p>
    <w:p w14:paraId="75A9653A" w14:textId="01107B81" w:rsidR="003C570D" w:rsidRDefault="003C570D" w:rsidP="007F2C39">
      <w:pPr>
        <w:rPr>
          <w:lang w:eastAsia="en-GB"/>
        </w:rPr>
      </w:pPr>
      <w:r>
        <w:rPr>
          <w:lang w:eastAsia="en-GB"/>
        </w:rPr>
        <w:t>|The</w:t>
      </w:r>
      <w:r w:rsidR="00E151F9">
        <w:rPr>
          <w:lang w:eastAsia="en-GB"/>
        </w:rPr>
        <w:t xml:space="preserve"> </w:t>
      </w:r>
      <w:r>
        <w:rPr>
          <w:lang w:eastAsia="en-GB"/>
        </w:rPr>
        <w:t>following graphs show how irradiation [MJ] in the left axis, is distr</w:t>
      </w:r>
      <w:r w:rsidR="002A0498">
        <w:rPr>
          <w:lang w:eastAsia="en-GB"/>
        </w:rPr>
        <w:t>ibuted along the different time</w:t>
      </w:r>
      <w:r>
        <w:rPr>
          <w:lang w:eastAsia="en-GB"/>
        </w:rPr>
        <w:t>slices (color code) for different countries (NUTS0 level, horizontal axis)</w:t>
      </w:r>
    </w:p>
    <w:p w14:paraId="7488635A" w14:textId="77777777" w:rsidR="003C570D" w:rsidRPr="007F2C39" w:rsidRDefault="003C570D" w:rsidP="007F2C39">
      <w:pPr>
        <w:rPr>
          <w:lang w:eastAsia="en-GB"/>
        </w:rPr>
      </w:pPr>
    </w:p>
    <w:p w14:paraId="2E516530" w14:textId="77777777" w:rsidR="00186D16" w:rsidRPr="00C61D6E" w:rsidRDefault="00186D16" w:rsidP="00186D16">
      <w:pPr>
        <w:pStyle w:val="OpsommingOngenummerd"/>
        <w:numPr>
          <w:ilvl w:val="0"/>
          <w:numId w:val="0"/>
        </w:numPr>
      </w:pPr>
      <w:r w:rsidRPr="00921937">
        <w:rPr>
          <w:noProof/>
          <w:lang w:eastAsia="en-GB"/>
        </w:rPr>
        <w:drawing>
          <wp:inline distT="0" distB="0" distL="0" distR="0" wp14:anchorId="493155DD" wp14:editId="2A73407F">
            <wp:extent cx="5760720" cy="3188706"/>
            <wp:effectExtent l="0" t="0" r="11430" b="12065"/>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3A3B4B6" w14:textId="08F8B4DA" w:rsidR="00186D16" w:rsidRPr="00724076" w:rsidRDefault="00186D16" w:rsidP="0023378A">
      <w:pPr>
        <w:pStyle w:val="Caption"/>
        <w:jc w:val="center"/>
      </w:pPr>
      <w:bookmarkStart w:id="27" w:name="_Ref415781541"/>
      <w:r w:rsidRPr="00724076">
        <w:t xml:space="preserve">Figure </w:t>
      </w:r>
      <w:r w:rsidR="009575E9">
        <w:rPr>
          <w:noProof/>
        </w:rPr>
        <w:t>13</w:t>
      </w:r>
      <w:bookmarkEnd w:id="27"/>
      <w:r w:rsidRPr="00724076">
        <w:t>: Timeslice irradiation</w:t>
      </w:r>
      <w:r w:rsidR="003C570D">
        <w:t xml:space="preserve"> </w:t>
      </w:r>
      <w:r w:rsidRPr="00724076">
        <w:t xml:space="preserve">[MJ] </w:t>
      </w:r>
      <w:r w:rsidR="003C570D">
        <w:t>left axis,</w:t>
      </w:r>
      <w:r w:rsidRPr="00724076">
        <w:t>for roof-top solar (45 degree, south)</w:t>
      </w:r>
      <w:r w:rsidR="003C570D">
        <w:t xml:space="preserve"> distributed by timeslice (color code by right axis)</w:t>
      </w:r>
      <w:r w:rsidR="00E151F9">
        <w:t xml:space="preserve"> </w:t>
      </w:r>
    </w:p>
    <w:p w14:paraId="3A586E87" w14:textId="77777777" w:rsidR="0023378A" w:rsidRPr="00C61D6E" w:rsidRDefault="0023378A" w:rsidP="00186D16">
      <w:pPr>
        <w:jc w:val="center"/>
      </w:pPr>
    </w:p>
    <w:p w14:paraId="6D9504A9" w14:textId="77777777" w:rsidR="001406B3" w:rsidRPr="00C61D6E" w:rsidRDefault="001406B3" w:rsidP="001406B3">
      <w:pPr>
        <w:pStyle w:val="Heading2"/>
        <w:rPr>
          <w:rFonts w:eastAsiaTheme="minorHAnsi"/>
        </w:rPr>
      </w:pPr>
      <w:bookmarkStart w:id="28" w:name="_Toc448327624"/>
      <w:bookmarkStart w:id="29" w:name="_Ref521164123"/>
      <w:r w:rsidRPr="00C61D6E">
        <w:rPr>
          <w:rFonts w:eastAsiaTheme="minorHAnsi"/>
        </w:rPr>
        <w:t>Irradiation classes based on differences between NUTS2 regions</w:t>
      </w:r>
      <w:bookmarkEnd w:id="28"/>
    </w:p>
    <w:p w14:paraId="08E0BC83" w14:textId="17B0CB97" w:rsidR="001406B3" w:rsidRDefault="001406B3" w:rsidP="001C5A3D">
      <w:pPr>
        <w:keepNext/>
        <w:jc w:val="center"/>
      </w:pPr>
    </w:p>
    <w:p w14:paraId="0332B8FD" w14:textId="4BEF69B2" w:rsidR="00D30C01" w:rsidRPr="0037138D" w:rsidRDefault="00D30C01" w:rsidP="001C5A3D">
      <w:pPr>
        <w:keepNext/>
        <w:jc w:val="center"/>
      </w:pPr>
      <w:r>
        <w:rPr>
          <w:noProof/>
          <w:lang w:eastAsia="en-GB"/>
        </w:rPr>
        <w:drawing>
          <wp:inline distT="0" distB="0" distL="0" distR="0" wp14:anchorId="3AB6BCD1" wp14:editId="0F765EAB">
            <wp:extent cx="4865370" cy="2449830"/>
            <wp:effectExtent l="0" t="0" r="0" b="7620"/>
            <wp:docPr id="13" name="Picture 13" descr="H:\Desktop\FIG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Desktop\FIG14.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65370" cy="2449830"/>
                    </a:xfrm>
                    <a:prstGeom prst="rect">
                      <a:avLst/>
                    </a:prstGeom>
                    <a:noFill/>
                    <a:ln>
                      <a:noFill/>
                    </a:ln>
                  </pic:spPr>
                </pic:pic>
              </a:graphicData>
            </a:graphic>
          </wp:inline>
        </w:drawing>
      </w:r>
    </w:p>
    <w:p w14:paraId="30AC9D78" w14:textId="7D655559" w:rsidR="001406B3" w:rsidRPr="00724076" w:rsidRDefault="001406B3" w:rsidP="00724076">
      <w:pPr>
        <w:pStyle w:val="Caption"/>
        <w:jc w:val="center"/>
      </w:pPr>
      <w:bookmarkStart w:id="30" w:name="_Ref424296445"/>
      <w:r w:rsidRPr="00724076">
        <w:t xml:space="preserve">Figure </w:t>
      </w:r>
      <w:r w:rsidR="009575E9">
        <w:rPr>
          <w:noProof/>
        </w:rPr>
        <w:t>14</w:t>
      </w:r>
      <w:bookmarkEnd w:id="30"/>
      <w:r w:rsidRPr="00724076">
        <w:t>: Variation of solar irradiation in Italy and Germany.</w:t>
      </w:r>
    </w:p>
    <w:p w14:paraId="6921E10E" w14:textId="77777777" w:rsidR="001406B3" w:rsidRPr="00C61D6E" w:rsidRDefault="001406B3" w:rsidP="001406B3"/>
    <w:p w14:paraId="53C3B578" w14:textId="77777777" w:rsidR="00186D16" w:rsidRPr="00C61D6E" w:rsidRDefault="00CC3270" w:rsidP="00CC3270">
      <w:pPr>
        <w:pStyle w:val="Heading2"/>
      </w:pPr>
      <w:r w:rsidRPr="00C61D6E">
        <w:t>Solar Technology scenarios</w:t>
      </w:r>
      <w:bookmarkEnd w:id="29"/>
    </w:p>
    <w:p w14:paraId="16159F34" w14:textId="77777777" w:rsidR="00CC3270" w:rsidRPr="00C61D6E" w:rsidRDefault="00CC3270" w:rsidP="00CC3270"/>
    <w:p w14:paraId="568942DD" w14:textId="51B1BAC9" w:rsidR="00CC3270" w:rsidRPr="00921937" w:rsidRDefault="00CC3270" w:rsidP="00CC3270">
      <w:r w:rsidRPr="00921937">
        <w:t xml:space="preserve">The techno-economic data characterizing the technologies is included in the </w:t>
      </w:r>
      <w:r w:rsidR="005A21C2">
        <w:t>JRC-DC</w:t>
      </w:r>
      <w:r w:rsidRPr="00921937">
        <w:t>.</w:t>
      </w:r>
      <w:r w:rsidR="005A21C2">
        <w:t xml:space="preserve"> The data in</w:t>
      </w:r>
      <w:r w:rsidRPr="00921937">
        <w:t xml:space="preserve"> </w:t>
      </w:r>
      <w:r w:rsidR="00510E39" w:rsidRPr="00510E39">
        <w:rPr>
          <w:noProof/>
        </w:rPr>
        <w:t>[81]</w:t>
      </w:r>
      <w:r w:rsidRPr="00921937">
        <w:t xml:space="preserve"> has been used as a basis for the </w:t>
      </w:r>
      <w:r w:rsidR="005A21C2">
        <w:t>technology</w:t>
      </w:r>
      <w:r w:rsidRPr="00921937">
        <w:t xml:space="preserve"> assessment. For technologies </w:t>
      </w:r>
      <w:r w:rsidR="005A21C2" w:rsidRPr="00921937">
        <w:t xml:space="preserve">and techno-economic parameters </w:t>
      </w:r>
      <w:r w:rsidRPr="00921937">
        <w:t xml:space="preserve">not </w:t>
      </w:r>
      <w:r w:rsidR="005A21C2">
        <w:t>covered</w:t>
      </w:r>
      <w:r w:rsidRPr="00921937">
        <w:t xml:space="preserve"> in </w:t>
      </w:r>
      <w:r w:rsidR="00510E39" w:rsidRPr="00510E39">
        <w:rPr>
          <w:noProof/>
        </w:rPr>
        <w:t>[81]</w:t>
      </w:r>
      <w:r w:rsidRPr="00921937">
        <w:t>, the IEA-ETSAP &amp; IRENA Technology Brief</w:t>
      </w:r>
      <w:r w:rsidR="00A46B11" w:rsidRPr="00921937">
        <w:t>s</w:t>
      </w:r>
      <w:r w:rsidRPr="00921937">
        <w:t xml:space="preserve"> and the database of ECN Resolve-H/C and RESolve-E models have been used. </w:t>
      </w:r>
    </w:p>
    <w:p w14:paraId="6AD7023B" w14:textId="77777777" w:rsidR="00CC3270" w:rsidRPr="00921937" w:rsidRDefault="00CC3270" w:rsidP="00CC3270"/>
    <w:p w14:paraId="557D8B7E" w14:textId="4F7B19FA" w:rsidR="00CC3270" w:rsidRPr="00921937" w:rsidRDefault="00CC3270" w:rsidP="00CC3270">
      <w:r w:rsidRPr="00921937">
        <w:lastRenderedPageBreak/>
        <w:t xml:space="preserve">Data is provided for four scenarios, differentiated by considering alternative sets of techno-economic parameters. The reference scenario is based on the ETRI report and the data in the sources mentioned. Besides the ETRI </w:t>
      </w:r>
      <w:r w:rsidRPr="00921937">
        <w:rPr>
          <w:i/>
        </w:rPr>
        <w:t>ref</w:t>
      </w:r>
      <w:r w:rsidRPr="00921937">
        <w:t xml:space="preserve"> scenario, </w:t>
      </w:r>
      <w:r w:rsidR="004A0843" w:rsidRPr="00921937">
        <w:t>an</w:t>
      </w:r>
      <w:r w:rsidRPr="00921937">
        <w:t xml:space="preserve"> ETRI </w:t>
      </w:r>
      <w:r w:rsidRPr="00921937">
        <w:rPr>
          <w:i/>
        </w:rPr>
        <w:t>high</w:t>
      </w:r>
      <w:r w:rsidRPr="00921937">
        <w:t xml:space="preserve"> and a </w:t>
      </w:r>
      <w:r w:rsidRPr="00921937">
        <w:rPr>
          <w:i/>
        </w:rPr>
        <w:t>low</w:t>
      </w:r>
      <w:r w:rsidRPr="00921937">
        <w:t xml:space="preserve"> scenario have been constructed by assuming a more optimistic and a more pessimistic investment cost, respectively. In addition</w:t>
      </w:r>
      <w:r w:rsidR="00FE6855">
        <w:t>,</w:t>
      </w:r>
      <w:r w:rsidRPr="00921937">
        <w:t xml:space="preserve"> we provide a scenario with an </w:t>
      </w:r>
      <w:r w:rsidRPr="00921937">
        <w:rPr>
          <w:i/>
        </w:rPr>
        <w:t>alternative</w:t>
      </w:r>
      <w:r w:rsidRPr="00921937">
        <w:t xml:space="preserve"> solar technology parameter set with different investment costs and PV module efficiencies, which are derived from IRENA and DLR sources. </w:t>
      </w:r>
    </w:p>
    <w:p w14:paraId="4C5D3691" w14:textId="77777777" w:rsidR="00CC3270" w:rsidRPr="00921937" w:rsidRDefault="00CC3270" w:rsidP="00CC3270">
      <w:pPr>
        <w:pStyle w:val="OpsommingOngenummerd"/>
        <w:numPr>
          <w:ilvl w:val="0"/>
          <w:numId w:val="0"/>
        </w:numPr>
        <w:ind w:left="284" w:hanging="284"/>
      </w:pPr>
    </w:p>
    <w:p w14:paraId="2F0331B1" w14:textId="3D8EC523" w:rsidR="00CC3270" w:rsidRPr="00921937" w:rsidRDefault="00CC3270" w:rsidP="00CC3270">
      <w:r w:rsidRPr="00921937">
        <w:t>The fact that there is an influence of the ambient temperature and module/collector temperature on the conversion efficiency of the solar technology is taken explicitly into account and implemented through the solar technology efficiency parameter on</w:t>
      </w:r>
      <w:r w:rsidR="00FE6855">
        <w:t xml:space="preserve"> the</w:t>
      </w:r>
      <w:r w:rsidRPr="00921937">
        <w:t xml:space="preserve"> timeslice level. </w:t>
      </w:r>
      <w:r w:rsidR="00FE6855">
        <w:t>It is necessary to</w:t>
      </w:r>
      <w:r w:rsidRPr="00921937">
        <w:t xml:space="preserve"> distinguish between solar PV and solar thermal applications, because:</w:t>
      </w:r>
    </w:p>
    <w:p w14:paraId="2896250D" w14:textId="59B8D1AA" w:rsidR="00CC3270" w:rsidRPr="00C61D6E" w:rsidRDefault="00CC3270" w:rsidP="00CC3270">
      <w:pPr>
        <w:pStyle w:val="ListParagraph"/>
        <w:numPr>
          <w:ilvl w:val="0"/>
          <w:numId w:val="11"/>
        </w:numPr>
      </w:pPr>
      <w:r w:rsidRPr="00921937">
        <w:t>Efficiency of PV modules declines with increasing</w:t>
      </w:r>
      <w:r w:rsidR="00910142">
        <w:t xml:space="preserve"> </w:t>
      </w:r>
      <w:r w:rsidRPr="00921937">
        <w:t>module temperature</w:t>
      </w:r>
    </w:p>
    <w:p w14:paraId="23181DB8" w14:textId="6FFDF7ED" w:rsidR="00CC3270" w:rsidRPr="00921937" w:rsidRDefault="00CC3270" w:rsidP="00CC3270">
      <w:pPr>
        <w:pStyle w:val="ListParagraph"/>
        <w:numPr>
          <w:ilvl w:val="1"/>
          <w:numId w:val="11"/>
        </w:numPr>
      </w:pPr>
      <w:r w:rsidRPr="00921937">
        <w:t xml:space="preserve">Calculated according method and coefficients applied in </w:t>
      </w:r>
      <w:r w:rsidR="00510E39" w:rsidRPr="00510E39">
        <w:rPr>
          <w:noProof/>
        </w:rPr>
        <w:t>[82]</w:t>
      </w:r>
    </w:p>
    <w:p w14:paraId="6F38E5F2" w14:textId="7D3DCE91" w:rsidR="00CC3270" w:rsidRPr="00C61D6E" w:rsidRDefault="00360E18" w:rsidP="004A0843">
      <w:pPr>
        <w:pStyle w:val="ListParagraph"/>
        <w:numPr>
          <w:ilvl w:val="0"/>
          <w:numId w:val="11"/>
        </w:numPr>
      </w:pPr>
      <w:r w:rsidRPr="00921937">
        <w:t xml:space="preserve">Efficiency </w:t>
      </w:r>
      <w:r w:rsidR="00CC3270" w:rsidRPr="00921937">
        <w:t>of solar thermal collectors increases with increasing</w:t>
      </w:r>
      <w:r w:rsidR="00910142">
        <w:t xml:space="preserve"> </w:t>
      </w:r>
      <w:r w:rsidR="00CC3270" w:rsidRPr="00921937">
        <w:t>collector temperature</w:t>
      </w:r>
    </w:p>
    <w:p w14:paraId="74DA6767" w14:textId="77777777" w:rsidR="00CC3270" w:rsidRPr="00C61D6E" w:rsidRDefault="00CC3270" w:rsidP="00CC3270">
      <w:pPr>
        <w:pStyle w:val="ListParagraph"/>
        <w:numPr>
          <w:ilvl w:val="1"/>
          <w:numId w:val="11"/>
        </w:numPr>
      </w:pPr>
      <w:r w:rsidRPr="00921937">
        <w:t>Calculated separately for flat collectors and vacuum collectors and different collector temperature levels (40 / 60 / 80 / 120 degree C) assuming different temperature levels of the heat consumers (warm water, space heating and industrial process heat).</w:t>
      </w:r>
    </w:p>
    <w:p w14:paraId="79BDC93C" w14:textId="77777777" w:rsidR="00CC3270" w:rsidRPr="00921937" w:rsidRDefault="00CC3270" w:rsidP="00CC3270">
      <w:pPr>
        <w:pStyle w:val="OpsommingOngenummerd"/>
        <w:numPr>
          <w:ilvl w:val="0"/>
          <w:numId w:val="0"/>
        </w:numPr>
        <w:ind w:left="284" w:hanging="284"/>
      </w:pPr>
    </w:p>
    <w:p w14:paraId="00DDF584" w14:textId="6A4DA614" w:rsidR="00CC3270" w:rsidRPr="00C61D6E" w:rsidRDefault="00CC3270" w:rsidP="00CC3270">
      <w:pPr>
        <w:pStyle w:val="Caption"/>
        <w:keepNext/>
        <w:jc w:val="center"/>
        <w:rPr>
          <w:b w:val="0"/>
        </w:rPr>
      </w:pPr>
      <w:r w:rsidRPr="00724076">
        <w:t xml:space="preserve">Table </w:t>
      </w:r>
      <w:r w:rsidR="009575E9">
        <w:rPr>
          <w:noProof/>
        </w:rPr>
        <w:t>11</w:t>
      </w:r>
      <w:r w:rsidRPr="00724076">
        <w:t>: Technical parameters of PV plants (</w:t>
      </w:r>
      <w:r w:rsidR="00510E39" w:rsidRPr="00510E39">
        <w:rPr>
          <w:b w:val="0"/>
          <w:noProof/>
        </w:rPr>
        <w:t>[82]</w:t>
      </w:r>
      <w:r w:rsidRPr="00724076">
        <w:t>, based on</w:t>
      </w:r>
      <w:r w:rsidR="00632105" w:rsidRPr="00724076">
        <w:t xml:space="preserve"> </w:t>
      </w:r>
      <w:r w:rsidR="00510E39" w:rsidRPr="00510E39">
        <w:rPr>
          <w:b w:val="0"/>
          <w:noProof/>
        </w:rPr>
        <w:t>[83]</w:t>
      </w:r>
      <w:r w:rsidRPr="00C61D6E">
        <w:rPr>
          <w:b w:val="0"/>
        </w:rPr>
        <w:t>)</w:t>
      </w:r>
    </w:p>
    <w:tbl>
      <w:tblPr>
        <w:tblStyle w:val="TableGrid"/>
        <w:tblW w:w="0" w:type="auto"/>
        <w:tblLayout w:type="fixed"/>
        <w:tblLook w:val="04A0" w:firstRow="1" w:lastRow="0" w:firstColumn="1" w:lastColumn="0" w:noHBand="0" w:noVBand="1"/>
      </w:tblPr>
      <w:tblGrid>
        <w:gridCol w:w="4361"/>
        <w:gridCol w:w="992"/>
        <w:gridCol w:w="709"/>
        <w:gridCol w:w="850"/>
        <w:gridCol w:w="993"/>
        <w:gridCol w:w="983"/>
      </w:tblGrid>
      <w:tr w:rsidR="00D168F2" w:rsidRPr="00C61D6E" w14:paraId="19434DDC" w14:textId="77777777" w:rsidTr="00D168F2">
        <w:trPr>
          <w:trHeight w:val="272"/>
        </w:trPr>
        <w:tc>
          <w:tcPr>
            <w:tcW w:w="4361" w:type="dxa"/>
          </w:tcPr>
          <w:p w14:paraId="5E208006" w14:textId="77777777" w:rsidR="00B76790" w:rsidRPr="00C61D6E" w:rsidRDefault="00B76790" w:rsidP="00B76790">
            <w:pPr>
              <w:rPr>
                <w:lang w:eastAsia="en-GB"/>
              </w:rPr>
            </w:pPr>
          </w:p>
        </w:tc>
        <w:tc>
          <w:tcPr>
            <w:tcW w:w="992" w:type="dxa"/>
          </w:tcPr>
          <w:p w14:paraId="1FDC536E" w14:textId="77777777" w:rsidR="00B76790" w:rsidRPr="008C062F" w:rsidRDefault="00B76790" w:rsidP="0010194C">
            <w:pPr>
              <w:rPr>
                <w:lang w:eastAsia="en-GB"/>
              </w:rPr>
            </w:pPr>
            <w:r w:rsidRPr="008C062F">
              <w:rPr>
                <w:lang w:eastAsia="en-GB"/>
              </w:rPr>
              <w:t>Symbol</w:t>
            </w:r>
          </w:p>
        </w:tc>
        <w:tc>
          <w:tcPr>
            <w:tcW w:w="709" w:type="dxa"/>
          </w:tcPr>
          <w:p w14:paraId="62795B75" w14:textId="77777777" w:rsidR="00B76790" w:rsidRPr="0037138D" w:rsidRDefault="00B76790" w:rsidP="0010194C">
            <w:pPr>
              <w:rPr>
                <w:lang w:eastAsia="en-GB"/>
              </w:rPr>
            </w:pPr>
            <w:r w:rsidRPr="0037138D">
              <w:rPr>
                <w:lang w:eastAsia="en-GB"/>
              </w:rPr>
              <w:t>Unit</w:t>
            </w:r>
          </w:p>
        </w:tc>
        <w:tc>
          <w:tcPr>
            <w:tcW w:w="850" w:type="dxa"/>
          </w:tcPr>
          <w:p w14:paraId="64B66FB1" w14:textId="77777777" w:rsidR="00B76790" w:rsidRPr="00B00B67" w:rsidRDefault="00B76790" w:rsidP="00D168F2">
            <w:pPr>
              <w:jc w:val="center"/>
              <w:rPr>
                <w:lang w:eastAsia="en-GB"/>
              </w:rPr>
            </w:pPr>
            <w:r w:rsidRPr="00B00B67">
              <w:rPr>
                <w:lang w:eastAsia="en-GB"/>
              </w:rPr>
              <w:t>2010</w:t>
            </w:r>
          </w:p>
        </w:tc>
        <w:tc>
          <w:tcPr>
            <w:tcW w:w="993" w:type="dxa"/>
          </w:tcPr>
          <w:p w14:paraId="45E7D17C" w14:textId="77777777" w:rsidR="00B76790" w:rsidRPr="00C61D6E" w:rsidRDefault="00B76790" w:rsidP="00D168F2">
            <w:pPr>
              <w:jc w:val="center"/>
              <w:rPr>
                <w:lang w:eastAsia="en-GB"/>
              </w:rPr>
            </w:pPr>
            <w:r w:rsidRPr="00C61D6E">
              <w:rPr>
                <w:lang w:eastAsia="en-GB"/>
              </w:rPr>
              <w:t>2020</w:t>
            </w:r>
          </w:p>
        </w:tc>
        <w:tc>
          <w:tcPr>
            <w:tcW w:w="983" w:type="dxa"/>
          </w:tcPr>
          <w:p w14:paraId="695C695F" w14:textId="77777777" w:rsidR="00B76790" w:rsidRPr="00C61D6E" w:rsidRDefault="00B76790" w:rsidP="00D168F2">
            <w:pPr>
              <w:jc w:val="center"/>
              <w:rPr>
                <w:lang w:eastAsia="en-GB"/>
              </w:rPr>
            </w:pPr>
            <w:r w:rsidRPr="00C61D6E">
              <w:rPr>
                <w:lang w:eastAsia="en-GB"/>
              </w:rPr>
              <w:t>2050</w:t>
            </w:r>
          </w:p>
        </w:tc>
      </w:tr>
      <w:tr w:rsidR="00D168F2" w:rsidRPr="00C61D6E" w14:paraId="2EE4A9CC" w14:textId="77777777" w:rsidTr="00D168F2">
        <w:trPr>
          <w:trHeight w:val="272"/>
        </w:trPr>
        <w:tc>
          <w:tcPr>
            <w:tcW w:w="4361" w:type="dxa"/>
          </w:tcPr>
          <w:p w14:paraId="460EBD6C" w14:textId="77777777" w:rsidR="00B76790" w:rsidRPr="00C61D6E" w:rsidRDefault="00B76790" w:rsidP="00B76790">
            <w:pPr>
              <w:rPr>
                <w:lang w:eastAsia="en-GB"/>
              </w:rPr>
            </w:pPr>
            <w:r w:rsidRPr="00C61D6E">
              <w:rPr>
                <w:lang w:eastAsia="en-GB"/>
              </w:rPr>
              <w:t>Temperature coefficient</w:t>
            </w:r>
          </w:p>
        </w:tc>
        <w:tc>
          <w:tcPr>
            <w:tcW w:w="992" w:type="dxa"/>
          </w:tcPr>
          <w:p w14:paraId="3E85C388" w14:textId="77777777" w:rsidR="00B76790" w:rsidRPr="00C61D6E" w:rsidRDefault="00726F2E" w:rsidP="00B76790">
            <w:pPr>
              <w:jc w:val="center"/>
              <w:rPr>
                <w:lang w:eastAsia="en-GB"/>
              </w:rPr>
            </w:pPr>
            <m:oMathPara>
              <m:oMath>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PV</m:t>
                    </m:r>
                  </m:sup>
                </m:sSubSup>
              </m:oMath>
            </m:oMathPara>
          </w:p>
        </w:tc>
        <w:tc>
          <w:tcPr>
            <w:tcW w:w="709" w:type="dxa"/>
          </w:tcPr>
          <w:p w14:paraId="2CAB1671" w14:textId="77777777" w:rsidR="00B76790" w:rsidRPr="008C062F" w:rsidRDefault="00D168F2" w:rsidP="00D168F2">
            <w:pPr>
              <w:jc w:val="center"/>
              <w:rPr>
                <w:lang w:eastAsia="en-GB"/>
              </w:rPr>
            </w:pPr>
            <w:r w:rsidRPr="008C062F">
              <w:rPr>
                <w:lang w:eastAsia="en-GB"/>
              </w:rPr>
              <w:t>1/C</w:t>
            </w:r>
          </w:p>
        </w:tc>
        <w:tc>
          <w:tcPr>
            <w:tcW w:w="850" w:type="dxa"/>
          </w:tcPr>
          <w:p w14:paraId="3A88C551" w14:textId="77777777" w:rsidR="00B76790" w:rsidRPr="0037138D" w:rsidRDefault="00D168F2" w:rsidP="00D168F2">
            <w:pPr>
              <w:jc w:val="center"/>
              <w:rPr>
                <w:lang w:eastAsia="en-GB"/>
              </w:rPr>
            </w:pPr>
            <w:r w:rsidRPr="0037138D">
              <w:rPr>
                <w:lang w:eastAsia="en-GB"/>
              </w:rPr>
              <w:t>-0.005</w:t>
            </w:r>
          </w:p>
        </w:tc>
        <w:tc>
          <w:tcPr>
            <w:tcW w:w="993" w:type="dxa"/>
          </w:tcPr>
          <w:p w14:paraId="2C068D38" w14:textId="77777777" w:rsidR="00B76790" w:rsidRPr="00B00B67" w:rsidRDefault="00D168F2" w:rsidP="00D168F2">
            <w:pPr>
              <w:jc w:val="center"/>
              <w:rPr>
                <w:lang w:eastAsia="en-GB"/>
              </w:rPr>
            </w:pPr>
            <w:r w:rsidRPr="00B00B67">
              <w:rPr>
                <w:lang w:eastAsia="en-GB"/>
              </w:rPr>
              <w:t>-0.0045</w:t>
            </w:r>
          </w:p>
        </w:tc>
        <w:tc>
          <w:tcPr>
            <w:tcW w:w="983" w:type="dxa"/>
          </w:tcPr>
          <w:p w14:paraId="12645A30" w14:textId="77777777" w:rsidR="00B76790" w:rsidRPr="00C61D6E" w:rsidRDefault="00D168F2" w:rsidP="00D168F2">
            <w:pPr>
              <w:jc w:val="center"/>
              <w:rPr>
                <w:lang w:eastAsia="en-GB"/>
              </w:rPr>
            </w:pPr>
            <w:r w:rsidRPr="00C61D6E">
              <w:rPr>
                <w:lang w:eastAsia="en-GB"/>
              </w:rPr>
              <w:t>-0.004</w:t>
            </w:r>
          </w:p>
        </w:tc>
      </w:tr>
      <w:tr w:rsidR="00D168F2" w:rsidRPr="00C61D6E" w14:paraId="7DF7671C" w14:textId="77777777" w:rsidTr="00D168F2">
        <w:trPr>
          <w:trHeight w:val="272"/>
        </w:trPr>
        <w:tc>
          <w:tcPr>
            <w:tcW w:w="4361" w:type="dxa"/>
          </w:tcPr>
          <w:p w14:paraId="1552C018" w14:textId="77777777" w:rsidR="00B76790" w:rsidRPr="00C61D6E" w:rsidRDefault="00B76790" w:rsidP="00B76790">
            <w:pPr>
              <w:rPr>
                <w:lang w:eastAsia="en-GB"/>
              </w:rPr>
            </w:pPr>
            <w:r w:rsidRPr="00C61D6E">
              <w:rPr>
                <w:lang w:eastAsia="en-GB"/>
              </w:rPr>
              <w:t>Availability factor</w:t>
            </w:r>
          </w:p>
        </w:tc>
        <w:tc>
          <w:tcPr>
            <w:tcW w:w="992" w:type="dxa"/>
          </w:tcPr>
          <w:p w14:paraId="22A0090D" w14:textId="77777777" w:rsidR="00B76790" w:rsidRPr="00C61D6E" w:rsidRDefault="00726F2E" w:rsidP="00B76790">
            <w:pPr>
              <w:jc w:val="center"/>
              <w:rPr>
                <w:lang w:eastAsia="en-GB"/>
              </w:rPr>
            </w:pPr>
            <m:oMathPara>
              <m:oMath>
                <m:sSubSup>
                  <m:sSubSupPr>
                    <m:ctrlPr>
                      <w:rPr>
                        <w:rFonts w:ascii="Cambria Math" w:hAnsi="Cambria Math"/>
                        <w:i/>
                      </w:rPr>
                    </m:ctrlPr>
                  </m:sSubSupPr>
                  <m:e>
                    <m:r>
                      <w:rPr>
                        <w:rFonts w:ascii="Cambria Math" w:hAnsi="Cambria Math"/>
                      </w:rPr>
                      <m:t>f</m:t>
                    </m:r>
                  </m:e>
                  <m:sub>
                    <m:r>
                      <w:rPr>
                        <w:rFonts w:ascii="Cambria Math" w:hAnsi="Cambria Math"/>
                      </w:rPr>
                      <m:t>AV</m:t>
                    </m:r>
                  </m:sub>
                  <m:sup>
                    <m:r>
                      <w:rPr>
                        <w:rFonts w:ascii="Cambria Math" w:hAnsi="Cambria Math"/>
                      </w:rPr>
                      <m:t>PV</m:t>
                    </m:r>
                  </m:sup>
                </m:sSubSup>
              </m:oMath>
            </m:oMathPara>
          </w:p>
        </w:tc>
        <w:tc>
          <w:tcPr>
            <w:tcW w:w="709" w:type="dxa"/>
          </w:tcPr>
          <w:p w14:paraId="7087F144" w14:textId="77777777" w:rsidR="00B76790" w:rsidRPr="008C062F" w:rsidRDefault="00D168F2" w:rsidP="00B76790">
            <w:pPr>
              <w:jc w:val="center"/>
              <w:rPr>
                <w:lang w:eastAsia="en-GB"/>
              </w:rPr>
            </w:pPr>
            <w:r w:rsidRPr="008C062F">
              <w:rPr>
                <w:lang w:eastAsia="en-GB"/>
              </w:rPr>
              <w:t>-</w:t>
            </w:r>
          </w:p>
        </w:tc>
        <w:tc>
          <w:tcPr>
            <w:tcW w:w="850" w:type="dxa"/>
          </w:tcPr>
          <w:p w14:paraId="2A3FAABA" w14:textId="77777777" w:rsidR="00B76790" w:rsidRPr="0037138D" w:rsidRDefault="00D168F2" w:rsidP="00D168F2">
            <w:pPr>
              <w:jc w:val="center"/>
              <w:rPr>
                <w:lang w:eastAsia="en-GB"/>
              </w:rPr>
            </w:pPr>
            <w:r w:rsidRPr="0037138D">
              <w:rPr>
                <w:lang w:eastAsia="en-GB"/>
              </w:rPr>
              <w:t>0.98</w:t>
            </w:r>
          </w:p>
        </w:tc>
        <w:tc>
          <w:tcPr>
            <w:tcW w:w="993" w:type="dxa"/>
          </w:tcPr>
          <w:p w14:paraId="67856022" w14:textId="77777777" w:rsidR="00B76790" w:rsidRPr="00B00B67" w:rsidRDefault="00D168F2" w:rsidP="00D168F2">
            <w:pPr>
              <w:jc w:val="center"/>
              <w:rPr>
                <w:lang w:eastAsia="en-GB"/>
              </w:rPr>
            </w:pPr>
            <w:r w:rsidRPr="00B00B67">
              <w:rPr>
                <w:lang w:eastAsia="en-GB"/>
              </w:rPr>
              <w:t>0.98</w:t>
            </w:r>
          </w:p>
        </w:tc>
        <w:tc>
          <w:tcPr>
            <w:tcW w:w="983" w:type="dxa"/>
          </w:tcPr>
          <w:p w14:paraId="02C5EBE5" w14:textId="77777777" w:rsidR="00B76790" w:rsidRPr="00C61D6E" w:rsidRDefault="00D168F2" w:rsidP="00D168F2">
            <w:pPr>
              <w:jc w:val="center"/>
              <w:rPr>
                <w:lang w:eastAsia="en-GB"/>
              </w:rPr>
            </w:pPr>
            <w:r w:rsidRPr="00C61D6E">
              <w:rPr>
                <w:lang w:eastAsia="en-GB"/>
              </w:rPr>
              <w:t>0.98</w:t>
            </w:r>
          </w:p>
        </w:tc>
      </w:tr>
      <w:tr w:rsidR="00D168F2" w:rsidRPr="00C61D6E" w14:paraId="5756B114" w14:textId="77777777" w:rsidTr="00D168F2">
        <w:trPr>
          <w:trHeight w:val="272"/>
        </w:trPr>
        <w:tc>
          <w:tcPr>
            <w:tcW w:w="4361" w:type="dxa"/>
          </w:tcPr>
          <w:p w14:paraId="173BA2D9" w14:textId="77777777" w:rsidR="00B76790" w:rsidRPr="00C61D6E" w:rsidRDefault="00B76790" w:rsidP="00B76790">
            <w:pPr>
              <w:rPr>
                <w:vertAlign w:val="superscript"/>
                <w:lang w:eastAsia="en-GB"/>
              </w:rPr>
            </w:pPr>
            <w:r w:rsidRPr="00C61D6E">
              <w:rPr>
                <w:lang w:eastAsia="en-GB"/>
              </w:rPr>
              <w:t>Module efficiency</w:t>
            </w:r>
            <w:r w:rsidRPr="00C61D6E">
              <w:rPr>
                <w:vertAlign w:val="superscript"/>
                <w:lang w:eastAsia="en-GB"/>
              </w:rPr>
              <w:t>1</w:t>
            </w:r>
          </w:p>
        </w:tc>
        <w:tc>
          <w:tcPr>
            <w:tcW w:w="992" w:type="dxa"/>
          </w:tcPr>
          <w:p w14:paraId="65E32B2F" w14:textId="77777777" w:rsidR="00B76790" w:rsidRPr="00C61D6E" w:rsidRDefault="00726F2E" w:rsidP="00B76790">
            <w:pPr>
              <w:jc w:val="center"/>
              <w:rPr>
                <w:lang w:eastAsia="en-GB"/>
              </w:rPr>
            </w:pPr>
            <m:oMathPara>
              <m:oMath>
                <m:sSup>
                  <m:sSupPr>
                    <m:ctrlPr>
                      <w:rPr>
                        <w:rFonts w:ascii="Cambria Math" w:hAnsi="Cambria Math"/>
                        <w:i/>
                      </w:rPr>
                    </m:ctrlPr>
                  </m:sSupPr>
                  <m:e>
                    <m:r>
                      <w:rPr>
                        <w:rFonts w:ascii="Cambria Math" w:hAnsi="Cambria Math"/>
                      </w:rPr>
                      <m:t>η</m:t>
                    </m:r>
                  </m:e>
                  <m:sup>
                    <m:r>
                      <w:rPr>
                        <w:rFonts w:ascii="Cambria Math" w:hAnsi="Cambria Math"/>
                      </w:rPr>
                      <m:t>PV</m:t>
                    </m:r>
                  </m:sup>
                </m:sSup>
              </m:oMath>
            </m:oMathPara>
          </w:p>
        </w:tc>
        <w:tc>
          <w:tcPr>
            <w:tcW w:w="709" w:type="dxa"/>
          </w:tcPr>
          <w:p w14:paraId="56FC876F" w14:textId="77777777" w:rsidR="00B76790" w:rsidRPr="008C062F" w:rsidRDefault="00D168F2" w:rsidP="00B76790">
            <w:pPr>
              <w:jc w:val="center"/>
              <w:rPr>
                <w:lang w:eastAsia="en-GB"/>
              </w:rPr>
            </w:pPr>
            <w:r w:rsidRPr="008C062F">
              <w:rPr>
                <w:lang w:eastAsia="en-GB"/>
              </w:rPr>
              <w:t>-</w:t>
            </w:r>
          </w:p>
        </w:tc>
        <w:tc>
          <w:tcPr>
            <w:tcW w:w="850" w:type="dxa"/>
          </w:tcPr>
          <w:p w14:paraId="30E4939A" w14:textId="77777777" w:rsidR="00B76790" w:rsidRPr="0037138D" w:rsidRDefault="00D168F2" w:rsidP="00D168F2">
            <w:pPr>
              <w:jc w:val="center"/>
              <w:rPr>
                <w:lang w:eastAsia="en-GB"/>
              </w:rPr>
            </w:pPr>
            <w:r w:rsidRPr="0037138D">
              <w:rPr>
                <w:lang w:eastAsia="en-GB"/>
              </w:rPr>
              <w:t>0.161</w:t>
            </w:r>
          </w:p>
        </w:tc>
        <w:tc>
          <w:tcPr>
            <w:tcW w:w="993" w:type="dxa"/>
          </w:tcPr>
          <w:p w14:paraId="4BFF5276" w14:textId="77777777" w:rsidR="00B76790" w:rsidRPr="00B00B67" w:rsidRDefault="00D168F2" w:rsidP="00D168F2">
            <w:pPr>
              <w:jc w:val="center"/>
              <w:rPr>
                <w:lang w:eastAsia="en-GB"/>
              </w:rPr>
            </w:pPr>
            <w:r w:rsidRPr="00B00B67">
              <w:rPr>
                <w:lang w:eastAsia="en-GB"/>
              </w:rPr>
              <w:t>0.173</w:t>
            </w:r>
          </w:p>
        </w:tc>
        <w:tc>
          <w:tcPr>
            <w:tcW w:w="983" w:type="dxa"/>
          </w:tcPr>
          <w:p w14:paraId="1D0B58B4" w14:textId="77777777" w:rsidR="00B76790" w:rsidRPr="00C61D6E" w:rsidRDefault="00D168F2" w:rsidP="00D168F2">
            <w:pPr>
              <w:jc w:val="center"/>
              <w:rPr>
                <w:lang w:eastAsia="en-GB"/>
              </w:rPr>
            </w:pPr>
            <w:r w:rsidRPr="00C61D6E">
              <w:rPr>
                <w:lang w:eastAsia="en-GB"/>
              </w:rPr>
              <w:t>0.18</w:t>
            </w:r>
          </w:p>
        </w:tc>
      </w:tr>
      <w:tr w:rsidR="00D168F2" w:rsidRPr="00C61D6E" w14:paraId="0C33A04A" w14:textId="77777777" w:rsidTr="00D168F2">
        <w:trPr>
          <w:trHeight w:val="272"/>
        </w:trPr>
        <w:tc>
          <w:tcPr>
            <w:tcW w:w="4361" w:type="dxa"/>
          </w:tcPr>
          <w:p w14:paraId="33D4353E" w14:textId="77777777" w:rsidR="00B76790" w:rsidRPr="00C61D6E" w:rsidRDefault="00B76790" w:rsidP="00B76790">
            <w:pPr>
              <w:rPr>
                <w:lang w:eastAsia="en-GB"/>
              </w:rPr>
            </w:pPr>
            <w:r w:rsidRPr="00C61D6E">
              <w:rPr>
                <w:lang w:eastAsia="en-GB"/>
              </w:rPr>
              <w:t>q-factor</w:t>
            </w:r>
          </w:p>
        </w:tc>
        <w:tc>
          <w:tcPr>
            <w:tcW w:w="992" w:type="dxa"/>
          </w:tcPr>
          <w:p w14:paraId="6F0B515B" w14:textId="77777777" w:rsidR="00B76790" w:rsidRPr="00C61D6E" w:rsidRDefault="00726F2E" w:rsidP="00B76790">
            <w:pPr>
              <w:jc w:val="center"/>
              <w:rPr>
                <w:lang w:eastAsia="en-GB"/>
              </w:rPr>
            </w:pPr>
            <m:oMathPara>
              <m:oMath>
                <m:sSup>
                  <m:sSupPr>
                    <m:ctrlPr>
                      <w:rPr>
                        <w:rFonts w:ascii="Cambria Math" w:hAnsi="Cambria Math"/>
                        <w:i/>
                      </w:rPr>
                    </m:ctrlPr>
                  </m:sSupPr>
                  <m:e>
                    <m:r>
                      <w:rPr>
                        <w:rFonts w:ascii="Cambria Math" w:hAnsi="Cambria Math"/>
                      </w:rPr>
                      <m:t>q</m:t>
                    </m:r>
                  </m:e>
                  <m:sup>
                    <m:r>
                      <w:rPr>
                        <w:rFonts w:ascii="Cambria Math" w:hAnsi="Cambria Math"/>
                      </w:rPr>
                      <m:t>PV</m:t>
                    </m:r>
                  </m:sup>
                </m:sSup>
              </m:oMath>
            </m:oMathPara>
          </w:p>
        </w:tc>
        <w:tc>
          <w:tcPr>
            <w:tcW w:w="709" w:type="dxa"/>
          </w:tcPr>
          <w:p w14:paraId="203CF4FD" w14:textId="77777777" w:rsidR="00B76790" w:rsidRPr="008C062F" w:rsidRDefault="00D168F2" w:rsidP="00B76790">
            <w:pPr>
              <w:jc w:val="center"/>
              <w:rPr>
                <w:lang w:eastAsia="en-GB"/>
              </w:rPr>
            </w:pPr>
            <w:r w:rsidRPr="008C062F">
              <w:rPr>
                <w:lang w:eastAsia="en-GB"/>
              </w:rPr>
              <w:t>-</w:t>
            </w:r>
          </w:p>
        </w:tc>
        <w:tc>
          <w:tcPr>
            <w:tcW w:w="850" w:type="dxa"/>
          </w:tcPr>
          <w:p w14:paraId="5D8F5B29" w14:textId="77777777" w:rsidR="00B76790" w:rsidRPr="0037138D" w:rsidRDefault="00D168F2" w:rsidP="00D168F2">
            <w:pPr>
              <w:jc w:val="center"/>
              <w:rPr>
                <w:lang w:eastAsia="en-GB"/>
              </w:rPr>
            </w:pPr>
            <w:r w:rsidRPr="0037138D">
              <w:rPr>
                <w:lang w:eastAsia="en-GB"/>
              </w:rPr>
              <w:t>0.811</w:t>
            </w:r>
          </w:p>
        </w:tc>
        <w:tc>
          <w:tcPr>
            <w:tcW w:w="993" w:type="dxa"/>
          </w:tcPr>
          <w:p w14:paraId="5FA91826" w14:textId="77777777" w:rsidR="00B76790" w:rsidRPr="00B00B67" w:rsidRDefault="00D168F2" w:rsidP="00D168F2">
            <w:pPr>
              <w:jc w:val="center"/>
              <w:rPr>
                <w:lang w:eastAsia="en-GB"/>
              </w:rPr>
            </w:pPr>
            <w:r w:rsidRPr="00B00B67">
              <w:rPr>
                <w:lang w:eastAsia="en-GB"/>
              </w:rPr>
              <w:t>0.82</w:t>
            </w:r>
          </w:p>
        </w:tc>
        <w:tc>
          <w:tcPr>
            <w:tcW w:w="983" w:type="dxa"/>
          </w:tcPr>
          <w:p w14:paraId="751044FD" w14:textId="77777777" w:rsidR="00B76790" w:rsidRPr="00C61D6E" w:rsidRDefault="00D168F2" w:rsidP="00D168F2">
            <w:pPr>
              <w:jc w:val="center"/>
              <w:rPr>
                <w:lang w:eastAsia="en-GB"/>
              </w:rPr>
            </w:pPr>
            <w:r w:rsidRPr="00C61D6E">
              <w:rPr>
                <w:lang w:eastAsia="en-GB"/>
              </w:rPr>
              <w:t>0.847</w:t>
            </w:r>
          </w:p>
        </w:tc>
      </w:tr>
      <w:tr w:rsidR="00D168F2" w:rsidRPr="00C61D6E" w14:paraId="7C3DAF8D" w14:textId="77777777" w:rsidTr="00D168F2">
        <w:trPr>
          <w:trHeight w:val="260"/>
        </w:trPr>
        <w:tc>
          <w:tcPr>
            <w:tcW w:w="4361" w:type="dxa"/>
          </w:tcPr>
          <w:p w14:paraId="3398EC75" w14:textId="77777777" w:rsidR="00B76790" w:rsidRPr="00C61D6E" w:rsidRDefault="00B76790" w:rsidP="00B76790">
            <w:pPr>
              <w:rPr>
                <w:lang w:eastAsia="en-GB"/>
              </w:rPr>
            </w:pPr>
            <w:r w:rsidRPr="00C61D6E">
              <w:rPr>
                <w:lang w:eastAsia="en-GB"/>
              </w:rPr>
              <w:t>System efficiency, annual average</w:t>
            </w:r>
          </w:p>
        </w:tc>
        <w:tc>
          <w:tcPr>
            <w:tcW w:w="992" w:type="dxa"/>
          </w:tcPr>
          <w:p w14:paraId="0CB4197A" w14:textId="77777777" w:rsidR="00B76790" w:rsidRPr="00C61D6E" w:rsidRDefault="00B76790" w:rsidP="00B76790">
            <w:pPr>
              <w:jc w:val="center"/>
              <w:rPr>
                <w:lang w:eastAsia="en-GB"/>
              </w:rPr>
            </w:pPr>
            <w:r w:rsidRPr="00C61D6E">
              <w:rPr>
                <w:lang w:eastAsia="en-GB"/>
              </w:rPr>
              <w:t>-</w:t>
            </w:r>
          </w:p>
        </w:tc>
        <w:tc>
          <w:tcPr>
            <w:tcW w:w="709" w:type="dxa"/>
          </w:tcPr>
          <w:p w14:paraId="7442100B" w14:textId="77777777" w:rsidR="00B76790" w:rsidRPr="00C61D6E" w:rsidRDefault="00D168F2" w:rsidP="00B76790">
            <w:pPr>
              <w:jc w:val="center"/>
              <w:rPr>
                <w:lang w:eastAsia="en-GB"/>
              </w:rPr>
            </w:pPr>
            <w:r w:rsidRPr="00C61D6E">
              <w:rPr>
                <w:lang w:eastAsia="en-GB"/>
              </w:rPr>
              <w:t>-</w:t>
            </w:r>
          </w:p>
        </w:tc>
        <w:tc>
          <w:tcPr>
            <w:tcW w:w="850" w:type="dxa"/>
          </w:tcPr>
          <w:p w14:paraId="256E7514" w14:textId="77777777" w:rsidR="00B76790" w:rsidRPr="00C61D6E" w:rsidRDefault="00D168F2" w:rsidP="00D168F2">
            <w:pPr>
              <w:jc w:val="center"/>
              <w:rPr>
                <w:lang w:eastAsia="en-GB"/>
              </w:rPr>
            </w:pPr>
            <w:r w:rsidRPr="00C61D6E">
              <w:rPr>
                <w:lang w:eastAsia="en-GB"/>
              </w:rPr>
              <w:t>0.128</w:t>
            </w:r>
          </w:p>
        </w:tc>
        <w:tc>
          <w:tcPr>
            <w:tcW w:w="993" w:type="dxa"/>
          </w:tcPr>
          <w:p w14:paraId="198E3624" w14:textId="77777777" w:rsidR="00B76790" w:rsidRPr="00C61D6E" w:rsidRDefault="00D168F2" w:rsidP="00D168F2">
            <w:pPr>
              <w:jc w:val="center"/>
              <w:rPr>
                <w:lang w:eastAsia="en-GB"/>
              </w:rPr>
            </w:pPr>
            <w:r w:rsidRPr="00C61D6E">
              <w:rPr>
                <w:lang w:eastAsia="en-GB"/>
              </w:rPr>
              <w:t>0.139</w:t>
            </w:r>
          </w:p>
        </w:tc>
        <w:tc>
          <w:tcPr>
            <w:tcW w:w="983" w:type="dxa"/>
          </w:tcPr>
          <w:p w14:paraId="7FBFCD8E" w14:textId="77777777" w:rsidR="00B76790" w:rsidRPr="00C61D6E" w:rsidRDefault="00D168F2" w:rsidP="00D168F2">
            <w:pPr>
              <w:jc w:val="center"/>
              <w:rPr>
                <w:lang w:eastAsia="en-GB"/>
              </w:rPr>
            </w:pPr>
            <w:r w:rsidRPr="00C61D6E">
              <w:rPr>
                <w:lang w:eastAsia="en-GB"/>
              </w:rPr>
              <w:t>0.149</w:t>
            </w:r>
          </w:p>
        </w:tc>
      </w:tr>
      <w:tr w:rsidR="00D168F2" w:rsidRPr="00C61D6E" w14:paraId="2BE4FABA" w14:textId="77777777" w:rsidTr="00D168F2">
        <w:trPr>
          <w:trHeight w:val="284"/>
        </w:trPr>
        <w:tc>
          <w:tcPr>
            <w:tcW w:w="4361" w:type="dxa"/>
          </w:tcPr>
          <w:p w14:paraId="6584B4DF" w14:textId="77777777" w:rsidR="00B76790" w:rsidRPr="00C61D6E" w:rsidRDefault="00B76790" w:rsidP="00B76790">
            <w:pPr>
              <w:rPr>
                <w:lang w:eastAsia="en-GB"/>
              </w:rPr>
            </w:pPr>
            <w:r w:rsidRPr="00C61D6E">
              <w:rPr>
                <w:lang w:eastAsia="en-GB"/>
              </w:rPr>
              <w:t>Installation density (for open space PV)</w:t>
            </w:r>
            <w:r w:rsidRPr="00C61D6E">
              <w:rPr>
                <w:vertAlign w:val="superscript"/>
                <w:lang w:eastAsia="en-GB"/>
              </w:rPr>
              <w:t>2</w:t>
            </w:r>
          </w:p>
        </w:tc>
        <w:tc>
          <w:tcPr>
            <w:tcW w:w="992" w:type="dxa"/>
          </w:tcPr>
          <w:p w14:paraId="2F1BCA92" w14:textId="77777777" w:rsidR="00B76790" w:rsidRPr="00C61D6E" w:rsidRDefault="00726F2E" w:rsidP="00D168F2">
            <w:pPr>
              <w:jc w:val="center"/>
              <w:rPr>
                <w:lang w:eastAsia="en-GB"/>
              </w:rPr>
            </w:pPr>
            <m:oMathPara>
              <m:oMath>
                <m:sSubSup>
                  <m:sSubSupPr>
                    <m:ctrlPr>
                      <w:rPr>
                        <w:rFonts w:ascii="Cambria Math" w:hAnsi="Cambria Math"/>
                        <w:i/>
                      </w:rPr>
                    </m:ctrlPr>
                  </m:sSubSupPr>
                  <m:e>
                    <m:r>
                      <w:rPr>
                        <w:rFonts w:ascii="Cambria Math" w:hAnsi="Cambria Math"/>
                      </w:rPr>
                      <m:t>f</m:t>
                    </m:r>
                  </m:e>
                  <m:sub>
                    <m:r>
                      <w:rPr>
                        <w:rFonts w:ascii="Cambria Math" w:hAnsi="Cambria Math"/>
                      </w:rPr>
                      <m:t>den</m:t>
                    </m:r>
                  </m:sub>
                  <m:sup>
                    <m:r>
                      <w:rPr>
                        <w:rFonts w:ascii="Cambria Math" w:hAnsi="Cambria Math"/>
                      </w:rPr>
                      <m:t>PV</m:t>
                    </m:r>
                  </m:sup>
                </m:sSubSup>
              </m:oMath>
            </m:oMathPara>
          </w:p>
        </w:tc>
        <w:tc>
          <w:tcPr>
            <w:tcW w:w="709" w:type="dxa"/>
          </w:tcPr>
          <w:p w14:paraId="58370AAB" w14:textId="77777777" w:rsidR="00B76790" w:rsidRPr="008C062F" w:rsidRDefault="00D168F2" w:rsidP="00B76790">
            <w:pPr>
              <w:jc w:val="center"/>
              <w:rPr>
                <w:lang w:eastAsia="en-GB"/>
              </w:rPr>
            </w:pPr>
            <w:r w:rsidRPr="008C062F">
              <w:rPr>
                <w:lang w:eastAsia="en-GB"/>
              </w:rPr>
              <w:t>-</w:t>
            </w:r>
          </w:p>
        </w:tc>
        <w:tc>
          <w:tcPr>
            <w:tcW w:w="850" w:type="dxa"/>
          </w:tcPr>
          <w:p w14:paraId="52A134D6" w14:textId="77777777" w:rsidR="00B76790" w:rsidRPr="0037138D" w:rsidRDefault="00D168F2" w:rsidP="00D168F2">
            <w:pPr>
              <w:jc w:val="center"/>
              <w:rPr>
                <w:lang w:eastAsia="en-GB"/>
              </w:rPr>
            </w:pPr>
            <w:r w:rsidRPr="0037138D">
              <w:rPr>
                <w:lang w:eastAsia="en-GB"/>
              </w:rPr>
              <w:t>0.33</w:t>
            </w:r>
          </w:p>
        </w:tc>
        <w:tc>
          <w:tcPr>
            <w:tcW w:w="993" w:type="dxa"/>
          </w:tcPr>
          <w:p w14:paraId="0D74D31B" w14:textId="77777777" w:rsidR="00B76790" w:rsidRPr="00B00B67" w:rsidRDefault="00D168F2" w:rsidP="00D168F2">
            <w:pPr>
              <w:jc w:val="center"/>
              <w:rPr>
                <w:lang w:eastAsia="en-GB"/>
              </w:rPr>
            </w:pPr>
            <w:r w:rsidRPr="00B00B67">
              <w:rPr>
                <w:lang w:eastAsia="en-GB"/>
              </w:rPr>
              <w:t>0.33</w:t>
            </w:r>
          </w:p>
        </w:tc>
        <w:tc>
          <w:tcPr>
            <w:tcW w:w="983" w:type="dxa"/>
          </w:tcPr>
          <w:p w14:paraId="55D372B9" w14:textId="77777777" w:rsidR="00B76790" w:rsidRPr="00C61D6E" w:rsidRDefault="00D168F2" w:rsidP="00D168F2">
            <w:pPr>
              <w:jc w:val="center"/>
              <w:rPr>
                <w:lang w:eastAsia="en-GB"/>
              </w:rPr>
            </w:pPr>
            <w:r w:rsidRPr="00C61D6E">
              <w:rPr>
                <w:lang w:eastAsia="en-GB"/>
              </w:rPr>
              <w:t>0.33</w:t>
            </w:r>
          </w:p>
        </w:tc>
      </w:tr>
    </w:tbl>
    <w:p w14:paraId="0A736B0B" w14:textId="67622B1A" w:rsidR="00B76790" w:rsidRPr="00C61D6E" w:rsidRDefault="00B76790" w:rsidP="00B76790">
      <w:pPr>
        <w:rPr>
          <w:lang w:eastAsia="en-GB"/>
        </w:rPr>
      </w:pPr>
      <w:r w:rsidRPr="00C61D6E">
        <w:rPr>
          <w:vertAlign w:val="superscript"/>
          <w:lang w:eastAsia="en-GB"/>
        </w:rPr>
        <w:t>1</w:t>
      </w:r>
      <w:r w:rsidRPr="00C61D6E">
        <w:rPr>
          <w:lang w:eastAsia="en-GB"/>
        </w:rPr>
        <w:t>Under standard test con</w:t>
      </w:r>
      <w:r w:rsidR="00D168F2" w:rsidRPr="00C61D6E">
        <w:rPr>
          <w:lang w:eastAsia="en-GB"/>
        </w:rPr>
        <w:t>di</w:t>
      </w:r>
      <w:r w:rsidRPr="00C61D6E">
        <w:rPr>
          <w:lang w:eastAsia="en-GB"/>
        </w:rPr>
        <w:t>tions: 25</w:t>
      </w:r>
      <w:r w:rsidR="00FE6855" w:rsidRPr="0037138D">
        <w:rPr>
          <w:rFonts w:ascii="Arial" w:hAnsi="Arial" w:cs="Arial"/>
          <w:sz w:val="22"/>
        </w:rPr>
        <w:t>°</w:t>
      </w:r>
      <w:r w:rsidRPr="00C61D6E">
        <w:rPr>
          <w:lang w:eastAsia="en-GB"/>
        </w:rPr>
        <w:t>C module temperature, 1000 W/m</w:t>
      </w:r>
      <w:r w:rsidRPr="00C61D6E">
        <w:rPr>
          <w:vertAlign w:val="superscript"/>
          <w:lang w:eastAsia="en-GB"/>
        </w:rPr>
        <w:t>2</w:t>
      </w:r>
      <w:r w:rsidRPr="00C61D6E">
        <w:rPr>
          <w:lang w:eastAsia="en-GB"/>
        </w:rPr>
        <w:t xml:space="preserve"> irradiance</w:t>
      </w:r>
    </w:p>
    <w:p w14:paraId="08DE44B0" w14:textId="77777777" w:rsidR="00B76790" w:rsidRPr="00C61D6E" w:rsidRDefault="00B76790" w:rsidP="00B76790">
      <w:pPr>
        <w:rPr>
          <w:lang w:eastAsia="en-GB"/>
        </w:rPr>
      </w:pPr>
      <w:r w:rsidRPr="00C61D6E">
        <w:rPr>
          <w:vertAlign w:val="superscript"/>
          <w:lang w:eastAsia="en-GB"/>
        </w:rPr>
        <w:t>2</w:t>
      </w:r>
      <w:r w:rsidRPr="00C61D6E">
        <w:rPr>
          <w:lang w:eastAsia="en-GB"/>
        </w:rPr>
        <w:t xml:space="preserve">For urban PV installations this factor </w:t>
      </w:r>
      <w:r w:rsidR="00D168F2" w:rsidRPr="00C61D6E">
        <w:rPr>
          <w:lang w:eastAsia="en-GB"/>
        </w:rPr>
        <w:t>is set</w:t>
      </w:r>
      <w:r w:rsidRPr="00C61D6E">
        <w:rPr>
          <w:lang w:eastAsia="en-GB"/>
        </w:rPr>
        <w:t xml:space="preserve"> to 1</w:t>
      </w:r>
    </w:p>
    <w:p w14:paraId="51FDD68C" w14:textId="77777777" w:rsidR="00CC3270" w:rsidRPr="00921937" w:rsidRDefault="00CC3270" w:rsidP="00CC3270">
      <w:pPr>
        <w:pStyle w:val="OpsommingOngenummerd"/>
        <w:numPr>
          <w:ilvl w:val="0"/>
          <w:numId w:val="0"/>
        </w:numPr>
        <w:ind w:left="284" w:hanging="284"/>
      </w:pPr>
    </w:p>
    <w:p w14:paraId="121CA50F" w14:textId="77777777" w:rsidR="00CC3270" w:rsidRPr="00921937" w:rsidRDefault="00CC3270" w:rsidP="00CC3270">
      <w:pPr>
        <w:pStyle w:val="OpsommingOngenummerd"/>
        <w:numPr>
          <w:ilvl w:val="0"/>
          <w:numId w:val="0"/>
        </w:numPr>
        <w:ind w:left="284" w:hanging="284"/>
      </w:pPr>
    </w:p>
    <w:p w14:paraId="6FF4EF03" w14:textId="7E61B461" w:rsidR="00CC3270" w:rsidRPr="00C61D6E" w:rsidRDefault="00CC3270" w:rsidP="00CC3270">
      <w:pPr>
        <w:rPr>
          <w:rFonts w:ascii="Arial" w:hAnsi="Arial" w:cs="Arial"/>
          <w:sz w:val="22"/>
        </w:rPr>
      </w:pPr>
      <w:r w:rsidRPr="00921937">
        <w:t xml:space="preserve">According to </w:t>
      </w:r>
      <w:r w:rsidR="00510E39" w:rsidRPr="00510E39">
        <w:rPr>
          <w:noProof/>
        </w:rPr>
        <w:t>[82]</w:t>
      </w:r>
      <w:r w:rsidR="00360E18" w:rsidRPr="00921937">
        <w:t xml:space="preserve"> </w:t>
      </w:r>
      <w:r w:rsidRPr="00921937">
        <w:t>“the deviation of the power output from the power output at 25</w:t>
      </w:r>
      <w:r w:rsidRPr="0037138D">
        <w:rPr>
          <w:rFonts w:ascii="Arial" w:hAnsi="Arial" w:cs="Arial"/>
          <w:sz w:val="22"/>
        </w:rPr>
        <w:t>°</w:t>
      </w:r>
      <w:r w:rsidRPr="0037138D">
        <w:t>C</w:t>
      </w:r>
      <w:r w:rsidRPr="0037138D">
        <w:rPr>
          <w:spacing w:val="46"/>
        </w:rPr>
        <w:t xml:space="preserve"> </w:t>
      </w:r>
      <w:r w:rsidRPr="0037138D">
        <w:t>conditions</w:t>
      </w:r>
      <w:r w:rsidRPr="0037138D">
        <w:rPr>
          <w:spacing w:val="38"/>
        </w:rPr>
        <w:t xml:space="preserve"> </w:t>
      </w:r>
      <w:r w:rsidRPr="0037138D">
        <w:t>is</w:t>
      </w:r>
      <w:r w:rsidRPr="0037138D">
        <w:rPr>
          <w:spacing w:val="47"/>
        </w:rPr>
        <w:t xml:space="preserve"> </w:t>
      </w:r>
      <w:r w:rsidRPr="0037138D">
        <w:t>speci</w:t>
      </w:r>
      <w:r w:rsidRPr="00B00B67">
        <w:rPr>
          <w:spacing w:val="-1"/>
        </w:rPr>
        <w:t>f</w:t>
      </w:r>
      <w:r w:rsidRPr="00B00B67">
        <w:t>ied</w:t>
      </w:r>
      <w:r w:rsidRPr="00B00B67">
        <w:rPr>
          <w:spacing w:val="39"/>
        </w:rPr>
        <w:t xml:space="preserve"> </w:t>
      </w:r>
      <w:r w:rsidRPr="00B00B67">
        <w:t>by</w:t>
      </w:r>
      <w:r w:rsidRPr="00B00B67">
        <w:rPr>
          <w:spacing w:val="46"/>
        </w:rPr>
        <w:t xml:space="preserve"> </w:t>
      </w:r>
      <w:r w:rsidRPr="00B00B67">
        <w:t>the</w:t>
      </w:r>
      <w:r w:rsidRPr="00B00B67">
        <w:rPr>
          <w:spacing w:val="45"/>
        </w:rPr>
        <w:t xml:space="preserve"> </w:t>
      </w:r>
      <w:r w:rsidRPr="00B00B67">
        <w:rPr>
          <w:spacing w:val="1"/>
        </w:rPr>
        <w:t>t</w:t>
      </w:r>
      <w:r w:rsidRPr="00B00B67">
        <w:t xml:space="preserve">emperature </w:t>
      </w:r>
      <w:r w:rsidRPr="00B00B67">
        <w:rPr>
          <w:position w:val="1"/>
        </w:rPr>
        <w:t>coeffici</w:t>
      </w:r>
      <w:r w:rsidRPr="00B00B67">
        <w:rPr>
          <w:spacing w:val="-1"/>
          <w:position w:val="1"/>
        </w:rPr>
        <w:t>e</w:t>
      </w:r>
      <w:r w:rsidRPr="00B00B67">
        <w:rPr>
          <w:position w:val="1"/>
        </w:rPr>
        <w:t>nt</w:t>
      </w:r>
      <w:r w:rsidR="00910142">
        <w:rPr>
          <w:rFonts w:ascii="Arial" w:hAnsi="Arial" w:cs="Arial"/>
          <w:spacing w:val="-1"/>
          <w:position w:val="1"/>
          <w:sz w:val="22"/>
        </w:rPr>
        <w:t xml:space="preserve"> </w:t>
      </w:r>
      <w:r w:rsidRPr="00B00B67">
        <w:rPr>
          <w:i/>
          <w:iCs/>
          <w:sz w:val="21"/>
          <w:szCs w:val="21"/>
        </w:rPr>
        <w:t>f</w:t>
      </w:r>
      <w:r w:rsidRPr="00B00B67">
        <w:rPr>
          <w:i/>
          <w:iCs/>
          <w:spacing w:val="8"/>
          <w:sz w:val="21"/>
          <w:szCs w:val="21"/>
        </w:rPr>
        <w:t xml:space="preserve"> </w:t>
      </w:r>
      <w:r w:rsidRPr="00C61D6E">
        <w:t>PV. In order to take into account the influence of the module temperature</w:t>
      </w:r>
      <w:r w:rsidRPr="00C61D6E">
        <w:rPr>
          <w:rFonts w:ascii="Arial" w:hAnsi="Arial" w:cs="Arial"/>
          <w:position w:val="1"/>
          <w:sz w:val="22"/>
        </w:rPr>
        <w:t xml:space="preserve"> </w:t>
      </w:r>
      <w:r w:rsidRPr="00C61D6E">
        <w:rPr>
          <w:rFonts w:ascii="Symbol" w:hAnsi="Symbol" w:cs="Symbol"/>
          <w:w w:val="97"/>
          <w:sz w:val="22"/>
        </w:rPr>
        <w:t></w:t>
      </w:r>
      <w:r w:rsidRPr="00C61D6E">
        <w:rPr>
          <w:spacing w:val="-25"/>
          <w:sz w:val="22"/>
        </w:rPr>
        <w:t xml:space="preserve"> </w:t>
      </w:r>
      <w:r w:rsidRPr="00C61D6E">
        <w:rPr>
          <w:i/>
          <w:iCs/>
          <w:position w:val="10"/>
          <w:sz w:val="12"/>
          <w:szCs w:val="12"/>
        </w:rPr>
        <w:t>PV</w:t>
      </w:r>
      <w:r w:rsidRPr="00C61D6E">
        <w:rPr>
          <w:i/>
          <w:iCs/>
          <w:spacing w:val="-3"/>
          <w:position w:val="10"/>
          <w:sz w:val="12"/>
          <w:szCs w:val="12"/>
        </w:rPr>
        <w:t xml:space="preserve"> </w:t>
      </w:r>
      <w:r w:rsidRPr="00C61D6E">
        <w:rPr>
          <w:spacing w:val="5"/>
          <w:w w:val="103"/>
          <w:position w:val="10"/>
          <w:sz w:val="12"/>
          <w:szCs w:val="12"/>
        </w:rPr>
        <w:t>,</w:t>
      </w:r>
      <w:r w:rsidRPr="00C61D6E">
        <w:rPr>
          <w:i/>
          <w:iCs/>
          <w:w w:val="103"/>
          <w:position w:val="10"/>
          <w:sz w:val="12"/>
          <w:szCs w:val="12"/>
        </w:rPr>
        <w:t>time</w:t>
      </w:r>
      <w:r w:rsidRPr="00C61D6E">
        <w:rPr>
          <w:rFonts w:ascii="Arial" w:hAnsi="Arial" w:cs="Arial"/>
          <w:sz w:val="22"/>
        </w:rPr>
        <w:t xml:space="preserve"> </w:t>
      </w:r>
      <w:r w:rsidRPr="00C61D6E">
        <w:t>at a given time on the power output of PV modules,</w:t>
      </w:r>
      <w:r w:rsidRPr="00C61D6E">
        <w:rPr>
          <w:rFonts w:ascii="Arial" w:hAnsi="Arial" w:cs="Arial"/>
          <w:spacing w:val="2"/>
          <w:position w:val="1"/>
          <w:sz w:val="22"/>
        </w:rPr>
        <w:t xml:space="preserve"> </w:t>
      </w:r>
      <w:r w:rsidRPr="00C61D6E">
        <w:rPr>
          <w:rFonts w:ascii="Symbol" w:hAnsi="Symbol" w:cs="Symbol"/>
          <w:w w:val="97"/>
          <w:sz w:val="22"/>
        </w:rPr>
        <w:t></w:t>
      </w:r>
      <w:r w:rsidRPr="00C61D6E">
        <w:rPr>
          <w:spacing w:val="-25"/>
          <w:sz w:val="22"/>
        </w:rPr>
        <w:t xml:space="preserve"> </w:t>
      </w:r>
      <w:r w:rsidRPr="00C61D6E">
        <w:rPr>
          <w:i/>
          <w:iCs/>
          <w:position w:val="10"/>
          <w:sz w:val="12"/>
          <w:szCs w:val="12"/>
        </w:rPr>
        <w:t>PV</w:t>
      </w:r>
      <w:r w:rsidRPr="00C61D6E">
        <w:rPr>
          <w:i/>
          <w:iCs/>
          <w:spacing w:val="-3"/>
          <w:position w:val="10"/>
          <w:sz w:val="12"/>
          <w:szCs w:val="12"/>
        </w:rPr>
        <w:t xml:space="preserve"> </w:t>
      </w:r>
      <w:r w:rsidRPr="00C61D6E">
        <w:rPr>
          <w:spacing w:val="5"/>
          <w:position w:val="10"/>
          <w:sz w:val="12"/>
          <w:szCs w:val="12"/>
        </w:rPr>
        <w:t>,</w:t>
      </w:r>
      <w:r w:rsidRPr="00C61D6E">
        <w:t>time</w:t>
      </w:r>
      <w:r w:rsidR="00E151F9">
        <w:t xml:space="preserve"> </w:t>
      </w:r>
      <w:r w:rsidRPr="00C61D6E">
        <w:t xml:space="preserve">is calculated according to the following correlation with the ambient temperature </w:t>
      </w:r>
      <w:r w:rsidRPr="00C61D6E">
        <w:rPr>
          <w:rFonts w:ascii="Symbol" w:hAnsi="Symbol" w:cs="Symbol"/>
          <w:spacing w:val="9"/>
          <w:w w:val="96"/>
          <w:position w:val="1"/>
          <w:sz w:val="26"/>
          <w:szCs w:val="26"/>
        </w:rPr>
        <w:t></w:t>
      </w:r>
      <w:r w:rsidRPr="00C61D6E">
        <w:rPr>
          <w:i/>
          <w:iCs/>
          <w:w w:val="105"/>
          <w:position w:val="12"/>
          <w:sz w:val="14"/>
          <w:szCs w:val="14"/>
        </w:rPr>
        <w:t>time</w:t>
      </w:r>
      <w:r w:rsidRPr="00C61D6E">
        <w:rPr>
          <w:sz w:val="14"/>
          <w:szCs w:val="14"/>
        </w:rPr>
        <w:t xml:space="preserve"> </w:t>
      </w:r>
      <w:r w:rsidRPr="00C61D6E">
        <w:t>and the irradiance on the module with the correlation coefficients k1 = -2 °C, k2 = 1.02 and k3 = 0.03 °C*m2/W”:</w:t>
      </w:r>
      <w:r w:rsidRPr="00C61D6E">
        <w:rPr>
          <w:rFonts w:ascii="Arial" w:hAnsi="Arial" w:cs="Arial"/>
          <w:sz w:val="22"/>
        </w:rPr>
        <w:t xml:space="preserve"> </w:t>
      </w:r>
    </w:p>
    <w:p w14:paraId="228239A2" w14:textId="77777777" w:rsidR="00BA2DDB" w:rsidRPr="00C61D6E" w:rsidRDefault="00BA2DDB" w:rsidP="00CC3270">
      <w:pPr>
        <w:rPr>
          <w:rFonts w:ascii="Arial" w:hAnsi="Arial" w:cs="Arial"/>
          <w:sz w:val="22"/>
        </w:rPr>
      </w:pPr>
    </w:p>
    <w:p w14:paraId="78E9B2EC" w14:textId="3DBB1F98" w:rsidR="00CC3270" w:rsidRPr="00921937" w:rsidRDefault="00726F2E" w:rsidP="00844488">
      <w:pPr>
        <w:tabs>
          <w:tab w:val="left" w:pos="8364"/>
        </w:tabs>
        <w:autoSpaceDE w:val="0"/>
        <w:autoSpaceDN w:val="0"/>
        <w:adjustRightInd w:val="0"/>
      </w:pPr>
      <m:oMath>
        <m:sSubSup>
          <m:sSubSupPr>
            <m:ctrlPr>
              <w:rPr>
                <w:rFonts w:ascii="Cambria Math" w:hAnsi="Cambria Math"/>
                <w:i/>
              </w:rPr>
            </m:ctrlPr>
          </m:sSubSupPr>
          <m:e>
            <m:r>
              <w:rPr>
                <w:rFonts w:ascii="Cambria Math" w:hAnsi="Cambria Math"/>
              </w:rPr>
              <m:t>ϑ</m:t>
            </m:r>
          </m:e>
          <m:sub>
            <m:r>
              <w:rPr>
                <w:rFonts w:ascii="Cambria Math" w:hAnsi="Cambria Math"/>
              </w:rPr>
              <m:t>M</m:t>
            </m:r>
          </m:sub>
          <m:sup>
            <m:r>
              <w:rPr>
                <w:rFonts w:ascii="Cambria Math" w:hAnsi="Cambria Math"/>
              </w:rPr>
              <m:t>PV,time</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ϑ</m:t>
            </m:r>
          </m:e>
          <m:sub>
            <m:r>
              <w:rPr>
                <w:rFonts w:ascii="Cambria Math" w:hAnsi="Cambria Math"/>
              </w:rPr>
              <m:t>ambient</m:t>
            </m:r>
          </m:sub>
          <m:sup>
            <m:r>
              <w:rPr>
                <w:rFonts w:ascii="Cambria Math" w:hAnsi="Cambria Math"/>
              </w:rPr>
              <m:t>time</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glob, surf</m:t>
            </m:r>
          </m:sub>
          <m:sup>
            <m:r>
              <w:rPr>
                <w:rFonts w:ascii="Cambria Math" w:hAnsi="Cambria Math"/>
              </w:rPr>
              <m:t>time</m:t>
            </m:r>
          </m:sup>
        </m:sSubSup>
      </m:oMath>
      <w:r w:rsidR="00844488" w:rsidRPr="00C61D6E">
        <w:tab/>
        <w:t xml:space="preserve">( </w:t>
      </w:r>
      <w:r w:rsidR="009575E9">
        <w:rPr>
          <w:noProof/>
        </w:rPr>
        <w:t>26</w:t>
      </w:r>
      <w:r w:rsidR="00844488" w:rsidRPr="00C61D6E">
        <w:t xml:space="preserve"> )</w:t>
      </w:r>
    </w:p>
    <w:p w14:paraId="3881F4FB" w14:textId="77777777" w:rsidR="00BA2DDB" w:rsidRPr="00921937" w:rsidRDefault="00BA2DDB" w:rsidP="00BA2DDB">
      <w:pPr>
        <w:autoSpaceDE w:val="0"/>
        <w:autoSpaceDN w:val="0"/>
        <w:adjustRightInd w:val="0"/>
      </w:pPr>
    </w:p>
    <w:p w14:paraId="6CA014BA" w14:textId="20506B0F" w:rsidR="00CC3270" w:rsidRPr="00921937" w:rsidRDefault="00CC3270" w:rsidP="00CC3270">
      <w:r w:rsidRPr="00921937">
        <w:t xml:space="preserve">For solar thermal technology we apply a linear relationship of the collector efficiency to the temperature difference of the collector and the ambient air according to </w:t>
      </w:r>
      <w:r w:rsidR="009575E9" w:rsidRPr="00724076">
        <w:rPr>
          <w:b/>
        </w:rPr>
        <w:t xml:space="preserve">Figure </w:t>
      </w:r>
      <w:r w:rsidR="009575E9">
        <w:rPr>
          <w:b/>
          <w:noProof/>
        </w:rPr>
        <w:t>15</w:t>
      </w:r>
      <w:r w:rsidRPr="00921937">
        <w:t xml:space="preserve"> which is estimated from</w:t>
      </w:r>
      <w:r w:rsidR="00FD53E1" w:rsidRPr="00921937">
        <w:t xml:space="preserve"> </w:t>
      </w:r>
      <w:r w:rsidR="00510E39" w:rsidRPr="00510E39">
        <w:rPr>
          <w:noProof/>
        </w:rPr>
        <w:t>[84]</w:t>
      </w:r>
      <w:r w:rsidR="00FD53E1" w:rsidRPr="00921937">
        <w:t xml:space="preserve">. </w:t>
      </w:r>
    </w:p>
    <w:p w14:paraId="544811B7" w14:textId="77777777" w:rsidR="00CC3270" w:rsidRPr="00C61D6E" w:rsidRDefault="00CC3270" w:rsidP="00CC3270">
      <w:pPr>
        <w:pStyle w:val="OpsommingOngenummerd"/>
        <w:keepNext/>
        <w:numPr>
          <w:ilvl w:val="0"/>
          <w:numId w:val="0"/>
        </w:numPr>
        <w:ind w:left="284" w:hanging="284"/>
      </w:pPr>
      <w:r w:rsidRPr="00C61D6E">
        <w:rPr>
          <w:noProof/>
          <w:lang w:eastAsia="en-GB"/>
        </w:rPr>
        <w:lastRenderedPageBreak/>
        <w:drawing>
          <wp:inline distT="0" distB="0" distL="0" distR="0" wp14:anchorId="5AFA9DBE" wp14:editId="227E049B">
            <wp:extent cx="5760720" cy="2745574"/>
            <wp:effectExtent l="0" t="0" r="0" b="0"/>
            <wp:docPr id="408" name="Chart 40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BDC73EB" w14:textId="25B2AE64" w:rsidR="00CC3270" w:rsidRPr="00724076" w:rsidRDefault="00CC3270" w:rsidP="00CC3270">
      <w:pPr>
        <w:rPr>
          <w:b/>
          <w:noProof/>
        </w:rPr>
      </w:pPr>
      <w:bookmarkStart w:id="31" w:name="_Ref423621568"/>
      <w:r w:rsidRPr="00724076">
        <w:rPr>
          <w:b/>
        </w:rPr>
        <w:t xml:space="preserve">Figure </w:t>
      </w:r>
      <w:r w:rsidR="009575E9">
        <w:rPr>
          <w:b/>
          <w:noProof/>
        </w:rPr>
        <w:t>15</w:t>
      </w:r>
      <w:bookmarkEnd w:id="31"/>
      <w:r w:rsidRPr="00724076">
        <w:rPr>
          <w:b/>
        </w:rPr>
        <w:t xml:space="preserve">: Temperature-related Efficiency loss for solar thermal </w:t>
      </w:r>
      <w:r w:rsidR="00360E18" w:rsidRPr="00724076">
        <w:rPr>
          <w:b/>
          <w:noProof/>
        </w:rPr>
        <w:t>t</w:t>
      </w:r>
      <w:r w:rsidRPr="00724076">
        <w:rPr>
          <w:b/>
          <w:noProof/>
        </w:rPr>
        <w:t xml:space="preserve">echonolgy (estimated based on </w:t>
      </w:r>
      <w:r w:rsidR="00510E39" w:rsidRPr="00510E39">
        <w:rPr>
          <w:noProof/>
        </w:rPr>
        <w:t>[84]</w:t>
      </w:r>
    </w:p>
    <w:p w14:paraId="0357E16E" w14:textId="77777777" w:rsidR="00CC3270" w:rsidRPr="00B00B67" w:rsidRDefault="00CC3270" w:rsidP="00CC3270">
      <w:pPr>
        <w:rPr>
          <w:noProof/>
        </w:rPr>
      </w:pPr>
    </w:p>
    <w:p w14:paraId="515BB864" w14:textId="77777777" w:rsidR="00D30C01" w:rsidRDefault="00D30C01">
      <w:pPr>
        <w:spacing w:before="120" w:after="200" w:line="276" w:lineRule="auto"/>
        <w:ind w:left="709" w:hanging="357"/>
        <w:jc w:val="both"/>
      </w:pPr>
      <w:bookmarkStart w:id="32" w:name="_Ref521164177"/>
      <w:r>
        <w:br w:type="page"/>
      </w:r>
    </w:p>
    <w:p w14:paraId="5D6FF188" w14:textId="4B1A7733" w:rsidR="00CC3270" w:rsidRPr="00C61D6E" w:rsidRDefault="002F6AC6" w:rsidP="00CC3270">
      <w:pPr>
        <w:pStyle w:val="Heading2"/>
      </w:pPr>
      <w:r w:rsidRPr="00C61D6E">
        <w:lastRenderedPageBreak/>
        <w:t xml:space="preserve">PV </w:t>
      </w:r>
      <w:r w:rsidR="00CC3270" w:rsidRPr="00C61D6E">
        <w:t>potentials for the EU28</w:t>
      </w:r>
      <w:bookmarkEnd w:id="32"/>
    </w:p>
    <w:p w14:paraId="2A91CD91" w14:textId="77777777" w:rsidR="00CC3270" w:rsidRPr="00C61D6E" w:rsidRDefault="00CC3270" w:rsidP="00CC3270"/>
    <w:p w14:paraId="36880161" w14:textId="18E739F8" w:rsidR="00CC3270" w:rsidRPr="00724076" w:rsidRDefault="00CC3270" w:rsidP="00CC3270">
      <w:pPr>
        <w:pStyle w:val="Caption"/>
        <w:jc w:val="center"/>
      </w:pPr>
      <w:r w:rsidRPr="00724076">
        <w:t xml:space="preserve">Table </w:t>
      </w:r>
      <w:r w:rsidR="009575E9">
        <w:rPr>
          <w:noProof/>
        </w:rPr>
        <w:t>12</w:t>
      </w:r>
      <w:r w:rsidRPr="00724076">
        <w:t xml:space="preserve"> Summary of Solar potentials for EU28 by technology cluster</w:t>
      </w:r>
      <w:r w:rsidR="00A06B94" w:rsidRPr="00724076">
        <w:t xml:space="preserve"> – assuming a 3% use of the available non-artificial area.</w:t>
      </w:r>
    </w:p>
    <w:tbl>
      <w:tblPr>
        <w:tblW w:w="9178" w:type="dxa"/>
        <w:tblInd w:w="108" w:type="dxa"/>
        <w:tblLook w:val="04A0" w:firstRow="1" w:lastRow="0" w:firstColumn="1" w:lastColumn="0" w:noHBand="0" w:noVBand="1"/>
      </w:tblPr>
      <w:tblGrid>
        <w:gridCol w:w="4286"/>
        <w:gridCol w:w="2103"/>
        <w:gridCol w:w="1549"/>
        <w:gridCol w:w="1240"/>
      </w:tblGrid>
      <w:tr w:rsidR="00CC3270" w:rsidRPr="00C61D6E" w14:paraId="2644D12F" w14:textId="77777777" w:rsidTr="00051220">
        <w:trPr>
          <w:trHeight w:val="300"/>
        </w:trPr>
        <w:tc>
          <w:tcPr>
            <w:tcW w:w="4286" w:type="dxa"/>
            <w:tcBorders>
              <w:top w:val="nil"/>
              <w:left w:val="nil"/>
              <w:bottom w:val="nil"/>
              <w:right w:val="nil"/>
            </w:tcBorders>
            <w:shd w:val="clear" w:color="auto" w:fill="auto"/>
            <w:noWrap/>
            <w:vAlign w:val="center"/>
            <w:hideMark/>
          </w:tcPr>
          <w:p w14:paraId="1AA9A794" w14:textId="77777777" w:rsidR="00CC3270" w:rsidRPr="005E36C5" w:rsidRDefault="00CC3270" w:rsidP="00170E09">
            <w:pPr>
              <w:rPr>
                <w:rFonts w:ascii="Calibri" w:hAnsi="Calibri"/>
                <w:b/>
                <w:bCs/>
                <w:color w:val="000000"/>
                <w:sz w:val="22"/>
                <w:szCs w:val="22"/>
                <w:lang w:eastAsia="en-GB"/>
              </w:rPr>
            </w:pPr>
            <w:r w:rsidRPr="00C61D6E">
              <w:rPr>
                <w:rFonts w:ascii="Calibri" w:hAnsi="Calibri"/>
                <w:b/>
                <w:bCs/>
                <w:color w:val="000000"/>
                <w:sz w:val="22"/>
                <w:szCs w:val="22"/>
                <w:lang w:eastAsia="en-GB"/>
              </w:rPr>
              <w:t>Surface</w:t>
            </w:r>
          </w:p>
        </w:tc>
        <w:tc>
          <w:tcPr>
            <w:tcW w:w="2103" w:type="dxa"/>
            <w:tcBorders>
              <w:top w:val="nil"/>
              <w:left w:val="nil"/>
              <w:bottom w:val="nil"/>
              <w:right w:val="nil"/>
            </w:tcBorders>
            <w:shd w:val="clear" w:color="auto" w:fill="auto"/>
            <w:noWrap/>
            <w:vAlign w:val="bottom"/>
            <w:hideMark/>
          </w:tcPr>
          <w:p w14:paraId="798E9B39" w14:textId="77777777" w:rsidR="00CC3270" w:rsidRPr="008C062F" w:rsidRDefault="00CC3270" w:rsidP="00170E09">
            <w:pPr>
              <w:rPr>
                <w:rFonts w:ascii="Calibri" w:hAnsi="Calibri"/>
                <w:b/>
                <w:bCs/>
                <w:color w:val="000000"/>
                <w:sz w:val="22"/>
                <w:szCs w:val="22"/>
                <w:lang w:eastAsia="en-GB"/>
              </w:rPr>
            </w:pPr>
            <w:r w:rsidRPr="008C062F">
              <w:rPr>
                <w:rFonts w:ascii="Calibri" w:hAnsi="Calibri"/>
                <w:b/>
                <w:bCs/>
                <w:color w:val="000000"/>
                <w:sz w:val="22"/>
                <w:szCs w:val="22"/>
                <w:lang w:eastAsia="en-GB"/>
              </w:rPr>
              <w:t>Technology</w:t>
            </w:r>
          </w:p>
        </w:tc>
        <w:tc>
          <w:tcPr>
            <w:tcW w:w="1549" w:type="dxa"/>
            <w:tcBorders>
              <w:top w:val="nil"/>
              <w:left w:val="nil"/>
              <w:bottom w:val="nil"/>
              <w:right w:val="nil"/>
            </w:tcBorders>
            <w:shd w:val="clear" w:color="auto" w:fill="auto"/>
            <w:noWrap/>
            <w:vAlign w:val="bottom"/>
            <w:hideMark/>
          </w:tcPr>
          <w:p w14:paraId="6EE5DE54" w14:textId="77777777" w:rsidR="00CC3270" w:rsidRPr="0037138D" w:rsidRDefault="00CC3270" w:rsidP="00CC3270">
            <w:pPr>
              <w:jc w:val="center"/>
              <w:rPr>
                <w:rFonts w:ascii="Calibri" w:hAnsi="Calibri"/>
                <w:b/>
                <w:bCs/>
                <w:color w:val="000000"/>
                <w:sz w:val="22"/>
                <w:szCs w:val="22"/>
                <w:lang w:eastAsia="en-GB"/>
              </w:rPr>
            </w:pPr>
            <w:r w:rsidRPr="0037138D">
              <w:rPr>
                <w:rFonts w:ascii="Calibri" w:hAnsi="Calibri"/>
                <w:b/>
                <w:bCs/>
                <w:color w:val="000000"/>
                <w:sz w:val="22"/>
                <w:szCs w:val="22"/>
                <w:lang w:eastAsia="en-GB"/>
              </w:rPr>
              <w:t>Efficiency assumption - power density [Wp/m</w:t>
            </w:r>
            <w:r w:rsidRPr="00CC121E">
              <w:rPr>
                <w:rFonts w:ascii="Calibri" w:hAnsi="Calibri"/>
                <w:b/>
                <w:bCs/>
                <w:color w:val="000000"/>
                <w:sz w:val="22"/>
                <w:szCs w:val="22"/>
                <w:vertAlign w:val="superscript"/>
                <w:lang w:eastAsia="en-GB"/>
              </w:rPr>
              <w:t>2</w:t>
            </w:r>
            <w:r w:rsidRPr="0037138D">
              <w:rPr>
                <w:rFonts w:ascii="Calibri" w:hAnsi="Calibri"/>
                <w:b/>
                <w:bCs/>
                <w:color w:val="000000"/>
                <w:sz w:val="22"/>
                <w:szCs w:val="22"/>
                <w:lang w:eastAsia="en-GB"/>
              </w:rPr>
              <w:t>]</w:t>
            </w:r>
          </w:p>
        </w:tc>
        <w:tc>
          <w:tcPr>
            <w:tcW w:w="1240" w:type="dxa"/>
            <w:tcBorders>
              <w:top w:val="nil"/>
              <w:left w:val="nil"/>
              <w:bottom w:val="nil"/>
              <w:right w:val="nil"/>
            </w:tcBorders>
            <w:shd w:val="clear" w:color="auto" w:fill="auto"/>
            <w:noWrap/>
            <w:vAlign w:val="center"/>
            <w:hideMark/>
          </w:tcPr>
          <w:p w14:paraId="038F29D7" w14:textId="77777777" w:rsidR="00CC3270" w:rsidRPr="00B00B67" w:rsidRDefault="00CC3270" w:rsidP="00CC3270">
            <w:pPr>
              <w:jc w:val="center"/>
              <w:rPr>
                <w:rFonts w:ascii="Calibri" w:hAnsi="Calibri"/>
                <w:b/>
                <w:bCs/>
                <w:color w:val="000000"/>
                <w:sz w:val="22"/>
                <w:szCs w:val="22"/>
                <w:lang w:eastAsia="en-GB"/>
              </w:rPr>
            </w:pPr>
            <w:r w:rsidRPr="00B00B67">
              <w:rPr>
                <w:rFonts w:ascii="Calibri" w:hAnsi="Calibri"/>
                <w:b/>
                <w:bCs/>
                <w:color w:val="000000"/>
                <w:sz w:val="22"/>
                <w:szCs w:val="22"/>
                <w:lang w:eastAsia="en-GB"/>
              </w:rPr>
              <w:t>Potential [GW]</w:t>
            </w:r>
          </w:p>
        </w:tc>
      </w:tr>
      <w:tr w:rsidR="00CC3270" w:rsidRPr="00C61D6E" w14:paraId="31B69233" w14:textId="77777777" w:rsidTr="00051220">
        <w:trPr>
          <w:trHeight w:val="300"/>
        </w:trPr>
        <w:tc>
          <w:tcPr>
            <w:tcW w:w="4286" w:type="dxa"/>
            <w:tcBorders>
              <w:top w:val="nil"/>
              <w:left w:val="nil"/>
              <w:bottom w:val="nil"/>
              <w:right w:val="nil"/>
            </w:tcBorders>
            <w:shd w:val="clear" w:color="auto" w:fill="auto"/>
            <w:noWrap/>
            <w:vAlign w:val="center"/>
            <w:hideMark/>
          </w:tcPr>
          <w:p w14:paraId="3919B4C4"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TOTAL</w:t>
            </w:r>
          </w:p>
        </w:tc>
        <w:tc>
          <w:tcPr>
            <w:tcW w:w="2103" w:type="dxa"/>
            <w:tcBorders>
              <w:top w:val="nil"/>
              <w:left w:val="nil"/>
              <w:bottom w:val="nil"/>
              <w:right w:val="nil"/>
            </w:tcBorders>
            <w:shd w:val="clear" w:color="auto" w:fill="auto"/>
            <w:noWrap/>
            <w:vAlign w:val="bottom"/>
            <w:hideMark/>
          </w:tcPr>
          <w:p w14:paraId="2A38A1FD" w14:textId="77777777" w:rsidR="00CC3270" w:rsidRPr="00C61D6E" w:rsidRDefault="00CC3270" w:rsidP="00170E09">
            <w:pPr>
              <w:rPr>
                <w:rFonts w:ascii="Calibri" w:hAnsi="Calibri"/>
                <w:color w:val="000000"/>
                <w:sz w:val="22"/>
                <w:szCs w:val="22"/>
                <w:lang w:eastAsia="en-GB"/>
              </w:rPr>
            </w:pPr>
          </w:p>
        </w:tc>
        <w:tc>
          <w:tcPr>
            <w:tcW w:w="1549" w:type="dxa"/>
            <w:tcBorders>
              <w:top w:val="nil"/>
              <w:left w:val="nil"/>
              <w:bottom w:val="nil"/>
              <w:right w:val="nil"/>
            </w:tcBorders>
            <w:shd w:val="clear" w:color="auto" w:fill="auto"/>
            <w:noWrap/>
            <w:vAlign w:val="bottom"/>
            <w:hideMark/>
          </w:tcPr>
          <w:p w14:paraId="59AB3822"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bottom"/>
            <w:hideMark/>
          </w:tcPr>
          <w:p w14:paraId="1895464C" w14:textId="55295AB3" w:rsidR="00CC3270" w:rsidRPr="00C61D6E" w:rsidRDefault="00BD3029" w:rsidP="00CC3270">
            <w:pPr>
              <w:jc w:val="right"/>
              <w:rPr>
                <w:rFonts w:ascii="Calibri" w:hAnsi="Calibri"/>
                <w:color w:val="000000"/>
                <w:sz w:val="22"/>
                <w:szCs w:val="22"/>
                <w:lang w:eastAsia="en-GB"/>
              </w:rPr>
            </w:pPr>
            <w:r>
              <w:rPr>
                <w:rFonts w:ascii="Calibri" w:hAnsi="Calibri"/>
                <w:color w:val="000000"/>
                <w:sz w:val="22"/>
                <w:szCs w:val="22"/>
                <w:lang w:eastAsia="en-GB"/>
              </w:rPr>
              <w:t>10</w:t>
            </w:r>
            <w:r w:rsidR="00643E3D">
              <w:rPr>
                <w:rFonts w:ascii="Calibri" w:hAnsi="Calibri"/>
                <w:color w:val="000000"/>
                <w:sz w:val="22"/>
                <w:szCs w:val="22"/>
                <w:lang w:eastAsia="en-GB"/>
              </w:rPr>
              <w:t>,</w:t>
            </w:r>
            <w:r>
              <w:rPr>
                <w:rFonts w:ascii="Calibri" w:hAnsi="Calibri"/>
                <w:color w:val="000000"/>
                <w:sz w:val="22"/>
                <w:szCs w:val="22"/>
                <w:lang w:eastAsia="en-GB"/>
              </w:rPr>
              <w:t>127</w:t>
            </w:r>
          </w:p>
        </w:tc>
      </w:tr>
      <w:tr w:rsidR="00CC3270" w:rsidRPr="00C61D6E" w14:paraId="75ED0EFF" w14:textId="77777777" w:rsidTr="00051220">
        <w:trPr>
          <w:trHeight w:val="300"/>
        </w:trPr>
        <w:tc>
          <w:tcPr>
            <w:tcW w:w="4286" w:type="dxa"/>
            <w:tcBorders>
              <w:top w:val="nil"/>
              <w:left w:val="nil"/>
              <w:bottom w:val="nil"/>
              <w:right w:val="nil"/>
            </w:tcBorders>
            <w:shd w:val="clear" w:color="auto" w:fill="auto"/>
            <w:noWrap/>
            <w:vAlign w:val="center"/>
            <w:hideMark/>
          </w:tcPr>
          <w:p w14:paraId="44137808" w14:textId="5852B84F"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TOTA</w:t>
            </w:r>
            <w:r w:rsidR="00FE6855">
              <w:rPr>
                <w:rFonts w:ascii="Calibri" w:hAnsi="Calibri"/>
                <w:color w:val="000000"/>
                <w:sz w:val="22"/>
                <w:szCs w:val="22"/>
                <w:lang w:eastAsia="en-GB"/>
              </w:rPr>
              <w:t>L</w:t>
            </w:r>
          </w:p>
        </w:tc>
        <w:tc>
          <w:tcPr>
            <w:tcW w:w="2103" w:type="dxa"/>
            <w:tcBorders>
              <w:top w:val="nil"/>
              <w:left w:val="nil"/>
              <w:bottom w:val="nil"/>
              <w:right w:val="nil"/>
            </w:tcBorders>
            <w:shd w:val="clear" w:color="auto" w:fill="auto"/>
            <w:noWrap/>
            <w:vAlign w:val="bottom"/>
            <w:hideMark/>
          </w:tcPr>
          <w:p w14:paraId="39F0AC04" w14:textId="77777777" w:rsidR="00CC3270" w:rsidRPr="00C61D6E" w:rsidRDefault="00CC3270" w:rsidP="00170E09">
            <w:pPr>
              <w:rPr>
                <w:rFonts w:ascii="Calibri" w:hAnsi="Calibri"/>
                <w:color w:val="000000"/>
                <w:sz w:val="22"/>
                <w:szCs w:val="22"/>
                <w:lang w:eastAsia="en-GB"/>
              </w:rPr>
            </w:pPr>
          </w:p>
        </w:tc>
        <w:tc>
          <w:tcPr>
            <w:tcW w:w="1549" w:type="dxa"/>
            <w:tcBorders>
              <w:top w:val="nil"/>
              <w:left w:val="nil"/>
              <w:bottom w:val="nil"/>
              <w:right w:val="nil"/>
            </w:tcBorders>
            <w:shd w:val="clear" w:color="auto" w:fill="auto"/>
            <w:noWrap/>
            <w:vAlign w:val="bottom"/>
            <w:hideMark/>
          </w:tcPr>
          <w:p w14:paraId="6103D883"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noWrap/>
            <w:vAlign w:val="bottom"/>
            <w:hideMark/>
          </w:tcPr>
          <w:p w14:paraId="6B96093B" w14:textId="2E896CF4" w:rsidR="00CC3270" w:rsidRPr="00C61D6E" w:rsidRDefault="00BD3029" w:rsidP="00CC3270">
            <w:pPr>
              <w:jc w:val="right"/>
              <w:rPr>
                <w:rFonts w:ascii="Calibri" w:hAnsi="Calibri"/>
                <w:color w:val="000000"/>
                <w:sz w:val="22"/>
                <w:szCs w:val="22"/>
                <w:lang w:eastAsia="en-GB"/>
              </w:rPr>
            </w:pPr>
            <w:r>
              <w:rPr>
                <w:rFonts w:ascii="Calibri" w:hAnsi="Calibri"/>
                <w:color w:val="000000"/>
                <w:sz w:val="22"/>
                <w:szCs w:val="22"/>
                <w:lang w:eastAsia="en-GB"/>
              </w:rPr>
              <w:t>17</w:t>
            </w:r>
            <w:r w:rsidR="00643E3D">
              <w:rPr>
                <w:rFonts w:ascii="Calibri" w:hAnsi="Calibri"/>
                <w:color w:val="000000"/>
                <w:sz w:val="22"/>
                <w:szCs w:val="22"/>
                <w:lang w:eastAsia="en-GB"/>
              </w:rPr>
              <w:t>,</w:t>
            </w:r>
            <w:r>
              <w:rPr>
                <w:rFonts w:ascii="Calibri" w:hAnsi="Calibri"/>
                <w:color w:val="000000"/>
                <w:sz w:val="22"/>
                <w:szCs w:val="22"/>
                <w:lang w:eastAsia="en-GB"/>
              </w:rPr>
              <w:t>871</w:t>
            </w:r>
          </w:p>
        </w:tc>
      </w:tr>
      <w:tr w:rsidR="00CC3270" w:rsidRPr="00C61D6E" w14:paraId="15EAC282" w14:textId="77777777" w:rsidTr="00051220">
        <w:trPr>
          <w:trHeight w:val="300"/>
        </w:trPr>
        <w:tc>
          <w:tcPr>
            <w:tcW w:w="4286" w:type="dxa"/>
            <w:tcBorders>
              <w:top w:val="nil"/>
              <w:left w:val="nil"/>
              <w:bottom w:val="nil"/>
              <w:right w:val="nil"/>
            </w:tcBorders>
            <w:shd w:val="clear" w:color="auto" w:fill="auto"/>
            <w:noWrap/>
            <w:vAlign w:val="center"/>
            <w:hideMark/>
          </w:tcPr>
          <w:p w14:paraId="22654280"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45 degree south</w:t>
            </w:r>
          </w:p>
        </w:tc>
        <w:tc>
          <w:tcPr>
            <w:tcW w:w="2103" w:type="dxa"/>
            <w:tcBorders>
              <w:top w:val="nil"/>
              <w:left w:val="nil"/>
              <w:bottom w:val="nil"/>
              <w:right w:val="nil"/>
            </w:tcBorders>
            <w:shd w:val="clear" w:color="auto" w:fill="auto"/>
            <w:noWrap/>
            <w:vAlign w:val="bottom"/>
            <w:hideMark/>
          </w:tcPr>
          <w:p w14:paraId="21B4F7B4"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368F67A4"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3687E1B6"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83</w:t>
            </w:r>
          </w:p>
        </w:tc>
      </w:tr>
      <w:tr w:rsidR="00CC3270" w:rsidRPr="00C61D6E" w14:paraId="30922DD9" w14:textId="77777777" w:rsidTr="00051220">
        <w:trPr>
          <w:trHeight w:val="300"/>
        </w:trPr>
        <w:tc>
          <w:tcPr>
            <w:tcW w:w="4286" w:type="dxa"/>
            <w:tcBorders>
              <w:top w:val="nil"/>
              <w:left w:val="nil"/>
              <w:bottom w:val="nil"/>
              <w:right w:val="nil"/>
            </w:tcBorders>
            <w:shd w:val="clear" w:color="auto" w:fill="auto"/>
            <w:noWrap/>
            <w:vAlign w:val="center"/>
            <w:hideMark/>
          </w:tcPr>
          <w:p w14:paraId="6A34C253"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45 degree east</w:t>
            </w:r>
          </w:p>
        </w:tc>
        <w:tc>
          <w:tcPr>
            <w:tcW w:w="2103" w:type="dxa"/>
            <w:tcBorders>
              <w:top w:val="nil"/>
              <w:left w:val="nil"/>
              <w:bottom w:val="nil"/>
              <w:right w:val="nil"/>
            </w:tcBorders>
            <w:shd w:val="clear" w:color="auto" w:fill="auto"/>
            <w:noWrap/>
            <w:vAlign w:val="bottom"/>
            <w:hideMark/>
          </w:tcPr>
          <w:p w14:paraId="050FE6D6"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4E175CCF"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71504C76"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56</w:t>
            </w:r>
          </w:p>
        </w:tc>
      </w:tr>
      <w:tr w:rsidR="00CC3270" w:rsidRPr="00C61D6E" w14:paraId="16FF9687" w14:textId="77777777" w:rsidTr="00051220">
        <w:trPr>
          <w:trHeight w:val="300"/>
        </w:trPr>
        <w:tc>
          <w:tcPr>
            <w:tcW w:w="4286" w:type="dxa"/>
            <w:tcBorders>
              <w:top w:val="nil"/>
              <w:left w:val="nil"/>
              <w:bottom w:val="nil"/>
              <w:right w:val="nil"/>
            </w:tcBorders>
            <w:shd w:val="clear" w:color="auto" w:fill="auto"/>
            <w:noWrap/>
            <w:vAlign w:val="center"/>
            <w:hideMark/>
          </w:tcPr>
          <w:p w14:paraId="72F5B5B8"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45 degree west</w:t>
            </w:r>
          </w:p>
        </w:tc>
        <w:tc>
          <w:tcPr>
            <w:tcW w:w="2103" w:type="dxa"/>
            <w:tcBorders>
              <w:top w:val="nil"/>
              <w:left w:val="nil"/>
              <w:bottom w:val="nil"/>
              <w:right w:val="nil"/>
            </w:tcBorders>
            <w:shd w:val="clear" w:color="auto" w:fill="auto"/>
            <w:noWrap/>
            <w:vAlign w:val="bottom"/>
            <w:hideMark/>
          </w:tcPr>
          <w:p w14:paraId="57495685"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3388FDC4"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297C0CB0"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56</w:t>
            </w:r>
          </w:p>
        </w:tc>
      </w:tr>
      <w:tr w:rsidR="00CC3270" w:rsidRPr="00C61D6E" w14:paraId="02385F4E" w14:textId="77777777" w:rsidTr="00051220">
        <w:trPr>
          <w:trHeight w:val="300"/>
        </w:trPr>
        <w:tc>
          <w:tcPr>
            <w:tcW w:w="4286" w:type="dxa"/>
            <w:tcBorders>
              <w:top w:val="nil"/>
              <w:left w:val="nil"/>
              <w:bottom w:val="nil"/>
              <w:right w:val="nil"/>
            </w:tcBorders>
            <w:shd w:val="clear" w:color="auto" w:fill="auto"/>
            <w:noWrap/>
            <w:vAlign w:val="center"/>
            <w:hideMark/>
          </w:tcPr>
          <w:p w14:paraId="663E83AB"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latitude tilt</w:t>
            </w:r>
          </w:p>
        </w:tc>
        <w:tc>
          <w:tcPr>
            <w:tcW w:w="2103" w:type="dxa"/>
            <w:tcBorders>
              <w:top w:val="nil"/>
              <w:left w:val="nil"/>
              <w:bottom w:val="nil"/>
              <w:right w:val="nil"/>
            </w:tcBorders>
            <w:shd w:val="clear" w:color="auto" w:fill="auto"/>
            <w:noWrap/>
            <w:vAlign w:val="bottom"/>
            <w:hideMark/>
          </w:tcPr>
          <w:p w14:paraId="074E3408"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5E2EC283"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42E910DA"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87</w:t>
            </w:r>
          </w:p>
        </w:tc>
      </w:tr>
      <w:tr w:rsidR="00CC3270" w:rsidRPr="00C61D6E" w14:paraId="5C3E14F4" w14:textId="77777777" w:rsidTr="00051220">
        <w:trPr>
          <w:trHeight w:val="300"/>
        </w:trPr>
        <w:tc>
          <w:tcPr>
            <w:tcW w:w="4286" w:type="dxa"/>
            <w:tcBorders>
              <w:top w:val="nil"/>
              <w:left w:val="nil"/>
              <w:bottom w:val="nil"/>
              <w:right w:val="nil"/>
            </w:tcBorders>
            <w:shd w:val="clear" w:color="auto" w:fill="auto"/>
            <w:noWrap/>
            <w:vAlign w:val="center"/>
            <w:hideMark/>
          </w:tcPr>
          <w:p w14:paraId="47ACDA39"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facade south</w:t>
            </w:r>
          </w:p>
        </w:tc>
        <w:tc>
          <w:tcPr>
            <w:tcW w:w="2103" w:type="dxa"/>
            <w:tcBorders>
              <w:top w:val="nil"/>
              <w:left w:val="nil"/>
              <w:bottom w:val="nil"/>
              <w:right w:val="nil"/>
            </w:tcBorders>
            <w:shd w:val="clear" w:color="auto" w:fill="auto"/>
            <w:noWrap/>
            <w:vAlign w:val="bottom"/>
            <w:hideMark/>
          </w:tcPr>
          <w:p w14:paraId="4D3CA0F7"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29F7EF8F"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27AE13E6"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108</w:t>
            </w:r>
          </w:p>
        </w:tc>
      </w:tr>
      <w:tr w:rsidR="00CC3270" w:rsidRPr="00C61D6E" w14:paraId="291797A2" w14:textId="77777777" w:rsidTr="00051220">
        <w:trPr>
          <w:trHeight w:val="300"/>
        </w:trPr>
        <w:tc>
          <w:tcPr>
            <w:tcW w:w="4286" w:type="dxa"/>
            <w:tcBorders>
              <w:top w:val="nil"/>
              <w:left w:val="nil"/>
              <w:bottom w:val="nil"/>
              <w:right w:val="nil"/>
            </w:tcBorders>
            <w:shd w:val="clear" w:color="auto" w:fill="auto"/>
            <w:noWrap/>
            <w:vAlign w:val="center"/>
            <w:hideMark/>
          </w:tcPr>
          <w:p w14:paraId="54B6A989"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facade east</w:t>
            </w:r>
          </w:p>
        </w:tc>
        <w:tc>
          <w:tcPr>
            <w:tcW w:w="2103" w:type="dxa"/>
            <w:tcBorders>
              <w:top w:val="nil"/>
              <w:left w:val="nil"/>
              <w:bottom w:val="nil"/>
              <w:right w:val="nil"/>
            </w:tcBorders>
            <w:shd w:val="clear" w:color="auto" w:fill="auto"/>
            <w:noWrap/>
            <w:vAlign w:val="bottom"/>
            <w:hideMark/>
          </w:tcPr>
          <w:p w14:paraId="7E92BEE3"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5EB20DAA"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6FC30EB1"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108</w:t>
            </w:r>
          </w:p>
        </w:tc>
      </w:tr>
      <w:tr w:rsidR="00CC3270" w:rsidRPr="00C61D6E" w14:paraId="0B1F4641" w14:textId="77777777" w:rsidTr="00051220">
        <w:trPr>
          <w:trHeight w:val="300"/>
        </w:trPr>
        <w:tc>
          <w:tcPr>
            <w:tcW w:w="4286" w:type="dxa"/>
            <w:tcBorders>
              <w:top w:val="nil"/>
              <w:left w:val="nil"/>
              <w:bottom w:val="nil"/>
              <w:right w:val="nil"/>
            </w:tcBorders>
            <w:shd w:val="clear" w:color="auto" w:fill="auto"/>
            <w:noWrap/>
            <w:vAlign w:val="center"/>
            <w:hideMark/>
          </w:tcPr>
          <w:p w14:paraId="0920FB18"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facade west</w:t>
            </w:r>
          </w:p>
        </w:tc>
        <w:tc>
          <w:tcPr>
            <w:tcW w:w="2103" w:type="dxa"/>
            <w:tcBorders>
              <w:top w:val="nil"/>
              <w:left w:val="nil"/>
              <w:bottom w:val="nil"/>
              <w:right w:val="nil"/>
            </w:tcBorders>
            <w:shd w:val="clear" w:color="auto" w:fill="auto"/>
            <w:noWrap/>
            <w:vAlign w:val="bottom"/>
            <w:hideMark/>
          </w:tcPr>
          <w:p w14:paraId="514D8802"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266788B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6CF4EC6F"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108</w:t>
            </w:r>
          </w:p>
        </w:tc>
      </w:tr>
      <w:tr w:rsidR="00CC3270" w:rsidRPr="00C61D6E" w14:paraId="1EC7C5AB" w14:textId="77777777" w:rsidTr="00051220">
        <w:trPr>
          <w:trHeight w:val="300"/>
        </w:trPr>
        <w:tc>
          <w:tcPr>
            <w:tcW w:w="4286" w:type="dxa"/>
            <w:tcBorders>
              <w:top w:val="nil"/>
              <w:left w:val="nil"/>
              <w:bottom w:val="nil"/>
              <w:right w:val="nil"/>
            </w:tcBorders>
            <w:shd w:val="clear" w:color="auto" w:fill="auto"/>
            <w:noWrap/>
            <w:vAlign w:val="center"/>
            <w:hideMark/>
          </w:tcPr>
          <w:p w14:paraId="49D6DCB1"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45 degree south</w:t>
            </w:r>
          </w:p>
        </w:tc>
        <w:tc>
          <w:tcPr>
            <w:tcW w:w="2103" w:type="dxa"/>
            <w:tcBorders>
              <w:top w:val="nil"/>
              <w:left w:val="nil"/>
              <w:bottom w:val="nil"/>
              <w:right w:val="nil"/>
            </w:tcBorders>
            <w:shd w:val="clear" w:color="auto" w:fill="auto"/>
            <w:noWrap/>
            <w:vAlign w:val="bottom"/>
            <w:hideMark/>
          </w:tcPr>
          <w:p w14:paraId="52DD4B2A"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0E99746F"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30148890"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37</w:t>
            </w:r>
          </w:p>
        </w:tc>
      </w:tr>
      <w:tr w:rsidR="00CC3270" w:rsidRPr="00C61D6E" w14:paraId="4988C595" w14:textId="77777777" w:rsidTr="00051220">
        <w:trPr>
          <w:trHeight w:val="300"/>
        </w:trPr>
        <w:tc>
          <w:tcPr>
            <w:tcW w:w="4286" w:type="dxa"/>
            <w:tcBorders>
              <w:top w:val="nil"/>
              <w:left w:val="nil"/>
              <w:bottom w:val="nil"/>
              <w:right w:val="nil"/>
            </w:tcBorders>
            <w:shd w:val="clear" w:color="auto" w:fill="auto"/>
            <w:noWrap/>
            <w:vAlign w:val="center"/>
            <w:hideMark/>
          </w:tcPr>
          <w:p w14:paraId="70F7044A"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45 degree east</w:t>
            </w:r>
          </w:p>
        </w:tc>
        <w:tc>
          <w:tcPr>
            <w:tcW w:w="2103" w:type="dxa"/>
            <w:tcBorders>
              <w:top w:val="nil"/>
              <w:left w:val="nil"/>
              <w:bottom w:val="nil"/>
              <w:right w:val="nil"/>
            </w:tcBorders>
            <w:shd w:val="clear" w:color="auto" w:fill="auto"/>
            <w:noWrap/>
            <w:vAlign w:val="bottom"/>
            <w:hideMark/>
          </w:tcPr>
          <w:p w14:paraId="4F6C7C8C"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0FF2F5D5"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76CDA03A"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25</w:t>
            </w:r>
          </w:p>
        </w:tc>
      </w:tr>
      <w:tr w:rsidR="00CC3270" w:rsidRPr="00C61D6E" w14:paraId="56992CC6" w14:textId="77777777" w:rsidTr="00051220">
        <w:trPr>
          <w:trHeight w:val="300"/>
        </w:trPr>
        <w:tc>
          <w:tcPr>
            <w:tcW w:w="4286" w:type="dxa"/>
            <w:tcBorders>
              <w:top w:val="nil"/>
              <w:left w:val="nil"/>
              <w:bottom w:val="nil"/>
              <w:right w:val="nil"/>
            </w:tcBorders>
            <w:shd w:val="clear" w:color="auto" w:fill="auto"/>
            <w:noWrap/>
            <w:vAlign w:val="center"/>
            <w:hideMark/>
          </w:tcPr>
          <w:p w14:paraId="1F10D05B"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45 degree west</w:t>
            </w:r>
          </w:p>
        </w:tc>
        <w:tc>
          <w:tcPr>
            <w:tcW w:w="2103" w:type="dxa"/>
            <w:tcBorders>
              <w:top w:val="nil"/>
              <w:left w:val="nil"/>
              <w:bottom w:val="nil"/>
              <w:right w:val="nil"/>
            </w:tcBorders>
            <w:shd w:val="clear" w:color="auto" w:fill="auto"/>
            <w:noWrap/>
            <w:vAlign w:val="bottom"/>
            <w:hideMark/>
          </w:tcPr>
          <w:p w14:paraId="6315E3C3"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59CF8C3A"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0A43657D"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25</w:t>
            </w:r>
          </w:p>
        </w:tc>
      </w:tr>
      <w:tr w:rsidR="00CC3270" w:rsidRPr="00C61D6E" w14:paraId="70882210" w14:textId="77777777" w:rsidTr="00051220">
        <w:trPr>
          <w:trHeight w:val="300"/>
        </w:trPr>
        <w:tc>
          <w:tcPr>
            <w:tcW w:w="4286" w:type="dxa"/>
            <w:tcBorders>
              <w:top w:val="nil"/>
              <w:left w:val="nil"/>
              <w:bottom w:val="nil"/>
              <w:right w:val="nil"/>
            </w:tcBorders>
            <w:shd w:val="clear" w:color="auto" w:fill="auto"/>
            <w:noWrap/>
            <w:vAlign w:val="center"/>
            <w:hideMark/>
          </w:tcPr>
          <w:p w14:paraId="4D5782E4"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latitude tilt</w:t>
            </w:r>
          </w:p>
        </w:tc>
        <w:tc>
          <w:tcPr>
            <w:tcW w:w="2103" w:type="dxa"/>
            <w:tcBorders>
              <w:top w:val="nil"/>
              <w:left w:val="nil"/>
              <w:bottom w:val="nil"/>
              <w:right w:val="nil"/>
            </w:tcBorders>
            <w:shd w:val="clear" w:color="auto" w:fill="auto"/>
            <w:noWrap/>
            <w:vAlign w:val="bottom"/>
            <w:hideMark/>
          </w:tcPr>
          <w:p w14:paraId="3145524D"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4B7315E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191C5F7E"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287</w:t>
            </w:r>
          </w:p>
        </w:tc>
      </w:tr>
      <w:tr w:rsidR="00CC3270" w:rsidRPr="00C61D6E" w14:paraId="4849F533" w14:textId="77777777" w:rsidTr="00051220">
        <w:trPr>
          <w:trHeight w:val="300"/>
        </w:trPr>
        <w:tc>
          <w:tcPr>
            <w:tcW w:w="4286" w:type="dxa"/>
            <w:tcBorders>
              <w:top w:val="nil"/>
              <w:left w:val="nil"/>
              <w:bottom w:val="nil"/>
              <w:right w:val="nil"/>
            </w:tcBorders>
            <w:shd w:val="clear" w:color="auto" w:fill="auto"/>
            <w:noWrap/>
            <w:vAlign w:val="center"/>
            <w:hideMark/>
          </w:tcPr>
          <w:p w14:paraId="318FAFFB"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facade south</w:t>
            </w:r>
          </w:p>
        </w:tc>
        <w:tc>
          <w:tcPr>
            <w:tcW w:w="2103" w:type="dxa"/>
            <w:tcBorders>
              <w:top w:val="nil"/>
              <w:left w:val="nil"/>
              <w:bottom w:val="nil"/>
              <w:right w:val="nil"/>
            </w:tcBorders>
            <w:shd w:val="clear" w:color="auto" w:fill="auto"/>
            <w:noWrap/>
            <w:vAlign w:val="bottom"/>
            <w:hideMark/>
          </w:tcPr>
          <w:p w14:paraId="705F06DF"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08979F4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3BC67A2D"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66</w:t>
            </w:r>
          </w:p>
        </w:tc>
      </w:tr>
      <w:tr w:rsidR="00CC3270" w:rsidRPr="00C61D6E" w14:paraId="011D6EB1" w14:textId="77777777" w:rsidTr="00051220">
        <w:trPr>
          <w:trHeight w:val="300"/>
        </w:trPr>
        <w:tc>
          <w:tcPr>
            <w:tcW w:w="4286" w:type="dxa"/>
            <w:tcBorders>
              <w:top w:val="nil"/>
              <w:left w:val="nil"/>
              <w:bottom w:val="nil"/>
              <w:right w:val="nil"/>
            </w:tcBorders>
            <w:shd w:val="clear" w:color="auto" w:fill="auto"/>
            <w:noWrap/>
            <w:vAlign w:val="center"/>
            <w:hideMark/>
          </w:tcPr>
          <w:p w14:paraId="58509219"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facade east</w:t>
            </w:r>
          </w:p>
        </w:tc>
        <w:tc>
          <w:tcPr>
            <w:tcW w:w="2103" w:type="dxa"/>
            <w:tcBorders>
              <w:top w:val="nil"/>
              <w:left w:val="nil"/>
              <w:bottom w:val="nil"/>
              <w:right w:val="nil"/>
            </w:tcBorders>
            <w:shd w:val="clear" w:color="auto" w:fill="auto"/>
            <w:noWrap/>
            <w:vAlign w:val="bottom"/>
            <w:hideMark/>
          </w:tcPr>
          <w:p w14:paraId="2601AA7E"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28F65C5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0E417B22"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66</w:t>
            </w:r>
          </w:p>
        </w:tc>
      </w:tr>
      <w:tr w:rsidR="00CC3270" w:rsidRPr="00C61D6E" w14:paraId="73542DA4" w14:textId="77777777" w:rsidTr="00051220">
        <w:trPr>
          <w:trHeight w:val="300"/>
        </w:trPr>
        <w:tc>
          <w:tcPr>
            <w:tcW w:w="4286" w:type="dxa"/>
            <w:tcBorders>
              <w:top w:val="nil"/>
              <w:left w:val="nil"/>
              <w:bottom w:val="nil"/>
              <w:right w:val="nil"/>
            </w:tcBorders>
            <w:shd w:val="clear" w:color="auto" w:fill="auto"/>
            <w:noWrap/>
            <w:vAlign w:val="center"/>
            <w:hideMark/>
          </w:tcPr>
          <w:p w14:paraId="612C3DA3"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facade west</w:t>
            </w:r>
          </w:p>
        </w:tc>
        <w:tc>
          <w:tcPr>
            <w:tcW w:w="2103" w:type="dxa"/>
            <w:tcBorders>
              <w:top w:val="nil"/>
              <w:left w:val="nil"/>
              <w:bottom w:val="nil"/>
              <w:right w:val="nil"/>
            </w:tcBorders>
            <w:shd w:val="clear" w:color="auto" w:fill="auto"/>
            <w:noWrap/>
            <w:vAlign w:val="bottom"/>
            <w:hideMark/>
          </w:tcPr>
          <w:p w14:paraId="79457F0A"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7A278C5A"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vAlign w:val="center"/>
            <w:hideMark/>
          </w:tcPr>
          <w:p w14:paraId="5A40644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66</w:t>
            </w:r>
          </w:p>
        </w:tc>
      </w:tr>
      <w:tr w:rsidR="00BD3029" w:rsidRPr="00C61D6E" w14:paraId="0D6BFB64" w14:textId="77777777" w:rsidTr="009115E4">
        <w:trPr>
          <w:trHeight w:val="300"/>
        </w:trPr>
        <w:tc>
          <w:tcPr>
            <w:tcW w:w="4286" w:type="dxa"/>
            <w:tcBorders>
              <w:top w:val="nil"/>
              <w:left w:val="nil"/>
              <w:bottom w:val="nil"/>
              <w:right w:val="nil"/>
            </w:tcBorders>
            <w:shd w:val="clear" w:color="auto" w:fill="auto"/>
            <w:noWrap/>
            <w:vAlign w:val="center"/>
            <w:hideMark/>
          </w:tcPr>
          <w:p w14:paraId="7F67E6B5"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agriculture high irradiation</w:t>
            </w:r>
          </w:p>
        </w:tc>
        <w:tc>
          <w:tcPr>
            <w:tcW w:w="2103" w:type="dxa"/>
            <w:tcBorders>
              <w:top w:val="nil"/>
              <w:left w:val="nil"/>
              <w:bottom w:val="nil"/>
              <w:right w:val="nil"/>
            </w:tcBorders>
            <w:shd w:val="clear" w:color="auto" w:fill="auto"/>
            <w:noWrap/>
            <w:vAlign w:val="bottom"/>
            <w:hideMark/>
          </w:tcPr>
          <w:p w14:paraId="500AB0F4"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CSP - before storage</w:t>
            </w:r>
          </w:p>
        </w:tc>
        <w:tc>
          <w:tcPr>
            <w:tcW w:w="1549" w:type="dxa"/>
            <w:tcBorders>
              <w:top w:val="nil"/>
              <w:left w:val="nil"/>
              <w:bottom w:val="nil"/>
              <w:right w:val="nil"/>
            </w:tcBorders>
            <w:shd w:val="clear" w:color="auto" w:fill="auto"/>
            <w:noWrap/>
            <w:vAlign w:val="bottom"/>
            <w:hideMark/>
          </w:tcPr>
          <w:p w14:paraId="45335C94"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tcPr>
          <w:p w14:paraId="5E736EBC" w14:textId="6074CFF8"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598</w:t>
            </w:r>
          </w:p>
        </w:tc>
      </w:tr>
      <w:tr w:rsidR="00BD3029" w:rsidRPr="00C61D6E" w14:paraId="09BBF0A5" w14:textId="77777777" w:rsidTr="009115E4">
        <w:trPr>
          <w:trHeight w:val="300"/>
        </w:trPr>
        <w:tc>
          <w:tcPr>
            <w:tcW w:w="4286" w:type="dxa"/>
            <w:tcBorders>
              <w:top w:val="nil"/>
              <w:left w:val="nil"/>
              <w:bottom w:val="nil"/>
              <w:right w:val="nil"/>
            </w:tcBorders>
            <w:shd w:val="clear" w:color="auto" w:fill="auto"/>
            <w:noWrap/>
            <w:vAlign w:val="center"/>
            <w:hideMark/>
          </w:tcPr>
          <w:p w14:paraId="0297DDAF"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agriculture low irradiation</w:t>
            </w:r>
          </w:p>
        </w:tc>
        <w:tc>
          <w:tcPr>
            <w:tcW w:w="2103" w:type="dxa"/>
            <w:tcBorders>
              <w:top w:val="nil"/>
              <w:left w:val="nil"/>
              <w:bottom w:val="nil"/>
              <w:right w:val="nil"/>
            </w:tcBorders>
            <w:shd w:val="clear" w:color="auto" w:fill="auto"/>
            <w:noWrap/>
            <w:vAlign w:val="bottom"/>
            <w:hideMark/>
          </w:tcPr>
          <w:p w14:paraId="17203873"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PV - ground</w:t>
            </w:r>
          </w:p>
        </w:tc>
        <w:tc>
          <w:tcPr>
            <w:tcW w:w="1549" w:type="dxa"/>
            <w:tcBorders>
              <w:top w:val="nil"/>
              <w:left w:val="nil"/>
              <w:bottom w:val="nil"/>
              <w:right w:val="nil"/>
            </w:tcBorders>
            <w:shd w:val="clear" w:color="auto" w:fill="auto"/>
            <w:noWrap/>
            <w:vAlign w:val="bottom"/>
            <w:hideMark/>
          </w:tcPr>
          <w:p w14:paraId="4A225E42"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tcPr>
          <w:p w14:paraId="2386E996" w14:textId="22F595BC"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7</w:t>
            </w:r>
            <w:r w:rsidR="00BC3F1E">
              <w:rPr>
                <w:rFonts w:ascii="Calibri" w:hAnsi="Calibri"/>
                <w:color w:val="000000"/>
                <w:sz w:val="22"/>
                <w:szCs w:val="22"/>
                <w:lang w:eastAsia="en-GB"/>
              </w:rPr>
              <w:t>,</w:t>
            </w:r>
            <w:r w:rsidRPr="00BD3029">
              <w:rPr>
                <w:rFonts w:ascii="Calibri" w:hAnsi="Calibri"/>
                <w:color w:val="000000"/>
                <w:sz w:val="22"/>
                <w:szCs w:val="22"/>
                <w:lang w:eastAsia="en-GB"/>
              </w:rPr>
              <w:t>867</w:t>
            </w:r>
          </w:p>
        </w:tc>
      </w:tr>
      <w:tr w:rsidR="00BD3029" w:rsidRPr="00C61D6E" w14:paraId="29EBE38D" w14:textId="77777777" w:rsidTr="009115E4">
        <w:trPr>
          <w:trHeight w:val="300"/>
        </w:trPr>
        <w:tc>
          <w:tcPr>
            <w:tcW w:w="4286" w:type="dxa"/>
            <w:tcBorders>
              <w:top w:val="nil"/>
              <w:left w:val="nil"/>
              <w:bottom w:val="nil"/>
              <w:right w:val="nil"/>
            </w:tcBorders>
            <w:shd w:val="clear" w:color="auto" w:fill="auto"/>
            <w:noWrap/>
            <w:vAlign w:val="center"/>
            <w:hideMark/>
          </w:tcPr>
          <w:p w14:paraId="0A0B928E"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non-agriculture high irradiation</w:t>
            </w:r>
          </w:p>
        </w:tc>
        <w:tc>
          <w:tcPr>
            <w:tcW w:w="2103" w:type="dxa"/>
            <w:tcBorders>
              <w:top w:val="nil"/>
              <w:left w:val="nil"/>
              <w:bottom w:val="nil"/>
              <w:right w:val="nil"/>
            </w:tcBorders>
            <w:shd w:val="clear" w:color="auto" w:fill="auto"/>
            <w:noWrap/>
            <w:vAlign w:val="bottom"/>
            <w:hideMark/>
          </w:tcPr>
          <w:p w14:paraId="7902164B"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CSP - before storage</w:t>
            </w:r>
          </w:p>
        </w:tc>
        <w:tc>
          <w:tcPr>
            <w:tcW w:w="1549" w:type="dxa"/>
            <w:tcBorders>
              <w:top w:val="nil"/>
              <w:left w:val="nil"/>
              <w:bottom w:val="nil"/>
              <w:right w:val="nil"/>
            </w:tcBorders>
            <w:shd w:val="clear" w:color="auto" w:fill="auto"/>
            <w:noWrap/>
            <w:vAlign w:val="bottom"/>
            <w:hideMark/>
          </w:tcPr>
          <w:p w14:paraId="601E2ABD"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tcPr>
          <w:p w14:paraId="005A794B" w14:textId="56E92BDC"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26</w:t>
            </w:r>
          </w:p>
        </w:tc>
      </w:tr>
      <w:tr w:rsidR="00BD3029" w:rsidRPr="00C61D6E" w14:paraId="4BDAEFCA" w14:textId="77777777" w:rsidTr="009115E4">
        <w:trPr>
          <w:trHeight w:val="300"/>
        </w:trPr>
        <w:tc>
          <w:tcPr>
            <w:tcW w:w="4286" w:type="dxa"/>
            <w:tcBorders>
              <w:top w:val="nil"/>
              <w:left w:val="nil"/>
              <w:bottom w:val="nil"/>
              <w:right w:val="nil"/>
            </w:tcBorders>
            <w:shd w:val="clear" w:color="auto" w:fill="auto"/>
            <w:noWrap/>
            <w:vAlign w:val="center"/>
            <w:hideMark/>
          </w:tcPr>
          <w:p w14:paraId="59855FA1"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non-agriculture low irradiation</w:t>
            </w:r>
          </w:p>
        </w:tc>
        <w:tc>
          <w:tcPr>
            <w:tcW w:w="2103" w:type="dxa"/>
            <w:tcBorders>
              <w:top w:val="nil"/>
              <w:left w:val="nil"/>
              <w:bottom w:val="nil"/>
              <w:right w:val="nil"/>
            </w:tcBorders>
            <w:shd w:val="clear" w:color="auto" w:fill="auto"/>
            <w:noWrap/>
            <w:vAlign w:val="bottom"/>
            <w:hideMark/>
          </w:tcPr>
          <w:p w14:paraId="6CB28FAF"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PV - ground</w:t>
            </w:r>
          </w:p>
        </w:tc>
        <w:tc>
          <w:tcPr>
            <w:tcW w:w="1549" w:type="dxa"/>
            <w:tcBorders>
              <w:top w:val="nil"/>
              <w:left w:val="nil"/>
              <w:bottom w:val="nil"/>
              <w:right w:val="nil"/>
            </w:tcBorders>
            <w:shd w:val="clear" w:color="auto" w:fill="auto"/>
            <w:noWrap/>
            <w:vAlign w:val="bottom"/>
            <w:hideMark/>
          </w:tcPr>
          <w:p w14:paraId="193F1181"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170</w:t>
            </w:r>
          </w:p>
        </w:tc>
        <w:tc>
          <w:tcPr>
            <w:tcW w:w="1240" w:type="dxa"/>
            <w:tcBorders>
              <w:top w:val="nil"/>
              <w:left w:val="nil"/>
              <w:bottom w:val="nil"/>
              <w:right w:val="nil"/>
            </w:tcBorders>
            <w:shd w:val="clear" w:color="auto" w:fill="auto"/>
            <w:noWrap/>
          </w:tcPr>
          <w:p w14:paraId="238F4F1E" w14:textId="4A447B1A"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458</w:t>
            </w:r>
          </w:p>
        </w:tc>
      </w:tr>
      <w:tr w:rsidR="00CC3270" w:rsidRPr="00C61D6E" w14:paraId="6E3B22DF" w14:textId="77777777" w:rsidTr="00051220">
        <w:trPr>
          <w:trHeight w:val="300"/>
        </w:trPr>
        <w:tc>
          <w:tcPr>
            <w:tcW w:w="4286" w:type="dxa"/>
            <w:tcBorders>
              <w:top w:val="nil"/>
              <w:left w:val="nil"/>
              <w:bottom w:val="nil"/>
              <w:right w:val="nil"/>
            </w:tcBorders>
            <w:shd w:val="clear" w:color="auto" w:fill="auto"/>
            <w:noWrap/>
            <w:vAlign w:val="center"/>
            <w:hideMark/>
          </w:tcPr>
          <w:p w14:paraId="292DF392"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45 degree south</w:t>
            </w:r>
          </w:p>
        </w:tc>
        <w:tc>
          <w:tcPr>
            <w:tcW w:w="2103" w:type="dxa"/>
            <w:tcBorders>
              <w:top w:val="nil"/>
              <w:left w:val="nil"/>
              <w:bottom w:val="nil"/>
              <w:right w:val="nil"/>
            </w:tcBorders>
            <w:shd w:val="clear" w:color="auto" w:fill="auto"/>
            <w:noWrap/>
            <w:vAlign w:val="bottom"/>
            <w:hideMark/>
          </w:tcPr>
          <w:p w14:paraId="62E6040D"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2D3642A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15A8225E"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147</w:t>
            </w:r>
          </w:p>
        </w:tc>
      </w:tr>
      <w:tr w:rsidR="00CC3270" w:rsidRPr="00C61D6E" w14:paraId="49501CE7" w14:textId="77777777" w:rsidTr="00051220">
        <w:trPr>
          <w:trHeight w:val="300"/>
        </w:trPr>
        <w:tc>
          <w:tcPr>
            <w:tcW w:w="4286" w:type="dxa"/>
            <w:tcBorders>
              <w:top w:val="nil"/>
              <w:left w:val="nil"/>
              <w:bottom w:val="nil"/>
              <w:right w:val="nil"/>
            </w:tcBorders>
            <w:shd w:val="clear" w:color="auto" w:fill="auto"/>
            <w:noWrap/>
            <w:vAlign w:val="center"/>
            <w:hideMark/>
          </w:tcPr>
          <w:p w14:paraId="6DB5C416"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45 degree east</w:t>
            </w:r>
          </w:p>
        </w:tc>
        <w:tc>
          <w:tcPr>
            <w:tcW w:w="2103" w:type="dxa"/>
            <w:tcBorders>
              <w:top w:val="nil"/>
              <w:left w:val="nil"/>
              <w:bottom w:val="nil"/>
              <w:right w:val="nil"/>
            </w:tcBorders>
            <w:shd w:val="clear" w:color="auto" w:fill="auto"/>
            <w:noWrap/>
            <w:vAlign w:val="bottom"/>
            <w:hideMark/>
          </w:tcPr>
          <w:p w14:paraId="71308297"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6D0ECBC5"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6BAC3A93"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98</w:t>
            </w:r>
          </w:p>
        </w:tc>
      </w:tr>
      <w:tr w:rsidR="00CC3270" w:rsidRPr="00C61D6E" w14:paraId="49DFD4C1" w14:textId="77777777" w:rsidTr="00051220">
        <w:trPr>
          <w:trHeight w:val="300"/>
        </w:trPr>
        <w:tc>
          <w:tcPr>
            <w:tcW w:w="4286" w:type="dxa"/>
            <w:tcBorders>
              <w:top w:val="nil"/>
              <w:left w:val="nil"/>
              <w:bottom w:val="nil"/>
              <w:right w:val="nil"/>
            </w:tcBorders>
            <w:shd w:val="clear" w:color="auto" w:fill="auto"/>
            <w:noWrap/>
            <w:vAlign w:val="center"/>
            <w:hideMark/>
          </w:tcPr>
          <w:p w14:paraId="21719B5E"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45 degree west</w:t>
            </w:r>
          </w:p>
        </w:tc>
        <w:tc>
          <w:tcPr>
            <w:tcW w:w="2103" w:type="dxa"/>
            <w:tcBorders>
              <w:top w:val="nil"/>
              <w:left w:val="nil"/>
              <w:bottom w:val="nil"/>
              <w:right w:val="nil"/>
            </w:tcBorders>
            <w:shd w:val="clear" w:color="auto" w:fill="auto"/>
            <w:noWrap/>
            <w:vAlign w:val="bottom"/>
            <w:hideMark/>
          </w:tcPr>
          <w:p w14:paraId="1E6229A3"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36E40671"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64D7E7AD"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98</w:t>
            </w:r>
          </w:p>
        </w:tc>
      </w:tr>
      <w:tr w:rsidR="00CC3270" w:rsidRPr="00C61D6E" w14:paraId="58830528" w14:textId="77777777" w:rsidTr="00051220">
        <w:trPr>
          <w:trHeight w:val="300"/>
        </w:trPr>
        <w:tc>
          <w:tcPr>
            <w:tcW w:w="4286" w:type="dxa"/>
            <w:tcBorders>
              <w:top w:val="nil"/>
              <w:left w:val="nil"/>
              <w:bottom w:val="nil"/>
              <w:right w:val="nil"/>
            </w:tcBorders>
            <w:shd w:val="clear" w:color="auto" w:fill="auto"/>
            <w:noWrap/>
            <w:vAlign w:val="center"/>
            <w:hideMark/>
          </w:tcPr>
          <w:p w14:paraId="2AF1C216"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roof-top latitude tilt</w:t>
            </w:r>
          </w:p>
        </w:tc>
        <w:tc>
          <w:tcPr>
            <w:tcW w:w="2103" w:type="dxa"/>
            <w:tcBorders>
              <w:top w:val="nil"/>
              <w:left w:val="nil"/>
              <w:bottom w:val="nil"/>
              <w:right w:val="nil"/>
            </w:tcBorders>
            <w:shd w:val="clear" w:color="auto" w:fill="auto"/>
            <w:noWrap/>
            <w:vAlign w:val="bottom"/>
            <w:hideMark/>
          </w:tcPr>
          <w:p w14:paraId="17AF94E5"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45EFD2EF"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1C7BE814"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154</w:t>
            </w:r>
          </w:p>
        </w:tc>
      </w:tr>
      <w:tr w:rsidR="00CC3270" w:rsidRPr="00C61D6E" w14:paraId="796BF2E5" w14:textId="77777777" w:rsidTr="00051220">
        <w:trPr>
          <w:trHeight w:val="300"/>
        </w:trPr>
        <w:tc>
          <w:tcPr>
            <w:tcW w:w="4286" w:type="dxa"/>
            <w:tcBorders>
              <w:top w:val="nil"/>
              <w:left w:val="nil"/>
              <w:bottom w:val="nil"/>
              <w:right w:val="nil"/>
            </w:tcBorders>
            <w:shd w:val="clear" w:color="auto" w:fill="auto"/>
            <w:noWrap/>
            <w:vAlign w:val="center"/>
            <w:hideMark/>
          </w:tcPr>
          <w:p w14:paraId="3569AAB8"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facade south</w:t>
            </w:r>
          </w:p>
        </w:tc>
        <w:tc>
          <w:tcPr>
            <w:tcW w:w="2103" w:type="dxa"/>
            <w:tcBorders>
              <w:top w:val="nil"/>
              <w:left w:val="nil"/>
              <w:bottom w:val="nil"/>
              <w:right w:val="nil"/>
            </w:tcBorders>
            <w:shd w:val="clear" w:color="auto" w:fill="auto"/>
            <w:noWrap/>
            <w:vAlign w:val="bottom"/>
            <w:hideMark/>
          </w:tcPr>
          <w:p w14:paraId="31C730DB"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41AA1D7F"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363A661B"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191</w:t>
            </w:r>
          </w:p>
        </w:tc>
      </w:tr>
      <w:tr w:rsidR="00CC3270" w:rsidRPr="00C61D6E" w14:paraId="7A0FD09E" w14:textId="77777777" w:rsidTr="00051220">
        <w:trPr>
          <w:trHeight w:val="300"/>
        </w:trPr>
        <w:tc>
          <w:tcPr>
            <w:tcW w:w="4286" w:type="dxa"/>
            <w:tcBorders>
              <w:top w:val="nil"/>
              <w:left w:val="nil"/>
              <w:bottom w:val="nil"/>
              <w:right w:val="nil"/>
            </w:tcBorders>
            <w:shd w:val="clear" w:color="auto" w:fill="auto"/>
            <w:noWrap/>
            <w:vAlign w:val="center"/>
            <w:hideMark/>
          </w:tcPr>
          <w:p w14:paraId="3D523A45"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facade east</w:t>
            </w:r>
          </w:p>
        </w:tc>
        <w:tc>
          <w:tcPr>
            <w:tcW w:w="2103" w:type="dxa"/>
            <w:tcBorders>
              <w:top w:val="nil"/>
              <w:left w:val="nil"/>
              <w:bottom w:val="nil"/>
              <w:right w:val="nil"/>
            </w:tcBorders>
            <w:shd w:val="clear" w:color="auto" w:fill="auto"/>
            <w:noWrap/>
            <w:vAlign w:val="bottom"/>
            <w:hideMark/>
          </w:tcPr>
          <w:p w14:paraId="1692454E"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04798BD2"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45F59988"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191</w:t>
            </w:r>
          </w:p>
        </w:tc>
      </w:tr>
      <w:tr w:rsidR="00CC3270" w:rsidRPr="00C61D6E" w14:paraId="720BA210" w14:textId="77777777" w:rsidTr="00051220">
        <w:trPr>
          <w:trHeight w:val="300"/>
        </w:trPr>
        <w:tc>
          <w:tcPr>
            <w:tcW w:w="4286" w:type="dxa"/>
            <w:tcBorders>
              <w:top w:val="nil"/>
              <w:left w:val="nil"/>
              <w:bottom w:val="nil"/>
              <w:right w:val="nil"/>
            </w:tcBorders>
            <w:shd w:val="clear" w:color="auto" w:fill="auto"/>
            <w:noWrap/>
            <w:vAlign w:val="center"/>
            <w:hideMark/>
          </w:tcPr>
          <w:p w14:paraId="4BC331E9"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residential areas facade west</w:t>
            </w:r>
          </w:p>
        </w:tc>
        <w:tc>
          <w:tcPr>
            <w:tcW w:w="2103" w:type="dxa"/>
            <w:tcBorders>
              <w:top w:val="nil"/>
              <w:left w:val="nil"/>
              <w:bottom w:val="nil"/>
              <w:right w:val="nil"/>
            </w:tcBorders>
            <w:shd w:val="clear" w:color="auto" w:fill="auto"/>
            <w:noWrap/>
            <w:vAlign w:val="bottom"/>
            <w:hideMark/>
          </w:tcPr>
          <w:p w14:paraId="1A5EA2DF"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3B9AF5B7"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42D149DE"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191</w:t>
            </w:r>
          </w:p>
        </w:tc>
      </w:tr>
      <w:tr w:rsidR="00CC3270" w:rsidRPr="00C61D6E" w14:paraId="7DDD74B4" w14:textId="77777777" w:rsidTr="00051220">
        <w:trPr>
          <w:trHeight w:val="300"/>
        </w:trPr>
        <w:tc>
          <w:tcPr>
            <w:tcW w:w="4286" w:type="dxa"/>
            <w:tcBorders>
              <w:top w:val="nil"/>
              <w:left w:val="nil"/>
              <w:bottom w:val="nil"/>
              <w:right w:val="nil"/>
            </w:tcBorders>
            <w:shd w:val="clear" w:color="auto" w:fill="auto"/>
            <w:noWrap/>
            <w:vAlign w:val="center"/>
            <w:hideMark/>
          </w:tcPr>
          <w:p w14:paraId="4355268A"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45 degree south</w:t>
            </w:r>
          </w:p>
        </w:tc>
        <w:tc>
          <w:tcPr>
            <w:tcW w:w="2103" w:type="dxa"/>
            <w:tcBorders>
              <w:top w:val="nil"/>
              <w:left w:val="nil"/>
              <w:bottom w:val="nil"/>
              <w:right w:val="nil"/>
            </w:tcBorders>
            <w:shd w:val="clear" w:color="auto" w:fill="auto"/>
            <w:noWrap/>
            <w:vAlign w:val="bottom"/>
            <w:hideMark/>
          </w:tcPr>
          <w:p w14:paraId="34B4572C"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05810110"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411280A1"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65</w:t>
            </w:r>
          </w:p>
        </w:tc>
      </w:tr>
      <w:tr w:rsidR="00CC3270" w:rsidRPr="00C61D6E" w14:paraId="4FAA9AFD" w14:textId="77777777" w:rsidTr="00051220">
        <w:trPr>
          <w:trHeight w:val="300"/>
        </w:trPr>
        <w:tc>
          <w:tcPr>
            <w:tcW w:w="4286" w:type="dxa"/>
            <w:tcBorders>
              <w:top w:val="nil"/>
              <w:left w:val="nil"/>
              <w:bottom w:val="nil"/>
              <w:right w:val="nil"/>
            </w:tcBorders>
            <w:shd w:val="clear" w:color="auto" w:fill="auto"/>
            <w:noWrap/>
            <w:vAlign w:val="center"/>
            <w:hideMark/>
          </w:tcPr>
          <w:p w14:paraId="33D323E3"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45 degree east</w:t>
            </w:r>
          </w:p>
        </w:tc>
        <w:tc>
          <w:tcPr>
            <w:tcW w:w="2103" w:type="dxa"/>
            <w:tcBorders>
              <w:top w:val="nil"/>
              <w:left w:val="nil"/>
              <w:bottom w:val="nil"/>
              <w:right w:val="nil"/>
            </w:tcBorders>
            <w:shd w:val="clear" w:color="auto" w:fill="auto"/>
            <w:noWrap/>
            <w:vAlign w:val="bottom"/>
            <w:hideMark/>
          </w:tcPr>
          <w:p w14:paraId="4614971A"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1EF59FE8"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50044A7E"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43</w:t>
            </w:r>
          </w:p>
        </w:tc>
      </w:tr>
      <w:tr w:rsidR="00CC3270" w:rsidRPr="00C61D6E" w14:paraId="01CCE581" w14:textId="77777777" w:rsidTr="00051220">
        <w:trPr>
          <w:trHeight w:val="300"/>
        </w:trPr>
        <w:tc>
          <w:tcPr>
            <w:tcW w:w="4286" w:type="dxa"/>
            <w:tcBorders>
              <w:top w:val="nil"/>
              <w:left w:val="nil"/>
              <w:bottom w:val="nil"/>
              <w:right w:val="nil"/>
            </w:tcBorders>
            <w:shd w:val="clear" w:color="auto" w:fill="auto"/>
            <w:noWrap/>
            <w:vAlign w:val="center"/>
            <w:hideMark/>
          </w:tcPr>
          <w:p w14:paraId="5F08C63B"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45 degree west</w:t>
            </w:r>
          </w:p>
        </w:tc>
        <w:tc>
          <w:tcPr>
            <w:tcW w:w="2103" w:type="dxa"/>
            <w:tcBorders>
              <w:top w:val="nil"/>
              <w:left w:val="nil"/>
              <w:bottom w:val="nil"/>
              <w:right w:val="nil"/>
            </w:tcBorders>
            <w:shd w:val="clear" w:color="auto" w:fill="auto"/>
            <w:noWrap/>
            <w:vAlign w:val="bottom"/>
            <w:hideMark/>
          </w:tcPr>
          <w:p w14:paraId="6EA9BBF8"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009D0093"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222BB509"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43</w:t>
            </w:r>
          </w:p>
        </w:tc>
      </w:tr>
      <w:tr w:rsidR="00CC3270" w:rsidRPr="00C61D6E" w14:paraId="24623BD0" w14:textId="77777777" w:rsidTr="00051220">
        <w:trPr>
          <w:trHeight w:val="300"/>
        </w:trPr>
        <w:tc>
          <w:tcPr>
            <w:tcW w:w="4286" w:type="dxa"/>
            <w:tcBorders>
              <w:top w:val="nil"/>
              <w:left w:val="nil"/>
              <w:bottom w:val="nil"/>
              <w:right w:val="nil"/>
            </w:tcBorders>
            <w:shd w:val="clear" w:color="auto" w:fill="auto"/>
            <w:noWrap/>
            <w:vAlign w:val="center"/>
            <w:hideMark/>
          </w:tcPr>
          <w:p w14:paraId="2C8D2C91"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roof-top latitude tilt</w:t>
            </w:r>
          </w:p>
        </w:tc>
        <w:tc>
          <w:tcPr>
            <w:tcW w:w="2103" w:type="dxa"/>
            <w:tcBorders>
              <w:top w:val="nil"/>
              <w:left w:val="nil"/>
              <w:bottom w:val="nil"/>
              <w:right w:val="nil"/>
            </w:tcBorders>
            <w:shd w:val="clear" w:color="auto" w:fill="auto"/>
            <w:noWrap/>
            <w:vAlign w:val="bottom"/>
            <w:hideMark/>
          </w:tcPr>
          <w:p w14:paraId="3EF37655"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1D0F5DD4"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718F5FFC"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506</w:t>
            </w:r>
          </w:p>
        </w:tc>
      </w:tr>
      <w:tr w:rsidR="00CC3270" w:rsidRPr="00C61D6E" w14:paraId="4B1B23C8" w14:textId="77777777" w:rsidTr="00051220">
        <w:trPr>
          <w:trHeight w:val="300"/>
        </w:trPr>
        <w:tc>
          <w:tcPr>
            <w:tcW w:w="4286" w:type="dxa"/>
            <w:tcBorders>
              <w:top w:val="nil"/>
              <w:left w:val="nil"/>
              <w:bottom w:val="nil"/>
              <w:right w:val="nil"/>
            </w:tcBorders>
            <w:shd w:val="clear" w:color="auto" w:fill="auto"/>
            <w:noWrap/>
            <w:vAlign w:val="center"/>
            <w:hideMark/>
          </w:tcPr>
          <w:p w14:paraId="679D5860"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facade south</w:t>
            </w:r>
          </w:p>
        </w:tc>
        <w:tc>
          <w:tcPr>
            <w:tcW w:w="2103" w:type="dxa"/>
            <w:tcBorders>
              <w:top w:val="nil"/>
              <w:left w:val="nil"/>
              <w:bottom w:val="nil"/>
              <w:right w:val="nil"/>
            </w:tcBorders>
            <w:shd w:val="clear" w:color="auto" w:fill="auto"/>
            <w:noWrap/>
            <w:vAlign w:val="bottom"/>
            <w:hideMark/>
          </w:tcPr>
          <w:p w14:paraId="1A545576"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305F49A3"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5298CDC7"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117</w:t>
            </w:r>
          </w:p>
        </w:tc>
      </w:tr>
      <w:tr w:rsidR="00CC3270" w:rsidRPr="00C61D6E" w14:paraId="0AF6E301" w14:textId="77777777" w:rsidTr="00051220">
        <w:trPr>
          <w:trHeight w:val="300"/>
        </w:trPr>
        <w:tc>
          <w:tcPr>
            <w:tcW w:w="4286" w:type="dxa"/>
            <w:tcBorders>
              <w:top w:val="nil"/>
              <w:left w:val="nil"/>
              <w:bottom w:val="nil"/>
              <w:right w:val="nil"/>
            </w:tcBorders>
            <w:shd w:val="clear" w:color="auto" w:fill="auto"/>
            <w:noWrap/>
            <w:vAlign w:val="center"/>
            <w:hideMark/>
          </w:tcPr>
          <w:p w14:paraId="6B389D59"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facade east</w:t>
            </w:r>
          </w:p>
        </w:tc>
        <w:tc>
          <w:tcPr>
            <w:tcW w:w="2103" w:type="dxa"/>
            <w:tcBorders>
              <w:top w:val="nil"/>
              <w:left w:val="nil"/>
              <w:bottom w:val="nil"/>
              <w:right w:val="nil"/>
            </w:tcBorders>
            <w:shd w:val="clear" w:color="auto" w:fill="auto"/>
            <w:noWrap/>
            <w:vAlign w:val="bottom"/>
            <w:hideMark/>
          </w:tcPr>
          <w:p w14:paraId="75F95C89"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7A5FE1B0"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4B6208C2"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117</w:t>
            </w:r>
          </w:p>
        </w:tc>
      </w:tr>
      <w:tr w:rsidR="00CC3270" w:rsidRPr="00C61D6E" w14:paraId="162339A8" w14:textId="77777777" w:rsidTr="00051220">
        <w:trPr>
          <w:trHeight w:val="300"/>
        </w:trPr>
        <w:tc>
          <w:tcPr>
            <w:tcW w:w="4286" w:type="dxa"/>
            <w:tcBorders>
              <w:top w:val="nil"/>
              <w:left w:val="nil"/>
              <w:bottom w:val="nil"/>
              <w:right w:val="nil"/>
            </w:tcBorders>
            <w:shd w:val="clear" w:color="auto" w:fill="auto"/>
            <w:noWrap/>
            <w:vAlign w:val="center"/>
            <w:hideMark/>
          </w:tcPr>
          <w:p w14:paraId="3C6F5FC0"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industrial areas facade west</w:t>
            </w:r>
          </w:p>
        </w:tc>
        <w:tc>
          <w:tcPr>
            <w:tcW w:w="2103" w:type="dxa"/>
            <w:tcBorders>
              <w:top w:val="nil"/>
              <w:left w:val="nil"/>
              <w:bottom w:val="nil"/>
              <w:right w:val="nil"/>
            </w:tcBorders>
            <w:shd w:val="clear" w:color="auto" w:fill="auto"/>
            <w:noWrap/>
            <w:vAlign w:val="bottom"/>
            <w:hideMark/>
          </w:tcPr>
          <w:p w14:paraId="17B9200B" w14:textId="77777777" w:rsidR="00CC3270" w:rsidRPr="00C61D6E" w:rsidRDefault="00CC3270" w:rsidP="00170E09">
            <w:pPr>
              <w:rPr>
                <w:rFonts w:ascii="Calibri" w:hAnsi="Calibri"/>
                <w:color w:val="000000"/>
                <w:sz w:val="22"/>
                <w:szCs w:val="22"/>
                <w:lang w:eastAsia="en-GB"/>
              </w:rPr>
            </w:pPr>
            <w:r w:rsidRPr="00C61D6E">
              <w:rPr>
                <w:rFonts w:ascii="Calibri" w:hAnsi="Calibri"/>
                <w:color w:val="000000"/>
                <w:sz w:val="22"/>
                <w:szCs w:val="22"/>
                <w:lang w:eastAsia="en-GB"/>
              </w:rPr>
              <w:t>PV</w:t>
            </w:r>
          </w:p>
        </w:tc>
        <w:tc>
          <w:tcPr>
            <w:tcW w:w="1549" w:type="dxa"/>
            <w:tcBorders>
              <w:top w:val="nil"/>
              <w:left w:val="nil"/>
              <w:bottom w:val="nil"/>
              <w:right w:val="nil"/>
            </w:tcBorders>
            <w:shd w:val="clear" w:color="auto" w:fill="auto"/>
            <w:noWrap/>
            <w:vAlign w:val="bottom"/>
            <w:hideMark/>
          </w:tcPr>
          <w:p w14:paraId="340F10ED"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vAlign w:val="center"/>
            <w:hideMark/>
          </w:tcPr>
          <w:p w14:paraId="41092026" w14:textId="77777777" w:rsidR="00CC3270" w:rsidRPr="00C61D6E" w:rsidRDefault="00CC3270" w:rsidP="00CC3270">
            <w:pPr>
              <w:jc w:val="right"/>
              <w:rPr>
                <w:rFonts w:ascii="Calibri" w:hAnsi="Calibri"/>
                <w:color w:val="000000"/>
                <w:sz w:val="22"/>
                <w:szCs w:val="22"/>
                <w:lang w:eastAsia="en-GB"/>
              </w:rPr>
            </w:pPr>
            <w:r w:rsidRPr="00C61D6E">
              <w:rPr>
                <w:rFonts w:ascii="Calibri" w:hAnsi="Calibri"/>
                <w:color w:val="000000"/>
                <w:sz w:val="22"/>
                <w:szCs w:val="22"/>
                <w:lang w:eastAsia="en-GB"/>
              </w:rPr>
              <w:t>117</w:t>
            </w:r>
          </w:p>
        </w:tc>
      </w:tr>
      <w:tr w:rsidR="00BD3029" w:rsidRPr="00C61D6E" w14:paraId="21D16844" w14:textId="77777777" w:rsidTr="009115E4">
        <w:trPr>
          <w:trHeight w:val="300"/>
        </w:trPr>
        <w:tc>
          <w:tcPr>
            <w:tcW w:w="4286" w:type="dxa"/>
            <w:tcBorders>
              <w:top w:val="nil"/>
              <w:left w:val="nil"/>
              <w:bottom w:val="nil"/>
              <w:right w:val="nil"/>
            </w:tcBorders>
            <w:shd w:val="clear" w:color="auto" w:fill="auto"/>
            <w:noWrap/>
            <w:vAlign w:val="center"/>
            <w:hideMark/>
          </w:tcPr>
          <w:p w14:paraId="6067B26D"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agriculture high irradiation</w:t>
            </w:r>
          </w:p>
        </w:tc>
        <w:tc>
          <w:tcPr>
            <w:tcW w:w="2103" w:type="dxa"/>
            <w:tcBorders>
              <w:top w:val="nil"/>
              <w:left w:val="nil"/>
              <w:bottom w:val="nil"/>
              <w:right w:val="nil"/>
            </w:tcBorders>
            <w:shd w:val="clear" w:color="auto" w:fill="auto"/>
            <w:noWrap/>
            <w:vAlign w:val="bottom"/>
            <w:hideMark/>
          </w:tcPr>
          <w:p w14:paraId="0534FBFC"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CSP - before storage</w:t>
            </w:r>
          </w:p>
        </w:tc>
        <w:tc>
          <w:tcPr>
            <w:tcW w:w="1549" w:type="dxa"/>
            <w:tcBorders>
              <w:top w:val="nil"/>
              <w:left w:val="nil"/>
              <w:bottom w:val="nil"/>
              <w:right w:val="nil"/>
            </w:tcBorders>
            <w:shd w:val="clear" w:color="auto" w:fill="auto"/>
            <w:noWrap/>
            <w:vAlign w:val="bottom"/>
            <w:hideMark/>
          </w:tcPr>
          <w:p w14:paraId="5CB393BD"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tcPr>
          <w:p w14:paraId="7037A568" w14:textId="7882EB7E"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1</w:t>
            </w:r>
            <w:r w:rsidR="00BC3F1E">
              <w:rPr>
                <w:rFonts w:ascii="Calibri" w:hAnsi="Calibri"/>
                <w:color w:val="000000"/>
                <w:sz w:val="22"/>
                <w:szCs w:val="22"/>
                <w:lang w:eastAsia="en-GB"/>
              </w:rPr>
              <w:t>,</w:t>
            </w:r>
            <w:r w:rsidRPr="00BD3029">
              <w:rPr>
                <w:rFonts w:ascii="Calibri" w:hAnsi="Calibri"/>
                <w:color w:val="000000"/>
                <w:sz w:val="22"/>
                <w:szCs w:val="22"/>
                <w:lang w:eastAsia="en-GB"/>
              </w:rPr>
              <w:t>055</w:t>
            </w:r>
          </w:p>
        </w:tc>
      </w:tr>
      <w:tr w:rsidR="00BD3029" w:rsidRPr="00C61D6E" w14:paraId="5998AC07" w14:textId="77777777" w:rsidTr="009115E4">
        <w:trPr>
          <w:trHeight w:val="300"/>
        </w:trPr>
        <w:tc>
          <w:tcPr>
            <w:tcW w:w="4286" w:type="dxa"/>
            <w:tcBorders>
              <w:top w:val="nil"/>
              <w:left w:val="nil"/>
              <w:bottom w:val="nil"/>
              <w:right w:val="nil"/>
            </w:tcBorders>
            <w:shd w:val="clear" w:color="auto" w:fill="auto"/>
            <w:noWrap/>
            <w:vAlign w:val="center"/>
            <w:hideMark/>
          </w:tcPr>
          <w:p w14:paraId="7999B850"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agriculture low irradiation</w:t>
            </w:r>
          </w:p>
        </w:tc>
        <w:tc>
          <w:tcPr>
            <w:tcW w:w="2103" w:type="dxa"/>
            <w:tcBorders>
              <w:top w:val="nil"/>
              <w:left w:val="nil"/>
              <w:bottom w:val="nil"/>
              <w:right w:val="nil"/>
            </w:tcBorders>
            <w:shd w:val="clear" w:color="auto" w:fill="auto"/>
            <w:noWrap/>
            <w:vAlign w:val="bottom"/>
            <w:hideMark/>
          </w:tcPr>
          <w:p w14:paraId="1940DD6F"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PV - ground</w:t>
            </w:r>
          </w:p>
        </w:tc>
        <w:tc>
          <w:tcPr>
            <w:tcW w:w="1549" w:type="dxa"/>
            <w:tcBorders>
              <w:top w:val="nil"/>
              <w:left w:val="nil"/>
              <w:bottom w:val="nil"/>
              <w:right w:val="nil"/>
            </w:tcBorders>
            <w:shd w:val="clear" w:color="auto" w:fill="auto"/>
            <w:noWrap/>
            <w:vAlign w:val="bottom"/>
            <w:hideMark/>
          </w:tcPr>
          <w:p w14:paraId="687BB547"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tcPr>
          <w:p w14:paraId="6CE64958" w14:textId="427E0B43"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13</w:t>
            </w:r>
            <w:r w:rsidR="00BC3F1E">
              <w:rPr>
                <w:rFonts w:ascii="Calibri" w:hAnsi="Calibri"/>
                <w:color w:val="000000"/>
                <w:sz w:val="22"/>
                <w:szCs w:val="22"/>
                <w:lang w:eastAsia="en-GB"/>
              </w:rPr>
              <w:t>,</w:t>
            </w:r>
            <w:r w:rsidRPr="00BD3029">
              <w:rPr>
                <w:rFonts w:ascii="Calibri" w:hAnsi="Calibri"/>
                <w:color w:val="000000"/>
                <w:sz w:val="22"/>
                <w:szCs w:val="22"/>
                <w:lang w:eastAsia="en-GB"/>
              </w:rPr>
              <w:t>883</w:t>
            </w:r>
          </w:p>
        </w:tc>
      </w:tr>
      <w:tr w:rsidR="00BD3029" w:rsidRPr="00C61D6E" w14:paraId="4A94F386" w14:textId="77777777" w:rsidTr="009115E4">
        <w:trPr>
          <w:trHeight w:val="300"/>
        </w:trPr>
        <w:tc>
          <w:tcPr>
            <w:tcW w:w="4286" w:type="dxa"/>
            <w:tcBorders>
              <w:top w:val="nil"/>
              <w:left w:val="nil"/>
              <w:bottom w:val="nil"/>
              <w:right w:val="nil"/>
            </w:tcBorders>
            <w:shd w:val="clear" w:color="auto" w:fill="auto"/>
            <w:noWrap/>
            <w:vAlign w:val="center"/>
            <w:hideMark/>
          </w:tcPr>
          <w:p w14:paraId="510C7A82"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non-agriculture high irradiation</w:t>
            </w:r>
          </w:p>
        </w:tc>
        <w:tc>
          <w:tcPr>
            <w:tcW w:w="2103" w:type="dxa"/>
            <w:tcBorders>
              <w:top w:val="nil"/>
              <w:left w:val="nil"/>
              <w:bottom w:val="nil"/>
              <w:right w:val="nil"/>
            </w:tcBorders>
            <w:shd w:val="clear" w:color="auto" w:fill="auto"/>
            <w:noWrap/>
            <w:vAlign w:val="bottom"/>
            <w:hideMark/>
          </w:tcPr>
          <w:p w14:paraId="66C4B1A1"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CSP - before storage</w:t>
            </w:r>
          </w:p>
        </w:tc>
        <w:tc>
          <w:tcPr>
            <w:tcW w:w="1549" w:type="dxa"/>
            <w:tcBorders>
              <w:top w:val="nil"/>
              <w:left w:val="nil"/>
              <w:bottom w:val="nil"/>
              <w:right w:val="nil"/>
            </w:tcBorders>
            <w:shd w:val="clear" w:color="auto" w:fill="auto"/>
            <w:noWrap/>
            <w:vAlign w:val="bottom"/>
            <w:hideMark/>
          </w:tcPr>
          <w:p w14:paraId="22DF569D"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tcPr>
          <w:p w14:paraId="6D0A98CD" w14:textId="61005516"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45</w:t>
            </w:r>
          </w:p>
        </w:tc>
      </w:tr>
      <w:tr w:rsidR="00BD3029" w:rsidRPr="00C61D6E" w14:paraId="126296FB" w14:textId="77777777" w:rsidTr="009115E4">
        <w:trPr>
          <w:trHeight w:val="300"/>
        </w:trPr>
        <w:tc>
          <w:tcPr>
            <w:tcW w:w="4286" w:type="dxa"/>
            <w:tcBorders>
              <w:top w:val="nil"/>
              <w:left w:val="nil"/>
              <w:bottom w:val="nil"/>
              <w:right w:val="nil"/>
            </w:tcBorders>
            <w:shd w:val="clear" w:color="auto" w:fill="auto"/>
            <w:noWrap/>
            <w:vAlign w:val="center"/>
            <w:hideMark/>
          </w:tcPr>
          <w:p w14:paraId="4F4F29AE"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natural areas non-agriculture low irradiation</w:t>
            </w:r>
          </w:p>
        </w:tc>
        <w:tc>
          <w:tcPr>
            <w:tcW w:w="2103" w:type="dxa"/>
            <w:tcBorders>
              <w:top w:val="nil"/>
              <w:left w:val="nil"/>
              <w:bottom w:val="nil"/>
              <w:right w:val="nil"/>
            </w:tcBorders>
            <w:shd w:val="clear" w:color="auto" w:fill="auto"/>
            <w:noWrap/>
            <w:vAlign w:val="bottom"/>
            <w:hideMark/>
          </w:tcPr>
          <w:p w14:paraId="2AFED56C" w14:textId="77777777" w:rsidR="00BD3029" w:rsidRPr="00C61D6E" w:rsidRDefault="00BD3029" w:rsidP="00170E09">
            <w:pPr>
              <w:rPr>
                <w:rFonts w:ascii="Calibri" w:hAnsi="Calibri"/>
                <w:color w:val="000000"/>
                <w:sz w:val="22"/>
                <w:szCs w:val="22"/>
                <w:lang w:eastAsia="en-GB"/>
              </w:rPr>
            </w:pPr>
            <w:r w:rsidRPr="00C61D6E">
              <w:rPr>
                <w:rFonts w:ascii="Calibri" w:hAnsi="Calibri"/>
                <w:color w:val="000000"/>
                <w:sz w:val="22"/>
                <w:szCs w:val="22"/>
                <w:lang w:eastAsia="en-GB"/>
              </w:rPr>
              <w:t>PV - ground</w:t>
            </w:r>
          </w:p>
        </w:tc>
        <w:tc>
          <w:tcPr>
            <w:tcW w:w="1549" w:type="dxa"/>
            <w:tcBorders>
              <w:top w:val="nil"/>
              <w:left w:val="nil"/>
              <w:bottom w:val="nil"/>
              <w:right w:val="nil"/>
            </w:tcBorders>
            <w:shd w:val="clear" w:color="auto" w:fill="auto"/>
            <w:noWrap/>
            <w:vAlign w:val="bottom"/>
            <w:hideMark/>
          </w:tcPr>
          <w:p w14:paraId="0D4E6894" w14:textId="77777777" w:rsidR="00BD3029" w:rsidRPr="00C61D6E" w:rsidRDefault="00BD3029" w:rsidP="00CC3270">
            <w:pPr>
              <w:jc w:val="right"/>
              <w:rPr>
                <w:rFonts w:ascii="Calibri" w:hAnsi="Calibri"/>
                <w:color w:val="000000"/>
                <w:sz w:val="22"/>
                <w:szCs w:val="22"/>
                <w:lang w:eastAsia="en-GB"/>
              </w:rPr>
            </w:pPr>
            <w:r w:rsidRPr="00C61D6E">
              <w:rPr>
                <w:rFonts w:ascii="Calibri" w:hAnsi="Calibri"/>
                <w:color w:val="000000"/>
                <w:sz w:val="22"/>
                <w:szCs w:val="22"/>
                <w:lang w:eastAsia="en-GB"/>
              </w:rPr>
              <w:t>300</w:t>
            </w:r>
          </w:p>
        </w:tc>
        <w:tc>
          <w:tcPr>
            <w:tcW w:w="1240" w:type="dxa"/>
            <w:tcBorders>
              <w:top w:val="nil"/>
              <w:left w:val="nil"/>
              <w:bottom w:val="nil"/>
              <w:right w:val="nil"/>
            </w:tcBorders>
            <w:shd w:val="clear" w:color="auto" w:fill="auto"/>
          </w:tcPr>
          <w:p w14:paraId="140EAF2A" w14:textId="64CD0901" w:rsidR="00BD3029" w:rsidRPr="00C61D6E" w:rsidRDefault="00BD3029" w:rsidP="00CC3270">
            <w:pPr>
              <w:jc w:val="right"/>
              <w:rPr>
                <w:rFonts w:ascii="Calibri" w:hAnsi="Calibri"/>
                <w:color w:val="000000"/>
                <w:sz w:val="22"/>
                <w:szCs w:val="22"/>
                <w:lang w:eastAsia="en-GB"/>
              </w:rPr>
            </w:pPr>
            <w:r w:rsidRPr="00BD3029">
              <w:rPr>
                <w:rFonts w:ascii="Calibri" w:hAnsi="Calibri"/>
                <w:color w:val="000000"/>
                <w:sz w:val="22"/>
                <w:szCs w:val="22"/>
                <w:lang w:eastAsia="en-GB"/>
              </w:rPr>
              <w:t>808</w:t>
            </w:r>
          </w:p>
        </w:tc>
      </w:tr>
    </w:tbl>
    <w:p w14:paraId="6B46E1EA" w14:textId="77777777" w:rsidR="00CC3270" w:rsidRPr="00C61D6E" w:rsidRDefault="00CC3270" w:rsidP="00CC3270"/>
    <w:p w14:paraId="1955B9D5" w14:textId="77777777" w:rsidR="00226B5C" w:rsidRPr="00C61D6E" w:rsidRDefault="00226B5C" w:rsidP="00244CBD">
      <w:pPr>
        <w:pStyle w:val="Heading2"/>
        <w:sectPr w:rsidR="00226B5C" w:rsidRPr="00C61D6E" w:rsidSect="00E551DF">
          <w:pgSz w:w="11906" w:h="16838"/>
          <w:pgMar w:top="1418" w:right="1418" w:bottom="1418" w:left="1418" w:header="708" w:footer="708" w:gutter="0"/>
          <w:cols w:space="708"/>
          <w:docGrid w:linePitch="360"/>
        </w:sectPr>
      </w:pPr>
    </w:p>
    <w:p w14:paraId="08C6E28B" w14:textId="77777777" w:rsidR="00244CBD" w:rsidRPr="00C61D6E" w:rsidRDefault="00244CBD" w:rsidP="00244CBD">
      <w:pPr>
        <w:pStyle w:val="Heading2"/>
      </w:pPr>
      <w:r w:rsidRPr="00C61D6E">
        <w:lastRenderedPageBreak/>
        <w:t>Biomass availability scenarios definition</w:t>
      </w:r>
      <w:r w:rsidR="007D3B94" w:rsidRPr="00C61D6E">
        <w:t>.</w:t>
      </w:r>
    </w:p>
    <w:p w14:paraId="50EDB0E2" w14:textId="77777777" w:rsidR="00226B5C" w:rsidRPr="00C61D6E" w:rsidRDefault="00226B5C" w:rsidP="00226B5C"/>
    <w:p w14:paraId="49A7A565" w14:textId="79F396D3" w:rsidR="001D1860" w:rsidRPr="00C61D6E" w:rsidRDefault="00901FEE" w:rsidP="00EA573C">
      <w:pPr>
        <w:pStyle w:val="Caption"/>
        <w:jc w:val="center"/>
      </w:pPr>
      <w:bookmarkStart w:id="33" w:name="_Ref524969936"/>
      <w:r w:rsidRPr="00C61D6E">
        <w:t xml:space="preserve">Table </w:t>
      </w:r>
      <w:r w:rsidR="009575E9">
        <w:rPr>
          <w:noProof/>
        </w:rPr>
        <w:t>13</w:t>
      </w:r>
      <w:bookmarkEnd w:id="33"/>
      <w:r w:rsidR="00E55C1F" w:rsidRPr="00C61D6E">
        <w:t xml:space="preserve">. </w:t>
      </w:r>
      <w:r w:rsidRPr="00C61D6E">
        <w:t xml:space="preserve">Scenario definition parameters </w:t>
      </w:r>
      <w:r w:rsidR="00EA573C" w:rsidRPr="00C61D6E">
        <w:t>for agriculture sector</w:t>
      </w:r>
    </w:p>
    <w:tbl>
      <w:tblPr>
        <w:tblStyle w:val="LightList-Accent6"/>
        <w:tblW w:w="5251" w:type="pct"/>
        <w:tblInd w:w="-176" w:type="dxa"/>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shd w:val="clear" w:color="auto" w:fill="FFFFFF" w:themeFill="background1"/>
        <w:tblLayout w:type="fixed"/>
        <w:tblLook w:val="04A0" w:firstRow="1" w:lastRow="0" w:firstColumn="1" w:lastColumn="0" w:noHBand="0" w:noVBand="1"/>
      </w:tblPr>
      <w:tblGrid>
        <w:gridCol w:w="1419"/>
        <w:gridCol w:w="848"/>
        <w:gridCol w:w="726"/>
        <w:gridCol w:w="1120"/>
        <w:gridCol w:w="140"/>
        <w:gridCol w:w="994"/>
        <w:gridCol w:w="1272"/>
        <w:gridCol w:w="1419"/>
        <w:gridCol w:w="72"/>
        <w:gridCol w:w="1296"/>
        <w:gridCol w:w="1890"/>
        <w:gridCol w:w="1855"/>
        <w:gridCol w:w="1881"/>
      </w:tblGrid>
      <w:tr w:rsidR="007F5200" w:rsidRPr="00C61D6E" w14:paraId="3AEF5BCA" w14:textId="77777777" w:rsidTr="007F5200">
        <w:trPr>
          <w:cnfStyle w:val="100000000000" w:firstRow="1" w:lastRow="0" w:firstColumn="0" w:lastColumn="0" w:oddVBand="0" w:evenVBand="0" w:oddHBand="0" w:evenHBand="0" w:firstRowFirstColumn="0" w:firstRowLastColumn="0" w:lastRowFirstColumn="0" w:lastRowLastColumn="0"/>
          <w:trHeight w:val="5"/>
          <w:tblHeader/>
        </w:trPr>
        <w:tc>
          <w:tcPr>
            <w:cnfStyle w:val="001000000000" w:firstRow="0" w:lastRow="0" w:firstColumn="1" w:lastColumn="0" w:oddVBand="0" w:evenVBand="0" w:oddHBand="0" w:evenHBand="0" w:firstRowFirstColumn="0" w:firstRowLastColumn="0" w:lastRowFirstColumn="0" w:lastRowLastColumn="0"/>
            <w:tcW w:w="475" w:type="pct"/>
            <w:vMerge w:val="restart"/>
            <w:tcBorders>
              <w:top w:val="single" w:sz="18" w:space="0" w:color="000000" w:themeColor="text1"/>
              <w:bottom w:val="single" w:sz="4" w:space="0" w:color="A6A6A6" w:themeColor="background1" w:themeShade="A6"/>
            </w:tcBorders>
            <w:shd w:val="clear" w:color="auto" w:fill="FFFFFF" w:themeFill="background1"/>
            <w:noWrap/>
            <w:textDirection w:val="btLr"/>
          </w:tcPr>
          <w:p w14:paraId="3F80DE9F" w14:textId="77777777" w:rsidR="0047650D" w:rsidRPr="007F2C39" w:rsidRDefault="0047650D" w:rsidP="004F23FD">
            <w:pPr>
              <w:pStyle w:val="DataTab"/>
              <w:ind w:left="113" w:right="113"/>
              <w:jc w:val="center"/>
              <w:rPr>
                <w:color w:val="auto"/>
                <w:lang w:val="en-GB"/>
              </w:rPr>
            </w:pPr>
            <w:r w:rsidRPr="007F2C39">
              <w:rPr>
                <w:color w:val="auto"/>
                <w:lang w:val="en-GB"/>
              </w:rPr>
              <w:t>CAT</w:t>
            </w:r>
            <w:r w:rsidR="004F23FD" w:rsidRPr="007F2C39">
              <w:rPr>
                <w:color w:val="auto"/>
                <w:lang w:val="en-GB"/>
              </w:rPr>
              <w:t>.</w:t>
            </w:r>
          </w:p>
        </w:tc>
        <w:tc>
          <w:tcPr>
            <w:tcW w:w="284" w:type="pct"/>
            <w:vMerge w:val="restart"/>
            <w:tcBorders>
              <w:top w:val="single" w:sz="18" w:space="0" w:color="000000" w:themeColor="text1"/>
              <w:bottom w:val="single" w:sz="4" w:space="0" w:color="A6A6A6" w:themeColor="background1" w:themeShade="A6"/>
            </w:tcBorders>
            <w:shd w:val="clear" w:color="auto" w:fill="FFFFFF" w:themeFill="background1"/>
            <w:noWrap/>
            <w:textDirection w:val="btLr"/>
          </w:tcPr>
          <w:p w14:paraId="4DE945D0" w14:textId="77777777" w:rsidR="0047650D" w:rsidRPr="007F2C39" w:rsidRDefault="0047650D" w:rsidP="004F23FD">
            <w:pPr>
              <w:pStyle w:val="DataTab"/>
              <w:ind w:left="113" w:right="113"/>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TYPE</w:t>
            </w:r>
          </w:p>
        </w:tc>
        <w:tc>
          <w:tcPr>
            <w:tcW w:w="243" w:type="pct"/>
            <w:vMerge w:val="restart"/>
            <w:tcBorders>
              <w:top w:val="single" w:sz="18" w:space="0" w:color="000000" w:themeColor="text1"/>
              <w:bottom w:val="single" w:sz="4" w:space="0" w:color="A6A6A6" w:themeColor="background1" w:themeShade="A6"/>
            </w:tcBorders>
            <w:shd w:val="clear" w:color="auto" w:fill="FFFFFF" w:themeFill="background1"/>
            <w:textDirection w:val="btLr"/>
          </w:tcPr>
          <w:p w14:paraId="0928246B" w14:textId="77777777" w:rsidR="0047650D" w:rsidRPr="007F2C39" w:rsidRDefault="0047650D" w:rsidP="004F23FD">
            <w:pPr>
              <w:pStyle w:val="DataTab"/>
              <w:ind w:left="113" w:right="113"/>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SUB</w:t>
            </w:r>
            <w:r w:rsidR="004F23FD" w:rsidRPr="007F2C39">
              <w:rPr>
                <w:color w:val="auto"/>
                <w:lang w:val="en-GB"/>
              </w:rPr>
              <w:t>-</w:t>
            </w:r>
            <w:r w:rsidRPr="007F2C39">
              <w:rPr>
                <w:color w:val="auto"/>
                <w:lang w:val="en-GB"/>
              </w:rPr>
              <w:t>TYPE</w:t>
            </w:r>
          </w:p>
        </w:tc>
        <w:tc>
          <w:tcPr>
            <w:tcW w:w="755" w:type="pct"/>
            <w:gridSpan w:val="3"/>
            <w:tcBorders>
              <w:top w:val="single" w:sz="18" w:space="0" w:color="000000" w:themeColor="text1"/>
              <w:bottom w:val="single" w:sz="4" w:space="0" w:color="A6A6A6" w:themeColor="background1" w:themeShade="A6"/>
            </w:tcBorders>
            <w:shd w:val="clear" w:color="auto" w:fill="FFFFFF" w:themeFill="background1"/>
            <w:noWrap/>
          </w:tcPr>
          <w:p w14:paraId="6409C6E7" w14:textId="77777777" w:rsidR="0047650D" w:rsidRPr="007F2C39" w:rsidRDefault="00EC5DE1"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PARAMETERS SET:</w:t>
            </w:r>
          </w:p>
        </w:tc>
        <w:tc>
          <w:tcPr>
            <w:tcW w:w="1359" w:type="pct"/>
            <w:gridSpan w:val="4"/>
            <w:tcBorders>
              <w:top w:val="single" w:sz="18" w:space="0" w:color="000000" w:themeColor="text1"/>
              <w:bottom w:val="single" w:sz="4" w:space="0" w:color="A6A6A6" w:themeColor="background1" w:themeShade="A6"/>
            </w:tcBorders>
            <w:shd w:val="clear" w:color="auto" w:fill="FFFFFF" w:themeFill="background1"/>
            <w:noWrap/>
          </w:tcPr>
          <w:p w14:paraId="6620884C" w14:textId="77777777" w:rsidR="0047650D" w:rsidRPr="007F2C39" w:rsidRDefault="00EC5DE1" w:rsidP="0047650D">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Productivity</w:t>
            </w:r>
          </w:p>
        </w:tc>
        <w:tc>
          <w:tcPr>
            <w:tcW w:w="1884" w:type="pct"/>
            <w:gridSpan w:val="3"/>
            <w:tcBorders>
              <w:top w:val="single" w:sz="18" w:space="0" w:color="000000" w:themeColor="text1"/>
              <w:bottom w:val="single" w:sz="4" w:space="0" w:color="A6A6A6" w:themeColor="background1" w:themeShade="A6"/>
            </w:tcBorders>
            <w:shd w:val="clear" w:color="auto" w:fill="FFFFFF" w:themeFill="background1"/>
            <w:noWrap/>
            <w:vAlign w:val="center"/>
          </w:tcPr>
          <w:p w14:paraId="0919B988" w14:textId="77777777" w:rsidR="0047650D" w:rsidRPr="007F2C39" w:rsidRDefault="00EC5DE1" w:rsidP="00EA573C">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Limitation of biofeedstocks &amp;</w:t>
            </w:r>
            <w:r w:rsidR="0047650D" w:rsidRPr="007F2C39">
              <w:rPr>
                <w:color w:val="auto"/>
                <w:lang w:val="en-GB"/>
              </w:rPr>
              <w:t xml:space="preserve"> </w:t>
            </w:r>
            <w:r w:rsidRPr="007F2C39">
              <w:rPr>
                <w:color w:val="auto"/>
                <w:lang w:val="en-GB"/>
              </w:rPr>
              <w:t xml:space="preserve">available </w:t>
            </w:r>
            <w:r w:rsidR="0047650D" w:rsidRPr="007F2C39">
              <w:rPr>
                <w:color w:val="auto"/>
                <w:lang w:val="en-GB"/>
              </w:rPr>
              <w:t xml:space="preserve">land </w:t>
            </w:r>
          </w:p>
        </w:tc>
      </w:tr>
      <w:tr w:rsidR="00EC5DE1" w:rsidRPr="00C61D6E" w14:paraId="7911BDB2" w14:textId="77777777" w:rsidTr="007F5200">
        <w:trPr>
          <w:cnfStyle w:val="100000000000" w:firstRow="1" w:lastRow="0" w:firstColumn="0" w:lastColumn="0" w:oddVBand="0" w:evenVBand="0" w:oddHBand="0" w:evenHBand="0" w:firstRowFirstColumn="0" w:firstRowLastColumn="0" w:lastRowFirstColumn="0" w:lastRowLastColumn="0"/>
          <w:trHeight w:val="3"/>
          <w:tblHeader/>
        </w:trPr>
        <w:tc>
          <w:tcPr>
            <w:cnfStyle w:val="001000000000" w:firstRow="0" w:lastRow="0" w:firstColumn="1" w:lastColumn="0" w:oddVBand="0" w:evenVBand="0" w:oddHBand="0" w:evenHBand="0" w:firstRowFirstColumn="0" w:firstRowLastColumn="0" w:lastRowFirstColumn="0" w:lastRowLastColumn="0"/>
            <w:tcW w:w="475" w:type="pct"/>
            <w:vMerge/>
            <w:tcBorders>
              <w:top w:val="single" w:sz="4" w:space="0" w:color="A6A6A6" w:themeColor="background1" w:themeShade="A6"/>
              <w:bottom w:val="single" w:sz="18" w:space="0" w:color="000000" w:themeColor="text1"/>
            </w:tcBorders>
            <w:shd w:val="clear" w:color="auto" w:fill="FFFFFF" w:themeFill="background1"/>
            <w:noWrap/>
            <w:vAlign w:val="center"/>
            <w:hideMark/>
          </w:tcPr>
          <w:p w14:paraId="0BA135DE" w14:textId="77777777" w:rsidR="0047650D" w:rsidRPr="007F2C39" w:rsidRDefault="0047650D" w:rsidP="00552E92">
            <w:pPr>
              <w:pStyle w:val="DataTab"/>
              <w:jc w:val="left"/>
              <w:rPr>
                <w:color w:val="auto"/>
                <w:lang w:val="en-GB"/>
              </w:rPr>
            </w:pPr>
          </w:p>
        </w:tc>
        <w:tc>
          <w:tcPr>
            <w:tcW w:w="284" w:type="pct"/>
            <w:vMerge/>
            <w:tcBorders>
              <w:top w:val="single" w:sz="4" w:space="0" w:color="A6A6A6" w:themeColor="background1" w:themeShade="A6"/>
              <w:bottom w:val="single" w:sz="18" w:space="0" w:color="000000" w:themeColor="text1"/>
            </w:tcBorders>
            <w:shd w:val="clear" w:color="auto" w:fill="FFFFFF" w:themeFill="background1"/>
            <w:noWrap/>
            <w:textDirection w:val="btLr"/>
            <w:hideMark/>
          </w:tcPr>
          <w:p w14:paraId="429C4530" w14:textId="77777777" w:rsidR="0047650D" w:rsidRPr="007F2C39" w:rsidRDefault="0047650D" w:rsidP="0047650D">
            <w:pPr>
              <w:pStyle w:val="DataTab"/>
              <w:ind w:left="113" w:right="113"/>
              <w:jc w:val="left"/>
              <w:cnfStyle w:val="100000000000" w:firstRow="1" w:lastRow="0" w:firstColumn="0" w:lastColumn="0" w:oddVBand="0" w:evenVBand="0" w:oddHBand="0" w:evenHBand="0" w:firstRowFirstColumn="0" w:firstRowLastColumn="0" w:lastRowFirstColumn="0" w:lastRowLastColumn="0"/>
              <w:rPr>
                <w:color w:val="auto"/>
                <w:lang w:val="en-GB"/>
              </w:rPr>
            </w:pPr>
          </w:p>
        </w:tc>
        <w:tc>
          <w:tcPr>
            <w:tcW w:w="243" w:type="pct"/>
            <w:vMerge/>
            <w:tcBorders>
              <w:top w:val="single" w:sz="4" w:space="0" w:color="A6A6A6" w:themeColor="background1" w:themeShade="A6"/>
              <w:bottom w:val="single" w:sz="18" w:space="0" w:color="000000" w:themeColor="text1"/>
            </w:tcBorders>
            <w:shd w:val="clear" w:color="auto" w:fill="FFFFFF" w:themeFill="background1"/>
            <w:textDirection w:val="btLr"/>
          </w:tcPr>
          <w:p w14:paraId="00171D7B" w14:textId="77777777" w:rsidR="0047650D" w:rsidRPr="007F2C39" w:rsidRDefault="0047650D" w:rsidP="0047650D">
            <w:pPr>
              <w:pStyle w:val="DataTab"/>
              <w:ind w:left="113" w:right="113"/>
              <w:jc w:val="left"/>
              <w:cnfStyle w:val="100000000000" w:firstRow="1" w:lastRow="0" w:firstColumn="0" w:lastColumn="0" w:oddVBand="0" w:evenVBand="0" w:oddHBand="0" w:evenHBand="0" w:firstRowFirstColumn="0" w:firstRowLastColumn="0" w:lastRowFirstColumn="0" w:lastRowLastColumn="0"/>
              <w:rPr>
                <w:color w:val="auto"/>
                <w:lang w:val="en-GB"/>
              </w:rPr>
            </w:pPr>
          </w:p>
        </w:tc>
        <w:tc>
          <w:tcPr>
            <w:tcW w:w="755" w:type="pct"/>
            <w:gridSpan w:val="3"/>
            <w:tcBorders>
              <w:top w:val="single" w:sz="4" w:space="0" w:color="A6A6A6" w:themeColor="background1" w:themeShade="A6"/>
              <w:bottom w:val="single" w:sz="18" w:space="0" w:color="000000" w:themeColor="text1"/>
            </w:tcBorders>
            <w:shd w:val="clear" w:color="auto" w:fill="FFFFFF" w:themeFill="background1"/>
            <w:noWrap/>
            <w:hideMark/>
          </w:tcPr>
          <w:p w14:paraId="11D29F66" w14:textId="70EC5E64" w:rsidR="0047650D" w:rsidRPr="007F2C39" w:rsidRDefault="00EC5DE1" w:rsidP="00385AEB">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SCENARIO:</w:t>
            </w:r>
          </w:p>
        </w:tc>
        <w:tc>
          <w:tcPr>
            <w:tcW w:w="426" w:type="pct"/>
            <w:tcBorders>
              <w:top w:val="single" w:sz="4" w:space="0" w:color="A6A6A6" w:themeColor="background1" w:themeShade="A6"/>
              <w:bottom w:val="single" w:sz="18" w:space="0" w:color="000000" w:themeColor="text1"/>
            </w:tcBorders>
            <w:shd w:val="clear" w:color="auto" w:fill="FFFFFF" w:themeFill="background1"/>
            <w:noWrap/>
            <w:hideMark/>
          </w:tcPr>
          <w:p w14:paraId="5839C9DF" w14:textId="77777777" w:rsidR="0047650D" w:rsidRPr="007F2C39" w:rsidRDefault="0047650D" w:rsidP="00A24CE5">
            <w:pPr>
              <w:pStyle w:val="DataTab"/>
              <w:jc w:val="left"/>
              <w:cnfStyle w:val="100000000000" w:firstRow="1" w:lastRow="0" w:firstColumn="0" w:lastColumn="0" w:oddVBand="0" w:evenVBand="0" w:oddHBand="0" w:evenHBand="0" w:firstRowFirstColumn="0" w:firstRowLastColumn="0" w:lastRowFirstColumn="0" w:lastRowLastColumn="0"/>
              <w:rPr>
                <w:rFonts w:cs="Times New Roman"/>
                <w:color w:val="auto"/>
                <w:lang w:val="en-GB"/>
              </w:rPr>
            </w:pPr>
            <w:r w:rsidRPr="007F2C39">
              <w:rPr>
                <w:color w:val="auto"/>
                <w:lang w:val="en-GB"/>
              </w:rPr>
              <w:t>HIGH</w:t>
            </w:r>
          </w:p>
        </w:tc>
        <w:tc>
          <w:tcPr>
            <w:tcW w:w="475" w:type="pct"/>
            <w:tcBorders>
              <w:top w:val="single" w:sz="4" w:space="0" w:color="A6A6A6" w:themeColor="background1" w:themeShade="A6"/>
              <w:bottom w:val="single" w:sz="18" w:space="0" w:color="000000" w:themeColor="text1"/>
            </w:tcBorders>
            <w:shd w:val="clear" w:color="auto" w:fill="FFFFFF" w:themeFill="background1"/>
            <w:noWrap/>
            <w:hideMark/>
          </w:tcPr>
          <w:p w14:paraId="3C0251E3" w14:textId="77777777" w:rsidR="0047650D" w:rsidRPr="007F2C39" w:rsidRDefault="004765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MED</w:t>
            </w:r>
          </w:p>
        </w:tc>
        <w:tc>
          <w:tcPr>
            <w:tcW w:w="458" w:type="pct"/>
            <w:gridSpan w:val="2"/>
            <w:tcBorders>
              <w:top w:val="single" w:sz="4" w:space="0" w:color="A6A6A6" w:themeColor="background1" w:themeShade="A6"/>
              <w:bottom w:val="single" w:sz="18" w:space="0" w:color="000000" w:themeColor="text1"/>
            </w:tcBorders>
            <w:shd w:val="clear" w:color="auto" w:fill="FFFFFF" w:themeFill="background1"/>
            <w:noWrap/>
            <w:hideMark/>
          </w:tcPr>
          <w:p w14:paraId="400C4BFB" w14:textId="77777777" w:rsidR="0047650D" w:rsidRPr="007F2C39" w:rsidRDefault="004765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LOW</w:t>
            </w:r>
          </w:p>
        </w:tc>
        <w:tc>
          <w:tcPr>
            <w:tcW w:w="633" w:type="pct"/>
            <w:tcBorders>
              <w:top w:val="single" w:sz="4" w:space="0" w:color="A6A6A6" w:themeColor="background1" w:themeShade="A6"/>
              <w:bottom w:val="single" w:sz="18" w:space="0" w:color="000000" w:themeColor="text1"/>
            </w:tcBorders>
            <w:shd w:val="clear" w:color="auto" w:fill="FFFFFF" w:themeFill="background1"/>
            <w:noWrap/>
            <w:vAlign w:val="center"/>
            <w:hideMark/>
          </w:tcPr>
          <w:p w14:paraId="32CB9FD8" w14:textId="77777777" w:rsidR="0047650D" w:rsidRPr="007F2C39" w:rsidRDefault="0047650D" w:rsidP="00EA573C">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HIGH</w:t>
            </w:r>
          </w:p>
        </w:tc>
        <w:tc>
          <w:tcPr>
            <w:tcW w:w="621" w:type="pct"/>
            <w:tcBorders>
              <w:top w:val="single" w:sz="4" w:space="0" w:color="A6A6A6" w:themeColor="background1" w:themeShade="A6"/>
              <w:bottom w:val="single" w:sz="18" w:space="0" w:color="000000" w:themeColor="text1"/>
            </w:tcBorders>
            <w:shd w:val="clear" w:color="auto" w:fill="FFFFFF" w:themeFill="background1"/>
            <w:noWrap/>
            <w:vAlign w:val="center"/>
            <w:hideMark/>
          </w:tcPr>
          <w:p w14:paraId="48BFFC22" w14:textId="77777777" w:rsidR="0047650D" w:rsidRPr="007F2C39" w:rsidRDefault="0047650D" w:rsidP="00EA573C">
            <w:pPr>
              <w:pStyle w:val="DataTab"/>
              <w:jc w:val="left"/>
              <w:cnfStyle w:val="100000000000" w:firstRow="1" w:lastRow="0" w:firstColumn="0" w:lastColumn="0" w:oddVBand="0" w:evenVBand="0" w:oddHBand="0" w:evenHBand="0" w:firstRowFirstColumn="0" w:firstRowLastColumn="0" w:lastRowFirstColumn="0" w:lastRowLastColumn="0"/>
              <w:rPr>
                <w:rFonts w:cs="Times New Roman"/>
                <w:color w:val="auto"/>
                <w:lang w:val="en-GB"/>
              </w:rPr>
            </w:pPr>
            <w:r w:rsidRPr="007F2C39">
              <w:rPr>
                <w:color w:val="auto"/>
                <w:lang w:val="en-GB"/>
              </w:rPr>
              <w:t>MED</w:t>
            </w:r>
          </w:p>
        </w:tc>
        <w:tc>
          <w:tcPr>
            <w:tcW w:w="630" w:type="pct"/>
            <w:tcBorders>
              <w:top w:val="single" w:sz="4" w:space="0" w:color="A6A6A6" w:themeColor="background1" w:themeShade="A6"/>
              <w:bottom w:val="single" w:sz="18" w:space="0" w:color="000000" w:themeColor="text1"/>
            </w:tcBorders>
            <w:shd w:val="clear" w:color="auto" w:fill="FFFFFF" w:themeFill="background1"/>
            <w:noWrap/>
            <w:vAlign w:val="center"/>
            <w:hideMark/>
          </w:tcPr>
          <w:p w14:paraId="083875F4" w14:textId="77777777" w:rsidR="0047650D" w:rsidRPr="007F2C39" w:rsidRDefault="0047650D" w:rsidP="00EA573C">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LOW</w:t>
            </w:r>
          </w:p>
        </w:tc>
      </w:tr>
      <w:tr w:rsidR="00EC5DE1" w:rsidRPr="00C61D6E" w14:paraId="35A7BA19"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val="restart"/>
            <w:tcBorders>
              <w:top w:val="single" w:sz="18" w:space="0" w:color="000000" w:themeColor="text1"/>
            </w:tcBorders>
            <w:shd w:val="clear" w:color="auto" w:fill="FFFFFF" w:themeFill="background1"/>
            <w:noWrap/>
            <w:vAlign w:val="center"/>
          </w:tcPr>
          <w:p w14:paraId="38A74E60" w14:textId="77777777" w:rsidR="00EC5DE1" w:rsidRPr="00921937" w:rsidRDefault="00EC5DE1" w:rsidP="00552E92">
            <w:pPr>
              <w:pStyle w:val="DataTab"/>
              <w:jc w:val="center"/>
              <w:rPr>
                <w:lang w:val="en-GB"/>
              </w:rPr>
            </w:pPr>
            <w:r w:rsidRPr="00921937">
              <w:rPr>
                <w:lang w:val="en-GB"/>
              </w:rPr>
              <w:t>ENERGY CROPS</w:t>
            </w:r>
          </w:p>
        </w:tc>
        <w:tc>
          <w:tcPr>
            <w:tcW w:w="527" w:type="pct"/>
            <w:gridSpan w:val="2"/>
            <w:vMerge w:val="restart"/>
            <w:tcBorders>
              <w:top w:val="single" w:sz="18" w:space="0" w:color="000000" w:themeColor="text1"/>
            </w:tcBorders>
            <w:shd w:val="clear" w:color="auto" w:fill="FFFFFF" w:themeFill="background1"/>
            <w:noWrap/>
            <w:textDirection w:val="btLr"/>
            <w:vAlign w:val="center"/>
          </w:tcPr>
          <w:p w14:paraId="05768455" w14:textId="77777777" w:rsidR="00EC5DE1" w:rsidRPr="008C062F"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 xml:space="preserve">Sugar starch &amp; oil </w:t>
            </w:r>
            <w:r w:rsidR="008C6B62" w:rsidRPr="00C61D6E">
              <w:rPr>
                <w:b/>
                <w:lang w:val="en-GB"/>
              </w:rPr>
              <w:t xml:space="preserve">biofuel </w:t>
            </w:r>
            <w:r w:rsidRPr="008C062F">
              <w:rPr>
                <w:b/>
                <w:lang w:val="en-GB"/>
              </w:rPr>
              <w:t>crops</w:t>
            </w:r>
          </w:p>
          <w:p w14:paraId="2EBF60FC" w14:textId="77777777" w:rsidR="00EC5DE1" w:rsidRPr="0037138D"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37138D">
              <w:rPr>
                <w:b/>
                <w:lang w:val="en-GB"/>
              </w:rPr>
              <w:t>-</w:t>
            </w:r>
          </w:p>
        </w:tc>
        <w:tc>
          <w:tcPr>
            <w:tcW w:w="755" w:type="pct"/>
            <w:gridSpan w:val="3"/>
            <w:tcBorders>
              <w:top w:val="single" w:sz="18" w:space="0" w:color="000000" w:themeColor="text1"/>
            </w:tcBorders>
            <w:shd w:val="clear" w:color="auto" w:fill="FFFFFF" w:themeFill="background1"/>
            <w:noWrap/>
          </w:tcPr>
          <w:p w14:paraId="7EF86E8C" w14:textId="77777777" w:rsidR="00EC5DE1" w:rsidRPr="00921937"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921937">
              <w:rPr>
                <w:b/>
                <w:lang w:val="en-GB"/>
              </w:rPr>
              <w:t>Available Land</w:t>
            </w:r>
          </w:p>
        </w:tc>
        <w:tc>
          <w:tcPr>
            <w:tcW w:w="426" w:type="pct"/>
            <w:tcBorders>
              <w:top w:val="single" w:sz="18" w:space="0" w:color="000000" w:themeColor="text1"/>
            </w:tcBorders>
            <w:shd w:val="clear" w:color="auto" w:fill="FFFFFF" w:themeFill="background1"/>
            <w:noWrap/>
          </w:tcPr>
          <w:p w14:paraId="1BB5EA3F" w14:textId="77777777" w:rsidR="00EC5DE1" w:rsidRPr="0037138D" w:rsidRDefault="00EC5DE1" w:rsidP="00934964">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+ 10% land area available for biofuel and energy maize </w:t>
            </w:r>
            <w:r w:rsidRPr="008C062F">
              <w:rPr>
                <w:lang w:val="en-GB"/>
              </w:rPr>
              <w:t>vs CAPRI baseline</w:t>
            </w:r>
          </w:p>
        </w:tc>
        <w:tc>
          <w:tcPr>
            <w:tcW w:w="475" w:type="pct"/>
            <w:tcBorders>
              <w:top w:val="single" w:sz="18" w:space="0" w:color="000000" w:themeColor="text1"/>
            </w:tcBorders>
            <w:shd w:val="clear" w:color="auto" w:fill="FFFFFF" w:themeFill="background1"/>
            <w:noWrap/>
          </w:tcPr>
          <w:p w14:paraId="2CE83041" w14:textId="77777777" w:rsidR="00EC5DE1" w:rsidRPr="00B00B67" w:rsidRDefault="00EC5DE1" w:rsidP="00934964">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B00B67">
              <w:rPr>
                <w:lang w:val="en-GB"/>
              </w:rPr>
              <w:t>Consistent with CAPRI</w:t>
            </w:r>
          </w:p>
        </w:tc>
        <w:tc>
          <w:tcPr>
            <w:tcW w:w="458" w:type="pct"/>
            <w:gridSpan w:val="2"/>
            <w:tcBorders>
              <w:top w:val="single" w:sz="18" w:space="0" w:color="000000" w:themeColor="text1"/>
            </w:tcBorders>
            <w:shd w:val="clear" w:color="auto" w:fill="FFFFFF" w:themeFill="background1"/>
            <w:noWrap/>
          </w:tcPr>
          <w:p w14:paraId="628FFE62" w14:textId="77777777" w:rsidR="00EC5DE1" w:rsidRPr="00C61D6E" w:rsidRDefault="00EC5DE1" w:rsidP="00934964">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Consistent with CAPRI</w:t>
            </w:r>
          </w:p>
        </w:tc>
        <w:tc>
          <w:tcPr>
            <w:tcW w:w="633" w:type="pct"/>
            <w:vMerge w:val="restart"/>
            <w:tcBorders>
              <w:top w:val="single" w:sz="18" w:space="0" w:color="000000" w:themeColor="text1"/>
            </w:tcBorders>
            <w:shd w:val="clear" w:color="auto" w:fill="FFFFFF" w:themeFill="background1"/>
            <w:noWrap/>
            <w:vAlign w:val="center"/>
          </w:tcPr>
          <w:p w14:paraId="491EEE76"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Biofuel crops grow in competition for land with food and feed crops but this is no impediment for their use for energy. Their share can be even 10% above the land use share as predicted by CAPRI</w:t>
            </w:r>
          </w:p>
        </w:tc>
        <w:tc>
          <w:tcPr>
            <w:tcW w:w="621" w:type="pct"/>
            <w:vMerge w:val="restart"/>
            <w:tcBorders>
              <w:top w:val="single" w:sz="18" w:space="0" w:color="000000" w:themeColor="text1"/>
            </w:tcBorders>
            <w:shd w:val="clear" w:color="auto" w:fill="FFFFFF" w:themeFill="background1"/>
            <w:noWrap/>
            <w:vAlign w:val="center"/>
          </w:tcPr>
          <w:p w14:paraId="42AEFE2F"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Biofuel crops grow in competition for land with food and feed crops as assessed by CAPRI</w:t>
            </w:r>
          </w:p>
          <w:p w14:paraId="4E5A1855"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val="restart"/>
            <w:tcBorders>
              <w:top w:val="single" w:sz="18" w:space="0" w:color="000000" w:themeColor="text1"/>
            </w:tcBorders>
            <w:shd w:val="clear" w:color="auto" w:fill="FFFFFF" w:themeFill="background1"/>
            <w:noWrap/>
            <w:vAlign w:val="center"/>
          </w:tcPr>
          <w:p w14:paraId="716444C0"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Biofuel crops grow in competition for land with food and feed crops as assessed by CAPRI</w:t>
            </w:r>
          </w:p>
          <w:p w14:paraId="2EAE6BB8"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No irrigation in biofuel crops</w:t>
            </w:r>
          </w:p>
          <w:p w14:paraId="74672FF5"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Biofuel crops cannot be sourced from HNV farmland</w:t>
            </w:r>
          </w:p>
        </w:tc>
      </w:tr>
      <w:tr w:rsidR="00EC5DE1" w:rsidRPr="00C61D6E" w14:paraId="3FDD231A"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7E9B20BA" w14:textId="77777777" w:rsidR="00EC5DE1" w:rsidRPr="00C61D6E" w:rsidRDefault="00EC5DE1" w:rsidP="00552E92">
            <w:pPr>
              <w:pStyle w:val="DataTab"/>
              <w:jc w:val="center"/>
              <w:rPr>
                <w:lang w:val="en-GB"/>
              </w:rPr>
            </w:pPr>
          </w:p>
        </w:tc>
        <w:tc>
          <w:tcPr>
            <w:tcW w:w="527" w:type="pct"/>
            <w:gridSpan w:val="2"/>
            <w:vMerge/>
            <w:shd w:val="clear" w:color="auto" w:fill="FFFFFF" w:themeFill="background1"/>
            <w:noWrap/>
            <w:textDirection w:val="btLr"/>
            <w:vAlign w:val="center"/>
          </w:tcPr>
          <w:p w14:paraId="204382FF" w14:textId="77777777" w:rsidR="00EC5DE1" w:rsidRPr="00C61D6E" w:rsidRDefault="00EC5DE1"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755" w:type="pct"/>
            <w:gridSpan w:val="3"/>
            <w:shd w:val="clear" w:color="auto" w:fill="FFFFFF" w:themeFill="background1"/>
            <w:noWrap/>
          </w:tcPr>
          <w:p w14:paraId="59053B30" w14:textId="77777777" w:rsidR="00EC5DE1" w:rsidRPr="00921937"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921937">
              <w:rPr>
                <w:b/>
                <w:lang w:val="en-GB"/>
              </w:rPr>
              <w:t>Irrigation</w:t>
            </w:r>
          </w:p>
        </w:tc>
        <w:tc>
          <w:tcPr>
            <w:tcW w:w="426" w:type="pct"/>
            <w:shd w:val="clear" w:color="auto" w:fill="FFFFFF" w:themeFill="background1"/>
            <w:noWrap/>
          </w:tcPr>
          <w:p w14:paraId="38BC9660" w14:textId="77777777" w:rsidR="00EC5DE1" w:rsidRPr="00921937"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Yes</w:t>
            </w:r>
          </w:p>
        </w:tc>
        <w:tc>
          <w:tcPr>
            <w:tcW w:w="475" w:type="pct"/>
            <w:shd w:val="clear" w:color="auto" w:fill="FFFFFF" w:themeFill="background1"/>
            <w:noWrap/>
          </w:tcPr>
          <w:p w14:paraId="35E1B6F8" w14:textId="77777777" w:rsidR="00EC5DE1" w:rsidRPr="00921937"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Yes</w:t>
            </w:r>
          </w:p>
        </w:tc>
        <w:tc>
          <w:tcPr>
            <w:tcW w:w="458" w:type="pct"/>
            <w:gridSpan w:val="2"/>
            <w:shd w:val="clear" w:color="auto" w:fill="FFFFFF" w:themeFill="background1"/>
            <w:noWrap/>
          </w:tcPr>
          <w:p w14:paraId="2F35169F" w14:textId="77777777" w:rsidR="00EC5DE1" w:rsidRPr="00921937"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No</w:t>
            </w:r>
          </w:p>
        </w:tc>
        <w:tc>
          <w:tcPr>
            <w:tcW w:w="633" w:type="pct"/>
            <w:vMerge/>
            <w:shd w:val="clear" w:color="auto" w:fill="FFFFFF" w:themeFill="background1"/>
            <w:noWrap/>
            <w:vAlign w:val="center"/>
          </w:tcPr>
          <w:p w14:paraId="22B19307" w14:textId="77777777" w:rsidR="00EC5DE1" w:rsidRPr="00921937"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vAlign w:val="center"/>
          </w:tcPr>
          <w:p w14:paraId="11622F0A" w14:textId="77777777" w:rsidR="00EC5DE1" w:rsidRPr="00921937"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vAlign w:val="center"/>
          </w:tcPr>
          <w:p w14:paraId="7EB34EA6" w14:textId="77777777" w:rsidR="00EC5DE1" w:rsidRPr="00921937"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EC5DE1" w:rsidRPr="00C61D6E" w14:paraId="4FFE1610" w14:textId="77777777" w:rsidTr="007F5200">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21986C65" w14:textId="77777777" w:rsidR="00EC5DE1" w:rsidRPr="00921937" w:rsidRDefault="00EC5DE1" w:rsidP="00552E92">
            <w:pPr>
              <w:pStyle w:val="DataTab"/>
              <w:jc w:val="center"/>
              <w:rPr>
                <w:lang w:val="en-GB"/>
              </w:rPr>
            </w:pPr>
          </w:p>
        </w:tc>
        <w:tc>
          <w:tcPr>
            <w:tcW w:w="527" w:type="pct"/>
            <w:gridSpan w:val="2"/>
            <w:vMerge/>
            <w:shd w:val="clear" w:color="auto" w:fill="FFFFFF" w:themeFill="background1"/>
            <w:noWrap/>
            <w:textDirection w:val="btLr"/>
            <w:vAlign w:val="center"/>
          </w:tcPr>
          <w:p w14:paraId="6F833143" w14:textId="77777777" w:rsidR="00EC5DE1" w:rsidRPr="00921937"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755" w:type="pct"/>
            <w:gridSpan w:val="3"/>
            <w:shd w:val="clear" w:color="auto" w:fill="FFFFFF" w:themeFill="background1"/>
            <w:noWrap/>
          </w:tcPr>
          <w:p w14:paraId="1705B7A0" w14:textId="77777777" w:rsidR="00EC5DE1" w:rsidRPr="00C61D6E" w:rsidRDefault="00EC5DE1" w:rsidP="00372788">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Yield [% Increase/y]</w:t>
            </w:r>
          </w:p>
        </w:tc>
        <w:tc>
          <w:tcPr>
            <w:tcW w:w="1359" w:type="pct"/>
            <w:gridSpan w:val="4"/>
            <w:shd w:val="clear" w:color="auto" w:fill="FFFFFF" w:themeFill="background1"/>
            <w:noWrap/>
          </w:tcPr>
          <w:p w14:paraId="51623856" w14:textId="77777777" w:rsidR="00EC5DE1" w:rsidRPr="008C062F" w:rsidRDefault="00EC5DE1" w:rsidP="00482817">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8C062F">
              <w:rPr>
                <w:lang w:val="en-GB"/>
              </w:rPr>
              <w:t xml:space="preserve">Consistent with CAPRI yield increases </w:t>
            </w:r>
          </w:p>
        </w:tc>
        <w:tc>
          <w:tcPr>
            <w:tcW w:w="633" w:type="pct"/>
            <w:vMerge/>
            <w:shd w:val="clear" w:color="auto" w:fill="FFFFFF" w:themeFill="background1"/>
            <w:noWrap/>
            <w:vAlign w:val="center"/>
          </w:tcPr>
          <w:p w14:paraId="40181276"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vAlign w:val="center"/>
          </w:tcPr>
          <w:p w14:paraId="7688FCD3"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vAlign w:val="center"/>
          </w:tcPr>
          <w:p w14:paraId="00582131"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EC5DE1" w:rsidRPr="00C61D6E" w14:paraId="1B0B5AAC"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61A145AB" w14:textId="77777777" w:rsidR="00EC5DE1" w:rsidRPr="00C61D6E" w:rsidRDefault="00EC5DE1" w:rsidP="00552E92">
            <w:pPr>
              <w:pStyle w:val="DataTab"/>
              <w:jc w:val="center"/>
              <w:rPr>
                <w:lang w:val="en-GB"/>
              </w:rPr>
            </w:pPr>
          </w:p>
        </w:tc>
        <w:tc>
          <w:tcPr>
            <w:tcW w:w="527" w:type="pct"/>
            <w:gridSpan w:val="2"/>
            <w:vMerge w:val="restart"/>
            <w:shd w:val="clear" w:color="auto" w:fill="FFFFFF" w:themeFill="background1"/>
            <w:noWrap/>
            <w:textDirection w:val="btLr"/>
            <w:vAlign w:val="center"/>
          </w:tcPr>
          <w:p w14:paraId="02FAA1E4" w14:textId="77777777" w:rsidR="00EC5DE1" w:rsidRPr="00C61D6E" w:rsidRDefault="00EC5DE1"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Energy maize/silage (for biogas)</w:t>
            </w:r>
          </w:p>
          <w:p w14:paraId="64216977" w14:textId="77777777" w:rsidR="00EC5DE1" w:rsidRPr="00C61D6E" w:rsidRDefault="00EC5DE1"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w:t>
            </w:r>
          </w:p>
        </w:tc>
        <w:tc>
          <w:tcPr>
            <w:tcW w:w="755" w:type="pct"/>
            <w:gridSpan w:val="3"/>
            <w:shd w:val="clear" w:color="auto" w:fill="FFFFFF" w:themeFill="background1"/>
            <w:noWrap/>
          </w:tcPr>
          <w:p w14:paraId="70D7D891"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921937">
              <w:rPr>
                <w:b/>
                <w:lang w:val="en-GB"/>
              </w:rPr>
              <w:t>Available Land</w:t>
            </w:r>
          </w:p>
        </w:tc>
        <w:tc>
          <w:tcPr>
            <w:tcW w:w="426" w:type="pct"/>
            <w:shd w:val="clear" w:color="auto" w:fill="FFFFFF" w:themeFill="background1"/>
            <w:noWrap/>
          </w:tcPr>
          <w:p w14:paraId="239C1775"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Yes</w:t>
            </w:r>
          </w:p>
        </w:tc>
        <w:tc>
          <w:tcPr>
            <w:tcW w:w="475" w:type="pct"/>
            <w:shd w:val="clear" w:color="auto" w:fill="FFFFFF" w:themeFill="background1"/>
            <w:noWrap/>
          </w:tcPr>
          <w:p w14:paraId="363CA2D2"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Yes</w:t>
            </w:r>
          </w:p>
        </w:tc>
        <w:tc>
          <w:tcPr>
            <w:tcW w:w="458" w:type="pct"/>
            <w:gridSpan w:val="2"/>
            <w:shd w:val="clear" w:color="auto" w:fill="FFFFFF" w:themeFill="background1"/>
            <w:noWrap/>
          </w:tcPr>
          <w:p w14:paraId="4F3F186C"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No</w:t>
            </w:r>
          </w:p>
        </w:tc>
        <w:tc>
          <w:tcPr>
            <w:tcW w:w="633" w:type="pct"/>
            <w:vMerge w:val="restart"/>
            <w:shd w:val="clear" w:color="auto" w:fill="FFFFFF" w:themeFill="background1"/>
            <w:noWrap/>
            <w:vAlign w:val="center"/>
          </w:tcPr>
          <w:p w14:paraId="4298C1AC" w14:textId="77777777" w:rsidR="00EC5DE1" w:rsidRPr="008C062F"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8C062F">
              <w:rPr>
                <w:lang w:val="en-GB"/>
              </w:rPr>
              <w:t>As for biofuel crops</w:t>
            </w:r>
          </w:p>
        </w:tc>
        <w:tc>
          <w:tcPr>
            <w:tcW w:w="621" w:type="pct"/>
            <w:vMerge w:val="restart"/>
            <w:shd w:val="clear" w:color="auto" w:fill="FFFFFF" w:themeFill="background1"/>
            <w:noWrap/>
            <w:vAlign w:val="center"/>
          </w:tcPr>
          <w:p w14:paraId="794AC689" w14:textId="77777777" w:rsidR="00EC5DE1" w:rsidRPr="0037138D"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37138D">
              <w:rPr>
                <w:lang w:val="en-GB"/>
              </w:rPr>
              <w:t>As for biofuel crops</w:t>
            </w:r>
          </w:p>
        </w:tc>
        <w:tc>
          <w:tcPr>
            <w:tcW w:w="630" w:type="pct"/>
            <w:vMerge w:val="restart"/>
            <w:shd w:val="clear" w:color="auto" w:fill="FFFFFF" w:themeFill="background1"/>
            <w:noWrap/>
            <w:vAlign w:val="center"/>
          </w:tcPr>
          <w:p w14:paraId="44AF7AEB" w14:textId="77777777" w:rsidR="00EC5DE1" w:rsidRPr="00B00B67"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B00B67">
              <w:rPr>
                <w:lang w:val="en-GB"/>
              </w:rPr>
              <w:t>As for biofuel crops</w:t>
            </w:r>
          </w:p>
        </w:tc>
      </w:tr>
      <w:tr w:rsidR="00EC5DE1" w:rsidRPr="00C61D6E" w14:paraId="46D9FB77"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1DA22F09" w14:textId="77777777" w:rsidR="00EC5DE1" w:rsidRPr="00C61D6E" w:rsidRDefault="00EC5DE1" w:rsidP="00552E92">
            <w:pPr>
              <w:pStyle w:val="DataTab"/>
              <w:jc w:val="center"/>
              <w:rPr>
                <w:lang w:val="en-GB"/>
              </w:rPr>
            </w:pPr>
          </w:p>
        </w:tc>
        <w:tc>
          <w:tcPr>
            <w:tcW w:w="527" w:type="pct"/>
            <w:gridSpan w:val="2"/>
            <w:vMerge/>
            <w:shd w:val="clear" w:color="auto" w:fill="FFFFFF" w:themeFill="background1"/>
            <w:noWrap/>
            <w:textDirection w:val="btLr"/>
            <w:vAlign w:val="center"/>
          </w:tcPr>
          <w:p w14:paraId="71F328BC" w14:textId="77777777" w:rsidR="00EC5DE1" w:rsidRPr="00C61D6E"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755" w:type="pct"/>
            <w:gridSpan w:val="3"/>
            <w:shd w:val="clear" w:color="auto" w:fill="FFFFFF" w:themeFill="background1"/>
            <w:noWrap/>
          </w:tcPr>
          <w:p w14:paraId="186EA48B"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921937">
              <w:rPr>
                <w:b/>
                <w:lang w:val="en-GB"/>
              </w:rPr>
              <w:t>Irrigation</w:t>
            </w:r>
          </w:p>
        </w:tc>
        <w:tc>
          <w:tcPr>
            <w:tcW w:w="426" w:type="pct"/>
            <w:shd w:val="clear" w:color="auto" w:fill="FFFFFF" w:themeFill="background1"/>
            <w:noWrap/>
          </w:tcPr>
          <w:p w14:paraId="67AB1FDE"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921937">
              <w:rPr>
                <w:lang w:val="en-GB"/>
              </w:rPr>
              <w:t>Yes</w:t>
            </w:r>
          </w:p>
        </w:tc>
        <w:tc>
          <w:tcPr>
            <w:tcW w:w="475" w:type="pct"/>
            <w:shd w:val="clear" w:color="auto" w:fill="FFFFFF" w:themeFill="background1"/>
            <w:noWrap/>
          </w:tcPr>
          <w:p w14:paraId="2AF26A68"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921937">
              <w:rPr>
                <w:lang w:val="en-GB"/>
              </w:rPr>
              <w:t>Yes</w:t>
            </w:r>
          </w:p>
        </w:tc>
        <w:tc>
          <w:tcPr>
            <w:tcW w:w="458" w:type="pct"/>
            <w:gridSpan w:val="2"/>
            <w:shd w:val="clear" w:color="auto" w:fill="FFFFFF" w:themeFill="background1"/>
            <w:noWrap/>
          </w:tcPr>
          <w:p w14:paraId="30E8DAB2"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921937">
              <w:rPr>
                <w:lang w:val="en-GB"/>
              </w:rPr>
              <w:t>No</w:t>
            </w:r>
          </w:p>
        </w:tc>
        <w:tc>
          <w:tcPr>
            <w:tcW w:w="633" w:type="pct"/>
            <w:vMerge/>
            <w:shd w:val="clear" w:color="auto" w:fill="FFFFFF" w:themeFill="background1"/>
            <w:noWrap/>
            <w:vAlign w:val="center"/>
          </w:tcPr>
          <w:p w14:paraId="701A9A01"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vAlign w:val="center"/>
          </w:tcPr>
          <w:p w14:paraId="4793132C"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vAlign w:val="center"/>
          </w:tcPr>
          <w:p w14:paraId="70534DBB"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EC5DE1" w:rsidRPr="00C61D6E" w14:paraId="21E6B8D8"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3390D9E0" w14:textId="77777777" w:rsidR="00EC5DE1" w:rsidRPr="00C61D6E" w:rsidRDefault="00EC5DE1" w:rsidP="00552E92">
            <w:pPr>
              <w:pStyle w:val="DataTab"/>
              <w:jc w:val="center"/>
              <w:rPr>
                <w:lang w:val="en-GB"/>
              </w:rPr>
            </w:pPr>
          </w:p>
        </w:tc>
        <w:tc>
          <w:tcPr>
            <w:tcW w:w="527" w:type="pct"/>
            <w:gridSpan w:val="2"/>
            <w:vMerge/>
            <w:shd w:val="clear" w:color="auto" w:fill="FFFFFF" w:themeFill="background1"/>
            <w:noWrap/>
            <w:textDirection w:val="btLr"/>
            <w:vAlign w:val="center"/>
          </w:tcPr>
          <w:p w14:paraId="57033174" w14:textId="77777777" w:rsidR="00EC5DE1" w:rsidRPr="00C61D6E" w:rsidRDefault="00EC5DE1"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755" w:type="pct"/>
            <w:gridSpan w:val="3"/>
            <w:shd w:val="clear" w:color="auto" w:fill="FFFFFF" w:themeFill="background1"/>
            <w:noWrap/>
          </w:tcPr>
          <w:p w14:paraId="308D0921" w14:textId="77777777" w:rsidR="00EC5DE1" w:rsidRPr="00C61D6E" w:rsidRDefault="00EC5DE1" w:rsidP="00372788">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921937">
              <w:rPr>
                <w:b/>
                <w:lang w:val="en-GB"/>
              </w:rPr>
              <w:t>Yield [% Increase/y]</w:t>
            </w:r>
          </w:p>
        </w:tc>
        <w:tc>
          <w:tcPr>
            <w:tcW w:w="426" w:type="pct"/>
            <w:shd w:val="clear" w:color="auto" w:fill="FFFFFF" w:themeFill="background1"/>
            <w:noWrap/>
          </w:tcPr>
          <w:p w14:paraId="2DA41699" w14:textId="77777777" w:rsidR="00EC5DE1" w:rsidRPr="008C062F"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8C062F">
              <w:rPr>
                <w:lang w:val="en-GB"/>
              </w:rPr>
              <w:t>CAPRI+10%</w:t>
            </w:r>
          </w:p>
        </w:tc>
        <w:tc>
          <w:tcPr>
            <w:tcW w:w="475" w:type="pct"/>
            <w:shd w:val="clear" w:color="auto" w:fill="FFFFFF" w:themeFill="background1"/>
            <w:noWrap/>
          </w:tcPr>
          <w:p w14:paraId="0B03BCBC" w14:textId="77777777" w:rsidR="00EC5DE1" w:rsidRPr="0037138D"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37138D">
              <w:rPr>
                <w:lang w:val="en-GB"/>
              </w:rPr>
              <w:t>CAPRI+10%</w:t>
            </w:r>
          </w:p>
        </w:tc>
        <w:tc>
          <w:tcPr>
            <w:tcW w:w="458" w:type="pct"/>
            <w:gridSpan w:val="2"/>
            <w:shd w:val="clear" w:color="auto" w:fill="FFFFFF" w:themeFill="background1"/>
            <w:noWrap/>
          </w:tcPr>
          <w:p w14:paraId="296C20E9" w14:textId="77777777" w:rsidR="00EC5DE1" w:rsidRPr="00B00B67"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B00B67">
              <w:rPr>
                <w:lang w:val="en-GB"/>
              </w:rPr>
              <w:t>CAPRI+10%</w:t>
            </w:r>
          </w:p>
        </w:tc>
        <w:tc>
          <w:tcPr>
            <w:tcW w:w="633" w:type="pct"/>
            <w:vMerge/>
            <w:shd w:val="clear" w:color="auto" w:fill="FFFFFF" w:themeFill="background1"/>
            <w:noWrap/>
            <w:vAlign w:val="center"/>
          </w:tcPr>
          <w:p w14:paraId="34374F5B"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vAlign w:val="center"/>
          </w:tcPr>
          <w:p w14:paraId="48EC1F30"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vAlign w:val="center"/>
          </w:tcPr>
          <w:p w14:paraId="25755911"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EC5DE1" w:rsidRPr="00C61D6E" w14:paraId="19BD408D" w14:textId="77777777" w:rsidTr="007F5200">
        <w:trPr>
          <w:cnfStyle w:val="000000100000" w:firstRow="0" w:lastRow="0" w:firstColumn="0" w:lastColumn="0" w:oddVBand="0" w:evenVBand="0" w:oddHBand="1" w:evenHBand="0" w:firstRowFirstColumn="0" w:firstRowLastColumn="0" w:lastRowFirstColumn="0" w:lastRowLastColumn="0"/>
          <w:trHeight w:val="1728"/>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2B4DFDE1" w14:textId="77777777" w:rsidR="00EC5DE1" w:rsidRPr="00C61D6E" w:rsidRDefault="00EC5DE1" w:rsidP="00552E92">
            <w:pPr>
              <w:pStyle w:val="DataTab"/>
              <w:jc w:val="center"/>
              <w:rPr>
                <w:lang w:val="en-GB"/>
              </w:rPr>
            </w:pPr>
          </w:p>
        </w:tc>
        <w:tc>
          <w:tcPr>
            <w:tcW w:w="527" w:type="pct"/>
            <w:gridSpan w:val="2"/>
            <w:vMerge w:val="restart"/>
            <w:shd w:val="clear" w:color="auto" w:fill="FFFFFF" w:themeFill="background1"/>
            <w:noWrap/>
            <w:textDirection w:val="btLr"/>
            <w:vAlign w:val="center"/>
          </w:tcPr>
          <w:p w14:paraId="6A11582F" w14:textId="77777777" w:rsidR="00EC5DE1" w:rsidRPr="00C61D6E"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Woody/ ligno-cellulosic biomass</w:t>
            </w:r>
          </w:p>
          <w:p w14:paraId="3670ECCD" w14:textId="77777777" w:rsidR="00EC5DE1" w:rsidRPr="00C61D6E"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w:t>
            </w:r>
          </w:p>
        </w:tc>
        <w:tc>
          <w:tcPr>
            <w:tcW w:w="755" w:type="pct"/>
            <w:gridSpan w:val="3"/>
            <w:shd w:val="clear" w:color="auto" w:fill="FFFFFF" w:themeFill="background1"/>
            <w:noWrap/>
          </w:tcPr>
          <w:p w14:paraId="25393344"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921937">
              <w:rPr>
                <w:b/>
                <w:lang w:val="en-GB"/>
              </w:rPr>
              <w:t>Available Land</w:t>
            </w:r>
          </w:p>
        </w:tc>
        <w:tc>
          <w:tcPr>
            <w:tcW w:w="426" w:type="pct"/>
            <w:shd w:val="clear" w:color="auto" w:fill="FFFFFF" w:themeFill="background1"/>
            <w:noWrap/>
          </w:tcPr>
          <w:p w14:paraId="1E70736C" w14:textId="77777777" w:rsidR="00EC5DE1" w:rsidRPr="0037138D"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8C062F">
              <w:rPr>
                <w:lang w:val="en-GB"/>
              </w:rPr>
              <w:t>As MED Scenario</w:t>
            </w:r>
          </w:p>
        </w:tc>
        <w:tc>
          <w:tcPr>
            <w:tcW w:w="475" w:type="pct"/>
            <w:shd w:val="clear" w:color="auto" w:fill="FFFFFF" w:themeFill="background1"/>
            <w:noWrap/>
          </w:tcPr>
          <w:p w14:paraId="5B08C728"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B00B67">
              <w:rPr>
                <w:lang w:val="en-GB"/>
              </w:rPr>
              <w:t>Consistent with Capri land release between</w:t>
            </w:r>
            <w:r w:rsidRPr="00C61D6E">
              <w:rPr>
                <w:lang w:val="en-GB"/>
              </w:rPr>
              <w:t xml:space="preserve"> 2008 and analysis year (2020, 2030, 2040 or 2050)</w:t>
            </w:r>
          </w:p>
        </w:tc>
        <w:tc>
          <w:tcPr>
            <w:tcW w:w="458" w:type="pct"/>
            <w:gridSpan w:val="2"/>
            <w:shd w:val="clear" w:color="auto" w:fill="FFFFFF" w:themeFill="background1"/>
            <w:noWrap/>
          </w:tcPr>
          <w:p w14:paraId="7ACD29F6" w14:textId="77777777" w:rsidR="00EC5DE1" w:rsidRPr="00C61D6E" w:rsidRDefault="00EC5DE1" w:rsidP="00EC5DE1">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As MED Scen, but excludes protected areas and high nature value farmland</w:t>
            </w:r>
          </w:p>
        </w:tc>
        <w:tc>
          <w:tcPr>
            <w:tcW w:w="633" w:type="pct"/>
            <w:vMerge w:val="restart"/>
            <w:shd w:val="clear" w:color="auto" w:fill="FFFFFF" w:themeFill="background1"/>
            <w:noWrap/>
            <w:vAlign w:val="center"/>
          </w:tcPr>
          <w:p w14:paraId="2BCFB9CE"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high yield factor increases per year for dedicated bioenergy crops as result of improved technological developments in perennial breeds and farm management systems</w:t>
            </w:r>
          </w:p>
          <w:p w14:paraId="5B17DBFE" w14:textId="3B8DAE4A"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2) Growing energy crops (perennials) on marginal and </w:t>
            </w:r>
            <w:r w:rsidRPr="00C61D6E">
              <w:rPr>
                <w:lang w:val="en-GB"/>
              </w:rPr>
              <w:lastRenderedPageBreak/>
              <w:t xml:space="preserve">fallow lands, such as highly erodible lands, poor soils, which have been released from agriculture already </w:t>
            </w:r>
            <w:r w:rsidR="00FE6855">
              <w:rPr>
                <w:lang w:val="en-GB"/>
              </w:rPr>
              <w:t xml:space="preserve">a </w:t>
            </w:r>
            <w:r w:rsidRPr="00C61D6E">
              <w:rPr>
                <w:lang w:val="en-GB"/>
              </w:rPr>
              <w:t>long time ago</w:t>
            </w:r>
          </w:p>
          <w:p w14:paraId="3D5F760A"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Dedicated cropping can take place in High biodiversity lands</w:t>
            </w:r>
          </w:p>
          <w:p w14:paraId="12404483"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 Irrigation is allowed</w:t>
            </w:r>
          </w:p>
        </w:tc>
        <w:tc>
          <w:tcPr>
            <w:tcW w:w="621" w:type="pct"/>
            <w:vMerge w:val="restart"/>
            <w:shd w:val="clear" w:color="auto" w:fill="FFFFFF" w:themeFill="background1"/>
            <w:noWrap/>
            <w:vAlign w:val="center"/>
          </w:tcPr>
          <w:p w14:paraId="46911820"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lastRenderedPageBreak/>
              <w:t>1) Medium increase per year in yield factors for dedicated bioenergy crops as result of improved technological developments in perennial breeds and farm management systems</w:t>
            </w:r>
          </w:p>
          <w:p w14:paraId="475768DA"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2) Growing energy crops (perennials) </w:t>
            </w:r>
            <w:r w:rsidRPr="00C61D6E">
              <w:rPr>
                <w:lang w:val="en-GB"/>
              </w:rPr>
              <w:lastRenderedPageBreak/>
              <w:t>on marginal lands</w:t>
            </w:r>
          </w:p>
          <w:p w14:paraId="7F5E5C3E"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no crops on biodiversity rich land and on land (e.g. High Nature Value (HNV) farmland and Natura 2000 land in EU) with high carbon stocks</w:t>
            </w:r>
          </w:p>
          <w:p w14:paraId="6205A9B0"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 Irrigation in dedicated cropping is allowed</w:t>
            </w:r>
          </w:p>
        </w:tc>
        <w:tc>
          <w:tcPr>
            <w:tcW w:w="630" w:type="pct"/>
            <w:vMerge w:val="restart"/>
            <w:shd w:val="clear" w:color="auto" w:fill="FFFFFF" w:themeFill="background1"/>
            <w:noWrap/>
            <w:vAlign w:val="center"/>
          </w:tcPr>
          <w:p w14:paraId="0E4BA5D3"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lastRenderedPageBreak/>
              <w:t>1) Low increase per year in yield factors for dedicated bioenergy crops as no investments in technological developments in perennial breeds and farm management systems</w:t>
            </w:r>
          </w:p>
          <w:p w14:paraId="07253DD0"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2) no crops on biodiversity rich land and on land </w:t>
            </w:r>
            <w:r w:rsidRPr="00C61D6E">
              <w:rPr>
                <w:lang w:val="en-GB"/>
              </w:rPr>
              <w:lastRenderedPageBreak/>
              <w:t>with high carbon stocks and on fallow land.</w:t>
            </w:r>
          </w:p>
          <w:p w14:paraId="3AC103D8"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Marginal lands can be used for dedicated perennial crop, but limited investments and no irrigation allowed. 4) Urban planning policies (more urban sprawl and less land for biomass)</w:t>
            </w:r>
          </w:p>
        </w:tc>
      </w:tr>
      <w:tr w:rsidR="00EC5DE1" w:rsidRPr="00C61D6E" w14:paraId="713E9ACA"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0C6214DA" w14:textId="77777777" w:rsidR="00EC5DE1" w:rsidRPr="00C61D6E" w:rsidRDefault="00EC5DE1" w:rsidP="00552E92">
            <w:pPr>
              <w:pStyle w:val="DataTab"/>
              <w:jc w:val="center"/>
              <w:rPr>
                <w:lang w:val="en-GB"/>
              </w:rPr>
            </w:pPr>
          </w:p>
        </w:tc>
        <w:tc>
          <w:tcPr>
            <w:tcW w:w="527" w:type="pct"/>
            <w:gridSpan w:val="2"/>
            <w:vMerge/>
            <w:shd w:val="clear" w:color="auto" w:fill="FFFFFF" w:themeFill="background1"/>
            <w:noWrap/>
            <w:textDirection w:val="btLr"/>
            <w:vAlign w:val="center"/>
          </w:tcPr>
          <w:p w14:paraId="29C6A871" w14:textId="77777777" w:rsidR="00EC5DE1" w:rsidRPr="00C61D6E" w:rsidRDefault="00EC5DE1"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755" w:type="pct"/>
            <w:gridSpan w:val="3"/>
            <w:shd w:val="clear" w:color="auto" w:fill="FFFFFF" w:themeFill="background1"/>
            <w:noWrap/>
          </w:tcPr>
          <w:p w14:paraId="4538C833"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921937">
              <w:rPr>
                <w:b/>
                <w:lang w:val="en-GB"/>
              </w:rPr>
              <w:t>Irrigation</w:t>
            </w:r>
          </w:p>
        </w:tc>
        <w:tc>
          <w:tcPr>
            <w:tcW w:w="426" w:type="pct"/>
            <w:shd w:val="clear" w:color="auto" w:fill="FFFFFF" w:themeFill="background1"/>
            <w:noWrap/>
          </w:tcPr>
          <w:p w14:paraId="2E651B81"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Yes</w:t>
            </w:r>
          </w:p>
        </w:tc>
        <w:tc>
          <w:tcPr>
            <w:tcW w:w="475" w:type="pct"/>
            <w:shd w:val="clear" w:color="auto" w:fill="FFFFFF" w:themeFill="background1"/>
            <w:noWrap/>
          </w:tcPr>
          <w:p w14:paraId="77DCE892"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Yes</w:t>
            </w:r>
          </w:p>
        </w:tc>
        <w:tc>
          <w:tcPr>
            <w:tcW w:w="458" w:type="pct"/>
            <w:gridSpan w:val="2"/>
            <w:shd w:val="clear" w:color="auto" w:fill="FFFFFF" w:themeFill="background1"/>
            <w:noWrap/>
          </w:tcPr>
          <w:p w14:paraId="70D31888"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921937">
              <w:rPr>
                <w:lang w:val="en-GB"/>
              </w:rPr>
              <w:t>No</w:t>
            </w:r>
          </w:p>
        </w:tc>
        <w:tc>
          <w:tcPr>
            <w:tcW w:w="633" w:type="pct"/>
            <w:vMerge/>
            <w:shd w:val="clear" w:color="auto" w:fill="FFFFFF" w:themeFill="background1"/>
            <w:noWrap/>
            <w:vAlign w:val="center"/>
          </w:tcPr>
          <w:p w14:paraId="6D60FE08"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vAlign w:val="center"/>
          </w:tcPr>
          <w:p w14:paraId="3CFE7703"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vAlign w:val="center"/>
          </w:tcPr>
          <w:p w14:paraId="09287C8B"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EC5DE1" w:rsidRPr="00C61D6E" w14:paraId="590295C2"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09C51D5D" w14:textId="77777777" w:rsidR="00EC5DE1" w:rsidRPr="00C61D6E" w:rsidRDefault="00EC5DE1" w:rsidP="00552E92">
            <w:pPr>
              <w:pStyle w:val="DataTab"/>
              <w:jc w:val="center"/>
              <w:rPr>
                <w:lang w:val="en-GB"/>
              </w:rPr>
            </w:pPr>
          </w:p>
        </w:tc>
        <w:tc>
          <w:tcPr>
            <w:tcW w:w="527" w:type="pct"/>
            <w:gridSpan w:val="2"/>
            <w:vMerge/>
            <w:shd w:val="clear" w:color="auto" w:fill="FFFFFF" w:themeFill="background1"/>
            <w:noWrap/>
            <w:textDirection w:val="btLr"/>
            <w:vAlign w:val="center"/>
          </w:tcPr>
          <w:p w14:paraId="6A043480" w14:textId="77777777" w:rsidR="00EC5DE1" w:rsidRPr="00C61D6E" w:rsidRDefault="00EC5DE1"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755" w:type="pct"/>
            <w:gridSpan w:val="3"/>
            <w:shd w:val="clear" w:color="auto" w:fill="FFFFFF" w:themeFill="background1"/>
            <w:noWrap/>
          </w:tcPr>
          <w:p w14:paraId="3E5F09C9" w14:textId="77777777" w:rsidR="00EC5DE1" w:rsidRPr="00921937"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921937">
              <w:rPr>
                <w:b/>
                <w:lang w:val="en-GB"/>
              </w:rPr>
              <w:t xml:space="preserve">Yield </w:t>
            </w:r>
          </w:p>
          <w:p w14:paraId="5F074473" w14:textId="77777777" w:rsidR="00EC5DE1" w:rsidRPr="00C61D6E"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921937">
              <w:rPr>
                <w:b/>
                <w:lang w:val="en-GB"/>
              </w:rPr>
              <w:t>[% Increase per year]</w:t>
            </w:r>
          </w:p>
        </w:tc>
        <w:tc>
          <w:tcPr>
            <w:tcW w:w="426" w:type="pct"/>
            <w:shd w:val="clear" w:color="auto" w:fill="FFFFFF" w:themeFill="background1"/>
            <w:noWrap/>
          </w:tcPr>
          <w:p w14:paraId="34D9E737" w14:textId="77777777" w:rsidR="00EC5DE1" w:rsidRPr="008C062F"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8C062F">
              <w:rPr>
                <w:lang w:val="en-GB"/>
              </w:rPr>
              <w:t>1</w:t>
            </w:r>
          </w:p>
        </w:tc>
        <w:tc>
          <w:tcPr>
            <w:tcW w:w="475" w:type="pct"/>
            <w:shd w:val="clear" w:color="auto" w:fill="FFFFFF" w:themeFill="background1"/>
            <w:noWrap/>
          </w:tcPr>
          <w:p w14:paraId="2687F0FD" w14:textId="77777777" w:rsidR="00EC5DE1" w:rsidRPr="0037138D"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37138D">
              <w:rPr>
                <w:lang w:val="en-GB"/>
              </w:rPr>
              <w:t>0.5</w:t>
            </w:r>
          </w:p>
        </w:tc>
        <w:tc>
          <w:tcPr>
            <w:tcW w:w="458" w:type="pct"/>
            <w:gridSpan w:val="2"/>
            <w:shd w:val="clear" w:color="auto" w:fill="FFFFFF" w:themeFill="background1"/>
            <w:noWrap/>
          </w:tcPr>
          <w:p w14:paraId="4834E2BE" w14:textId="77777777" w:rsidR="00EC5DE1" w:rsidRPr="00B00B67" w:rsidRDefault="00EC5DE1"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B00B67">
              <w:rPr>
                <w:lang w:val="en-GB"/>
              </w:rPr>
              <w:t>0.25</w:t>
            </w:r>
          </w:p>
        </w:tc>
        <w:tc>
          <w:tcPr>
            <w:tcW w:w="633" w:type="pct"/>
            <w:vMerge/>
            <w:shd w:val="clear" w:color="auto" w:fill="FFFFFF" w:themeFill="background1"/>
            <w:noWrap/>
            <w:vAlign w:val="center"/>
          </w:tcPr>
          <w:p w14:paraId="2FEB5BC8"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vAlign w:val="center"/>
          </w:tcPr>
          <w:p w14:paraId="732CC971"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vAlign w:val="center"/>
          </w:tcPr>
          <w:p w14:paraId="1838E053" w14:textId="77777777" w:rsidR="00EC5DE1" w:rsidRPr="00C61D6E" w:rsidRDefault="00EC5DE1"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EC5DE1" w:rsidRPr="00C61D6E" w14:paraId="4EA725B2"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533829DD" w14:textId="77777777" w:rsidR="00EC5DE1" w:rsidRPr="00C61D6E" w:rsidRDefault="00EC5DE1" w:rsidP="00552E92">
            <w:pPr>
              <w:pStyle w:val="DataTab"/>
              <w:jc w:val="center"/>
              <w:rPr>
                <w:highlight w:val="cyan"/>
                <w:lang w:val="en-GB"/>
              </w:rPr>
            </w:pPr>
          </w:p>
        </w:tc>
        <w:tc>
          <w:tcPr>
            <w:tcW w:w="527" w:type="pct"/>
            <w:gridSpan w:val="2"/>
            <w:vMerge/>
            <w:shd w:val="clear" w:color="auto" w:fill="FFFFFF" w:themeFill="background1"/>
            <w:noWrap/>
            <w:textDirection w:val="btLr"/>
            <w:vAlign w:val="center"/>
          </w:tcPr>
          <w:p w14:paraId="2CAADCD3" w14:textId="77777777" w:rsidR="00EC5DE1" w:rsidRPr="00C61D6E" w:rsidRDefault="00EC5DE1"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highlight w:val="cyan"/>
                <w:lang w:val="en-GB"/>
              </w:rPr>
            </w:pPr>
          </w:p>
        </w:tc>
        <w:tc>
          <w:tcPr>
            <w:tcW w:w="755" w:type="pct"/>
            <w:gridSpan w:val="3"/>
            <w:shd w:val="clear" w:color="auto" w:fill="FFFFFF" w:themeFill="background1"/>
            <w:noWrap/>
          </w:tcPr>
          <w:p w14:paraId="31E666D1" w14:textId="77777777" w:rsidR="004E0900"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 xml:space="preserve">Competing use </w:t>
            </w:r>
          </w:p>
          <w:p w14:paraId="6F03236F"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b/>
                <w:highlight w:val="cyan"/>
                <w:lang w:val="en-GB"/>
              </w:rPr>
            </w:pPr>
            <w:r w:rsidRPr="00C61D6E">
              <w:rPr>
                <w:b/>
                <w:lang w:val="en-GB"/>
              </w:rPr>
              <w:t>[% NOT going to energy /total]</w:t>
            </w:r>
          </w:p>
        </w:tc>
        <w:tc>
          <w:tcPr>
            <w:tcW w:w="426" w:type="pct"/>
            <w:shd w:val="clear" w:color="auto" w:fill="FFFFFF" w:themeFill="background1"/>
            <w:noWrap/>
          </w:tcPr>
          <w:p w14:paraId="66734C69"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0%</w:t>
            </w:r>
          </w:p>
        </w:tc>
        <w:tc>
          <w:tcPr>
            <w:tcW w:w="475" w:type="pct"/>
            <w:shd w:val="clear" w:color="auto" w:fill="FFFFFF" w:themeFill="background1"/>
            <w:noWrap/>
          </w:tcPr>
          <w:p w14:paraId="70475858"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58" w:type="pct"/>
            <w:gridSpan w:val="2"/>
            <w:shd w:val="clear" w:color="auto" w:fill="FFFFFF" w:themeFill="background1"/>
            <w:noWrap/>
          </w:tcPr>
          <w:p w14:paraId="7C152000" w14:textId="77777777" w:rsidR="00EC5DE1" w:rsidRPr="00C61D6E" w:rsidRDefault="00EC5DE1"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75%</w:t>
            </w:r>
          </w:p>
        </w:tc>
        <w:tc>
          <w:tcPr>
            <w:tcW w:w="633" w:type="pct"/>
            <w:vMerge/>
            <w:shd w:val="clear" w:color="auto" w:fill="FFFFFF" w:themeFill="background1"/>
            <w:noWrap/>
            <w:vAlign w:val="center"/>
          </w:tcPr>
          <w:p w14:paraId="51799FE7"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highlight w:val="cyan"/>
                <w:lang w:val="en-GB"/>
              </w:rPr>
            </w:pPr>
          </w:p>
        </w:tc>
        <w:tc>
          <w:tcPr>
            <w:tcW w:w="621" w:type="pct"/>
            <w:vMerge/>
            <w:shd w:val="clear" w:color="auto" w:fill="FFFFFF" w:themeFill="background1"/>
            <w:noWrap/>
            <w:vAlign w:val="center"/>
          </w:tcPr>
          <w:p w14:paraId="41F83D28"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highlight w:val="cyan"/>
                <w:lang w:val="en-GB"/>
              </w:rPr>
            </w:pPr>
          </w:p>
        </w:tc>
        <w:tc>
          <w:tcPr>
            <w:tcW w:w="630" w:type="pct"/>
            <w:vMerge/>
            <w:shd w:val="clear" w:color="auto" w:fill="FFFFFF" w:themeFill="background1"/>
            <w:noWrap/>
            <w:vAlign w:val="center"/>
          </w:tcPr>
          <w:p w14:paraId="6B4EF202" w14:textId="77777777" w:rsidR="00EC5DE1" w:rsidRPr="00C61D6E" w:rsidRDefault="00EC5DE1" w:rsidP="00EA573C">
            <w:pPr>
              <w:pStyle w:val="DataTab"/>
              <w:jc w:val="left"/>
              <w:cnfStyle w:val="000000000000" w:firstRow="0" w:lastRow="0" w:firstColumn="0" w:lastColumn="0" w:oddVBand="0" w:evenVBand="0" w:oddHBand="0" w:evenHBand="0" w:firstRowFirstColumn="0" w:firstRowLastColumn="0" w:lastRowFirstColumn="0" w:lastRowLastColumn="0"/>
              <w:rPr>
                <w:highlight w:val="cyan"/>
                <w:lang w:val="en-GB"/>
              </w:rPr>
            </w:pPr>
          </w:p>
        </w:tc>
      </w:tr>
      <w:tr w:rsidR="00B645C0" w:rsidRPr="00C61D6E" w14:paraId="53ABA209"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val="restart"/>
            <w:shd w:val="clear" w:color="auto" w:fill="FFFFFF" w:themeFill="background1"/>
            <w:noWrap/>
            <w:vAlign w:val="center"/>
          </w:tcPr>
          <w:p w14:paraId="7D5DF7F3" w14:textId="77777777" w:rsidR="00B645C0" w:rsidRPr="00C61D6E" w:rsidRDefault="00B645C0" w:rsidP="00372788">
            <w:pPr>
              <w:pStyle w:val="DataTab"/>
              <w:jc w:val="center"/>
              <w:rPr>
                <w:lang w:val="en-GB"/>
              </w:rPr>
            </w:pPr>
            <w:r w:rsidRPr="00C61D6E">
              <w:rPr>
                <w:lang w:val="en-GB"/>
              </w:rPr>
              <w:lastRenderedPageBreak/>
              <w:t>PRIMARY RESIDUES</w:t>
            </w:r>
          </w:p>
        </w:tc>
        <w:tc>
          <w:tcPr>
            <w:tcW w:w="284" w:type="pct"/>
            <w:vMerge w:val="restart"/>
            <w:shd w:val="clear" w:color="auto" w:fill="FFFFFF" w:themeFill="background1"/>
            <w:noWrap/>
            <w:textDirection w:val="btLr"/>
            <w:vAlign w:val="center"/>
          </w:tcPr>
          <w:p w14:paraId="18FE20C3"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Manure</w:t>
            </w:r>
          </w:p>
        </w:tc>
        <w:tc>
          <w:tcPr>
            <w:tcW w:w="243" w:type="pct"/>
            <w:vMerge w:val="restart"/>
            <w:shd w:val="clear" w:color="auto" w:fill="FFFFFF" w:themeFill="background1"/>
            <w:textDirection w:val="btLr"/>
            <w:vAlign w:val="center"/>
          </w:tcPr>
          <w:p w14:paraId="683B9980"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Dry (poultry, sheep, goat)</w:t>
            </w:r>
          </w:p>
        </w:tc>
        <w:tc>
          <w:tcPr>
            <w:tcW w:w="755" w:type="pct"/>
            <w:gridSpan w:val="3"/>
            <w:shd w:val="clear" w:color="auto" w:fill="FFFFFF" w:themeFill="background1"/>
            <w:noWrap/>
          </w:tcPr>
          <w:p w14:paraId="517CBA5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Livestock</w:t>
            </w:r>
          </w:p>
        </w:tc>
        <w:tc>
          <w:tcPr>
            <w:tcW w:w="1359" w:type="pct"/>
            <w:gridSpan w:val="4"/>
            <w:shd w:val="clear" w:color="auto" w:fill="FFFFFF" w:themeFill="background1"/>
            <w:noWrap/>
          </w:tcPr>
          <w:p w14:paraId="3905523B"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Consistent with Capri animal number and type developments</w:t>
            </w:r>
          </w:p>
        </w:tc>
        <w:tc>
          <w:tcPr>
            <w:tcW w:w="633" w:type="pct"/>
            <w:vMerge w:val="restart"/>
            <w:shd w:val="clear" w:color="auto" w:fill="FFFFFF" w:themeFill="background1"/>
            <w:noWrap/>
            <w:vAlign w:val="center"/>
          </w:tcPr>
          <w:p w14:paraId="1C3064DF"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Increase in the removal rate of residues from arable and permanent crops</w:t>
            </w:r>
          </w:p>
          <w:p w14:paraId="079A84C6"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2)Increase of sustainable yield ratios for straw up to 50% of straw available</w:t>
            </w:r>
          </w:p>
          <w:p w14:paraId="4DE45787"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Minimum use of straw for alternative (non-energy) uses 4) straw use in bedding declines because of alternative uses and new livestock housing systems</w:t>
            </w:r>
          </w:p>
          <w:p w14:paraId="4BFEA757"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5) Re-use of all woody material from pruning and cutting- residues from </w:t>
            </w:r>
            <w:r w:rsidRPr="00C61D6E">
              <w:rPr>
                <w:lang w:val="en-GB"/>
              </w:rPr>
              <w:lastRenderedPageBreak/>
              <w:t>abandoned grassland are usable for bioenergy</w:t>
            </w:r>
          </w:p>
        </w:tc>
        <w:tc>
          <w:tcPr>
            <w:tcW w:w="621" w:type="pct"/>
            <w:vMerge w:val="restart"/>
            <w:shd w:val="clear" w:color="auto" w:fill="FFFFFF" w:themeFill="background1"/>
            <w:noWrap/>
            <w:vAlign w:val="center"/>
          </w:tcPr>
          <w:p w14:paraId="03669185"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lastRenderedPageBreak/>
              <w:t>1) Removal rates of arable and permanent crop residues will stabilise at what is also currently a common practice and sustainable acceptable (not taking account of specific regional circumstances making sustainable removal more of an issue)</w:t>
            </w:r>
          </w:p>
          <w:p w14:paraId="10E957C9"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Use of straw for alternative (non-energy) uses according to current conditions</w:t>
            </w:r>
          </w:p>
          <w:p w14:paraId="62D983E6"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3) Moderate increase use of woody material from pruning and </w:t>
            </w:r>
            <w:r w:rsidRPr="00C61D6E">
              <w:rPr>
                <w:lang w:val="en-GB"/>
              </w:rPr>
              <w:lastRenderedPageBreak/>
              <w:t>cutting from today’s level</w:t>
            </w:r>
          </w:p>
          <w:p w14:paraId="4DA5EC24"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 No residues from abandoned grassland</w:t>
            </w:r>
          </w:p>
        </w:tc>
        <w:tc>
          <w:tcPr>
            <w:tcW w:w="630" w:type="pct"/>
            <w:vMerge w:val="restart"/>
            <w:shd w:val="clear" w:color="auto" w:fill="FFFFFF" w:themeFill="background1"/>
            <w:noWrap/>
            <w:vAlign w:val="center"/>
          </w:tcPr>
          <w:p w14:paraId="7160F5E5"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lastRenderedPageBreak/>
              <w:t>1) Today’s patterns for residue-producing crops</w:t>
            </w:r>
          </w:p>
          <w:p w14:paraId="2FC643B6"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Stricter sustainable yield ratios for straw then in current situation</w:t>
            </w:r>
          </w:p>
          <w:p w14:paraId="642057C9"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Use of straw for alternative (non-energy) uses according to current conditions</w:t>
            </w:r>
          </w:p>
          <w:p w14:paraId="47D49C7A"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 Use of woody material from pruning and cutting on today’s level</w:t>
            </w:r>
          </w:p>
          <w:p w14:paraId="4283C1B9" w14:textId="77777777" w:rsidR="00B645C0" w:rsidRPr="00C61D6E" w:rsidRDefault="00B645C0" w:rsidP="00EA573C">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 No residues from grassland</w:t>
            </w:r>
          </w:p>
        </w:tc>
      </w:tr>
      <w:tr w:rsidR="00B645C0" w:rsidRPr="00C61D6E" w14:paraId="28E05E8E"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7A740636" w14:textId="77777777" w:rsidR="00B645C0" w:rsidRPr="00C61D6E" w:rsidRDefault="00B645C0" w:rsidP="00552E92">
            <w:pPr>
              <w:pStyle w:val="DataTab"/>
              <w:jc w:val="center"/>
              <w:rPr>
                <w:lang w:val="en-GB"/>
              </w:rPr>
            </w:pPr>
          </w:p>
        </w:tc>
        <w:tc>
          <w:tcPr>
            <w:tcW w:w="284" w:type="pct"/>
            <w:vMerge/>
            <w:shd w:val="clear" w:color="auto" w:fill="FFFFFF" w:themeFill="background1"/>
            <w:noWrap/>
            <w:textDirection w:val="btLr"/>
            <w:vAlign w:val="center"/>
          </w:tcPr>
          <w:p w14:paraId="501F48BE"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243" w:type="pct"/>
            <w:vMerge/>
            <w:shd w:val="clear" w:color="auto" w:fill="FFFFFF" w:themeFill="background1"/>
            <w:textDirection w:val="btLr"/>
            <w:vAlign w:val="center"/>
          </w:tcPr>
          <w:p w14:paraId="5B367611"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755" w:type="pct"/>
            <w:gridSpan w:val="3"/>
            <w:shd w:val="clear" w:color="auto" w:fill="FFFFFF" w:themeFill="background1"/>
            <w:noWrap/>
          </w:tcPr>
          <w:p w14:paraId="535C4A3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Competing use [% NOT going to energy /total]</w:t>
            </w:r>
          </w:p>
        </w:tc>
        <w:tc>
          <w:tcPr>
            <w:tcW w:w="426" w:type="pct"/>
            <w:shd w:val="clear" w:color="auto" w:fill="FFFFFF" w:themeFill="background1"/>
            <w:noWrap/>
          </w:tcPr>
          <w:p w14:paraId="1698B465"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0%</w:t>
            </w:r>
          </w:p>
        </w:tc>
        <w:tc>
          <w:tcPr>
            <w:tcW w:w="475" w:type="pct"/>
            <w:shd w:val="clear" w:color="auto" w:fill="FFFFFF" w:themeFill="background1"/>
            <w:noWrap/>
          </w:tcPr>
          <w:p w14:paraId="7B4D3CF0"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58" w:type="pct"/>
            <w:gridSpan w:val="2"/>
            <w:shd w:val="clear" w:color="auto" w:fill="FFFFFF" w:themeFill="background1"/>
            <w:noWrap/>
          </w:tcPr>
          <w:p w14:paraId="5D27B082"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75%</w:t>
            </w:r>
          </w:p>
        </w:tc>
        <w:tc>
          <w:tcPr>
            <w:tcW w:w="633" w:type="pct"/>
            <w:vMerge/>
            <w:shd w:val="clear" w:color="auto" w:fill="FFFFFF" w:themeFill="background1"/>
            <w:noWrap/>
          </w:tcPr>
          <w:p w14:paraId="56AB45AA"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039C6DD1"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232DA359"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6119FA7C"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42984387" w14:textId="77777777" w:rsidR="00B645C0" w:rsidRPr="00C61D6E" w:rsidRDefault="00B645C0" w:rsidP="00552E92">
            <w:pPr>
              <w:pStyle w:val="DataTab"/>
              <w:jc w:val="center"/>
              <w:rPr>
                <w:lang w:val="en-GB"/>
              </w:rPr>
            </w:pPr>
          </w:p>
        </w:tc>
        <w:tc>
          <w:tcPr>
            <w:tcW w:w="284" w:type="pct"/>
            <w:vMerge/>
            <w:shd w:val="clear" w:color="auto" w:fill="FFFFFF" w:themeFill="background1"/>
            <w:noWrap/>
            <w:textDirection w:val="btLr"/>
            <w:vAlign w:val="center"/>
          </w:tcPr>
          <w:p w14:paraId="666378FE"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243" w:type="pct"/>
            <w:vMerge w:val="restart"/>
            <w:shd w:val="clear" w:color="auto" w:fill="FFFFFF" w:themeFill="background1"/>
            <w:textDirection w:val="btLr"/>
            <w:vAlign w:val="center"/>
          </w:tcPr>
          <w:p w14:paraId="11259825"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Wet (manure (pig, cattle)</w:t>
            </w:r>
          </w:p>
        </w:tc>
        <w:tc>
          <w:tcPr>
            <w:tcW w:w="755" w:type="pct"/>
            <w:gridSpan w:val="3"/>
            <w:shd w:val="clear" w:color="auto" w:fill="FFFFFF" w:themeFill="background1"/>
            <w:noWrap/>
          </w:tcPr>
          <w:p w14:paraId="6A4A7E2F"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Livestock</w:t>
            </w:r>
          </w:p>
        </w:tc>
        <w:tc>
          <w:tcPr>
            <w:tcW w:w="1359" w:type="pct"/>
            <w:gridSpan w:val="4"/>
            <w:shd w:val="clear" w:color="auto" w:fill="FFFFFF" w:themeFill="background1"/>
            <w:noWrap/>
          </w:tcPr>
          <w:p w14:paraId="46D7BA80"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Consistent with Capri animal number and type developments</w:t>
            </w:r>
          </w:p>
        </w:tc>
        <w:tc>
          <w:tcPr>
            <w:tcW w:w="633" w:type="pct"/>
            <w:vMerge/>
            <w:shd w:val="clear" w:color="auto" w:fill="FFFFFF" w:themeFill="background1"/>
            <w:noWrap/>
          </w:tcPr>
          <w:p w14:paraId="5D1A89C7"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5E2489DB"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3AC98C59"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70841DDF"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3CAB642D" w14:textId="77777777" w:rsidR="00B645C0" w:rsidRPr="00C61D6E" w:rsidRDefault="00B645C0" w:rsidP="00552E92">
            <w:pPr>
              <w:pStyle w:val="DataTab"/>
              <w:jc w:val="center"/>
              <w:rPr>
                <w:lang w:val="en-GB"/>
              </w:rPr>
            </w:pPr>
          </w:p>
        </w:tc>
        <w:tc>
          <w:tcPr>
            <w:tcW w:w="284" w:type="pct"/>
            <w:vMerge/>
            <w:shd w:val="clear" w:color="auto" w:fill="FFFFFF" w:themeFill="background1"/>
            <w:noWrap/>
            <w:textDirection w:val="btLr"/>
            <w:vAlign w:val="center"/>
          </w:tcPr>
          <w:p w14:paraId="162EF93A"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243" w:type="pct"/>
            <w:vMerge/>
            <w:shd w:val="clear" w:color="auto" w:fill="FFFFFF" w:themeFill="background1"/>
            <w:textDirection w:val="btLr"/>
            <w:vAlign w:val="center"/>
          </w:tcPr>
          <w:p w14:paraId="231BE89C"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755" w:type="pct"/>
            <w:gridSpan w:val="3"/>
            <w:shd w:val="clear" w:color="auto" w:fill="FFFFFF" w:themeFill="background1"/>
            <w:noWrap/>
          </w:tcPr>
          <w:p w14:paraId="00B7678A"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Manure available for digestion</w:t>
            </w:r>
          </w:p>
        </w:tc>
        <w:tc>
          <w:tcPr>
            <w:tcW w:w="426" w:type="pct"/>
            <w:shd w:val="clear" w:color="auto" w:fill="FFFFFF" w:themeFill="background1"/>
            <w:noWrap/>
          </w:tcPr>
          <w:p w14:paraId="170BDBD2"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All manure produced on farms with &gt;100 Livestock Units</w:t>
            </w:r>
          </w:p>
        </w:tc>
        <w:tc>
          <w:tcPr>
            <w:tcW w:w="475" w:type="pct"/>
            <w:shd w:val="clear" w:color="auto" w:fill="FFFFFF" w:themeFill="background1"/>
            <w:noWrap/>
          </w:tcPr>
          <w:p w14:paraId="3CFCD418" w14:textId="77777777" w:rsidR="00B645C0" w:rsidRPr="00C61D6E" w:rsidRDefault="00B645C0" w:rsidP="00372788">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All manure produced on farms with &gt;200 Livestock Units</w:t>
            </w:r>
          </w:p>
        </w:tc>
        <w:tc>
          <w:tcPr>
            <w:tcW w:w="458" w:type="pct"/>
            <w:gridSpan w:val="2"/>
            <w:shd w:val="clear" w:color="auto" w:fill="FFFFFF" w:themeFill="background1"/>
            <w:noWrap/>
          </w:tcPr>
          <w:p w14:paraId="4A6162AA" w14:textId="77777777" w:rsidR="00B645C0" w:rsidRPr="00C61D6E" w:rsidRDefault="00B645C0" w:rsidP="00372788">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All manure produced on farms with &gt;500 Livestock Units</w:t>
            </w:r>
          </w:p>
        </w:tc>
        <w:tc>
          <w:tcPr>
            <w:tcW w:w="633" w:type="pct"/>
            <w:vMerge/>
            <w:shd w:val="clear" w:color="auto" w:fill="FFFFFF" w:themeFill="background1"/>
            <w:noWrap/>
          </w:tcPr>
          <w:p w14:paraId="1512EFE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128AF43F"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77C8E19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735AFB60"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val="restart"/>
            <w:shd w:val="clear" w:color="auto" w:fill="FFFFFF" w:themeFill="background1"/>
            <w:noWrap/>
            <w:vAlign w:val="center"/>
          </w:tcPr>
          <w:p w14:paraId="177AEC20" w14:textId="77777777" w:rsidR="00B645C0" w:rsidRPr="00C61D6E" w:rsidRDefault="00B645C0" w:rsidP="00552E92">
            <w:pPr>
              <w:pStyle w:val="DataTab"/>
              <w:jc w:val="center"/>
              <w:rPr>
                <w:lang w:val="en-GB"/>
              </w:rPr>
            </w:pPr>
            <w:r w:rsidRPr="00C61D6E">
              <w:rPr>
                <w:lang w:val="en-GB"/>
              </w:rPr>
              <w:t>SECONDARY RESIDUES</w:t>
            </w:r>
          </w:p>
        </w:tc>
        <w:tc>
          <w:tcPr>
            <w:tcW w:w="527" w:type="pct"/>
            <w:gridSpan w:val="2"/>
            <w:vMerge w:val="restart"/>
            <w:shd w:val="clear" w:color="auto" w:fill="FFFFFF" w:themeFill="background1"/>
            <w:noWrap/>
            <w:textDirection w:val="btLr"/>
            <w:vAlign w:val="center"/>
          </w:tcPr>
          <w:p w14:paraId="61C141B1" w14:textId="77777777" w:rsidR="00B645C0" w:rsidRPr="00C61D6E" w:rsidRDefault="00B645C0" w:rsidP="00EC5DE1">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Pits from olive pitting</w:t>
            </w:r>
          </w:p>
        </w:tc>
        <w:tc>
          <w:tcPr>
            <w:tcW w:w="755" w:type="pct"/>
            <w:gridSpan w:val="3"/>
            <w:shd w:val="clear" w:color="auto" w:fill="FFFFFF" w:themeFill="background1"/>
            <w:noWrap/>
          </w:tcPr>
          <w:p w14:paraId="4E021ABC"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rFonts w:cs="Times New Roman"/>
                <w:b/>
                <w:lang w:val="en-GB"/>
              </w:rPr>
            </w:pPr>
            <w:r w:rsidRPr="00C61D6E">
              <w:rPr>
                <w:b/>
                <w:lang w:val="en-GB"/>
              </w:rPr>
              <w:t>Residue ratio</w:t>
            </w:r>
          </w:p>
        </w:tc>
        <w:tc>
          <w:tcPr>
            <w:tcW w:w="1359" w:type="pct"/>
            <w:gridSpan w:val="4"/>
            <w:shd w:val="clear" w:color="auto" w:fill="FFFFFF" w:themeFill="background1"/>
            <w:noWrap/>
          </w:tcPr>
          <w:p w14:paraId="41C88CAB"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All olive pits going to processing industries in EU</w:t>
            </w:r>
          </w:p>
        </w:tc>
        <w:tc>
          <w:tcPr>
            <w:tcW w:w="633" w:type="pct"/>
            <w:vMerge/>
            <w:shd w:val="clear" w:color="auto" w:fill="FFFFFF" w:themeFill="background1"/>
            <w:noWrap/>
          </w:tcPr>
          <w:p w14:paraId="45C944F4"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55670D65"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6D79C3D7"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27A90D90" w14:textId="77777777" w:rsidTr="007F5200">
        <w:trPr>
          <w:trHeight w:val="21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046A7DDA" w14:textId="77777777" w:rsidR="00B645C0" w:rsidRPr="00C61D6E" w:rsidRDefault="00B645C0" w:rsidP="00552E92">
            <w:pPr>
              <w:pStyle w:val="DataTab"/>
              <w:jc w:val="center"/>
              <w:rPr>
                <w:lang w:val="en-GB"/>
              </w:rPr>
            </w:pPr>
          </w:p>
        </w:tc>
        <w:tc>
          <w:tcPr>
            <w:tcW w:w="527" w:type="pct"/>
            <w:gridSpan w:val="2"/>
            <w:vMerge/>
            <w:shd w:val="clear" w:color="auto" w:fill="FFFFFF" w:themeFill="background1"/>
            <w:noWrap/>
            <w:textDirection w:val="btLr"/>
            <w:vAlign w:val="center"/>
          </w:tcPr>
          <w:p w14:paraId="046ABDEF"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375" w:type="pct"/>
            <w:vMerge w:val="restart"/>
            <w:tcBorders>
              <w:top w:val="single" w:sz="4" w:space="0" w:color="auto"/>
            </w:tcBorders>
            <w:shd w:val="clear" w:color="auto" w:fill="FFFFFF" w:themeFill="background1"/>
            <w:noWrap/>
          </w:tcPr>
          <w:p w14:paraId="0E0533F9"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rFonts w:cs="Times New Roman"/>
                <w:b/>
                <w:lang w:val="en-GB"/>
              </w:rPr>
            </w:pPr>
            <w:r w:rsidRPr="00C61D6E">
              <w:rPr>
                <w:b/>
                <w:lang w:val="en-GB"/>
              </w:rPr>
              <w:t>EU Collection ratio</w:t>
            </w:r>
          </w:p>
        </w:tc>
        <w:tc>
          <w:tcPr>
            <w:tcW w:w="380" w:type="pct"/>
            <w:gridSpan w:val="2"/>
            <w:tcBorders>
              <w:top w:val="single" w:sz="4" w:space="0" w:color="auto"/>
            </w:tcBorders>
            <w:shd w:val="clear" w:color="auto" w:fill="FFFFFF" w:themeFill="background1"/>
          </w:tcPr>
          <w:p w14:paraId="78A78922"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rFonts w:cs="Times New Roman"/>
                <w:b/>
                <w:lang w:val="en-GB"/>
              </w:rPr>
            </w:pPr>
            <w:r w:rsidRPr="00C61D6E">
              <w:rPr>
                <w:rFonts w:cs="Times New Roman"/>
                <w:b/>
                <w:lang w:val="en-GB"/>
              </w:rPr>
              <w:t>2020</w:t>
            </w:r>
          </w:p>
        </w:tc>
        <w:tc>
          <w:tcPr>
            <w:tcW w:w="426" w:type="pct"/>
            <w:shd w:val="clear" w:color="auto" w:fill="FFFFFF" w:themeFill="background1"/>
            <w:noWrap/>
          </w:tcPr>
          <w:p w14:paraId="4E44C799"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75" w:type="pct"/>
            <w:shd w:val="clear" w:color="auto" w:fill="FFFFFF" w:themeFill="background1"/>
            <w:noWrap/>
          </w:tcPr>
          <w:p w14:paraId="3FAA284D" w14:textId="77777777" w:rsidR="00B645C0" w:rsidRPr="00C61D6E" w:rsidRDefault="00B645C0" w:rsidP="00651076">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30%</w:t>
            </w:r>
          </w:p>
        </w:tc>
        <w:tc>
          <w:tcPr>
            <w:tcW w:w="458" w:type="pct"/>
            <w:gridSpan w:val="2"/>
            <w:shd w:val="clear" w:color="auto" w:fill="FFFFFF" w:themeFill="background1"/>
            <w:noWrap/>
          </w:tcPr>
          <w:p w14:paraId="7DD8E524"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20%</w:t>
            </w:r>
          </w:p>
        </w:tc>
        <w:tc>
          <w:tcPr>
            <w:tcW w:w="633" w:type="pct"/>
            <w:vMerge/>
            <w:shd w:val="clear" w:color="auto" w:fill="FFFFFF" w:themeFill="background1"/>
            <w:noWrap/>
          </w:tcPr>
          <w:p w14:paraId="04DB87C0"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74F372FD"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3A8F547D"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1BF91600" w14:textId="77777777" w:rsidTr="007F5200">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1B7A1219" w14:textId="77777777" w:rsidR="00B645C0" w:rsidRPr="00C61D6E" w:rsidRDefault="00B645C0" w:rsidP="00552E92">
            <w:pPr>
              <w:pStyle w:val="DataTab"/>
              <w:jc w:val="center"/>
              <w:rPr>
                <w:lang w:val="en-GB"/>
              </w:rPr>
            </w:pPr>
          </w:p>
        </w:tc>
        <w:tc>
          <w:tcPr>
            <w:tcW w:w="527" w:type="pct"/>
            <w:gridSpan w:val="2"/>
            <w:vMerge/>
            <w:shd w:val="clear" w:color="auto" w:fill="FFFFFF" w:themeFill="background1"/>
            <w:noWrap/>
            <w:textDirection w:val="btLr"/>
            <w:vAlign w:val="center"/>
          </w:tcPr>
          <w:p w14:paraId="3515192E"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375" w:type="pct"/>
            <w:vMerge/>
            <w:shd w:val="clear" w:color="auto" w:fill="FFFFFF" w:themeFill="background1"/>
            <w:noWrap/>
          </w:tcPr>
          <w:p w14:paraId="0573DA39"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80" w:type="pct"/>
            <w:gridSpan w:val="2"/>
            <w:tcBorders>
              <w:top w:val="single" w:sz="4" w:space="0" w:color="auto"/>
            </w:tcBorders>
            <w:shd w:val="clear" w:color="auto" w:fill="FFFFFF" w:themeFill="background1"/>
          </w:tcPr>
          <w:p w14:paraId="48876E62"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2030</w:t>
            </w:r>
          </w:p>
        </w:tc>
        <w:tc>
          <w:tcPr>
            <w:tcW w:w="426" w:type="pct"/>
            <w:shd w:val="clear" w:color="auto" w:fill="FFFFFF" w:themeFill="background1"/>
            <w:noWrap/>
          </w:tcPr>
          <w:p w14:paraId="0EA28FDA"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75" w:type="pct"/>
            <w:shd w:val="clear" w:color="auto" w:fill="FFFFFF" w:themeFill="background1"/>
            <w:noWrap/>
          </w:tcPr>
          <w:p w14:paraId="0D756767"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35%</w:t>
            </w:r>
          </w:p>
        </w:tc>
        <w:tc>
          <w:tcPr>
            <w:tcW w:w="458" w:type="pct"/>
            <w:gridSpan w:val="2"/>
            <w:shd w:val="clear" w:color="auto" w:fill="FFFFFF" w:themeFill="background1"/>
            <w:noWrap/>
          </w:tcPr>
          <w:p w14:paraId="6C0C9FA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20%</w:t>
            </w:r>
          </w:p>
        </w:tc>
        <w:tc>
          <w:tcPr>
            <w:tcW w:w="633" w:type="pct"/>
            <w:vMerge/>
            <w:shd w:val="clear" w:color="auto" w:fill="FFFFFF" w:themeFill="background1"/>
            <w:noWrap/>
          </w:tcPr>
          <w:p w14:paraId="3B559D37"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5E7D0ED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7EAF08FF"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6A692AFE" w14:textId="77777777" w:rsidTr="007F5200">
        <w:trPr>
          <w:trHeight w:val="477"/>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3DCDBF1D" w14:textId="77777777" w:rsidR="00B645C0" w:rsidRPr="00C61D6E" w:rsidRDefault="00B645C0" w:rsidP="00552E92">
            <w:pPr>
              <w:pStyle w:val="DataTab"/>
              <w:jc w:val="center"/>
              <w:rPr>
                <w:lang w:val="en-GB"/>
              </w:rPr>
            </w:pPr>
          </w:p>
        </w:tc>
        <w:tc>
          <w:tcPr>
            <w:tcW w:w="527" w:type="pct"/>
            <w:gridSpan w:val="2"/>
            <w:vMerge/>
            <w:shd w:val="clear" w:color="auto" w:fill="FFFFFF" w:themeFill="background1"/>
            <w:noWrap/>
            <w:textDirection w:val="btLr"/>
            <w:vAlign w:val="center"/>
          </w:tcPr>
          <w:p w14:paraId="19298F75"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375" w:type="pct"/>
            <w:vMerge/>
            <w:shd w:val="clear" w:color="auto" w:fill="FFFFFF" w:themeFill="background1"/>
            <w:noWrap/>
          </w:tcPr>
          <w:p w14:paraId="6A713FC3"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80" w:type="pct"/>
            <w:gridSpan w:val="2"/>
            <w:tcBorders>
              <w:top w:val="single" w:sz="4" w:space="0" w:color="auto"/>
            </w:tcBorders>
            <w:shd w:val="clear" w:color="auto" w:fill="FFFFFF" w:themeFill="background1"/>
          </w:tcPr>
          <w:p w14:paraId="15A807E4" w14:textId="77777777" w:rsidR="00B645C0" w:rsidRPr="00C61D6E" w:rsidRDefault="00B645C0" w:rsidP="00651076">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2040-50</w:t>
            </w:r>
          </w:p>
        </w:tc>
        <w:tc>
          <w:tcPr>
            <w:tcW w:w="426" w:type="pct"/>
            <w:shd w:val="clear" w:color="auto" w:fill="FFFFFF" w:themeFill="background1"/>
            <w:noWrap/>
          </w:tcPr>
          <w:p w14:paraId="6A436674"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70%</w:t>
            </w:r>
          </w:p>
        </w:tc>
        <w:tc>
          <w:tcPr>
            <w:tcW w:w="475" w:type="pct"/>
            <w:shd w:val="clear" w:color="auto" w:fill="FFFFFF" w:themeFill="background1"/>
            <w:noWrap/>
          </w:tcPr>
          <w:p w14:paraId="36BE6BE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40%</w:t>
            </w:r>
          </w:p>
        </w:tc>
        <w:tc>
          <w:tcPr>
            <w:tcW w:w="458" w:type="pct"/>
            <w:gridSpan w:val="2"/>
            <w:shd w:val="clear" w:color="auto" w:fill="FFFFFF" w:themeFill="background1"/>
            <w:noWrap/>
          </w:tcPr>
          <w:p w14:paraId="423F1945"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20%</w:t>
            </w:r>
          </w:p>
        </w:tc>
        <w:tc>
          <w:tcPr>
            <w:tcW w:w="633" w:type="pct"/>
            <w:vMerge/>
            <w:shd w:val="clear" w:color="auto" w:fill="FFFFFF" w:themeFill="background1"/>
            <w:noWrap/>
          </w:tcPr>
          <w:p w14:paraId="09B9526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259BB15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60EFCBC5"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690FE486" w14:textId="77777777" w:rsidTr="007F5200">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5FA337BA" w14:textId="77777777" w:rsidR="00B645C0" w:rsidRPr="00C61D6E" w:rsidRDefault="00B645C0" w:rsidP="00552E92">
            <w:pPr>
              <w:pStyle w:val="DataTab"/>
              <w:jc w:val="center"/>
              <w:rPr>
                <w:lang w:val="en-GB"/>
              </w:rPr>
            </w:pPr>
          </w:p>
        </w:tc>
        <w:tc>
          <w:tcPr>
            <w:tcW w:w="527" w:type="pct"/>
            <w:gridSpan w:val="2"/>
            <w:vMerge/>
            <w:shd w:val="clear" w:color="auto" w:fill="FFFFFF" w:themeFill="background1"/>
            <w:noWrap/>
            <w:textDirection w:val="btLr"/>
            <w:vAlign w:val="center"/>
          </w:tcPr>
          <w:p w14:paraId="139DB22A"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755" w:type="pct"/>
            <w:gridSpan w:val="3"/>
            <w:shd w:val="clear" w:color="auto" w:fill="FFFFFF" w:themeFill="background1"/>
            <w:noWrap/>
          </w:tcPr>
          <w:p w14:paraId="23C8B5B3"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rFonts w:cs="Times New Roman"/>
                <w:b/>
                <w:lang w:val="en-GB"/>
              </w:rPr>
            </w:pPr>
            <w:r w:rsidRPr="00C61D6E">
              <w:rPr>
                <w:b/>
                <w:lang w:val="en-GB"/>
              </w:rPr>
              <w:t>Competing use [% NOT going to energy /total]</w:t>
            </w:r>
          </w:p>
        </w:tc>
        <w:tc>
          <w:tcPr>
            <w:tcW w:w="426" w:type="pct"/>
            <w:shd w:val="clear" w:color="auto" w:fill="FFFFFF" w:themeFill="background1"/>
            <w:noWrap/>
          </w:tcPr>
          <w:p w14:paraId="65EF4F98"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0%</w:t>
            </w:r>
          </w:p>
        </w:tc>
        <w:tc>
          <w:tcPr>
            <w:tcW w:w="475" w:type="pct"/>
            <w:shd w:val="clear" w:color="auto" w:fill="FFFFFF" w:themeFill="background1"/>
            <w:noWrap/>
          </w:tcPr>
          <w:p w14:paraId="28CD6392"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50%(2020), 60%(2030-2050)</w:t>
            </w:r>
          </w:p>
        </w:tc>
        <w:tc>
          <w:tcPr>
            <w:tcW w:w="458" w:type="pct"/>
            <w:gridSpan w:val="2"/>
            <w:shd w:val="clear" w:color="auto" w:fill="FFFFFF" w:themeFill="background1"/>
            <w:noWrap/>
          </w:tcPr>
          <w:p w14:paraId="6A719A59"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80%(2020), 85%(2030-2050)</w:t>
            </w:r>
          </w:p>
        </w:tc>
        <w:tc>
          <w:tcPr>
            <w:tcW w:w="633" w:type="pct"/>
            <w:vMerge/>
            <w:shd w:val="clear" w:color="auto" w:fill="FFFFFF" w:themeFill="background1"/>
            <w:noWrap/>
          </w:tcPr>
          <w:p w14:paraId="233B3F05"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32ED71DE"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5A361D53"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3FAF4B28" w14:textId="77777777" w:rsidTr="007F5200">
        <w:trPr>
          <w:trHeight w:val="672"/>
        </w:trPr>
        <w:tc>
          <w:tcPr>
            <w:cnfStyle w:val="001000000000" w:firstRow="0" w:lastRow="0" w:firstColumn="1" w:lastColumn="0" w:oddVBand="0" w:evenVBand="0" w:oddHBand="0" w:evenHBand="0" w:firstRowFirstColumn="0" w:firstRowLastColumn="0" w:lastRowFirstColumn="0" w:lastRowLastColumn="0"/>
            <w:tcW w:w="475" w:type="pct"/>
            <w:vMerge w:val="restart"/>
            <w:shd w:val="clear" w:color="auto" w:fill="FFFFFF" w:themeFill="background1"/>
            <w:noWrap/>
            <w:vAlign w:val="center"/>
          </w:tcPr>
          <w:p w14:paraId="21BECDAF" w14:textId="77777777" w:rsidR="00B645C0" w:rsidRPr="00C61D6E" w:rsidRDefault="00B645C0" w:rsidP="00651076">
            <w:pPr>
              <w:pStyle w:val="DataTab"/>
              <w:jc w:val="center"/>
              <w:rPr>
                <w:lang w:val="en-GB"/>
              </w:rPr>
            </w:pPr>
            <w:r w:rsidRPr="00C61D6E">
              <w:rPr>
                <w:lang w:val="en-GB"/>
              </w:rPr>
              <w:t>SOLID RESIDUES</w:t>
            </w:r>
          </w:p>
        </w:tc>
        <w:tc>
          <w:tcPr>
            <w:tcW w:w="527" w:type="pct"/>
            <w:gridSpan w:val="2"/>
            <w:vMerge w:val="restart"/>
            <w:shd w:val="clear" w:color="auto" w:fill="FFFFFF" w:themeFill="background1"/>
            <w:noWrap/>
            <w:textDirection w:val="btLr"/>
            <w:vAlign w:val="center"/>
          </w:tcPr>
          <w:p w14:paraId="2FE586B8"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Prunings (permanent crops (e.g. orchards, vineyards, olives, citrus, nuts) residues</w:t>
            </w:r>
          </w:p>
        </w:tc>
        <w:tc>
          <w:tcPr>
            <w:tcW w:w="755" w:type="pct"/>
            <w:gridSpan w:val="3"/>
            <w:shd w:val="clear" w:color="auto" w:fill="FFFFFF" w:themeFill="background1"/>
            <w:noWrap/>
          </w:tcPr>
          <w:p w14:paraId="136E1A03"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Area</w:t>
            </w:r>
          </w:p>
        </w:tc>
        <w:tc>
          <w:tcPr>
            <w:tcW w:w="1359" w:type="pct"/>
            <w:gridSpan w:val="4"/>
            <w:shd w:val="clear" w:color="auto" w:fill="FFFFFF" w:themeFill="background1"/>
            <w:noWrap/>
          </w:tcPr>
          <w:p w14:paraId="01E89E6A"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Consistent with Capri permanent crop area developments</w:t>
            </w:r>
          </w:p>
        </w:tc>
        <w:tc>
          <w:tcPr>
            <w:tcW w:w="633" w:type="pct"/>
            <w:vMerge/>
            <w:shd w:val="clear" w:color="auto" w:fill="FFFFFF" w:themeFill="background1"/>
            <w:noWrap/>
          </w:tcPr>
          <w:p w14:paraId="5411FA42"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50BAA732"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23AD0541"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38D18350" w14:textId="77777777" w:rsidTr="007F5200">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42E30E61"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1BAB78B5"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22" w:type="pct"/>
            <w:gridSpan w:val="2"/>
            <w:vMerge w:val="restart"/>
            <w:shd w:val="clear" w:color="auto" w:fill="FFFFFF" w:themeFill="background1"/>
            <w:noWrap/>
          </w:tcPr>
          <w:p w14:paraId="1C42669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Harvest ratio [%/total]</w:t>
            </w:r>
          </w:p>
        </w:tc>
        <w:tc>
          <w:tcPr>
            <w:tcW w:w="333" w:type="pct"/>
            <w:shd w:val="clear" w:color="auto" w:fill="FFFFFF" w:themeFill="background1"/>
          </w:tcPr>
          <w:p w14:paraId="3A665020"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26" w:type="pct"/>
            <w:shd w:val="clear" w:color="auto" w:fill="FFFFFF" w:themeFill="background1"/>
            <w:noWrap/>
            <w:vAlign w:val="center"/>
          </w:tcPr>
          <w:p w14:paraId="021CA7FB"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75" w:type="pct"/>
            <w:vMerge w:val="restart"/>
            <w:shd w:val="clear" w:color="auto" w:fill="FFFFFF" w:themeFill="background1"/>
            <w:noWrap/>
            <w:vAlign w:val="center"/>
          </w:tcPr>
          <w:p w14:paraId="2064FF2F"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40%</w:t>
            </w:r>
          </w:p>
        </w:tc>
        <w:tc>
          <w:tcPr>
            <w:tcW w:w="458" w:type="pct"/>
            <w:gridSpan w:val="2"/>
            <w:shd w:val="clear" w:color="auto" w:fill="FFFFFF" w:themeFill="background1"/>
            <w:noWrap/>
            <w:vAlign w:val="center"/>
          </w:tcPr>
          <w:p w14:paraId="5D9E6DFD"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20%</w:t>
            </w:r>
          </w:p>
        </w:tc>
        <w:tc>
          <w:tcPr>
            <w:tcW w:w="633" w:type="pct"/>
            <w:vMerge/>
            <w:shd w:val="clear" w:color="auto" w:fill="FFFFFF" w:themeFill="background1"/>
            <w:noWrap/>
          </w:tcPr>
          <w:p w14:paraId="21EE716E"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53825FBA"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4B9F4972"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4F467C84" w14:textId="77777777" w:rsidTr="007F5200">
        <w:trPr>
          <w:trHeight w:val="212"/>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58A7794A"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2BE4F4EF"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22" w:type="pct"/>
            <w:gridSpan w:val="2"/>
            <w:vMerge/>
            <w:shd w:val="clear" w:color="auto" w:fill="FFFFFF" w:themeFill="background1"/>
            <w:noWrap/>
          </w:tcPr>
          <w:p w14:paraId="099541A1"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33" w:type="pct"/>
            <w:tcBorders>
              <w:top w:val="single" w:sz="8" w:space="0" w:color="F79646" w:themeColor="accent6"/>
              <w:bottom w:val="single" w:sz="8" w:space="0" w:color="F79646" w:themeColor="accent6"/>
            </w:tcBorders>
            <w:shd w:val="clear" w:color="auto" w:fill="FFFFFF" w:themeFill="background1"/>
          </w:tcPr>
          <w:p w14:paraId="3E0377EF"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2040</w:t>
            </w:r>
          </w:p>
        </w:tc>
        <w:tc>
          <w:tcPr>
            <w:tcW w:w="426" w:type="pct"/>
            <w:shd w:val="clear" w:color="auto" w:fill="FFFFFF" w:themeFill="background1"/>
            <w:noWrap/>
            <w:vAlign w:val="center"/>
          </w:tcPr>
          <w:p w14:paraId="261CD960"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70%</w:t>
            </w:r>
          </w:p>
        </w:tc>
        <w:tc>
          <w:tcPr>
            <w:tcW w:w="475" w:type="pct"/>
            <w:vMerge/>
            <w:shd w:val="clear" w:color="auto" w:fill="FFFFFF" w:themeFill="background1"/>
            <w:noWrap/>
            <w:vAlign w:val="center"/>
          </w:tcPr>
          <w:p w14:paraId="3BCC11A4"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p>
        </w:tc>
        <w:tc>
          <w:tcPr>
            <w:tcW w:w="458" w:type="pct"/>
            <w:gridSpan w:val="2"/>
            <w:shd w:val="clear" w:color="auto" w:fill="FFFFFF" w:themeFill="background1"/>
            <w:noWrap/>
            <w:vAlign w:val="center"/>
          </w:tcPr>
          <w:p w14:paraId="1ECD8B49"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10%</w:t>
            </w:r>
          </w:p>
        </w:tc>
        <w:tc>
          <w:tcPr>
            <w:tcW w:w="633" w:type="pct"/>
            <w:vMerge/>
            <w:shd w:val="clear" w:color="auto" w:fill="FFFFFF" w:themeFill="background1"/>
            <w:noWrap/>
          </w:tcPr>
          <w:p w14:paraId="4E6526AB"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19893BF9"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40CE8EBB"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30B101AE" w14:textId="77777777" w:rsidTr="007F5200">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5E23B2F6"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1A956D7F"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22" w:type="pct"/>
            <w:gridSpan w:val="2"/>
            <w:vMerge/>
            <w:shd w:val="clear" w:color="auto" w:fill="FFFFFF" w:themeFill="background1"/>
            <w:noWrap/>
          </w:tcPr>
          <w:p w14:paraId="71966AB7"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33" w:type="pct"/>
            <w:shd w:val="clear" w:color="auto" w:fill="FFFFFF" w:themeFill="background1"/>
          </w:tcPr>
          <w:p w14:paraId="3288D68F" w14:textId="77777777" w:rsidR="00B645C0" w:rsidRPr="00C61D6E" w:rsidRDefault="00B645C0" w:rsidP="00032896">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2030</w:t>
            </w:r>
          </w:p>
        </w:tc>
        <w:tc>
          <w:tcPr>
            <w:tcW w:w="426" w:type="pct"/>
            <w:shd w:val="clear" w:color="auto" w:fill="FFFFFF" w:themeFill="background1"/>
            <w:noWrap/>
            <w:vAlign w:val="center"/>
          </w:tcPr>
          <w:p w14:paraId="469BEAF7"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80%</w:t>
            </w:r>
          </w:p>
        </w:tc>
        <w:tc>
          <w:tcPr>
            <w:tcW w:w="475" w:type="pct"/>
            <w:vMerge/>
            <w:shd w:val="clear" w:color="auto" w:fill="FFFFFF" w:themeFill="background1"/>
            <w:noWrap/>
            <w:vAlign w:val="center"/>
          </w:tcPr>
          <w:p w14:paraId="6691D65A"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p>
        </w:tc>
        <w:tc>
          <w:tcPr>
            <w:tcW w:w="458" w:type="pct"/>
            <w:gridSpan w:val="2"/>
            <w:shd w:val="clear" w:color="auto" w:fill="FFFFFF" w:themeFill="background1"/>
            <w:noWrap/>
            <w:vAlign w:val="center"/>
          </w:tcPr>
          <w:p w14:paraId="03D9259F"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10%</w:t>
            </w:r>
          </w:p>
        </w:tc>
        <w:tc>
          <w:tcPr>
            <w:tcW w:w="633" w:type="pct"/>
            <w:vMerge/>
            <w:shd w:val="clear" w:color="auto" w:fill="FFFFFF" w:themeFill="background1"/>
            <w:noWrap/>
          </w:tcPr>
          <w:p w14:paraId="3C84FFF5"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555C2083"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4A581882"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65492778" w14:textId="77777777" w:rsidTr="007F5200">
        <w:trPr>
          <w:trHeight w:val="50"/>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119A2A82"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625D7CD7"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22" w:type="pct"/>
            <w:gridSpan w:val="2"/>
            <w:vMerge/>
            <w:tcBorders>
              <w:bottom w:val="single" w:sz="8" w:space="0" w:color="F79646" w:themeColor="accent6"/>
            </w:tcBorders>
            <w:shd w:val="clear" w:color="auto" w:fill="FFFFFF" w:themeFill="background1"/>
            <w:noWrap/>
          </w:tcPr>
          <w:p w14:paraId="378B261D"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33" w:type="pct"/>
            <w:tcBorders>
              <w:top w:val="single" w:sz="8" w:space="0" w:color="F79646" w:themeColor="accent6"/>
              <w:bottom w:val="single" w:sz="8" w:space="0" w:color="F79646" w:themeColor="accent6"/>
            </w:tcBorders>
            <w:shd w:val="clear" w:color="auto" w:fill="FFFFFF" w:themeFill="background1"/>
          </w:tcPr>
          <w:p w14:paraId="7041F07D"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2050</w:t>
            </w:r>
          </w:p>
        </w:tc>
        <w:tc>
          <w:tcPr>
            <w:tcW w:w="426" w:type="pct"/>
            <w:tcBorders>
              <w:bottom w:val="single" w:sz="8" w:space="0" w:color="F79646" w:themeColor="accent6"/>
            </w:tcBorders>
            <w:shd w:val="clear" w:color="auto" w:fill="FFFFFF" w:themeFill="background1"/>
            <w:noWrap/>
            <w:vAlign w:val="center"/>
          </w:tcPr>
          <w:p w14:paraId="2CB3CFF7"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90%</w:t>
            </w:r>
          </w:p>
        </w:tc>
        <w:tc>
          <w:tcPr>
            <w:tcW w:w="475" w:type="pct"/>
            <w:vMerge/>
            <w:tcBorders>
              <w:bottom w:val="single" w:sz="8" w:space="0" w:color="F79646" w:themeColor="accent6"/>
            </w:tcBorders>
            <w:shd w:val="clear" w:color="auto" w:fill="FFFFFF" w:themeFill="background1"/>
            <w:noWrap/>
            <w:vAlign w:val="center"/>
          </w:tcPr>
          <w:p w14:paraId="093E0795"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p>
        </w:tc>
        <w:tc>
          <w:tcPr>
            <w:tcW w:w="458" w:type="pct"/>
            <w:gridSpan w:val="2"/>
            <w:tcBorders>
              <w:bottom w:val="single" w:sz="8" w:space="0" w:color="F79646" w:themeColor="accent6"/>
            </w:tcBorders>
            <w:shd w:val="clear" w:color="auto" w:fill="FFFFFF" w:themeFill="background1"/>
            <w:noWrap/>
            <w:vAlign w:val="center"/>
          </w:tcPr>
          <w:p w14:paraId="2BB5923B"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10%</w:t>
            </w:r>
          </w:p>
        </w:tc>
        <w:tc>
          <w:tcPr>
            <w:tcW w:w="633" w:type="pct"/>
            <w:vMerge/>
            <w:shd w:val="clear" w:color="auto" w:fill="FFFFFF" w:themeFill="background1"/>
            <w:noWrap/>
          </w:tcPr>
          <w:p w14:paraId="6FB7B6A0"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75E6061E"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14859F9E"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19C3ED75" w14:textId="77777777" w:rsidTr="007F52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427C13D7"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2D11F281"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22" w:type="pct"/>
            <w:gridSpan w:val="2"/>
            <w:vMerge w:val="restart"/>
            <w:shd w:val="clear" w:color="auto" w:fill="FFFFFF" w:themeFill="background1"/>
            <w:noWrap/>
          </w:tcPr>
          <w:p w14:paraId="2490F8B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Competing use [% NOT going to energy /total]</w:t>
            </w:r>
          </w:p>
        </w:tc>
        <w:tc>
          <w:tcPr>
            <w:tcW w:w="333" w:type="pct"/>
            <w:shd w:val="clear" w:color="auto" w:fill="FFFFFF" w:themeFill="background1"/>
          </w:tcPr>
          <w:p w14:paraId="68A21A48"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26" w:type="pct"/>
            <w:shd w:val="clear" w:color="auto" w:fill="FFFFFF" w:themeFill="background1"/>
            <w:noWrap/>
            <w:vAlign w:val="center"/>
          </w:tcPr>
          <w:p w14:paraId="2DD736E4"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20%</w:t>
            </w:r>
          </w:p>
        </w:tc>
        <w:tc>
          <w:tcPr>
            <w:tcW w:w="475" w:type="pct"/>
            <w:vMerge w:val="restart"/>
            <w:shd w:val="clear" w:color="auto" w:fill="FFFFFF" w:themeFill="background1"/>
            <w:noWrap/>
            <w:vAlign w:val="center"/>
          </w:tcPr>
          <w:p w14:paraId="34619089"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58" w:type="pct"/>
            <w:gridSpan w:val="2"/>
            <w:vMerge w:val="restart"/>
            <w:shd w:val="clear" w:color="auto" w:fill="FFFFFF" w:themeFill="background1"/>
            <w:noWrap/>
            <w:vAlign w:val="center"/>
          </w:tcPr>
          <w:p w14:paraId="1DF2AB18"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70%</w:t>
            </w:r>
          </w:p>
        </w:tc>
        <w:tc>
          <w:tcPr>
            <w:tcW w:w="633" w:type="pct"/>
            <w:vMerge/>
            <w:shd w:val="clear" w:color="auto" w:fill="FFFFFF" w:themeFill="background1"/>
            <w:noWrap/>
          </w:tcPr>
          <w:p w14:paraId="019A6A99"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1BF82FDF"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1B515203"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04009C4F" w14:textId="77777777" w:rsidTr="007F5200">
        <w:trPr>
          <w:trHeight w:val="283"/>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0C7971B8"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2A0C5143"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22" w:type="pct"/>
            <w:gridSpan w:val="2"/>
            <w:vMerge/>
            <w:shd w:val="clear" w:color="auto" w:fill="FFFFFF" w:themeFill="background1"/>
            <w:noWrap/>
          </w:tcPr>
          <w:p w14:paraId="35963605"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33" w:type="pct"/>
            <w:tcBorders>
              <w:top w:val="single" w:sz="8" w:space="0" w:color="F79646" w:themeColor="accent6"/>
              <w:bottom w:val="single" w:sz="8" w:space="0" w:color="F79646" w:themeColor="accent6"/>
            </w:tcBorders>
            <w:shd w:val="clear" w:color="auto" w:fill="FFFFFF" w:themeFill="background1"/>
          </w:tcPr>
          <w:p w14:paraId="5EA32243"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2030</w:t>
            </w:r>
          </w:p>
        </w:tc>
        <w:tc>
          <w:tcPr>
            <w:tcW w:w="426" w:type="pct"/>
            <w:shd w:val="clear" w:color="auto" w:fill="FFFFFF" w:themeFill="background1"/>
            <w:noWrap/>
            <w:vAlign w:val="center"/>
          </w:tcPr>
          <w:p w14:paraId="33664E97" w14:textId="77777777" w:rsidR="00B645C0" w:rsidRPr="00C61D6E" w:rsidRDefault="00B645C0" w:rsidP="00EA573C">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15%</w:t>
            </w:r>
          </w:p>
        </w:tc>
        <w:tc>
          <w:tcPr>
            <w:tcW w:w="475" w:type="pct"/>
            <w:vMerge/>
            <w:shd w:val="clear" w:color="auto" w:fill="FFFFFF" w:themeFill="background1"/>
            <w:noWrap/>
          </w:tcPr>
          <w:p w14:paraId="76E1C00F"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458" w:type="pct"/>
            <w:gridSpan w:val="2"/>
            <w:vMerge/>
            <w:shd w:val="clear" w:color="auto" w:fill="FFFFFF" w:themeFill="background1"/>
            <w:noWrap/>
          </w:tcPr>
          <w:p w14:paraId="4D91EB0C"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3" w:type="pct"/>
            <w:vMerge/>
            <w:shd w:val="clear" w:color="auto" w:fill="FFFFFF" w:themeFill="background1"/>
            <w:noWrap/>
          </w:tcPr>
          <w:p w14:paraId="71F2FEE7"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1229D211"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696C8A40"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23BC2CB3" w14:textId="77777777" w:rsidTr="007F5200">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26793B1F"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vAlign w:val="center"/>
          </w:tcPr>
          <w:p w14:paraId="13DDE57D" w14:textId="77777777" w:rsidR="00B645C0" w:rsidRPr="00C61D6E" w:rsidRDefault="00B645C0" w:rsidP="00482817">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22" w:type="pct"/>
            <w:gridSpan w:val="2"/>
            <w:vMerge/>
            <w:shd w:val="clear" w:color="auto" w:fill="FFFFFF" w:themeFill="background1"/>
            <w:noWrap/>
          </w:tcPr>
          <w:p w14:paraId="42B99BFD"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33" w:type="pct"/>
            <w:shd w:val="clear" w:color="auto" w:fill="FFFFFF" w:themeFill="background1"/>
          </w:tcPr>
          <w:p w14:paraId="65A21FDC"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2040-50</w:t>
            </w:r>
          </w:p>
        </w:tc>
        <w:tc>
          <w:tcPr>
            <w:tcW w:w="426" w:type="pct"/>
            <w:shd w:val="clear" w:color="auto" w:fill="FFFFFF" w:themeFill="background1"/>
            <w:noWrap/>
            <w:vAlign w:val="center"/>
          </w:tcPr>
          <w:p w14:paraId="17AD2ACB" w14:textId="77777777" w:rsidR="00B645C0" w:rsidRPr="00C61D6E" w:rsidRDefault="00B645C0" w:rsidP="00EA573C">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10%</w:t>
            </w:r>
          </w:p>
        </w:tc>
        <w:tc>
          <w:tcPr>
            <w:tcW w:w="475" w:type="pct"/>
            <w:vMerge/>
            <w:shd w:val="clear" w:color="auto" w:fill="FFFFFF" w:themeFill="background1"/>
            <w:noWrap/>
          </w:tcPr>
          <w:p w14:paraId="694F687D"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458" w:type="pct"/>
            <w:gridSpan w:val="2"/>
            <w:vMerge/>
            <w:shd w:val="clear" w:color="auto" w:fill="FFFFFF" w:themeFill="background1"/>
            <w:noWrap/>
          </w:tcPr>
          <w:p w14:paraId="26686CD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3" w:type="pct"/>
            <w:vMerge/>
            <w:shd w:val="clear" w:color="auto" w:fill="FFFFFF" w:themeFill="background1"/>
            <w:noWrap/>
          </w:tcPr>
          <w:p w14:paraId="0F241706"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76940D61"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28D23807"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547ED7C5" w14:textId="77777777" w:rsidTr="007F5200">
        <w:trPr>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050BA5CC" w14:textId="77777777" w:rsidR="00B645C0" w:rsidRPr="00C61D6E" w:rsidRDefault="00B645C0" w:rsidP="00552E92">
            <w:pPr>
              <w:pStyle w:val="DataTab"/>
              <w:jc w:val="left"/>
              <w:rPr>
                <w:lang w:val="en-GB"/>
              </w:rPr>
            </w:pPr>
          </w:p>
        </w:tc>
        <w:tc>
          <w:tcPr>
            <w:tcW w:w="527" w:type="pct"/>
            <w:gridSpan w:val="2"/>
            <w:vMerge w:val="restart"/>
            <w:shd w:val="clear" w:color="auto" w:fill="FFFFFF" w:themeFill="background1"/>
            <w:noWrap/>
            <w:textDirection w:val="btLr"/>
            <w:vAlign w:val="center"/>
          </w:tcPr>
          <w:p w14:paraId="2AE443A0" w14:textId="77777777" w:rsidR="00B645C0" w:rsidRPr="00C61D6E" w:rsidRDefault="00B645C0" w:rsidP="00482817">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Straw/stubbles</w:t>
            </w:r>
          </w:p>
        </w:tc>
        <w:tc>
          <w:tcPr>
            <w:tcW w:w="755" w:type="pct"/>
            <w:gridSpan w:val="3"/>
            <w:shd w:val="clear" w:color="auto" w:fill="FFFFFF" w:themeFill="background1"/>
            <w:noWrap/>
          </w:tcPr>
          <w:p w14:paraId="120313AA"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Area</w:t>
            </w:r>
          </w:p>
        </w:tc>
        <w:tc>
          <w:tcPr>
            <w:tcW w:w="1359" w:type="pct"/>
            <w:gridSpan w:val="4"/>
            <w:shd w:val="clear" w:color="auto" w:fill="FFFFFF" w:themeFill="background1"/>
            <w:noWrap/>
          </w:tcPr>
          <w:p w14:paraId="1B161FA0"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Consistent with Capri cereals, OSR, grain maize, sunflower development</w:t>
            </w:r>
          </w:p>
        </w:tc>
        <w:tc>
          <w:tcPr>
            <w:tcW w:w="633" w:type="pct"/>
            <w:vMerge/>
            <w:shd w:val="clear" w:color="auto" w:fill="FFFFFF" w:themeFill="background1"/>
            <w:noWrap/>
          </w:tcPr>
          <w:p w14:paraId="3AC7FFD0"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25AD9B5E"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102E1F99"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7C2C0CFA" w14:textId="77777777" w:rsidTr="007F5200">
        <w:trPr>
          <w:cnfStyle w:val="000000100000" w:firstRow="0" w:lastRow="0" w:firstColumn="0" w:lastColumn="0" w:oddVBand="0" w:evenVBand="0" w:oddHBand="1" w:evenHBand="0" w:firstRowFirstColumn="0" w:firstRowLastColumn="0" w:lastRowFirstColumn="0" w:lastRowLastColumn="0"/>
          <w:trHeight w:val="5"/>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21287A55" w14:textId="77777777" w:rsidR="00B645C0" w:rsidRPr="00C61D6E" w:rsidRDefault="00B645C0" w:rsidP="00552E92">
            <w:pPr>
              <w:pStyle w:val="DataTab"/>
              <w:jc w:val="left"/>
              <w:rPr>
                <w:lang w:val="en-GB"/>
              </w:rPr>
            </w:pPr>
          </w:p>
        </w:tc>
        <w:tc>
          <w:tcPr>
            <w:tcW w:w="527" w:type="pct"/>
            <w:gridSpan w:val="2"/>
            <w:vMerge/>
            <w:shd w:val="clear" w:color="auto" w:fill="FFFFFF" w:themeFill="background1"/>
            <w:noWrap/>
            <w:textDirection w:val="btLr"/>
          </w:tcPr>
          <w:p w14:paraId="28E9D996" w14:textId="77777777" w:rsidR="00B645C0" w:rsidRPr="00C61D6E" w:rsidRDefault="00B645C0" w:rsidP="0047650D">
            <w:pPr>
              <w:pStyle w:val="DataTab"/>
              <w:ind w:left="113" w:right="113"/>
              <w:jc w:val="left"/>
              <w:cnfStyle w:val="000000100000" w:firstRow="0" w:lastRow="0" w:firstColumn="0" w:lastColumn="0" w:oddVBand="0" w:evenVBand="0" w:oddHBand="1" w:evenHBand="0" w:firstRowFirstColumn="0" w:firstRowLastColumn="0" w:lastRowFirstColumn="0" w:lastRowLastColumn="0"/>
              <w:rPr>
                <w:b/>
                <w:lang w:val="en-GB"/>
              </w:rPr>
            </w:pPr>
          </w:p>
        </w:tc>
        <w:tc>
          <w:tcPr>
            <w:tcW w:w="755" w:type="pct"/>
            <w:gridSpan w:val="3"/>
            <w:shd w:val="clear" w:color="auto" w:fill="FFFFFF" w:themeFill="background1"/>
            <w:noWrap/>
          </w:tcPr>
          <w:p w14:paraId="2E4D06A4" w14:textId="77777777" w:rsidR="00B645C0" w:rsidRPr="00921937"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Harvest ratio [%/total]</w:t>
            </w:r>
          </w:p>
        </w:tc>
        <w:tc>
          <w:tcPr>
            <w:tcW w:w="426" w:type="pct"/>
            <w:shd w:val="clear" w:color="auto" w:fill="FFFFFF" w:themeFill="background1"/>
            <w:noWrap/>
          </w:tcPr>
          <w:p w14:paraId="5C048F6D" w14:textId="77777777" w:rsidR="00B645C0" w:rsidRPr="00921937" w:rsidRDefault="00B645C0" w:rsidP="00A52D8D">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921937">
              <w:rPr>
                <w:lang w:val="en-GB"/>
              </w:rPr>
              <w:t>40%</w:t>
            </w:r>
          </w:p>
        </w:tc>
        <w:tc>
          <w:tcPr>
            <w:tcW w:w="499" w:type="pct"/>
            <w:gridSpan w:val="2"/>
            <w:shd w:val="clear" w:color="auto" w:fill="FFFFFF" w:themeFill="background1"/>
            <w:noWrap/>
          </w:tcPr>
          <w:p w14:paraId="35FF3E3C" w14:textId="77777777" w:rsidR="00B645C0" w:rsidRPr="00921937" w:rsidRDefault="00B645C0" w:rsidP="00A52D8D">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921937">
              <w:rPr>
                <w:lang w:val="en-GB"/>
              </w:rPr>
              <w:t>30%</w:t>
            </w:r>
          </w:p>
        </w:tc>
        <w:tc>
          <w:tcPr>
            <w:tcW w:w="434" w:type="pct"/>
            <w:shd w:val="clear" w:color="auto" w:fill="FFFFFF" w:themeFill="background1"/>
            <w:noWrap/>
          </w:tcPr>
          <w:p w14:paraId="1C036462" w14:textId="77777777" w:rsidR="00B645C0" w:rsidRPr="00921937" w:rsidRDefault="00B645C0" w:rsidP="00A52D8D">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921937">
              <w:rPr>
                <w:lang w:val="en-GB"/>
              </w:rPr>
              <w:t>0-30%</w:t>
            </w:r>
          </w:p>
        </w:tc>
        <w:tc>
          <w:tcPr>
            <w:tcW w:w="633" w:type="pct"/>
            <w:vMerge/>
            <w:shd w:val="clear" w:color="auto" w:fill="FFFFFF" w:themeFill="background1"/>
            <w:noWrap/>
          </w:tcPr>
          <w:p w14:paraId="492EBC3F" w14:textId="77777777" w:rsidR="00B645C0" w:rsidRPr="00921937"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shd w:val="clear" w:color="auto" w:fill="FFFFFF" w:themeFill="background1"/>
            <w:noWrap/>
          </w:tcPr>
          <w:p w14:paraId="20F8A304" w14:textId="77777777" w:rsidR="00B645C0" w:rsidRPr="00921937"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7D929A07" w14:textId="77777777" w:rsidR="00B645C0" w:rsidRPr="00921937"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B645C0" w:rsidRPr="00C61D6E" w14:paraId="6336A205" w14:textId="77777777" w:rsidTr="00B645C0">
        <w:trPr>
          <w:trHeight w:val="604"/>
        </w:trPr>
        <w:tc>
          <w:tcPr>
            <w:cnfStyle w:val="001000000000" w:firstRow="0" w:lastRow="0" w:firstColumn="1" w:lastColumn="0" w:oddVBand="0" w:evenVBand="0" w:oddHBand="0" w:evenHBand="0" w:firstRowFirstColumn="0" w:firstRowLastColumn="0" w:lastRowFirstColumn="0" w:lastRowLastColumn="0"/>
            <w:tcW w:w="475" w:type="pct"/>
            <w:vMerge/>
            <w:shd w:val="clear" w:color="auto" w:fill="FFFFFF" w:themeFill="background1"/>
            <w:noWrap/>
            <w:vAlign w:val="center"/>
          </w:tcPr>
          <w:p w14:paraId="40FADE90" w14:textId="77777777" w:rsidR="00B645C0" w:rsidRPr="00921937" w:rsidRDefault="00B645C0" w:rsidP="00552E92">
            <w:pPr>
              <w:pStyle w:val="DataTab"/>
              <w:jc w:val="left"/>
              <w:rPr>
                <w:lang w:val="en-GB"/>
              </w:rPr>
            </w:pPr>
          </w:p>
        </w:tc>
        <w:tc>
          <w:tcPr>
            <w:tcW w:w="527" w:type="pct"/>
            <w:gridSpan w:val="2"/>
            <w:vMerge/>
            <w:shd w:val="clear" w:color="auto" w:fill="FFFFFF" w:themeFill="background1"/>
            <w:noWrap/>
            <w:textDirection w:val="btLr"/>
          </w:tcPr>
          <w:p w14:paraId="73390B02" w14:textId="77777777" w:rsidR="00B645C0" w:rsidRPr="00921937" w:rsidRDefault="00B645C0" w:rsidP="0047650D">
            <w:pPr>
              <w:pStyle w:val="DataTab"/>
              <w:ind w:left="113" w:right="113"/>
              <w:jc w:val="left"/>
              <w:cnfStyle w:val="000000000000" w:firstRow="0" w:lastRow="0" w:firstColumn="0" w:lastColumn="0" w:oddVBand="0" w:evenVBand="0" w:oddHBand="0" w:evenHBand="0" w:firstRowFirstColumn="0" w:firstRowLastColumn="0" w:lastRowFirstColumn="0" w:lastRowLastColumn="0"/>
              <w:rPr>
                <w:b/>
                <w:lang w:val="en-GB"/>
              </w:rPr>
            </w:pPr>
          </w:p>
        </w:tc>
        <w:tc>
          <w:tcPr>
            <w:tcW w:w="422" w:type="pct"/>
            <w:gridSpan w:val="2"/>
            <w:vMerge w:val="restart"/>
            <w:shd w:val="clear" w:color="auto" w:fill="FFFFFF" w:themeFill="background1"/>
            <w:noWrap/>
          </w:tcPr>
          <w:p w14:paraId="6E683D9D" w14:textId="77777777" w:rsidR="00B645C0" w:rsidRPr="008C062F"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Competing use [% NOT going to energy /total]</w:t>
            </w:r>
          </w:p>
        </w:tc>
        <w:tc>
          <w:tcPr>
            <w:tcW w:w="333" w:type="pct"/>
            <w:shd w:val="clear" w:color="auto" w:fill="FFFFFF" w:themeFill="background1"/>
          </w:tcPr>
          <w:p w14:paraId="3010B3D6" w14:textId="77777777" w:rsidR="00B645C0" w:rsidRPr="0037138D"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37138D">
              <w:rPr>
                <w:b/>
                <w:lang w:val="en-GB"/>
              </w:rPr>
              <w:t>2020-30</w:t>
            </w:r>
          </w:p>
        </w:tc>
        <w:tc>
          <w:tcPr>
            <w:tcW w:w="426" w:type="pct"/>
            <w:shd w:val="clear" w:color="auto" w:fill="FFFFFF" w:themeFill="background1"/>
            <w:noWrap/>
          </w:tcPr>
          <w:p w14:paraId="0BCFDFB4" w14:textId="77777777" w:rsidR="00B645C0" w:rsidRPr="00B00B67" w:rsidRDefault="00B645C0" w:rsidP="00B645C0">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B00B67">
              <w:rPr>
                <w:lang w:val="en-GB"/>
              </w:rPr>
              <w:t>20%</w:t>
            </w:r>
          </w:p>
        </w:tc>
        <w:tc>
          <w:tcPr>
            <w:tcW w:w="499" w:type="pct"/>
            <w:gridSpan w:val="2"/>
            <w:shd w:val="clear" w:color="auto" w:fill="FFFFFF" w:themeFill="background1"/>
            <w:noWrap/>
          </w:tcPr>
          <w:p w14:paraId="40C5B064" w14:textId="77777777" w:rsidR="00B645C0" w:rsidRPr="00C61D6E" w:rsidRDefault="00B645C0" w:rsidP="00B645C0">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34" w:type="pct"/>
            <w:shd w:val="clear" w:color="auto" w:fill="FFFFFF" w:themeFill="background1"/>
            <w:noWrap/>
          </w:tcPr>
          <w:p w14:paraId="7B0CC869" w14:textId="77777777" w:rsidR="00B645C0" w:rsidRPr="00C61D6E" w:rsidRDefault="00B645C0" w:rsidP="00B645C0">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80%</w:t>
            </w:r>
          </w:p>
        </w:tc>
        <w:tc>
          <w:tcPr>
            <w:tcW w:w="633" w:type="pct"/>
            <w:vMerge/>
            <w:shd w:val="clear" w:color="auto" w:fill="FFFFFF" w:themeFill="background1"/>
            <w:noWrap/>
          </w:tcPr>
          <w:p w14:paraId="34716D6A"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21" w:type="pct"/>
            <w:vMerge/>
            <w:shd w:val="clear" w:color="auto" w:fill="FFFFFF" w:themeFill="background1"/>
            <w:noWrap/>
          </w:tcPr>
          <w:p w14:paraId="7E7F4C5A"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0" w:type="pct"/>
            <w:vMerge/>
            <w:shd w:val="clear" w:color="auto" w:fill="FFFFFF" w:themeFill="background1"/>
            <w:noWrap/>
          </w:tcPr>
          <w:p w14:paraId="74A11885" w14:textId="77777777" w:rsidR="00B645C0" w:rsidRPr="00C61D6E" w:rsidRDefault="00B645C0"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B645C0" w:rsidRPr="00C61D6E" w14:paraId="2413BDB2" w14:textId="77777777" w:rsidTr="00B645C0">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475" w:type="pct"/>
            <w:vMerge/>
            <w:tcBorders>
              <w:bottom w:val="single" w:sz="4" w:space="0" w:color="auto"/>
            </w:tcBorders>
            <w:shd w:val="clear" w:color="auto" w:fill="FFFFFF" w:themeFill="background1"/>
            <w:noWrap/>
            <w:vAlign w:val="center"/>
          </w:tcPr>
          <w:p w14:paraId="41F295D3" w14:textId="77777777" w:rsidR="00B645C0" w:rsidRPr="00921937" w:rsidRDefault="00B645C0" w:rsidP="00552E92">
            <w:pPr>
              <w:pStyle w:val="DataTab"/>
              <w:jc w:val="left"/>
              <w:rPr>
                <w:b w:val="0"/>
                <w:lang w:val="en-GB"/>
              </w:rPr>
            </w:pPr>
          </w:p>
        </w:tc>
        <w:tc>
          <w:tcPr>
            <w:tcW w:w="527" w:type="pct"/>
            <w:gridSpan w:val="2"/>
            <w:vMerge/>
            <w:tcBorders>
              <w:bottom w:val="single" w:sz="4" w:space="0" w:color="auto"/>
            </w:tcBorders>
            <w:shd w:val="clear" w:color="auto" w:fill="FFFFFF" w:themeFill="background1"/>
            <w:noWrap/>
            <w:textDirection w:val="btLr"/>
          </w:tcPr>
          <w:p w14:paraId="126A8ABC" w14:textId="77777777" w:rsidR="00B645C0" w:rsidRPr="00921937" w:rsidRDefault="00B645C0" w:rsidP="0047650D">
            <w:pPr>
              <w:pStyle w:val="DataTab"/>
              <w:ind w:left="113" w:right="113"/>
              <w:jc w:val="left"/>
              <w:cnfStyle w:val="000000100000" w:firstRow="0" w:lastRow="0" w:firstColumn="0" w:lastColumn="0" w:oddVBand="0" w:evenVBand="0" w:oddHBand="1" w:evenHBand="0" w:firstRowFirstColumn="0" w:firstRowLastColumn="0" w:lastRowFirstColumn="0" w:lastRowLastColumn="0"/>
              <w:rPr>
                <w:b/>
                <w:lang w:val="en-GB"/>
              </w:rPr>
            </w:pPr>
          </w:p>
        </w:tc>
        <w:tc>
          <w:tcPr>
            <w:tcW w:w="422" w:type="pct"/>
            <w:gridSpan w:val="2"/>
            <w:vMerge/>
            <w:tcBorders>
              <w:bottom w:val="single" w:sz="4" w:space="0" w:color="auto"/>
            </w:tcBorders>
            <w:shd w:val="clear" w:color="auto" w:fill="FFFFFF" w:themeFill="background1"/>
            <w:noWrap/>
          </w:tcPr>
          <w:p w14:paraId="1C5901ED"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33" w:type="pct"/>
            <w:tcBorders>
              <w:bottom w:val="single" w:sz="4" w:space="0" w:color="auto"/>
            </w:tcBorders>
            <w:shd w:val="clear" w:color="auto" w:fill="FFFFFF" w:themeFill="background1"/>
          </w:tcPr>
          <w:p w14:paraId="1DAB9A58"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2040-50</w:t>
            </w:r>
          </w:p>
        </w:tc>
        <w:tc>
          <w:tcPr>
            <w:tcW w:w="426" w:type="pct"/>
            <w:tcBorders>
              <w:bottom w:val="single" w:sz="4" w:space="0" w:color="auto"/>
            </w:tcBorders>
            <w:shd w:val="clear" w:color="auto" w:fill="FFFFFF" w:themeFill="background1"/>
            <w:noWrap/>
          </w:tcPr>
          <w:p w14:paraId="5B4CF31D" w14:textId="77777777" w:rsidR="00B645C0" w:rsidRPr="00C61D6E" w:rsidRDefault="00B645C0" w:rsidP="00B645C0">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10%</w:t>
            </w:r>
          </w:p>
        </w:tc>
        <w:tc>
          <w:tcPr>
            <w:tcW w:w="499" w:type="pct"/>
            <w:gridSpan w:val="2"/>
            <w:tcBorders>
              <w:bottom w:val="single" w:sz="4" w:space="0" w:color="auto"/>
            </w:tcBorders>
            <w:shd w:val="clear" w:color="auto" w:fill="FFFFFF" w:themeFill="background1"/>
            <w:noWrap/>
          </w:tcPr>
          <w:p w14:paraId="321794E0" w14:textId="77777777" w:rsidR="00B645C0" w:rsidRPr="00C61D6E" w:rsidRDefault="00B645C0" w:rsidP="00B645C0">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34" w:type="pct"/>
            <w:tcBorders>
              <w:bottom w:val="single" w:sz="4" w:space="0" w:color="auto"/>
            </w:tcBorders>
            <w:shd w:val="clear" w:color="auto" w:fill="FFFFFF" w:themeFill="background1"/>
            <w:noWrap/>
          </w:tcPr>
          <w:p w14:paraId="4DB71A15" w14:textId="77777777" w:rsidR="00B645C0" w:rsidRPr="00C61D6E" w:rsidRDefault="00B645C0" w:rsidP="00B645C0">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90%</w:t>
            </w:r>
          </w:p>
        </w:tc>
        <w:tc>
          <w:tcPr>
            <w:tcW w:w="633" w:type="pct"/>
            <w:vMerge/>
            <w:tcBorders>
              <w:bottom w:val="single" w:sz="4" w:space="0" w:color="auto"/>
            </w:tcBorders>
            <w:shd w:val="clear" w:color="auto" w:fill="FFFFFF" w:themeFill="background1"/>
            <w:noWrap/>
          </w:tcPr>
          <w:p w14:paraId="04708720"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21" w:type="pct"/>
            <w:vMerge/>
            <w:tcBorders>
              <w:bottom w:val="single" w:sz="4" w:space="0" w:color="auto"/>
            </w:tcBorders>
            <w:shd w:val="clear" w:color="auto" w:fill="FFFFFF" w:themeFill="background1"/>
            <w:noWrap/>
          </w:tcPr>
          <w:p w14:paraId="6BFC94E3"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0" w:type="pct"/>
            <w:vMerge/>
            <w:shd w:val="clear" w:color="auto" w:fill="FFFFFF" w:themeFill="background1"/>
            <w:noWrap/>
          </w:tcPr>
          <w:p w14:paraId="53E8C67E" w14:textId="77777777" w:rsidR="00B645C0" w:rsidRPr="00C61D6E" w:rsidRDefault="00B645C0"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bl>
    <w:p w14:paraId="24611B0D" w14:textId="77777777" w:rsidR="007D3B94" w:rsidRPr="00C61D6E" w:rsidRDefault="007D3B94" w:rsidP="00226B5C"/>
    <w:p w14:paraId="3C577CD7" w14:textId="77777777" w:rsidR="007573F2" w:rsidRPr="00C61D6E" w:rsidRDefault="007573F2" w:rsidP="0098120D">
      <w:pPr>
        <w:pStyle w:val="Caption"/>
        <w:jc w:val="center"/>
      </w:pPr>
    </w:p>
    <w:p w14:paraId="035D2A03" w14:textId="77777777" w:rsidR="007573F2" w:rsidRPr="00C61D6E" w:rsidRDefault="007573F2" w:rsidP="007573F2">
      <w:pPr>
        <w:rPr>
          <w:lang w:eastAsia="en-GB"/>
        </w:rPr>
      </w:pPr>
    </w:p>
    <w:p w14:paraId="282169C4" w14:textId="3AA06D95" w:rsidR="0098120D" w:rsidRPr="00C61D6E" w:rsidRDefault="0098120D" w:rsidP="0098120D">
      <w:pPr>
        <w:pStyle w:val="Caption"/>
        <w:jc w:val="center"/>
      </w:pPr>
      <w:r w:rsidRPr="00C61D6E">
        <w:t xml:space="preserve">Table </w:t>
      </w:r>
      <w:r w:rsidR="009575E9">
        <w:rPr>
          <w:noProof/>
        </w:rPr>
        <w:t>14</w:t>
      </w:r>
      <w:r w:rsidRPr="00C61D6E">
        <w:t>. Scenario definition parameters for forestry sector</w:t>
      </w:r>
    </w:p>
    <w:tbl>
      <w:tblPr>
        <w:tblStyle w:val="LightList-Accent6"/>
        <w:tblW w:w="5036" w:type="pct"/>
        <w:tblInd w:w="108" w:type="dxa"/>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shd w:val="clear" w:color="auto" w:fill="FFFFFF" w:themeFill="background1"/>
        <w:tblLayout w:type="fixed"/>
        <w:tblLook w:val="04A0" w:firstRow="1" w:lastRow="0" w:firstColumn="1" w:lastColumn="0" w:noHBand="0" w:noVBand="1"/>
      </w:tblPr>
      <w:tblGrid>
        <w:gridCol w:w="1562"/>
        <w:gridCol w:w="1273"/>
        <w:gridCol w:w="1277"/>
        <w:gridCol w:w="853"/>
        <w:gridCol w:w="1280"/>
        <w:gridCol w:w="140"/>
        <w:gridCol w:w="1277"/>
        <w:gridCol w:w="1283"/>
        <w:gridCol w:w="1844"/>
        <w:gridCol w:w="20"/>
        <w:gridCol w:w="1822"/>
        <w:gridCol w:w="11"/>
        <w:gridCol w:w="1678"/>
      </w:tblGrid>
      <w:tr w:rsidR="00A6096E" w:rsidRPr="007F2C39" w14:paraId="266D4F26" w14:textId="77777777" w:rsidTr="00A6096E">
        <w:trPr>
          <w:cnfStyle w:val="100000000000" w:firstRow="1" w:lastRow="0" w:firstColumn="0" w:lastColumn="0" w:oddVBand="0" w:evenVBand="0" w:oddHBand="0" w:evenHBand="0" w:firstRowFirstColumn="0" w:firstRowLastColumn="0" w:lastRowFirstColumn="0" w:lastRowLastColumn="0"/>
          <w:trHeight w:val="5"/>
          <w:tblHeader/>
        </w:trPr>
        <w:tc>
          <w:tcPr>
            <w:cnfStyle w:val="001000000000" w:firstRow="0" w:lastRow="0" w:firstColumn="1" w:lastColumn="0" w:oddVBand="0" w:evenVBand="0" w:oddHBand="0" w:evenHBand="0" w:firstRowFirstColumn="0" w:firstRowLastColumn="0" w:lastRowFirstColumn="0" w:lastRowLastColumn="0"/>
            <w:tcW w:w="545" w:type="pct"/>
            <w:vMerge w:val="restart"/>
            <w:tcBorders>
              <w:top w:val="single" w:sz="18" w:space="0" w:color="000000" w:themeColor="text1"/>
              <w:bottom w:val="single" w:sz="4" w:space="0" w:color="A6A6A6" w:themeColor="background1" w:themeShade="A6"/>
            </w:tcBorders>
            <w:shd w:val="clear" w:color="auto" w:fill="FFFFFF" w:themeFill="background1"/>
            <w:noWrap/>
            <w:textDirection w:val="btLr"/>
          </w:tcPr>
          <w:p w14:paraId="24E35248" w14:textId="77777777" w:rsidR="0098120D" w:rsidRPr="007F2C39" w:rsidRDefault="0098120D" w:rsidP="00A24CE5">
            <w:pPr>
              <w:pStyle w:val="DataTab"/>
              <w:ind w:left="113" w:right="113"/>
              <w:jc w:val="center"/>
              <w:rPr>
                <w:color w:val="auto"/>
                <w:lang w:val="en-GB"/>
              </w:rPr>
            </w:pPr>
            <w:r w:rsidRPr="007F2C39">
              <w:rPr>
                <w:color w:val="auto"/>
                <w:lang w:val="en-GB"/>
              </w:rPr>
              <w:t>CAT.</w:t>
            </w:r>
          </w:p>
        </w:tc>
        <w:tc>
          <w:tcPr>
            <w:tcW w:w="444" w:type="pct"/>
            <w:vMerge w:val="restart"/>
            <w:tcBorders>
              <w:top w:val="single" w:sz="18" w:space="0" w:color="000000" w:themeColor="text1"/>
            </w:tcBorders>
            <w:shd w:val="clear" w:color="auto" w:fill="FFFFFF" w:themeFill="background1"/>
            <w:noWrap/>
            <w:textDirection w:val="btLr"/>
          </w:tcPr>
          <w:p w14:paraId="3FD851F9" w14:textId="77777777" w:rsidR="0098120D" w:rsidRPr="007F2C39" w:rsidRDefault="0098120D" w:rsidP="00A24CE5">
            <w:pPr>
              <w:pStyle w:val="DataTab"/>
              <w:ind w:left="113" w:right="113"/>
              <w:jc w:val="center"/>
              <w:cnfStyle w:val="100000000000" w:firstRow="1" w:lastRow="0" w:firstColumn="0" w:lastColumn="0" w:oddVBand="0" w:evenVBand="0" w:oddHBand="0" w:evenHBand="0" w:firstRowFirstColumn="0" w:firstRowLastColumn="0" w:lastRowFirstColumn="0" w:lastRowLastColumn="0"/>
              <w:rPr>
                <w:b w:val="0"/>
                <w:bCs/>
                <w:color w:val="auto"/>
                <w:lang w:val="en-GB"/>
              </w:rPr>
            </w:pPr>
            <w:r w:rsidRPr="007F2C39">
              <w:rPr>
                <w:color w:val="auto"/>
                <w:lang w:val="en-GB"/>
              </w:rPr>
              <w:t>TYPE</w:t>
            </w:r>
          </w:p>
          <w:p w14:paraId="68CD91AD" w14:textId="77777777" w:rsidR="0098120D" w:rsidRPr="007F2C39" w:rsidRDefault="0098120D" w:rsidP="00A24CE5">
            <w:pPr>
              <w:pStyle w:val="DataTab"/>
              <w:ind w:left="113" w:right="113"/>
              <w:jc w:val="center"/>
              <w:cnfStyle w:val="100000000000" w:firstRow="1" w:lastRow="0" w:firstColumn="0" w:lastColumn="0" w:oddVBand="0" w:evenVBand="0" w:oddHBand="0" w:evenHBand="0" w:firstRowFirstColumn="0" w:firstRowLastColumn="0" w:lastRowFirstColumn="0" w:lastRowLastColumn="0"/>
              <w:rPr>
                <w:color w:val="auto"/>
                <w:lang w:val="en-GB"/>
              </w:rPr>
            </w:pPr>
          </w:p>
        </w:tc>
        <w:tc>
          <w:tcPr>
            <w:tcW w:w="744" w:type="pct"/>
            <w:gridSpan w:val="2"/>
            <w:tcBorders>
              <w:top w:val="single" w:sz="18" w:space="0" w:color="000000" w:themeColor="text1"/>
              <w:bottom w:val="single" w:sz="4" w:space="0" w:color="auto"/>
            </w:tcBorders>
            <w:shd w:val="clear" w:color="auto" w:fill="FFFFFF" w:themeFill="background1"/>
            <w:noWrap/>
          </w:tcPr>
          <w:p w14:paraId="315A79FB"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PARAMETERS SET:</w:t>
            </w:r>
          </w:p>
        </w:tc>
        <w:tc>
          <w:tcPr>
            <w:tcW w:w="1390" w:type="pct"/>
            <w:gridSpan w:val="4"/>
            <w:tcBorders>
              <w:top w:val="single" w:sz="18" w:space="0" w:color="000000" w:themeColor="text1"/>
              <w:bottom w:val="single" w:sz="4" w:space="0" w:color="auto"/>
            </w:tcBorders>
            <w:shd w:val="clear" w:color="auto" w:fill="FFFFFF" w:themeFill="background1"/>
            <w:noWrap/>
          </w:tcPr>
          <w:p w14:paraId="77066DBE" w14:textId="77777777" w:rsidR="0098120D" w:rsidRPr="007F2C39" w:rsidRDefault="0098120D" w:rsidP="00A24CE5">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Productivity</w:t>
            </w:r>
          </w:p>
        </w:tc>
        <w:tc>
          <w:tcPr>
            <w:tcW w:w="1877" w:type="pct"/>
            <w:gridSpan w:val="5"/>
            <w:tcBorders>
              <w:top w:val="single" w:sz="18" w:space="0" w:color="000000" w:themeColor="text1"/>
              <w:bottom w:val="single" w:sz="4" w:space="0" w:color="auto"/>
            </w:tcBorders>
            <w:shd w:val="clear" w:color="auto" w:fill="FFFFFF" w:themeFill="background1"/>
            <w:noWrap/>
            <w:vAlign w:val="center"/>
          </w:tcPr>
          <w:p w14:paraId="4CAD10E0"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 xml:space="preserve">Limitation of biofeedstocks &amp; available land </w:t>
            </w:r>
          </w:p>
        </w:tc>
      </w:tr>
      <w:tr w:rsidR="00A6096E" w:rsidRPr="007F2C39" w14:paraId="07137414" w14:textId="77777777" w:rsidTr="00A6096E">
        <w:trPr>
          <w:cnfStyle w:val="100000000000" w:firstRow="1" w:lastRow="0" w:firstColumn="0" w:lastColumn="0" w:oddVBand="0" w:evenVBand="0" w:oddHBand="0" w:evenHBand="0" w:firstRowFirstColumn="0" w:firstRowLastColumn="0" w:lastRowFirstColumn="0" w:lastRowLastColumn="0"/>
          <w:trHeight w:val="3"/>
          <w:tblHeader/>
        </w:trPr>
        <w:tc>
          <w:tcPr>
            <w:cnfStyle w:val="001000000000" w:firstRow="0" w:lastRow="0" w:firstColumn="1" w:lastColumn="0" w:oddVBand="0" w:evenVBand="0" w:oddHBand="0" w:evenHBand="0" w:firstRowFirstColumn="0" w:firstRowLastColumn="0" w:lastRowFirstColumn="0" w:lastRowLastColumn="0"/>
            <w:tcW w:w="545" w:type="pct"/>
            <w:vMerge/>
            <w:tcBorders>
              <w:top w:val="single" w:sz="4" w:space="0" w:color="A6A6A6" w:themeColor="background1" w:themeShade="A6"/>
              <w:bottom w:val="single" w:sz="18" w:space="0" w:color="000000" w:themeColor="text1"/>
            </w:tcBorders>
            <w:shd w:val="clear" w:color="auto" w:fill="FFFFFF" w:themeFill="background1"/>
            <w:noWrap/>
            <w:vAlign w:val="center"/>
            <w:hideMark/>
          </w:tcPr>
          <w:p w14:paraId="4A821C40" w14:textId="77777777" w:rsidR="0098120D" w:rsidRPr="007F2C39" w:rsidRDefault="0098120D" w:rsidP="00A24CE5">
            <w:pPr>
              <w:pStyle w:val="DataTab"/>
              <w:jc w:val="left"/>
              <w:rPr>
                <w:color w:val="auto"/>
                <w:lang w:val="en-GB"/>
              </w:rPr>
            </w:pPr>
          </w:p>
        </w:tc>
        <w:tc>
          <w:tcPr>
            <w:tcW w:w="444" w:type="pct"/>
            <w:vMerge/>
            <w:tcBorders>
              <w:bottom w:val="single" w:sz="18" w:space="0" w:color="000000" w:themeColor="text1"/>
            </w:tcBorders>
            <w:shd w:val="clear" w:color="auto" w:fill="FFFFFF" w:themeFill="background1"/>
            <w:noWrap/>
            <w:textDirection w:val="btLr"/>
            <w:hideMark/>
          </w:tcPr>
          <w:p w14:paraId="7C82ACF8" w14:textId="77777777" w:rsidR="0098120D" w:rsidRPr="007F2C39" w:rsidRDefault="0098120D" w:rsidP="00A24CE5">
            <w:pPr>
              <w:pStyle w:val="DataTab"/>
              <w:ind w:left="113" w:right="113"/>
              <w:jc w:val="left"/>
              <w:cnfStyle w:val="100000000000" w:firstRow="1" w:lastRow="0" w:firstColumn="0" w:lastColumn="0" w:oddVBand="0" w:evenVBand="0" w:oddHBand="0" w:evenHBand="0" w:firstRowFirstColumn="0" w:firstRowLastColumn="0" w:lastRowFirstColumn="0" w:lastRowLastColumn="0"/>
              <w:rPr>
                <w:color w:val="auto"/>
                <w:lang w:val="en-GB"/>
              </w:rPr>
            </w:pPr>
          </w:p>
        </w:tc>
        <w:tc>
          <w:tcPr>
            <w:tcW w:w="744" w:type="pct"/>
            <w:gridSpan w:val="2"/>
            <w:tcBorders>
              <w:top w:val="single" w:sz="4" w:space="0" w:color="auto"/>
              <w:bottom w:val="single" w:sz="18" w:space="0" w:color="000000" w:themeColor="text1"/>
            </w:tcBorders>
            <w:shd w:val="clear" w:color="auto" w:fill="FFFFFF" w:themeFill="background1"/>
            <w:noWrap/>
            <w:hideMark/>
          </w:tcPr>
          <w:p w14:paraId="3C32B19C" w14:textId="5048E4B3"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S</w:t>
            </w:r>
            <w:r w:rsidR="00CC121E">
              <w:rPr>
                <w:color w:val="auto"/>
                <w:lang w:val="en-GB"/>
              </w:rPr>
              <w:t>CEN</w:t>
            </w:r>
            <w:r w:rsidRPr="007F2C39">
              <w:rPr>
                <w:color w:val="auto"/>
                <w:lang w:val="en-GB"/>
              </w:rPr>
              <w:t>ARIO:</w:t>
            </w:r>
          </w:p>
        </w:tc>
        <w:tc>
          <w:tcPr>
            <w:tcW w:w="447" w:type="pct"/>
            <w:tcBorders>
              <w:top w:val="single" w:sz="4" w:space="0" w:color="auto"/>
              <w:bottom w:val="single" w:sz="18" w:space="0" w:color="000000" w:themeColor="text1"/>
            </w:tcBorders>
            <w:shd w:val="clear" w:color="auto" w:fill="FFFFFF" w:themeFill="background1"/>
            <w:noWrap/>
            <w:hideMark/>
          </w:tcPr>
          <w:p w14:paraId="7FD48FE6"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rFonts w:cs="Times New Roman"/>
                <w:color w:val="auto"/>
                <w:lang w:val="en-GB"/>
              </w:rPr>
            </w:pPr>
            <w:r w:rsidRPr="007F2C39">
              <w:rPr>
                <w:color w:val="auto"/>
                <w:lang w:val="en-GB"/>
              </w:rPr>
              <w:t>HIGH</w:t>
            </w:r>
          </w:p>
        </w:tc>
        <w:tc>
          <w:tcPr>
            <w:tcW w:w="495" w:type="pct"/>
            <w:gridSpan w:val="2"/>
            <w:tcBorders>
              <w:top w:val="single" w:sz="4" w:space="0" w:color="auto"/>
              <w:bottom w:val="single" w:sz="18" w:space="0" w:color="000000" w:themeColor="text1"/>
            </w:tcBorders>
            <w:shd w:val="clear" w:color="auto" w:fill="FFFFFF" w:themeFill="background1"/>
            <w:noWrap/>
            <w:hideMark/>
          </w:tcPr>
          <w:p w14:paraId="18A16FC8"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MED</w:t>
            </w:r>
          </w:p>
        </w:tc>
        <w:tc>
          <w:tcPr>
            <w:tcW w:w="448" w:type="pct"/>
            <w:tcBorders>
              <w:top w:val="single" w:sz="4" w:space="0" w:color="auto"/>
              <w:bottom w:val="single" w:sz="18" w:space="0" w:color="000000" w:themeColor="text1"/>
            </w:tcBorders>
            <w:shd w:val="clear" w:color="auto" w:fill="FFFFFF" w:themeFill="background1"/>
            <w:noWrap/>
            <w:hideMark/>
          </w:tcPr>
          <w:p w14:paraId="0449FDA3"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LOW</w:t>
            </w:r>
          </w:p>
        </w:tc>
        <w:tc>
          <w:tcPr>
            <w:tcW w:w="644" w:type="pct"/>
            <w:tcBorders>
              <w:top w:val="single" w:sz="4" w:space="0" w:color="auto"/>
              <w:bottom w:val="single" w:sz="18" w:space="0" w:color="000000" w:themeColor="text1"/>
            </w:tcBorders>
            <w:shd w:val="clear" w:color="auto" w:fill="FFFFFF" w:themeFill="background1"/>
            <w:noWrap/>
            <w:vAlign w:val="center"/>
            <w:hideMark/>
          </w:tcPr>
          <w:p w14:paraId="25940F9D"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HIGH</w:t>
            </w:r>
          </w:p>
        </w:tc>
        <w:tc>
          <w:tcPr>
            <w:tcW w:w="647" w:type="pct"/>
            <w:gridSpan w:val="3"/>
            <w:tcBorders>
              <w:top w:val="single" w:sz="4" w:space="0" w:color="auto"/>
              <w:bottom w:val="single" w:sz="18" w:space="0" w:color="000000" w:themeColor="text1"/>
            </w:tcBorders>
            <w:shd w:val="clear" w:color="auto" w:fill="FFFFFF" w:themeFill="background1"/>
            <w:noWrap/>
            <w:vAlign w:val="center"/>
            <w:hideMark/>
          </w:tcPr>
          <w:p w14:paraId="3C27B2C2"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rFonts w:cs="Times New Roman"/>
                <w:color w:val="auto"/>
                <w:lang w:val="en-GB"/>
              </w:rPr>
            </w:pPr>
            <w:r w:rsidRPr="007F2C39">
              <w:rPr>
                <w:color w:val="auto"/>
                <w:lang w:val="en-GB"/>
              </w:rPr>
              <w:t>MED</w:t>
            </w:r>
          </w:p>
        </w:tc>
        <w:tc>
          <w:tcPr>
            <w:tcW w:w="586" w:type="pct"/>
            <w:tcBorders>
              <w:top w:val="single" w:sz="4" w:space="0" w:color="auto"/>
              <w:bottom w:val="single" w:sz="18" w:space="0" w:color="000000" w:themeColor="text1"/>
            </w:tcBorders>
            <w:shd w:val="clear" w:color="auto" w:fill="FFFFFF" w:themeFill="background1"/>
            <w:noWrap/>
            <w:vAlign w:val="center"/>
            <w:hideMark/>
          </w:tcPr>
          <w:p w14:paraId="5A018335" w14:textId="77777777" w:rsidR="0098120D" w:rsidRPr="007F2C39" w:rsidRDefault="0098120D" w:rsidP="00A24CE5">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LOW</w:t>
            </w:r>
          </w:p>
        </w:tc>
      </w:tr>
      <w:tr w:rsidR="00A52D8D" w:rsidRPr="00C61D6E" w14:paraId="4CB9FC62" w14:textId="77777777" w:rsidTr="00A6096E">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45" w:type="pct"/>
            <w:vMerge w:val="restart"/>
            <w:tcBorders>
              <w:top w:val="single" w:sz="4" w:space="0" w:color="auto"/>
            </w:tcBorders>
            <w:shd w:val="clear" w:color="auto" w:fill="FFFFFF" w:themeFill="background1"/>
            <w:noWrap/>
          </w:tcPr>
          <w:p w14:paraId="1058E55B" w14:textId="77777777" w:rsidR="00A52D8D" w:rsidRPr="00C61D6E" w:rsidRDefault="00A52D8D" w:rsidP="00A6096E">
            <w:pPr>
              <w:pStyle w:val="DataTab"/>
              <w:jc w:val="center"/>
              <w:rPr>
                <w:lang w:val="en-GB"/>
              </w:rPr>
            </w:pPr>
            <w:r w:rsidRPr="00C61D6E">
              <w:rPr>
                <w:lang w:val="en-GB"/>
              </w:rPr>
              <w:t xml:space="preserve">ROUND-WOOD </w:t>
            </w:r>
          </w:p>
          <w:p w14:paraId="3D638F7A" w14:textId="77777777" w:rsidR="00A52D8D" w:rsidRPr="00C61D6E" w:rsidRDefault="00A52D8D" w:rsidP="00A6096E">
            <w:pPr>
              <w:pStyle w:val="DataTab"/>
              <w:jc w:val="center"/>
              <w:rPr>
                <w:lang w:val="en-GB"/>
              </w:rPr>
            </w:pPr>
            <w:r w:rsidRPr="00C61D6E">
              <w:rPr>
                <w:lang w:val="en-GB"/>
              </w:rPr>
              <w:t>PRODUCTION</w:t>
            </w:r>
          </w:p>
        </w:tc>
        <w:tc>
          <w:tcPr>
            <w:tcW w:w="444" w:type="pct"/>
            <w:vMerge w:val="restart"/>
            <w:tcBorders>
              <w:top w:val="single" w:sz="4" w:space="0" w:color="auto"/>
            </w:tcBorders>
            <w:shd w:val="clear" w:color="auto" w:fill="FFFFFF" w:themeFill="background1"/>
            <w:noWrap/>
            <w:textDirection w:val="btLr"/>
          </w:tcPr>
          <w:p w14:paraId="2F8416BC"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Stemwood (from roundwood and thinnings)</w:t>
            </w:r>
          </w:p>
        </w:tc>
        <w:tc>
          <w:tcPr>
            <w:tcW w:w="446" w:type="pct"/>
            <w:vMerge w:val="restart"/>
            <w:tcBorders>
              <w:top w:val="single" w:sz="4" w:space="0" w:color="auto"/>
            </w:tcBorders>
            <w:shd w:val="clear" w:color="auto" w:fill="FFFFFF" w:themeFill="background1"/>
            <w:noWrap/>
            <w:vAlign w:val="center"/>
          </w:tcPr>
          <w:p w14:paraId="7968F4D9" w14:textId="77777777" w:rsidR="00A52D8D" w:rsidRPr="00C61D6E" w:rsidRDefault="00A52D8D" w:rsidP="005C2970">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 xml:space="preserve">Timber demand </w:t>
            </w:r>
          </w:p>
          <w:p w14:paraId="4A861EC5" w14:textId="7570D986" w:rsidR="00A52D8D" w:rsidRPr="00C61D6E" w:rsidRDefault="00A52D8D" w:rsidP="005C2970">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w:t>
            </w:r>
            <w:r w:rsidR="00BC3F1E">
              <w:rPr>
                <w:b/>
                <w:lang w:val="en-GB"/>
              </w:rPr>
              <w:t>Million</w:t>
            </w:r>
            <w:r w:rsidRPr="00C61D6E">
              <w:rPr>
                <w:b/>
                <w:lang w:val="en-GB"/>
              </w:rPr>
              <w:t xml:space="preserve"> m3]</w:t>
            </w:r>
          </w:p>
        </w:tc>
        <w:tc>
          <w:tcPr>
            <w:tcW w:w="298" w:type="pct"/>
            <w:tcBorders>
              <w:top w:val="single" w:sz="4" w:space="0" w:color="auto"/>
            </w:tcBorders>
            <w:shd w:val="clear" w:color="auto" w:fill="FFFFFF" w:themeFill="background1"/>
          </w:tcPr>
          <w:p w14:paraId="165741D0"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47" w:type="pct"/>
            <w:tcBorders>
              <w:top w:val="single" w:sz="4" w:space="0" w:color="auto"/>
            </w:tcBorders>
            <w:shd w:val="clear" w:color="auto" w:fill="FFFFFF" w:themeFill="background1"/>
            <w:noWrap/>
          </w:tcPr>
          <w:p w14:paraId="2C847EAA" w14:textId="0555DAFA"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w:t>
            </w:r>
            <w:r w:rsidR="00BC3F1E">
              <w:rPr>
                <w:lang w:val="en-GB"/>
              </w:rPr>
              <w:t>,</w:t>
            </w:r>
            <w:r w:rsidRPr="00C61D6E">
              <w:rPr>
                <w:lang w:val="en-GB"/>
              </w:rPr>
              <w:t xml:space="preserve">239 </w:t>
            </w:r>
          </w:p>
        </w:tc>
        <w:tc>
          <w:tcPr>
            <w:tcW w:w="495" w:type="pct"/>
            <w:gridSpan w:val="2"/>
            <w:tcBorders>
              <w:top w:val="single" w:sz="4" w:space="0" w:color="auto"/>
            </w:tcBorders>
            <w:shd w:val="clear" w:color="auto" w:fill="FFFFFF" w:themeFill="background1"/>
            <w:noWrap/>
          </w:tcPr>
          <w:p w14:paraId="71FBF8C7" w14:textId="49BE4E82"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w:t>
            </w:r>
            <w:r w:rsidR="00BC3F1E">
              <w:rPr>
                <w:lang w:val="en-GB"/>
              </w:rPr>
              <w:t>,</w:t>
            </w:r>
            <w:r w:rsidRPr="00C61D6E">
              <w:rPr>
                <w:lang w:val="en-GB"/>
              </w:rPr>
              <w:t>06</w:t>
            </w:r>
            <w:r w:rsidR="00BC3F1E">
              <w:rPr>
                <w:lang w:val="en-GB"/>
              </w:rPr>
              <w:t>4</w:t>
            </w:r>
            <w:r w:rsidRPr="00C61D6E">
              <w:rPr>
                <w:lang w:val="en-GB"/>
              </w:rPr>
              <w:t xml:space="preserve"> </w:t>
            </w:r>
          </w:p>
        </w:tc>
        <w:tc>
          <w:tcPr>
            <w:tcW w:w="448" w:type="pct"/>
            <w:vMerge w:val="restart"/>
            <w:tcBorders>
              <w:top w:val="single" w:sz="4" w:space="0" w:color="auto"/>
            </w:tcBorders>
            <w:shd w:val="clear" w:color="auto" w:fill="FFFFFF" w:themeFill="background1"/>
            <w:noWrap/>
            <w:vAlign w:val="center"/>
          </w:tcPr>
          <w:p w14:paraId="6A83CCE5" w14:textId="24D6B914"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96</w:t>
            </w:r>
            <w:r w:rsidR="00BC3F1E">
              <w:rPr>
                <w:lang w:val="en-GB"/>
              </w:rPr>
              <w:t>6</w:t>
            </w:r>
            <w:r w:rsidRPr="00C61D6E">
              <w:rPr>
                <w:lang w:val="en-GB"/>
              </w:rPr>
              <w:t xml:space="preserve"> </w:t>
            </w:r>
          </w:p>
        </w:tc>
        <w:tc>
          <w:tcPr>
            <w:tcW w:w="651" w:type="pct"/>
            <w:gridSpan w:val="2"/>
            <w:vMerge w:val="restart"/>
            <w:tcBorders>
              <w:top w:val="single" w:sz="4" w:space="0" w:color="auto"/>
            </w:tcBorders>
            <w:shd w:val="clear" w:color="auto" w:fill="FFFFFF" w:themeFill="background1"/>
            <w:noWrap/>
          </w:tcPr>
          <w:p w14:paraId="5D586EE4"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stem wood and forestry residues available for energy production</w:t>
            </w:r>
          </w:p>
          <w:p w14:paraId="24A30AC7"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Increased woodland productivity by fertilization and harvesting mechanisation efficiency and increased mobilisation of wood from smallholders</w:t>
            </w:r>
          </w:p>
          <w:p w14:paraId="1DE147FE"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Reduced competing demand for non-energy purposes</w:t>
            </w:r>
          </w:p>
          <w:p w14:paraId="66938AA0"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 Increased mobilization of primary forestry residues because of increased demand for biomass for energy, which leads to increased stump and residue removal1</w:t>
            </w:r>
          </w:p>
        </w:tc>
        <w:tc>
          <w:tcPr>
            <w:tcW w:w="636" w:type="pct"/>
            <w:vMerge w:val="restart"/>
            <w:tcBorders>
              <w:top w:val="single" w:sz="4" w:space="0" w:color="auto"/>
            </w:tcBorders>
            <w:shd w:val="clear" w:color="auto" w:fill="FFFFFF" w:themeFill="background1"/>
            <w:noWrap/>
          </w:tcPr>
          <w:p w14:paraId="453A148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Stem wood is mainly used for non-energy purposes, but improved mobilisation of stemwood, primary and secondary forestry residues compared to today because of increase in contribution of small holders.</w:t>
            </w:r>
          </w:p>
          <w:p w14:paraId="6032A1A3"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Stump removal is however limited because of sustainability considerations.</w:t>
            </w:r>
          </w:p>
          <w:p w14:paraId="116FCA33"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reference woodland productivity and mobilization1</w:t>
            </w:r>
          </w:p>
        </w:tc>
        <w:tc>
          <w:tcPr>
            <w:tcW w:w="590" w:type="pct"/>
            <w:gridSpan w:val="2"/>
            <w:vMerge w:val="restart"/>
            <w:tcBorders>
              <w:top w:val="single" w:sz="4" w:space="0" w:color="auto"/>
            </w:tcBorders>
            <w:shd w:val="clear" w:color="auto" w:fill="FFFFFF" w:themeFill="background1"/>
            <w:noWrap/>
          </w:tcPr>
          <w:p w14:paraId="08ACD428"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Forestry harvest patterns according to strict sustainability criteria and low mobilisation of small and medium forest holders use of forestry residues only</w:t>
            </w:r>
          </w:p>
          <w:p w14:paraId="6953BCE6"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available residues only from residue extraction, but no stump removal allowed</w:t>
            </w:r>
          </w:p>
          <w:p w14:paraId="4C82B080"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lower ratios of usage of primary and secondary residues and more competition</w:t>
            </w:r>
          </w:p>
        </w:tc>
      </w:tr>
      <w:tr w:rsidR="00A52D8D" w:rsidRPr="00C61D6E" w14:paraId="1FC5CDF3" w14:textId="77777777" w:rsidTr="00A6096E">
        <w:trPr>
          <w:trHeight w:val="37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16142C4C"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1EF41A48"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shd w:val="clear" w:color="auto" w:fill="FFFFFF" w:themeFill="background1"/>
            <w:noWrap/>
          </w:tcPr>
          <w:p w14:paraId="15A0F840"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98" w:type="pct"/>
            <w:tcBorders>
              <w:top w:val="single" w:sz="4" w:space="0" w:color="auto"/>
              <w:bottom w:val="single" w:sz="8" w:space="0" w:color="F79646" w:themeColor="accent6"/>
            </w:tcBorders>
            <w:shd w:val="clear" w:color="auto" w:fill="FFFFFF" w:themeFill="background1"/>
          </w:tcPr>
          <w:p w14:paraId="5B607CA6"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2030</w:t>
            </w:r>
          </w:p>
        </w:tc>
        <w:tc>
          <w:tcPr>
            <w:tcW w:w="447" w:type="pct"/>
            <w:shd w:val="clear" w:color="auto" w:fill="FFFFFF" w:themeFill="background1"/>
            <w:noWrap/>
          </w:tcPr>
          <w:p w14:paraId="1F9ADE7F" w14:textId="5C8704AA"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1</w:t>
            </w:r>
            <w:r w:rsidR="00BC3F1E">
              <w:rPr>
                <w:lang w:val="en-GB"/>
              </w:rPr>
              <w:t>,</w:t>
            </w:r>
            <w:r w:rsidRPr="00C61D6E">
              <w:rPr>
                <w:lang w:val="en-GB"/>
              </w:rPr>
              <w:t>419</w:t>
            </w:r>
          </w:p>
        </w:tc>
        <w:tc>
          <w:tcPr>
            <w:tcW w:w="495" w:type="pct"/>
            <w:gridSpan w:val="2"/>
            <w:shd w:val="clear" w:color="auto" w:fill="FFFFFF" w:themeFill="background1"/>
            <w:noWrap/>
          </w:tcPr>
          <w:p w14:paraId="13568116" w14:textId="42CAC3C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1</w:t>
            </w:r>
            <w:r w:rsidR="00BC3F1E">
              <w:rPr>
                <w:lang w:val="en-GB"/>
              </w:rPr>
              <w:t>,</w:t>
            </w:r>
            <w:r w:rsidRPr="00C61D6E">
              <w:rPr>
                <w:lang w:val="en-GB"/>
              </w:rPr>
              <w:t>16</w:t>
            </w:r>
            <w:r w:rsidR="00BC3F1E">
              <w:rPr>
                <w:lang w:val="en-GB"/>
              </w:rPr>
              <w:t>8</w:t>
            </w:r>
          </w:p>
        </w:tc>
        <w:tc>
          <w:tcPr>
            <w:tcW w:w="448" w:type="pct"/>
            <w:vMerge/>
            <w:shd w:val="clear" w:color="auto" w:fill="FFFFFF" w:themeFill="background1"/>
            <w:noWrap/>
          </w:tcPr>
          <w:p w14:paraId="78A2DF6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1" w:type="pct"/>
            <w:gridSpan w:val="2"/>
            <w:vMerge/>
            <w:shd w:val="clear" w:color="auto" w:fill="FFFFFF" w:themeFill="background1"/>
            <w:noWrap/>
          </w:tcPr>
          <w:p w14:paraId="1B60D439"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6CBA60E7"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452461B9"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37B6D3CC" w14:textId="77777777" w:rsidTr="00A6096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027AB1A8"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37FE2D5C"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6" w:type="pct"/>
            <w:vMerge/>
            <w:shd w:val="clear" w:color="auto" w:fill="FFFFFF" w:themeFill="background1"/>
            <w:noWrap/>
          </w:tcPr>
          <w:p w14:paraId="2D1EE62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98" w:type="pct"/>
            <w:tcBorders>
              <w:top w:val="single" w:sz="4" w:space="0" w:color="auto"/>
            </w:tcBorders>
            <w:shd w:val="clear" w:color="auto" w:fill="FFFFFF" w:themeFill="background1"/>
          </w:tcPr>
          <w:p w14:paraId="1570852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2040</w:t>
            </w:r>
          </w:p>
        </w:tc>
        <w:tc>
          <w:tcPr>
            <w:tcW w:w="447" w:type="pct"/>
            <w:shd w:val="clear" w:color="auto" w:fill="FFFFFF" w:themeFill="background1"/>
            <w:noWrap/>
          </w:tcPr>
          <w:p w14:paraId="18B18709" w14:textId="77C570D9"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w:t>
            </w:r>
            <w:r w:rsidR="00BC3F1E">
              <w:rPr>
                <w:lang w:val="en-GB"/>
              </w:rPr>
              <w:t>,</w:t>
            </w:r>
            <w:r w:rsidRPr="00C61D6E">
              <w:rPr>
                <w:lang w:val="en-GB"/>
              </w:rPr>
              <w:t>661</w:t>
            </w:r>
          </w:p>
        </w:tc>
        <w:tc>
          <w:tcPr>
            <w:tcW w:w="495" w:type="pct"/>
            <w:gridSpan w:val="2"/>
            <w:shd w:val="clear" w:color="auto" w:fill="FFFFFF" w:themeFill="background1"/>
            <w:noWrap/>
          </w:tcPr>
          <w:p w14:paraId="6D961186" w14:textId="6C872094"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w:t>
            </w:r>
            <w:r w:rsidR="00BC3F1E">
              <w:rPr>
                <w:lang w:val="en-GB"/>
              </w:rPr>
              <w:t>,</w:t>
            </w:r>
            <w:r w:rsidRPr="00C61D6E">
              <w:rPr>
                <w:lang w:val="en-GB"/>
              </w:rPr>
              <w:t>267</w:t>
            </w:r>
          </w:p>
        </w:tc>
        <w:tc>
          <w:tcPr>
            <w:tcW w:w="448" w:type="pct"/>
            <w:vMerge/>
            <w:shd w:val="clear" w:color="auto" w:fill="FFFFFF" w:themeFill="background1"/>
            <w:noWrap/>
          </w:tcPr>
          <w:p w14:paraId="312B36C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1" w:type="pct"/>
            <w:gridSpan w:val="2"/>
            <w:vMerge/>
            <w:shd w:val="clear" w:color="auto" w:fill="FFFFFF" w:themeFill="background1"/>
            <w:noWrap/>
          </w:tcPr>
          <w:p w14:paraId="61E1DFFD"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315AC95F"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02EC20E6"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170DC961" w14:textId="77777777" w:rsidTr="00A6096E">
        <w:trPr>
          <w:trHeight w:val="37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7BE81472"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11655A5E"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tcBorders>
              <w:bottom w:val="single" w:sz="8" w:space="0" w:color="F79646" w:themeColor="accent6"/>
            </w:tcBorders>
            <w:shd w:val="clear" w:color="auto" w:fill="FFFFFF" w:themeFill="background1"/>
            <w:noWrap/>
          </w:tcPr>
          <w:p w14:paraId="784892D9"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98" w:type="pct"/>
            <w:tcBorders>
              <w:top w:val="single" w:sz="4" w:space="0" w:color="auto"/>
              <w:bottom w:val="single" w:sz="8" w:space="0" w:color="F79646" w:themeColor="accent6"/>
            </w:tcBorders>
            <w:shd w:val="clear" w:color="auto" w:fill="FFFFFF" w:themeFill="background1"/>
          </w:tcPr>
          <w:p w14:paraId="133692B5"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2050</w:t>
            </w:r>
          </w:p>
        </w:tc>
        <w:tc>
          <w:tcPr>
            <w:tcW w:w="447" w:type="pct"/>
            <w:tcBorders>
              <w:bottom w:val="single" w:sz="8" w:space="0" w:color="F79646" w:themeColor="accent6"/>
            </w:tcBorders>
            <w:shd w:val="clear" w:color="auto" w:fill="FFFFFF" w:themeFill="background1"/>
            <w:noWrap/>
          </w:tcPr>
          <w:p w14:paraId="2FA6F79B" w14:textId="16F9AF40"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w:t>
            </w:r>
            <w:r w:rsidR="00BC3F1E">
              <w:rPr>
                <w:lang w:val="en-GB"/>
              </w:rPr>
              <w:t>,</w:t>
            </w:r>
            <w:r w:rsidRPr="00C61D6E">
              <w:rPr>
                <w:lang w:val="en-GB"/>
              </w:rPr>
              <w:t>07</w:t>
            </w:r>
            <w:r w:rsidR="00BC3F1E">
              <w:rPr>
                <w:lang w:val="en-GB"/>
              </w:rPr>
              <w:t>3</w:t>
            </w:r>
          </w:p>
        </w:tc>
        <w:tc>
          <w:tcPr>
            <w:tcW w:w="495" w:type="pct"/>
            <w:gridSpan w:val="2"/>
            <w:tcBorders>
              <w:bottom w:val="single" w:sz="8" w:space="0" w:color="F79646" w:themeColor="accent6"/>
            </w:tcBorders>
            <w:shd w:val="clear" w:color="auto" w:fill="FFFFFF" w:themeFill="background1"/>
            <w:noWrap/>
          </w:tcPr>
          <w:p w14:paraId="3375C495" w14:textId="03C4E9DE"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1</w:t>
            </w:r>
            <w:r w:rsidR="00BC3F1E">
              <w:rPr>
                <w:lang w:val="en-GB"/>
              </w:rPr>
              <w:t>,</w:t>
            </w:r>
            <w:r w:rsidRPr="00C61D6E">
              <w:rPr>
                <w:lang w:val="en-GB"/>
              </w:rPr>
              <w:t>47</w:t>
            </w:r>
            <w:r w:rsidR="00BC3F1E">
              <w:rPr>
                <w:lang w:val="en-GB"/>
              </w:rPr>
              <w:t>2</w:t>
            </w:r>
          </w:p>
        </w:tc>
        <w:tc>
          <w:tcPr>
            <w:tcW w:w="448" w:type="pct"/>
            <w:vMerge/>
            <w:tcBorders>
              <w:bottom w:val="single" w:sz="8" w:space="0" w:color="F79646" w:themeColor="accent6"/>
            </w:tcBorders>
            <w:shd w:val="clear" w:color="auto" w:fill="FFFFFF" w:themeFill="background1"/>
            <w:noWrap/>
          </w:tcPr>
          <w:p w14:paraId="480368B6"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1" w:type="pct"/>
            <w:gridSpan w:val="2"/>
            <w:vMerge/>
            <w:shd w:val="clear" w:color="auto" w:fill="FFFFFF" w:themeFill="background1"/>
            <w:noWrap/>
          </w:tcPr>
          <w:p w14:paraId="45D4ED20"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1499CAC1"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6B0417B1"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6F401FB5" w14:textId="77777777" w:rsidTr="00A6096E">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06F34D42"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3EE7873D"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744" w:type="pct"/>
            <w:gridSpan w:val="2"/>
            <w:shd w:val="clear" w:color="auto" w:fill="FFFFFF" w:themeFill="background1"/>
            <w:noWrap/>
          </w:tcPr>
          <w:p w14:paraId="533BF3B8"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Harvesting techniques applied</w:t>
            </w:r>
          </w:p>
        </w:tc>
        <w:tc>
          <w:tcPr>
            <w:tcW w:w="447" w:type="pct"/>
            <w:shd w:val="clear" w:color="auto" w:fill="FFFFFF" w:themeFill="background1"/>
            <w:noWrap/>
          </w:tcPr>
          <w:p w14:paraId="3E01BB67"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High efficiency</w:t>
            </w:r>
          </w:p>
        </w:tc>
        <w:tc>
          <w:tcPr>
            <w:tcW w:w="495" w:type="pct"/>
            <w:gridSpan w:val="2"/>
            <w:shd w:val="clear" w:color="auto" w:fill="FFFFFF" w:themeFill="background1"/>
            <w:noWrap/>
          </w:tcPr>
          <w:p w14:paraId="637F24EC"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Medium efficiency</w:t>
            </w:r>
          </w:p>
        </w:tc>
        <w:tc>
          <w:tcPr>
            <w:tcW w:w="448" w:type="pct"/>
            <w:shd w:val="clear" w:color="auto" w:fill="FFFFFF" w:themeFill="background1"/>
            <w:noWrap/>
          </w:tcPr>
          <w:p w14:paraId="1FB86F04"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Low efficiency</w:t>
            </w:r>
          </w:p>
        </w:tc>
        <w:tc>
          <w:tcPr>
            <w:tcW w:w="651" w:type="pct"/>
            <w:gridSpan w:val="2"/>
            <w:vMerge/>
            <w:shd w:val="clear" w:color="auto" w:fill="FFFFFF" w:themeFill="background1"/>
            <w:noWrap/>
          </w:tcPr>
          <w:p w14:paraId="0187BAE8"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4F1A1093"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35FABD62"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5FCC52A6" w14:textId="77777777" w:rsidTr="00A6096E">
        <w:trPr>
          <w:trHeight w:val="192"/>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0A0D4B0F"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3B052BEE"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744" w:type="pct"/>
            <w:gridSpan w:val="2"/>
            <w:shd w:val="clear" w:color="auto" w:fill="FFFFFF" w:themeFill="background1"/>
            <w:noWrap/>
          </w:tcPr>
          <w:p w14:paraId="50732D1D"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Sustainability considerations</w:t>
            </w:r>
          </w:p>
        </w:tc>
        <w:tc>
          <w:tcPr>
            <w:tcW w:w="447" w:type="pct"/>
            <w:shd w:val="clear" w:color="auto" w:fill="FFFFFF" w:themeFill="background1"/>
            <w:noWrap/>
          </w:tcPr>
          <w:p w14:paraId="6D96A1B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Low</w:t>
            </w:r>
          </w:p>
        </w:tc>
        <w:tc>
          <w:tcPr>
            <w:tcW w:w="495" w:type="pct"/>
            <w:gridSpan w:val="2"/>
            <w:shd w:val="clear" w:color="auto" w:fill="FFFFFF" w:themeFill="background1"/>
            <w:noWrap/>
          </w:tcPr>
          <w:p w14:paraId="46C64D02"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Medium</w:t>
            </w:r>
          </w:p>
        </w:tc>
        <w:tc>
          <w:tcPr>
            <w:tcW w:w="448" w:type="pct"/>
            <w:shd w:val="clear" w:color="auto" w:fill="FFFFFF" w:themeFill="background1"/>
            <w:noWrap/>
          </w:tcPr>
          <w:p w14:paraId="40851EAB"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High</w:t>
            </w:r>
          </w:p>
        </w:tc>
        <w:tc>
          <w:tcPr>
            <w:tcW w:w="651" w:type="pct"/>
            <w:gridSpan w:val="2"/>
            <w:vMerge/>
            <w:shd w:val="clear" w:color="auto" w:fill="FFFFFF" w:themeFill="background1"/>
            <w:noWrap/>
          </w:tcPr>
          <w:p w14:paraId="4DF650E6"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7D8A6C08"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425F5F00"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1EE95005" w14:textId="77777777" w:rsidTr="00A6096E">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3C8B875E"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4FD4EB8D"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6" w:type="pct"/>
            <w:vMerge w:val="restart"/>
            <w:shd w:val="clear" w:color="auto" w:fill="FFFFFF" w:themeFill="background1"/>
            <w:noWrap/>
          </w:tcPr>
          <w:p w14:paraId="365D683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Competing use (% NOT going to energy)</w:t>
            </w:r>
          </w:p>
        </w:tc>
        <w:tc>
          <w:tcPr>
            <w:tcW w:w="298" w:type="pct"/>
            <w:shd w:val="clear" w:color="auto" w:fill="FFFFFF" w:themeFill="background1"/>
          </w:tcPr>
          <w:p w14:paraId="3874310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47" w:type="pct"/>
            <w:shd w:val="clear" w:color="auto" w:fill="FFFFFF" w:themeFill="background1"/>
            <w:noWrap/>
            <w:vAlign w:val="center"/>
          </w:tcPr>
          <w:p w14:paraId="5C8A40C5"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45%</w:t>
            </w:r>
          </w:p>
        </w:tc>
        <w:tc>
          <w:tcPr>
            <w:tcW w:w="495" w:type="pct"/>
            <w:gridSpan w:val="2"/>
            <w:shd w:val="clear" w:color="auto" w:fill="FFFFFF" w:themeFill="background1"/>
            <w:noWrap/>
            <w:vAlign w:val="center"/>
          </w:tcPr>
          <w:p w14:paraId="3EE3B43C"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52%</w:t>
            </w:r>
          </w:p>
        </w:tc>
        <w:tc>
          <w:tcPr>
            <w:tcW w:w="448" w:type="pct"/>
            <w:vMerge w:val="restart"/>
            <w:shd w:val="clear" w:color="auto" w:fill="FFFFFF" w:themeFill="background1"/>
            <w:noWrap/>
            <w:vAlign w:val="center"/>
          </w:tcPr>
          <w:p w14:paraId="40864680"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55%</w:t>
            </w:r>
          </w:p>
        </w:tc>
        <w:tc>
          <w:tcPr>
            <w:tcW w:w="651" w:type="pct"/>
            <w:gridSpan w:val="2"/>
            <w:vMerge/>
            <w:shd w:val="clear" w:color="auto" w:fill="FFFFFF" w:themeFill="background1"/>
            <w:noWrap/>
          </w:tcPr>
          <w:p w14:paraId="7A4B7B22"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3CBFB100"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20F62B56"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33D75BF8" w14:textId="77777777" w:rsidTr="00A6096E">
        <w:trPr>
          <w:trHeight w:val="212"/>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77AF981E"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266BC1F8"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shd w:val="clear" w:color="auto" w:fill="FFFFFF" w:themeFill="background1"/>
            <w:noWrap/>
          </w:tcPr>
          <w:p w14:paraId="0EFCFF5E"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98" w:type="pct"/>
            <w:tcBorders>
              <w:top w:val="single" w:sz="8" w:space="0" w:color="F79646" w:themeColor="accent6"/>
              <w:bottom w:val="single" w:sz="8" w:space="0" w:color="F79646" w:themeColor="accent6"/>
            </w:tcBorders>
            <w:shd w:val="clear" w:color="auto" w:fill="FFFFFF" w:themeFill="background1"/>
          </w:tcPr>
          <w:p w14:paraId="1ADD7C70"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2030</w:t>
            </w:r>
          </w:p>
        </w:tc>
        <w:tc>
          <w:tcPr>
            <w:tcW w:w="447" w:type="pct"/>
            <w:shd w:val="clear" w:color="auto" w:fill="FFFFFF" w:themeFill="background1"/>
            <w:noWrap/>
            <w:vAlign w:val="center"/>
          </w:tcPr>
          <w:p w14:paraId="3DFB8C82"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39%</w:t>
            </w:r>
          </w:p>
        </w:tc>
        <w:tc>
          <w:tcPr>
            <w:tcW w:w="495" w:type="pct"/>
            <w:gridSpan w:val="2"/>
            <w:shd w:val="clear" w:color="auto" w:fill="FFFFFF" w:themeFill="background1"/>
            <w:noWrap/>
            <w:vAlign w:val="center"/>
          </w:tcPr>
          <w:p w14:paraId="764A3D6D"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48" w:type="pct"/>
            <w:vMerge/>
            <w:shd w:val="clear" w:color="auto" w:fill="FFFFFF" w:themeFill="background1"/>
            <w:noWrap/>
          </w:tcPr>
          <w:p w14:paraId="1923758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1" w:type="pct"/>
            <w:gridSpan w:val="2"/>
            <w:vMerge/>
            <w:shd w:val="clear" w:color="auto" w:fill="FFFFFF" w:themeFill="background1"/>
            <w:noWrap/>
          </w:tcPr>
          <w:p w14:paraId="005FE04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792B0A42"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03356E5B"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21A95276" w14:textId="77777777" w:rsidTr="00A6096E">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67F01ACD"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014115ED"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6" w:type="pct"/>
            <w:vMerge/>
            <w:shd w:val="clear" w:color="auto" w:fill="FFFFFF" w:themeFill="background1"/>
            <w:noWrap/>
          </w:tcPr>
          <w:p w14:paraId="38F2C458"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98" w:type="pct"/>
            <w:shd w:val="clear" w:color="auto" w:fill="FFFFFF" w:themeFill="background1"/>
          </w:tcPr>
          <w:p w14:paraId="546333FE"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2040</w:t>
            </w:r>
          </w:p>
        </w:tc>
        <w:tc>
          <w:tcPr>
            <w:tcW w:w="447" w:type="pct"/>
            <w:shd w:val="clear" w:color="auto" w:fill="FFFFFF" w:themeFill="background1"/>
            <w:noWrap/>
            <w:vAlign w:val="center"/>
          </w:tcPr>
          <w:p w14:paraId="7CCE7C46"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31%</w:t>
            </w:r>
          </w:p>
        </w:tc>
        <w:tc>
          <w:tcPr>
            <w:tcW w:w="495" w:type="pct"/>
            <w:gridSpan w:val="2"/>
            <w:shd w:val="clear" w:color="auto" w:fill="FFFFFF" w:themeFill="background1"/>
            <w:noWrap/>
            <w:vAlign w:val="center"/>
          </w:tcPr>
          <w:p w14:paraId="188283F1"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47%</w:t>
            </w:r>
          </w:p>
        </w:tc>
        <w:tc>
          <w:tcPr>
            <w:tcW w:w="448" w:type="pct"/>
            <w:vMerge/>
            <w:shd w:val="clear" w:color="auto" w:fill="FFFFFF" w:themeFill="background1"/>
            <w:noWrap/>
          </w:tcPr>
          <w:p w14:paraId="620C676D"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1" w:type="pct"/>
            <w:gridSpan w:val="2"/>
            <w:vMerge/>
            <w:shd w:val="clear" w:color="auto" w:fill="FFFFFF" w:themeFill="background1"/>
            <w:noWrap/>
          </w:tcPr>
          <w:p w14:paraId="10E8A741"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4865163F"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69133A1D"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4134AF06" w14:textId="77777777" w:rsidTr="00A6096E">
        <w:trPr>
          <w:trHeight w:val="212"/>
        </w:trPr>
        <w:tc>
          <w:tcPr>
            <w:cnfStyle w:val="001000000000" w:firstRow="0" w:lastRow="0" w:firstColumn="1" w:lastColumn="0" w:oddVBand="0" w:evenVBand="0" w:oddHBand="0" w:evenHBand="0" w:firstRowFirstColumn="0" w:firstRowLastColumn="0" w:lastRowFirstColumn="0" w:lastRowLastColumn="0"/>
            <w:tcW w:w="545" w:type="pct"/>
            <w:vMerge/>
            <w:tcBorders>
              <w:bottom w:val="single" w:sz="8" w:space="0" w:color="F79646" w:themeColor="accent6"/>
            </w:tcBorders>
            <w:shd w:val="clear" w:color="auto" w:fill="FFFFFF" w:themeFill="background1"/>
            <w:noWrap/>
          </w:tcPr>
          <w:p w14:paraId="77CD503B" w14:textId="77777777" w:rsidR="00A52D8D" w:rsidRPr="00C61D6E" w:rsidRDefault="00A52D8D" w:rsidP="00A6096E">
            <w:pPr>
              <w:pStyle w:val="DataTab"/>
              <w:jc w:val="center"/>
              <w:rPr>
                <w:lang w:val="en-GB"/>
              </w:rPr>
            </w:pPr>
          </w:p>
        </w:tc>
        <w:tc>
          <w:tcPr>
            <w:tcW w:w="444" w:type="pct"/>
            <w:vMerge/>
            <w:tcBorders>
              <w:bottom w:val="single" w:sz="8" w:space="0" w:color="F79646" w:themeColor="accent6"/>
            </w:tcBorders>
            <w:shd w:val="clear" w:color="auto" w:fill="FFFFFF" w:themeFill="background1"/>
            <w:noWrap/>
            <w:textDirection w:val="btLr"/>
          </w:tcPr>
          <w:p w14:paraId="1A8BDFB2"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tcBorders>
              <w:bottom w:val="single" w:sz="8" w:space="0" w:color="F79646" w:themeColor="accent6"/>
            </w:tcBorders>
            <w:shd w:val="clear" w:color="auto" w:fill="FFFFFF" w:themeFill="background1"/>
            <w:noWrap/>
          </w:tcPr>
          <w:p w14:paraId="031177AD"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98" w:type="pct"/>
            <w:tcBorders>
              <w:top w:val="single" w:sz="8" w:space="0" w:color="F79646" w:themeColor="accent6"/>
              <w:bottom w:val="single" w:sz="8" w:space="0" w:color="F79646" w:themeColor="accent6"/>
            </w:tcBorders>
            <w:shd w:val="clear" w:color="auto" w:fill="FFFFFF" w:themeFill="background1"/>
          </w:tcPr>
          <w:p w14:paraId="5028CA50"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2050</w:t>
            </w:r>
          </w:p>
        </w:tc>
        <w:tc>
          <w:tcPr>
            <w:tcW w:w="447" w:type="pct"/>
            <w:tcBorders>
              <w:bottom w:val="single" w:sz="8" w:space="0" w:color="F79646" w:themeColor="accent6"/>
            </w:tcBorders>
            <w:shd w:val="clear" w:color="auto" w:fill="FFFFFF" w:themeFill="background1"/>
            <w:noWrap/>
            <w:vAlign w:val="center"/>
          </w:tcPr>
          <w:p w14:paraId="47E64E2F"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23%</w:t>
            </w:r>
          </w:p>
        </w:tc>
        <w:tc>
          <w:tcPr>
            <w:tcW w:w="495" w:type="pct"/>
            <w:gridSpan w:val="2"/>
            <w:tcBorders>
              <w:bottom w:val="single" w:sz="8" w:space="0" w:color="F79646" w:themeColor="accent6"/>
            </w:tcBorders>
            <w:shd w:val="clear" w:color="auto" w:fill="FFFFFF" w:themeFill="background1"/>
            <w:noWrap/>
            <w:vAlign w:val="center"/>
          </w:tcPr>
          <w:p w14:paraId="695239DD"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42%</w:t>
            </w:r>
          </w:p>
        </w:tc>
        <w:tc>
          <w:tcPr>
            <w:tcW w:w="448" w:type="pct"/>
            <w:vMerge/>
            <w:tcBorders>
              <w:bottom w:val="single" w:sz="8" w:space="0" w:color="F79646" w:themeColor="accent6"/>
            </w:tcBorders>
            <w:shd w:val="clear" w:color="auto" w:fill="FFFFFF" w:themeFill="background1"/>
            <w:noWrap/>
          </w:tcPr>
          <w:p w14:paraId="1282B67E"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1" w:type="pct"/>
            <w:gridSpan w:val="2"/>
            <w:vMerge/>
            <w:shd w:val="clear" w:color="auto" w:fill="FFFFFF" w:themeFill="background1"/>
            <w:noWrap/>
          </w:tcPr>
          <w:p w14:paraId="3B9FC622"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7B80CF54"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179EC69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0105A110" w14:textId="77777777" w:rsidTr="00A6096E">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545" w:type="pct"/>
            <w:vMerge w:val="restart"/>
            <w:shd w:val="clear" w:color="auto" w:fill="FFFFFF" w:themeFill="background1"/>
            <w:noWrap/>
          </w:tcPr>
          <w:p w14:paraId="1D2B46CF" w14:textId="77777777" w:rsidR="00A52D8D" w:rsidRPr="00C61D6E" w:rsidRDefault="00A52D8D" w:rsidP="00A6096E">
            <w:pPr>
              <w:pStyle w:val="DataTab"/>
              <w:jc w:val="center"/>
              <w:rPr>
                <w:lang w:val="en-GB"/>
              </w:rPr>
            </w:pPr>
            <w:r w:rsidRPr="00C61D6E">
              <w:rPr>
                <w:lang w:val="en-GB"/>
              </w:rPr>
              <w:t>PRIMARY FORESTRY RESIDUES</w:t>
            </w:r>
          </w:p>
        </w:tc>
        <w:tc>
          <w:tcPr>
            <w:tcW w:w="444" w:type="pct"/>
            <w:vMerge w:val="restart"/>
            <w:shd w:val="clear" w:color="auto" w:fill="FFFFFF" w:themeFill="background1"/>
            <w:noWrap/>
            <w:textDirection w:val="btLr"/>
          </w:tcPr>
          <w:p w14:paraId="20482D92"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Logging residues (tops, branches, stumps and early pre-commercial thinnings)</w:t>
            </w:r>
          </w:p>
        </w:tc>
        <w:tc>
          <w:tcPr>
            <w:tcW w:w="744" w:type="pct"/>
            <w:gridSpan w:val="2"/>
            <w:shd w:val="clear" w:color="auto" w:fill="FFFFFF" w:themeFill="background1"/>
            <w:noWrap/>
          </w:tcPr>
          <w:p w14:paraId="0C0900A0"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residue removal rate</w:t>
            </w:r>
          </w:p>
        </w:tc>
        <w:tc>
          <w:tcPr>
            <w:tcW w:w="447" w:type="pct"/>
            <w:shd w:val="clear" w:color="auto" w:fill="FFFFFF" w:themeFill="background1"/>
            <w:noWrap/>
          </w:tcPr>
          <w:p w14:paraId="5069B1A5"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No limitation for stump and residue extraction</w:t>
            </w:r>
          </w:p>
        </w:tc>
        <w:tc>
          <w:tcPr>
            <w:tcW w:w="495" w:type="pct"/>
            <w:gridSpan w:val="2"/>
            <w:shd w:val="clear" w:color="auto" w:fill="FFFFFF" w:themeFill="background1"/>
            <w:noWrap/>
          </w:tcPr>
          <w:p w14:paraId="01D0F7A3"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Low stump extraction and medium residue extraction</w:t>
            </w:r>
          </w:p>
        </w:tc>
        <w:tc>
          <w:tcPr>
            <w:tcW w:w="448" w:type="pct"/>
            <w:shd w:val="clear" w:color="auto" w:fill="FFFFFF" w:themeFill="background1"/>
            <w:noWrap/>
          </w:tcPr>
          <w:p w14:paraId="48B8E2E2"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Stump extraction excluded, low residue extraction</w:t>
            </w:r>
          </w:p>
        </w:tc>
        <w:tc>
          <w:tcPr>
            <w:tcW w:w="651" w:type="pct"/>
            <w:gridSpan w:val="2"/>
            <w:vMerge/>
            <w:shd w:val="clear" w:color="auto" w:fill="FFFFFF" w:themeFill="background1"/>
            <w:noWrap/>
          </w:tcPr>
          <w:p w14:paraId="77E4DA8E"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21A1845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4C5F59D2"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453E9D5C" w14:textId="77777777" w:rsidTr="00A6096E">
        <w:trPr>
          <w:trHeight w:val="34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50009923"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41FFA1A4"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val="restart"/>
            <w:shd w:val="clear" w:color="auto" w:fill="FFFFFF" w:themeFill="background1"/>
            <w:noWrap/>
          </w:tcPr>
          <w:p w14:paraId="06E8F24A"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Competing use (% NOT going to energy)</w:t>
            </w:r>
          </w:p>
        </w:tc>
        <w:tc>
          <w:tcPr>
            <w:tcW w:w="298" w:type="pct"/>
            <w:shd w:val="clear" w:color="auto" w:fill="FFFFFF" w:themeFill="background1"/>
          </w:tcPr>
          <w:p w14:paraId="31A3AEF7"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2020</w:t>
            </w:r>
          </w:p>
        </w:tc>
        <w:tc>
          <w:tcPr>
            <w:tcW w:w="447" w:type="pct"/>
            <w:shd w:val="clear" w:color="auto" w:fill="FFFFFF" w:themeFill="background1"/>
            <w:noWrap/>
            <w:vAlign w:val="center"/>
          </w:tcPr>
          <w:p w14:paraId="6F7C0867"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0%</w:t>
            </w:r>
          </w:p>
        </w:tc>
        <w:tc>
          <w:tcPr>
            <w:tcW w:w="495" w:type="pct"/>
            <w:gridSpan w:val="2"/>
            <w:shd w:val="clear" w:color="auto" w:fill="FFFFFF" w:themeFill="background1"/>
            <w:noWrap/>
            <w:vAlign w:val="center"/>
          </w:tcPr>
          <w:p w14:paraId="045B4CFC"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48" w:type="pct"/>
            <w:shd w:val="clear" w:color="auto" w:fill="FFFFFF" w:themeFill="background1"/>
            <w:noWrap/>
            <w:vAlign w:val="center"/>
          </w:tcPr>
          <w:p w14:paraId="3DA512E0" w14:textId="77777777" w:rsidR="00A52D8D" w:rsidRPr="00C61D6E" w:rsidRDefault="00A52D8D" w:rsidP="00584C07">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651" w:type="pct"/>
            <w:gridSpan w:val="2"/>
            <w:vMerge/>
            <w:shd w:val="clear" w:color="auto" w:fill="FFFFFF" w:themeFill="background1"/>
            <w:noWrap/>
          </w:tcPr>
          <w:p w14:paraId="00D1DF1D"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0E6916CF"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709CAA4F"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283BEDA0" w14:textId="77777777" w:rsidTr="00A6096E">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cPr>
          <w:p w14:paraId="0E27B003" w14:textId="77777777" w:rsidR="00A52D8D" w:rsidRPr="00C61D6E" w:rsidRDefault="00A52D8D" w:rsidP="00A6096E">
            <w:pPr>
              <w:pStyle w:val="DataTab"/>
              <w:jc w:val="center"/>
              <w:rPr>
                <w:lang w:val="en-GB"/>
              </w:rPr>
            </w:pPr>
          </w:p>
        </w:tc>
        <w:tc>
          <w:tcPr>
            <w:tcW w:w="444" w:type="pct"/>
            <w:vMerge/>
            <w:shd w:val="clear" w:color="auto" w:fill="FFFFFF" w:themeFill="background1"/>
            <w:noWrap/>
            <w:textDirection w:val="btLr"/>
          </w:tcPr>
          <w:p w14:paraId="2398118C"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6" w:type="pct"/>
            <w:vMerge/>
            <w:shd w:val="clear" w:color="auto" w:fill="FFFFFF" w:themeFill="background1"/>
            <w:noWrap/>
          </w:tcPr>
          <w:p w14:paraId="1BE5F304"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98" w:type="pct"/>
            <w:shd w:val="clear" w:color="auto" w:fill="FFFFFF" w:themeFill="background1"/>
          </w:tcPr>
          <w:p w14:paraId="5FA89B0C" w14:textId="77777777" w:rsidR="00A52D8D" w:rsidRPr="00C61D6E" w:rsidRDefault="00A52D8D" w:rsidP="006C3F94">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2030-2050</w:t>
            </w:r>
          </w:p>
        </w:tc>
        <w:tc>
          <w:tcPr>
            <w:tcW w:w="447" w:type="pct"/>
            <w:shd w:val="clear" w:color="auto" w:fill="FFFFFF" w:themeFill="background1"/>
            <w:noWrap/>
            <w:vAlign w:val="center"/>
          </w:tcPr>
          <w:p w14:paraId="6250F6D8"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0%</w:t>
            </w:r>
          </w:p>
        </w:tc>
        <w:tc>
          <w:tcPr>
            <w:tcW w:w="495" w:type="pct"/>
            <w:gridSpan w:val="2"/>
            <w:shd w:val="clear" w:color="auto" w:fill="FFFFFF" w:themeFill="background1"/>
            <w:noWrap/>
            <w:vAlign w:val="center"/>
          </w:tcPr>
          <w:p w14:paraId="571AB45A"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48" w:type="pct"/>
            <w:shd w:val="clear" w:color="auto" w:fill="FFFFFF" w:themeFill="background1"/>
            <w:noWrap/>
            <w:vAlign w:val="center"/>
          </w:tcPr>
          <w:p w14:paraId="3685D283" w14:textId="77777777" w:rsidR="00A52D8D" w:rsidRPr="00C61D6E" w:rsidRDefault="00A52D8D" w:rsidP="00584C07">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651" w:type="pct"/>
            <w:gridSpan w:val="2"/>
            <w:vMerge/>
            <w:shd w:val="clear" w:color="auto" w:fill="FFFFFF" w:themeFill="background1"/>
            <w:noWrap/>
          </w:tcPr>
          <w:p w14:paraId="46E9C20F"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10C68475"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2AD4292A"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20ADCEA0" w14:textId="77777777" w:rsidTr="00A6096E">
        <w:trPr>
          <w:trHeight w:val="192"/>
        </w:trPr>
        <w:tc>
          <w:tcPr>
            <w:cnfStyle w:val="001000000000" w:firstRow="0" w:lastRow="0" w:firstColumn="1" w:lastColumn="0" w:oddVBand="0" w:evenVBand="0" w:oddHBand="0" w:evenHBand="0" w:firstRowFirstColumn="0" w:firstRowLastColumn="0" w:lastRowFirstColumn="0" w:lastRowLastColumn="0"/>
            <w:tcW w:w="545" w:type="pct"/>
            <w:vMerge w:val="restart"/>
            <w:shd w:val="clear" w:color="auto" w:fill="FFFFFF" w:themeFill="background1"/>
            <w:noWrap/>
          </w:tcPr>
          <w:p w14:paraId="1E17E3E6" w14:textId="77777777" w:rsidR="00A52D8D" w:rsidRPr="00C61D6E" w:rsidRDefault="00A52D8D" w:rsidP="00A6096E">
            <w:pPr>
              <w:pStyle w:val="DataTab"/>
              <w:jc w:val="center"/>
              <w:rPr>
                <w:lang w:val="en-GB"/>
              </w:rPr>
            </w:pPr>
            <w:r w:rsidRPr="00C61D6E">
              <w:rPr>
                <w:lang w:val="en-GB"/>
              </w:rPr>
              <w:lastRenderedPageBreak/>
              <w:t>SECONDARY FORESTRY RESIDUES (FROM WOOD AND PAPER &amp; PULP INDUSTRIES)</w:t>
            </w:r>
          </w:p>
        </w:tc>
        <w:tc>
          <w:tcPr>
            <w:tcW w:w="444" w:type="pct"/>
            <w:vMerge w:val="restart"/>
            <w:shd w:val="clear" w:color="auto" w:fill="FFFFFF" w:themeFill="background1"/>
            <w:noWrap/>
            <w:textDirection w:val="btLr"/>
          </w:tcPr>
          <w:p w14:paraId="158EC10E"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Woodchips &amp; pellets</w:t>
            </w:r>
          </w:p>
        </w:tc>
        <w:tc>
          <w:tcPr>
            <w:tcW w:w="744" w:type="pct"/>
            <w:gridSpan w:val="2"/>
            <w:shd w:val="clear" w:color="auto" w:fill="FFFFFF" w:themeFill="background1"/>
            <w:noWrap/>
          </w:tcPr>
          <w:p w14:paraId="2090E90A"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Amount of residue/residue ratio</w:t>
            </w:r>
          </w:p>
        </w:tc>
        <w:tc>
          <w:tcPr>
            <w:tcW w:w="1390" w:type="pct"/>
            <w:gridSpan w:val="4"/>
            <w:shd w:val="clear" w:color="auto" w:fill="FFFFFF" w:themeFill="background1"/>
            <w:noWrap/>
          </w:tcPr>
          <w:p w14:paraId="7248EBE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Linked to wood demand and locations of processing industries</w:t>
            </w:r>
          </w:p>
        </w:tc>
        <w:tc>
          <w:tcPr>
            <w:tcW w:w="651" w:type="pct"/>
            <w:gridSpan w:val="2"/>
            <w:vMerge/>
            <w:shd w:val="clear" w:color="auto" w:fill="FFFFFF" w:themeFill="background1"/>
            <w:noWrap/>
          </w:tcPr>
          <w:p w14:paraId="728E59B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5A141A24"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503BC97E"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6F697B26" w14:textId="77777777" w:rsidTr="00A6096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extDirection w:val="btLr"/>
          </w:tcPr>
          <w:p w14:paraId="46DCA086" w14:textId="77777777" w:rsidR="00A52D8D" w:rsidRPr="00C61D6E" w:rsidRDefault="00A52D8D" w:rsidP="0098120D">
            <w:pPr>
              <w:pStyle w:val="DataTab"/>
              <w:ind w:left="113" w:right="113"/>
              <w:jc w:val="center"/>
              <w:rPr>
                <w:lang w:val="en-GB"/>
              </w:rPr>
            </w:pPr>
          </w:p>
        </w:tc>
        <w:tc>
          <w:tcPr>
            <w:tcW w:w="444" w:type="pct"/>
            <w:vMerge/>
            <w:shd w:val="clear" w:color="auto" w:fill="FFFFFF" w:themeFill="background1"/>
            <w:noWrap/>
            <w:textDirection w:val="btLr"/>
          </w:tcPr>
          <w:p w14:paraId="19070AB3"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6" w:type="pct"/>
            <w:vMerge w:val="restart"/>
            <w:shd w:val="clear" w:color="auto" w:fill="FFFFFF" w:themeFill="background1"/>
            <w:noWrap/>
          </w:tcPr>
          <w:p w14:paraId="3E323C96" w14:textId="77777777" w:rsidR="00A52D8D" w:rsidRPr="00C61D6E" w:rsidRDefault="00A52D8D" w:rsidP="006C3F94">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Competing use (% NOT going to energy)</w:t>
            </w:r>
          </w:p>
        </w:tc>
        <w:tc>
          <w:tcPr>
            <w:tcW w:w="298" w:type="pct"/>
            <w:shd w:val="clear" w:color="auto" w:fill="FFFFFF" w:themeFill="background1"/>
          </w:tcPr>
          <w:p w14:paraId="284B0BE1" w14:textId="77777777" w:rsidR="00A52D8D" w:rsidRPr="00C61D6E" w:rsidRDefault="00A52D8D" w:rsidP="006C3F94">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96" w:type="pct"/>
            <w:gridSpan w:val="2"/>
            <w:vMerge w:val="restart"/>
            <w:shd w:val="clear" w:color="auto" w:fill="FFFFFF" w:themeFill="background1"/>
            <w:noWrap/>
          </w:tcPr>
          <w:p w14:paraId="621371DB" w14:textId="77777777" w:rsidR="00A52D8D" w:rsidRPr="00C61D6E" w:rsidRDefault="00A52D8D" w:rsidP="00A52D8D">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0%</w:t>
            </w:r>
          </w:p>
        </w:tc>
        <w:tc>
          <w:tcPr>
            <w:tcW w:w="446" w:type="pct"/>
            <w:shd w:val="clear" w:color="auto" w:fill="FFFFFF" w:themeFill="background1"/>
            <w:noWrap/>
          </w:tcPr>
          <w:p w14:paraId="1F03C477" w14:textId="77777777" w:rsidR="00A52D8D" w:rsidRPr="00C61D6E" w:rsidRDefault="00A52D8D" w:rsidP="00A52D8D">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50%</w:t>
            </w:r>
          </w:p>
        </w:tc>
        <w:tc>
          <w:tcPr>
            <w:tcW w:w="448" w:type="pct"/>
            <w:shd w:val="clear" w:color="auto" w:fill="FFFFFF" w:themeFill="background1"/>
            <w:noWrap/>
          </w:tcPr>
          <w:p w14:paraId="6E94BDE7" w14:textId="77777777" w:rsidR="00A52D8D" w:rsidRPr="00C61D6E" w:rsidRDefault="00A52D8D" w:rsidP="00A52D8D">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50%</w:t>
            </w:r>
          </w:p>
        </w:tc>
        <w:tc>
          <w:tcPr>
            <w:tcW w:w="651" w:type="pct"/>
            <w:gridSpan w:val="2"/>
            <w:vMerge/>
            <w:shd w:val="clear" w:color="auto" w:fill="FFFFFF" w:themeFill="background1"/>
            <w:noWrap/>
          </w:tcPr>
          <w:p w14:paraId="5B463B5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305FF664"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6C7C161E"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1BA01F3B" w14:textId="77777777" w:rsidTr="00A6096E">
        <w:trPr>
          <w:trHeight w:val="344"/>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extDirection w:val="btLr"/>
          </w:tcPr>
          <w:p w14:paraId="3CA6638E" w14:textId="77777777" w:rsidR="00A52D8D" w:rsidRPr="00C61D6E" w:rsidRDefault="00A52D8D" w:rsidP="0098120D">
            <w:pPr>
              <w:pStyle w:val="DataTab"/>
              <w:ind w:left="113" w:right="113"/>
              <w:jc w:val="center"/>
              <w:rPr>
                <w:lang w:val="en-GB"/>
              </w:rPr>
            </w:pPr>
          </w:p>
        </w:tc>
        <w:tc>
          <w:tcPr>
            <w:tcW w:w="444" w:type="pct"/>
            <w:vMerge/>
            <w:tcBorders>
              <w:bottom w:val="single" w:sz="8" w:space="0" w:color="F79646" w:themeColor="accent6"/>
            </w:tcBorders>
            <w:shd w:val="clear" w:color="auto" w:fill="FFFFFF" w:themeFill="background1"/>
            <w:noWrap/>
            <w:textDirection w:val="btLr"/>
          </w:tcPr>
          <w:p w14:paraId="56461713"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tcBorders>
              <w:bottom w:val="single" w:sz="8" w:space="0" w:color="F79646" w:themeColor="accent6"/>
            </w:tcBorders>
            <w:shd w:val="clear" w:color="auto" w:fill="FFFFFF" w:themeFill="background1"/>
            <w:noWrap/>
          </w:tcPr>
          <w:p w14:paraId="59F02199" w14:textId="77777777" w:rsidR="00A52D8D" w:rsidRPr="00C61D6E" w:rsidRDefault="00A52D8D" w:rsidP="006C3F94">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98" w:type="pct"/>
            <w:tcBorders>
              <w:top w:val="single" w:sz="8" w:space="0" w:color="F79646" w:themeColor="accent6"/>
              <w:bottom w:val="single" w:sz="8" w:space="0" w:color="F79646" w:themeColor="accent6"/>
            </w:tcBorders>
            <w:shd w:val="clear" w:color="auto" w:fill="FFFFFF" w:themeFill="background1"/>
          </w:tcPr>
          <w:p w14:paraId="6C45C16C" w14:textId="77777777" w:rsidR="00A52D8D" w:rsidRPr="00C61D6E" w:rsidRDefault="00A52D8D" w:rsidP="006C3F94">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2030-2050</w:t>
            </w:r>
          </w:p>
        </w:tc>
        <w:tc>
          <w:tcPr>
            <w:tcW w:w="496" w:type="pct"/>
            <w:gridSpan w:val="2"/>
            <w:vMerge/>
            <w:tcBorders>
              <w:bottom w:val="single" w:sz="8" w:space="0" w:color="F79646" w:themeColor="accent6"/>
            </w:tcBorders>
            <w:shd w:val="clear" w:color="auto" w:fill="FFFFFF" w:themeFill="background1"/>
            <w:noWrap/>
          </w:tcPr>
          <w:p w14:paraId="4B1A3A14"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446" w:type="pct"/>
            <w:tcBorders>
              <w:bottom w:val="single" w:sz="8" w:space="0" w:color="F79646" w:themeColor="accent6"/>
            </w:tcBorders>
            <w:shd w:val="clear" w:color="auto" w:fill="FFFFFF" w:themeFill="background1"/>
            <w:noWrap/>
          </w:tcPr>
          <w:p w14:paraId="4832F632"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60%</w:t>
            </w:r>
          </w:p>
        </w:tc>
        <w:tc>
          <w:tcPr>
            <w:tcW w:w="448" w:type="pct"/>
            <w:tcBorders>
              <w:bottom w:val="single" w:sz="8" w:space="0" w:color="F79646" w:themeColor="accent6"/>
            </w:tcBorders>
            <w:shd w:val="clear" w:color="auto" w:fill="FFFFFF" w:themeFill="background1"/>
            <w:noWrap/>
          </w:tcPr>
          <w:p w14:paraId="661BA957"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60%</w:t>
            </w:r>
          </w:p>
        </w:tc>
        <w:tc>
          <w:tcPr>
            <w:tcW w:w="651" w:type="pct"/>
            <w:gridSpan w:val="2"/>
            <w:vMerge/>
            <w:shd w:val="clear" w:color="auto" w:fill="FFFFFF" w:themeFill="background1"/>
            <w:noWrap/>
          </w:tcPr>
          <w:p w14:paraId="4E3C4BE4"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7A384922"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5C5A9F5A"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167BA439" w14:textId="77777777" w:rsidTr="00A6096E">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extDirection w:val="btLr"/>
          </w:tcPr>
          <w:p w14:paraId="68DAE49C" w14:textId="77777777" w:rsidR="00A52D8D" w:rsidRPr="00C61D6E" w:rsidRDefault="00A52D8D" w:rsidP="0098120D">
            <w:pPr>
              <w:pStyle w:val="DataTab"/>
              <w:ind w:left="113" w:right="113"/>
              <w:jc w:val="center"/>
              <w:rPr>
                <w:lang w:val="en-GB"/>
              </w:rPr>
            </w:pPr>
          </w:p>
        </w:tc>
        <w:tc>
          <w:tcPr>
            <w:tcW w:w="444" w:type="pct"/>
            <w:vMerge w:val="restart"/>
            <w:shd w:val="clear" w:color="auto" w:fill="FFFFFF" w:themeFill="background1"/>
            <w:noWrap/>
            <w:textDirection w:val="btLr"/>
          </w:tcPr>
          <w:p w14:paraId="30812E22"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Sawdust</w:t>
            </w:r>
          </w:p>
        </w:tc>
        <w:tc>
          <w:tcPr>
            <w:tcW w:w="744" w:type="pct"/>
            <w:gridSpan w:val="2"/>
            <w:shd w:val="clear" w:color="auto" w:fill="FFFFFF" w:themeFill="background1"/>
            <w:noWrap/>
          </w:tcPr>
          <w:p w14:paraId="66D392AF"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Amount of residue/residue ratio</w:t>
            </w:r>
          </w:p>
        </w:tc>
        <w:tc>
          <w:tcPr>
            <w:tcW w:w="1390" w:type="pct"/>
            <w:gridSpan w:val="4"/>
            <w:shd w:val="clear" w:color="auto" w:fill="FFFFFF" w:themeFill="background1"/>
            <w:noWrap/>
          </w:tcPr>
          <w:p w14:paraId="5DAF3696"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Linked to wood demand and locations of processing industry</w:t>
            </w:r>
          </w:p>
        </w:tc>
        <w:tc>
          <w:tcPr>
            <w:tcW w:w="651" w:type="pct"/>
            <w:gridSpan w:val="2"/>
            <w:vMerge/>
            <w:shd w:val="clear" w:color="auto" w:fill="FFFFFF" w:themeFill="background1"/>
            <w:noWrap/>
          </w:tcPr>
          <w:p w14:paraId="25CE11BA"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6D8AE25C"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041AE2CE"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24712F41" w14:textId="77777777" w:rsidTr="00A52D8D">
        <w:trPr>
          <w:trHeight w:val="426"/>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extDirection w:val="btLr"/>
          </w:tcPr>
          <w:p w14:paraId="2057D8B4" w14:textId="77777777" w:rsidR="00A52D8D" w:rsidRPr="00C61D6E" w:rsidRDefault="00A52D8D" w:rsidP="0098120D">
            <w:pPr>
              <w:pStyle w:val="DataTab"/>
              <w:ind w:left="113" w:right="113"/>
              <w:jc w:val="center"/>
              <w:rPr>
                <w:lang w:val="en-GB"/>
              </w:rPr>
            </w:pPr>
          </w:p>
        </w:tc>
        <w:tc>
          <w:tcPr>
            <w:tcW w:w="444" w:type="pct"/>
            <w:vMerge/>
            <w:shd w:val="clear" w:color="auto" w:fill="FFFFFF" w:themeFill="background1"/>
            <w:noWrap/>
            <w:textDirection w:val="btLr"/>
          </w:tcPr>
          <w:p w14:paraId="65213B7E"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46" w:type="pct"/>
            <w:vMerge w:val="restart"/>
            <w:shd w:val="clear" w:color="auto" w:fill="FFFFFF" w:themeFill="background1"/>
            <w:noWrap/>
          </w:tcPr>
          <w:p w14:paraId="46F44344"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 xml:space="preserve">Competing use </w:t>
            </w:r>
          </w:p>
          <w:p w14:paraId="23C55029"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 NOT going to energy)</w:t>
            </w:r>
          </w:p>
        </w:tc>
        <w:tc>
          <w:tcPr>
            <w:tcW w:w="298" w:type="pct"/>
            <w:shd w:val="clear" w:color="auto" w:fill="FFFFFF" w:themeFill="background1"/>
          </w:tcPr>
          <w:p w14:paraId="63A1012B"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2020-2030</w:t>
            </w:r>
          </w:p>
        </w:tc>
        <w:tc>
          <w:tcPr>
            <w:tcW w:w="496" w:type="pct"/>
            <w:gridSpan w:val="2"/>
            <w:vMerge w:val="restart"/>
            <w:shd w:val="clear" w:color="auto" w:fill="FFFFFF" w:themeFill="background1"/>
            <w:noWrap/>
          </w:tcPr>
          <w:p w14:paraId="32B6CB61"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0%</w:t>
            </w:r>
          </w:p>
        </w:tc>
        <w:tc>
          <w:tcPr>
            <w:tcW w:w="446" w:type="pct"/>
            <w:shd w:val="clear" w:color="auto" w:fill="FFFFFF" w:themeFill="background1"/>
            <w:noWrap/>
          </w:tcPr>
          <w:p w14:paraId="29A50C46" w14:textId="77777777" w:rsidR="00A52D8D" w:rsidRPr="00C61D6E" w:rsidRDefault="00A52D8D" w:rsidP="00A52D8D">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 xml:space="preserve">50% </w:t>
            </w:r>
          </w:p>
        </w:tc>
        <w:tc>
          <w:tcPr>
            <w:tcW w:w="448" w:type="pct"/>
            <w:shd w:val="clear" w:color="auto" w:fill="FFFFFF" w:themeFill="background1"/>
            <w:noWrap/>
          </w:tcPr>
          <w:p w14:paraId="3BD4B092" w14:textId="77777777" w:rsidR="00A52D8D" w:rsidRPr="00C61D6E" w:rsidRDefault="00A52D8D" w:rsidP="00A52D8D">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70%</w:t>
            </w:r>
          </w:p>
          <w:p w14:paraId="6986B464" w14:textId="77777777" w:rsidR="00A52D8D" w:rsidRPr="00C61D6E" w:rsidRDefault="00A52D8D" w:rsidP="00A52D8D">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1" w:type="pct"/>
            <w:gridSpan w:val="2"/>
            <w:vMerge/>
            <w:shd w:val="clear" w:color="auto" w:fill="FFFFFF" w:themeFill="background1"/>
            <w:noWrap/>
          </w:tcPr>
          <w:p w14:paraId="6FC35AFC"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34865CA6"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219D23C0"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047B189D" w14:textId="77777777" w:rsidTr="00A52D8D">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extDirection w:val="btLr"/>
          </w:tcPr>
          <w:p w14:paraId="252E946D" w14:textId="77777777" w:rsidR="00A52D8D" w:rsidRPr="00C61D6E" w:rsidRDefault="00A52D8D" w:rsidP="0098120D">
            <w:pPr>
              <w:pStyle w:val="DataTab"/>
              <w:ind w:left="113" w:right="113"/>
              <w:jc w:val="center"/>
              <w:rPr>
                <w:lang w:val="en-GB"/>
              </w:rPr>
            </w:pPr>
          </w:p>
        </w:tc>
        <w:tc>
          <w:tcPr>
            <w:tcW w:w="444" w:type="pct"/>
            <w:vMerge/>
            <w:shd w:val="clear" w:color="auto" w:fill="FFFFFF" w:themeFill="background1"/>
            <w:noWrap/>
            <w:textDirection w:val="btLr"/>
          </w:tcPr>
          <w:p w14:paraId="0700DBD7" w14:textId="77777777" w:rsidR="00A52D8D" w:rsidRPr="00C61D6E" w:rsidRDefault="00A52D8D" w:rsidP="0098120D">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46" w:type="pct"/>
            <w:vMerge/>
            <w:shd w:val="clear" w:color="auto" w:fill="FFFFFF" w:themeFill="background1"/>
            <w:noWrap/>
          </w:tcPr>
          <w:p w14:paraId="46FE6A1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98" w:type="pct"/>
            <w:shd w:val="clear" w:color="auto" w:fill="FFFFFF" w:themeFill="background1"/>
          </w:tcPr>
          <w:p w14:paraId="29391441" w14:textId="77777777" w:rsidR="00A52D8D" w:rsidRPr="00C61D6E" w:rsidRDefault="00A52D8D" w:rsidP="00A52D8D">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2040-2050</w:t>
            </w:r>
          </w:p>
        </w:tc>
        <w:tc>
          <w:tcPr>
            <w:tcW w:w="496" w:type="pct"/>
            <w:gridSpan w:val="2"/>
            <w:vMerge/>
            <w:shd w:val="clear" w:color="auto" w:fill="FFFFFF" w:themeFill="background1"/>
            <w:noWrap/>
          </w:tcPr>
          <w:p w14:paraId="0DCACCE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446" w:type="pct"/>
            <w:shd w:val="clear" w:color="auto" w:fill="FFFFFF" w:themeFill="background1"/>
            <w:noWrap/>
          </w:tcPr>
          <w:p w14:paraId="38241BE7"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48" w:type="pct"/>
            <w:shd w:val="clear" w:color="auto" w:fill="FFFFFF" w:themeFill="background1"/>
            <w:noWrap/>
          </w:tcPr>
          <w:p w14:paraId="5C4F4029" w14:textId="77777777" w:rsidR="00A52D8D" w:rsidRPr="00C61D6E" w:rsidRDefault="007573F2" w:rsidP="007573F2">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90%</w:t>
            </w:r>
          </w:p>
        </w:tc>
        <w:tc>
          <w:tcPr>
            <w:tcW w:w="651" w:type="pct"/>
            <w:gridSpan w:val="2"/>
            <w:vMerge/>
            <w:shd w:val="clear" w:color="auto" w:fill="FFFFFF" w:themeFill="background1"/>
            <w:noWrap/>
          </w:tcPr>
          <w:p w14:paraId="675D5D87"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shd w:val="clear" w:color="auto" w:fill="FFFFFF" w:themeFill="background1"/>
            <w:noWrap/>
          </w:tcPr>
          <w:p w14:paraId="03D9EED2"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shd w:val="clear" w:color="auto" w:fill="FFFFFF" w:themeFill="background1"/>
            <w:noWrap/>
          </w:tcPr>
          <w:p w14:paraId="5AAB9B8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A52D8D" w:rsidRPr="00C61D6E" w14:paraId="1F93F900" w14:textId="77777777" w:rsidTr="00A6096E">
        <w:trPr>
          <w:trHeight w:val="192"/>
        </w:trPr>
        <w:tc>
          <w:tcPr>
            <w:cnfStyle w:val="001000000000" w:firstRow="0" w:lastRow="0" w:firstColumn="1" w:lastColumn="0" w:oddVBand="0" w:evenVBand="0" w:oddHBand="0" w:evenHBand="0" w:firstRowFirstColumn="0" w:firstRowLastColumn="0" w:lastRowFirstColumn="0" w:lastRowLastColumn="0"/>
            <w:tcW w:w="545" w:type="pct"/>
            <w:vMerge/>
            <w:shd w:val="clear" w:color="auto" w:fill="FFFFFF" w:themeFill="background1"/>
            <w:noWrap/>
            <w:textDirection w:val="btLr"/>
          </w:tcPr>
          <w:p w14:paraId="016BEED8" w14:textId="77777777" w:rsidR="00A52D8D" w:rsidRPr="00C61D6E" w:rsidRDefault="00A52D8D" w:rsidP="0098120D">
            <w:pPr>
              <w:pStyle w:val="DataTab"/>
              <w:ind w:left="113" w:right="113"/>
              <w:jc w:val="center"/>
              <w:rPr>
                <w:lang w:val="en-GB"/>
              </w:rPr>
            </w:pPr>
          </w:p>
        </w:tc>
        <w:tc>
          <w:tcPr>
            <w:tcW w:w="444" w:type="pct"/>
            <w:vMerge w:val="restart"/>
            <w:shd w:val="clear" w:color="auto" w:fill="FFFFFF" w:themeFill="background1"/>
            <w:noWrap/>
            <w:textDirection w:val="btLr"/>
          </w:tcPr>
          <w:p w14:paraId="24B6839A" w14:textId="77777777" w:rsidR="00A52D8D" w:rsidRPr="00C61D6E" w:rsidRDefault="00A52D8D" w:rsidP="0098120D">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Black liquor</w:t>
            </w:r>
          </w:p>
        </w:tc>
        <w:tc>
          <w:tcPr>
            <w:tcW w:w="744" w:type="pct"/>
            <w:gridSpan w:val="2"/>
            <w:shd w:val="clear" w:color="auto" w:fill="FFFFFF" w:themeFill="background1"/>
            <w:noWrap/>
          </w:tcPr>
          <w:p w14:paraId="08E36817"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Amount of residue/residue ratio</w:t>
            </w:r>
          </w:p>
        </w:tc>
        <w:tc>
          <w:tcPr>
            <w:tcW w:w="1390" w:type="pct"/>
            <w:gridSpan w:val="4"/>
            <w:shd w:val="clear" w:color="auto" w:fill="FFFFFF" w:themeFill="background1"/>
            <w:noWrap/>
          </w:tcPr>
          <w:p w14:paraId="171D01BA"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Based on Euwood/Biomass Futures (endogenous in JRC-EU-TIMES model)</w:t>
            </w:r>
          </w:p>
        </w:tc>
        <w:tc>
          <w:tcPr>
            <w:tcW w:w="651" w:type="pct"/>
            <w:gridSpan w:val="2"/>
            <w:vMerge/>
            <w:shd w:val="clear" w:color="auto" w:fill="FFFFFF" w:themeFill="background1"/>
            <w:noWrap/>
          </w:tcPr>
          <w:p w14:paraId="4ED803B7"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36" w:type="pct"/>
            <w:vMerge/>
            <w:shd w:val="clear" w:color="auto" w:fill="FFFFFF" w:themeFill="background1"/>
            <w:noWrap/>
          </w:tcPr>
          <w:p w14:paraId="50135C15"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0" w:type="pct"/>
            <w:gridSpan w:val="2"/>
            <w:vMerge/>
            <w:shd w:val="clear" w:color="auto" w:fill="FFFFFF" w:themeFill="background1"/>
            <w:noWrap/>
          </w:tcPr>
          <w:p w14:paraId="11C076A3" w14:textId="77777777" w:rsidR="00A52D8D" w:rsidRPr="00C61D6E" w:rsidRDefault="00A52D8D" w:rsidP="00A24CE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A52D8D" w:rsidRPr="00C61D6E" w14:paraId="67F257F7" w14:textId="77777777" w:rsidTr="00A6096E">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545" w:type="pct"/>
            <w:vMerge/>
            <w:tcBorders>
              <w:bottom w:val="single" w:sz="4" w:space="0" w:color="auto"/>
            </w:tcBorders>
            <w:shd w:val="clear" w:color="auto" w:fill="FFFFFF" w:themeFill="background1"/>
            <w:noWrap/>
            <w:vAlign w:val="center"/>
          </w:tcPr>
          <w:p w14:paraId="0AC427CE" w14:textId="77777777" w:rsidR="00A52D8D" w:rsidRPr="00C61D6E" w:rsidRDefault="00A52D8D" w:rsidP="00A24CE5">
            <w:pPr>
              <w:pStyle w:val="DataTab"/>
              <w:jc w:val="left"/>
              <w:rPr>
                <w:lang w:val="en-GB"/>
              </w:rPr>
            </w:pPr>
          </w:p>
        </w:tc>
        <w:tc>
          <w:tcPr>
            <w:tcW w:w="444" w:type="pct"/>
            <w:vMerge/>
            <w:tcBorders>
              <w:bottom w:val="single" w:sz="4" w:space="0" w:color="auto"/>
            </w:tcBorders>
            <w:shd w:val="clear" w:color="auto" w:fill="FFFFFF" w:themeFill="background1"/>
            <w:noWrap/>
          </w:tcPr>
          <w:p w14:paraId="2237C32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744" w:type="pct"/>
            <w:gridSpan w:val="2"/>
            <w:tcBorders>
              <w:bottom w:val="single" w:sz="4" w:space="0" w:color="auto"/>
            </w:tcBorders>
            <w:shd w:val="clear" w:color="auto" w:fill="FFFFFF" w:themeFill="background1"/>
            <w:noWrap/>
          </w:tcPr>
          <w:p w14:paraId="5046ADA5"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Competing use (% NOT going to energy)</w:t>
            </w:r>
          </w:p>
        </w:tc>
        <w:tc>
          <w:tcPr>
            <w:tcW w:w="496" w:type="pct"/>
            <w:gridSpan w:val="2"/>
            <w:tcBorders>
              <w:bottom w:val="single" w:sz="4" w:space="0" w:color="auto"/>
            </w:tcBorders>
            <w:shd w:val="clear" w:color="auto" w:fill="FFFFFF" w:themeFill="background1"/>
            <w:noWrap/>
          </w:tcPr>
          <w:p w14:paraId="4280842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0%</w:t>
            </w:r>
          </w:p>
        </w:tc>
        <w:tc>
          <w:tcPr>
            <w:tcW w:w="446" w:type="pct"/>
            <w:tcBorders>
              <w:bottom w:val="single" w:sz="4" w:space="0" w:color="auto"/>
            </w:tcBorders>
            <w:shd w:val="clear" w:color="auto" w:fill="FFFFFF" w:themeFill="background1"/>
            <w:noWrap/>
          </w:tcPr>
          <w:p w14:paraId="575ADDFA"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0%</w:t>
            </w:r>
          </w:p>
        </w:tc>
        <w:tc>
          <w:tcPr>
            <w:tcW w:w="448" w:type="pct"/>
            <w:tcBorders>
              <w:bottom w:val="single" w:sz="4" w:space="0" w:color="auto"/>
            </w:tcBorders>
            <w:shd w:val="clear" w:color="auto" w:fill="FFFFFF" w:themeFill="background1"/>
            <w:noWrap/>
          </w:tcPr>
          <w:p w14:paraId="5402ABC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0%</w:t>
            </w:r>
          </w:p>
        </w:tc>
        <w:tc>
          <w:tcPr>
            <w:tcW w:w="651" w:type="pct"/>
            <w:gridSpan w:val="2"/>
            <w:vMerge/>
            <w:tcBorders>
              <w:bottom w:val="single" w:sz="4" w:space="0" w:color="auto"/>
            </w:tcBorders>
            <w:shd w:val="clear" w:color="auto" w:fill="FFFFFF" w:themeFill="background1"/>
            <w:noWrap/>
          </w:tcPr>
          <w:p w14:paraId="05855AC6"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36" w:type="pct"/>
            <w:vMerge/>
            <w:tcBorders>
              <w:bottom w:val="single" w:sz="4" w:space="0" w:color="auto"/>
            </w:tcBorders>
            <w:shd w:val="clear" w:color="auto" w:fill="FFFFFF" w:themeFill="background1"/>
            <w:noWrap/>
          </w:tcPr>
          <w:p w14:paraId="67F8111B"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0" w:type="pct"/>
            <w:gridSpan w:val="2"/>
            <w:vMerge/>
            <w:tcBorders>
              <w:bottom w:val="single" w:sz="4" w:space="0" w:color="auto"/>
            </w:tcBorders>
            <w:shd w:val="clear" w:color="auto" w:fill="FFFFFF" w:themeFill="background1"/>
            <w:noWrap/>
          </w:tcPr>
          <w:p w14:paraId="32B514F9" w14:textId="77777777" w:rsidR="00A52D8D" w:rsidRPr="00C61D6E" w:rsidRDefault="00A52D8D" w:rsidP="00A24CE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bl>
    <w:p w14:paraId="572591D2" w14:textId="77777777" w:rsidR="008C6B62" w:rsidRPr="00C61D6E" w:rsidRDefault="008C6B62" w:rsidP="00226B5C"/>
    <w:p w14:paraId="5757FF21" w14:textId="77777777" w:rsidR="007573F2" w:rsidRPr="00C61D6E" w:rsidRDefault="007573F2">
      <w:pPr>
        <w:spacing w:before="120" w:after="200" w:line="276" w:lineRule="auto"/>
        <w:ind w:left="709" w:hanging="357"/>
        <w:jc w:val="both"/>
      </w:pPr>
      <w:r w:rsidRPr="00C61D6E">
        <w:br w:type="page"/>
      </w:r>
    </w:p>
    <w:p w14:paraId="65E366A8" w14:textId="41E5E87E" w:rsidR="0047650D" w:rsidRPr="00C61D6E" w:rsidRDefault="007573F2" w:rsidP="007573F2">
      <w:pPr>
        <w:pStyle w:val="Caption"/>
        <w:jc w:val="center"/>
      </w:pPr>
      <w:bookmarkStart w:id="34" w:name="_Ref524969938"/>
      <w:r w:rsidRPr="00C61D6E">
        <w:lastRenderedPageBreak/>
        <w:t xml:space="preserve">Table </w:t>
      </w:r>
      <w:r w:rsidR="009575E9">
        <w:rPr>
          <w:noProof/>
        </w:rPr>
        <w:t>15</w:t>
      </w:r>
      <w:bookmarkEnd w:id="34"/>
      <w:r w:rsidRPr="00C61D6E">
        <w:t xml:space="preserve">. Scenario definition parameters for </w:t>
      </w:r>
      <w:r w:rsidR="00F20631" w:rsidRPr="00C61D6E">
        <w:t>waste</w:t>
      </w:r>
      <w:r w:rsidRPr="00C61D6E">
        <w:t xml:space="preserve"> sector</w:t>
      </w:r>
    </w:p>
    <w:tbl>
      <w:tblPr>
        <w:tblStyle w:val="LightList-Accent6"/>
        <w:tblpPr w:leftFromText="180" w:rightFromText="180" w:vertAnchor="text" w:horzAnchor="margin" w:tblpY="41"/>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shd w:val="clear" w:color="auto" w:fill="FFFFFF" w:themeFill="background1"/>
        <w:tblLayout w:type="fixed"/>
        <w:tblLook w:val="04A0" w:firstRow="1" w:lastRow="0" w:firstColumn="1" w:lastColumn="0" w:noHBand="0" w:noVBand="1"/>
      </w:tblPr>
      <w:tblGrid>
        <w:gridCol w:w="1243"/>
        <w:gridCol w:w="850"/>
        <w:gridCol w:w="142"/>
        <w:gridCol w:w="1226"/>
        <w:gridCol w:w="759"/>
        <w:gridCol w:w="992"/>
        <w:gridCol w:w="992"/>
        <w:gridCol w:w="282"/>
        <w:gridCol w:w="984"/>
        <w:gridCol w:w="287"/>
        <w:gridCol w:w="1029"/>
        <w:gridCol w:w="1681"/>
        <w:gridCol w:w="1877"/>
        <w:gridCol w:w="1874"/>
      </w:tblGrid>
      <w:tr w:rsidR="003E302E" w:rsidRPr="00C61D6E" w14:paraId="4D1F102D" w14:textId="77777777" w:rsidTr="009D6D5B">
        <w:trPr>
          <w:cnfStyle w:val="100000000000" w:firstRow="1" w:lastRow="0" w:firstColumn="0" w:lastColumn="0" w:oddVBand="0" w:evenVBand="0" w:oddHBand="0" w:evenHBand="0" w:firstRowFirstColumn="0" w:firstRowLastColumn="0" w:lastRowFirstColumn="0" w:lastRowLastColumn="0"/>
          <w:trHeight w:val="661"/>
          <w:tblHeader/>
        </w:trPr>
        <w:tc>
          <w:tcPr>
            <w:cnfStyle w:val="001000000000" w:firstRow="0" w:lastRow="0" w:firstColumn="1" w:lastColumn="0" w:oddVBand="0" w:evenVBand="0" w:oddHBand="0" w:evenHBand="0" w:firstRowFirstColumn="0" w:firstRowLastColumn="0" w:lastRowFirstColumn="0" w:lastRowLastColumn="0"/>
            <w:tcW w:w="437" w:type="pct"/>
            <w:vMerge w:val="restart"/>
            <w:tcBorders>
              <w:top w:val="single" w:sz="18" w:space="0" w:color="auto"/>
              <w:bottom w:val="single" w:sz="4" w:space="0" w:color="A6A6A6" w:themeColor="background1" w:themeShade="A6"/>
            </w:tcBorders>
            <w:shd w:val="clear" w:color="auto" w:fill="FFFFFF" w:themeFill="background1"/>
            <w:noWrap/>
            <w:textDirection w:val="btLr"/>
          </w:tcPr>
          <w:p w14:paraId="5FE63AC8" w14:textId="77777777" w:rsidR="003E302E" w:rsidRPr="007F2C39" w:rsidRDefault="003E302E" w:rsidP="00F20631">
            <w:pPr>
              <w:pStyle w:val="DataTab"/>
              <w:ind w:left="113" w:right="113"/>
              <w:jc w:val="center"/>
              <w:rPr>
                <w:color w:val="auto"/>
                <w:lang w:val="en-GB"/>
              </w:rPr>
            </w:pPr>
            <w:r w:rsidRPr="007F2C39">
              <w:rPr>
                <w:color w:val="auto"/>
                <w:lang w:val="en-GB"/>
              </w:rPr>
              <w:t>CAT.</w:t>
            </w:r>
          </w:p>
        </w:tc>
        <w:tc>
          <w:tcPr>
            <w:tcW w:w="299" w:type="pct"/>
            <w:vMerge w:val="restart"/>
            <w:tcBorders>
              <w:top w:val="single" w:sz="18" w:space="0" w:color="auto"/>
              <w:bottom w:val="single" w:sz="4" w:space="0" w:color="A6A6A6" w:themeColor="background1" w:themeShade="A6"/>
            </w:tcBorders>
            <w:shd w:val="clear" w:color="auto" w:fill="FFFFFF" w:themeFill="background1"/>
            <w:noWrap/>
            <w:textDirection w:val="btLr"/>
          </w:tcPr>
          <w:p w14:paraId="1E69FF3F" w14:textId="77777777" w:rsidR="003E302E" w:rsidRPr="007F2C39" w:rsidRDefault="003E302E" w:rsidP="00F20631">
            <w:pPr>
              <w:pStyle w:val="DataTab"/>
              <w:ind w:left="113" w:right="113"/>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TYPE</w:t>
            </w:r>
          </w:p>
        </w:tc>
        <w:tc>
          <w:tcPr>
            <w:tcW w:w="481" w:type="pct"/>
            <w:gridSpan w:val="2"/>
            <w:vMerge w:val="restart"/>
            <w:tcBorders>
              <w:top w:val="single" w:sz="18" w:space="0" w:color="auto"/>
              <w:bottom w:val="single" w:sz="4" w:space="0" w:color="A6A6A6" w:themeColor="background1" w:themeShade="A6"/>
            </w:tcBorders>
            <w:shd w:val="clear" w:color="auto" w:fill="FFFFFF" w:themeFill="background1"/>
            <w:textDirection w:val="btLr"/>
          </w:tcPr>
          <w:p w14:paraId="6371DFA3" w14:textId="77777777" w:rsidR="003E302E" w:rsidRPr="007F2C39" w:rsidRDefault="003E302E" w:rsidP="00F20631">
            <w:pPr>
              <w:pStyle w:val="DataTab"/>
              <w:ind w:left="113" w:right="113"/>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SUB-TYPE</w:t>
            </w:r>
          </w:p>
        </w:tc>
        <w:tc>
          <w:tcPr>
            <w:tcW w:w="616" w:type="pct"/>
            <w:gridSpan w:val="2"/>
            <w:tcBorders>
              <w:top w:val="single" w:sz="18" w:space="0" w:color="auto"/>
              <w:bottom w:val="single" w:sz="4" w:space="0" w:color="A6A6A6" w:themeColor="background1" w:themeShade="A6"/>
            </w:tcBorders>
            <w:shd w:val="clear" w:color="auto" w:fill="FFFFFF" w:themeFill="background1"/>
            <w:noWrap/>
          </w:tcPr>
          <w:p w14:paraId="229D628F" w14:textId="77777777" w:rsidR="003E302E" w:rsidRPr="007F2C39" w:rsidRDefault="003E302E" w:rsidP="009D6D5B">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PARAMETERS SET:</w:t>
            </w:r>
          </w:p>
        </w:tc>
        <w:tc>
          <w:tcPr>
            <w:tcW w:w="1257" w:type="pct"/>
            <w:gridSpan w:val="5"/>
            <w:tcBorders>
              <w:top w:val="single" w:sz="18" w:space="0" w:color="auto"/>
              <w:bottom w:val="single" w:sz="4" w:space="0" w:color="A6A6A6" w:themeColor="background1" w:themeShade="A6"/>
            </w:tcBorders>
            <w:shd w:val="clear" w:color="auto" w:fill="FFFFFF" w:themeFill="background1"/>
            <w:noWrap/>
          </w:tcPr>
          <w:p w14:paraId="0ADAC279" w14:textId="77777777" w:rsidR="003E302E" w:rsidRPr="007F2C39" w:rsidRDefault="003E302E" w:rsidP="003E302E">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Productivity</w:t>
            </w:r>
          </w:p>
        </w:tc>
        <w:tc>
          <w:tcPr>
            <w:tcW w:w="1910" w:type="pct"/>
            <w:gridSpan w:val="3"/>
            <w:tcBorders>
              <w:top w:val="single" w:sz="18" w:space="0" w:color="auto"/>
              <w:bottom w:val="single" w:sz="4" w:space="0" w:color="A6A6A6" w:themeColor="background1" w:themeShade="A6"/>
            </w:tcBorders>
            <w:shd w:val="clear" w:color="auto" w:fill="FFFFFF" w:themeFill="background1"/>
            <w:noWrap/>
          </w:tcPr>
          <w:p w14:paraId="05634A1E" w14:textId="77777777" w:rsidR="003E302E" w:rsidRPr="007F2C39" w:rsidRDefault="003E302E" w:rsidP="003E302E">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Limitation of biofeedstocks / land area</w:t>
            </w:r>
          </w:p>
        </w:tc>
      </w:tr>
      <w:tr w:rsidR="000D3722" w:rsidRPr="00C61D6E" w14:paraId="231EF2D4" w14:textId="77777777" w:rsidTr="004E3CEE">
        <w:trPr>
          <w:cnfStyle w:val="100000000000" w:firstRow="1" w:lastRow="0" w:firstColumn="0" w:lastColumn="0" w:oddVBand="0" w:evenVBand="0" w:oddHBand="0" w:evenHBand="0" w:firstRowFirstColumn="0" w:firstRowLastColumn="0" w:lastRowFirstColumn="0" w:lastRowLastColumn="0"/>
          <w:trHeight w:val="284"/>
          <w:tblHeader/>
        </w:trPr>
        <w:tc>
          <w:tcPr>
            <w:cnfStyle w:val="001000000000" w:firstRow="0" w:lastRow="0" w:firstColumn="1" w:lastColumn="0" w:oddVBand="0" w:evenVBand="0" w:oddHBand="0" w:evenHBand="0" w:firstRowFirstColumn="0" w:firstRowLastColumn="0" w:lastRowFirstColumn="0" w:lastRowLastColumn="0"/>
            <w:tcW w:w="437" w:type="pct"/>
            <w:vMerge/>
            <w:tcBorders>
              <w:top w:val="single" w:sz="4" w:space="0" w:color="A6A6A6" w:themeColor="background1" w:themeShade="A6"/>
              <w:bottom w:val="single" w:sz="18" w:space="0" w:color="auto"/>
            </w:tcBorders>
            <w:shd w:val="clear" w:color="auto" w:fill="FFFFFF" w:themeFill="background1"/>
            <w:noWrap/>
            <w:hideMark/>
          </w:tcPr>
          <w:p w14:paraId="3BBC7FCA" w14:textId="77777777" w:rsidR="003E302E" w:rsidRPr="007F2C39" w:rsidRDefault="003E302E" w:rsidP="003E302E">
            <w:pPr>
              <w:pStyle w:val="DataTab"/>
              <w:jc w:val="left"/>
              <w:rPr>
                <w:color w:val="auto"/>
                <w:lang w:val="en-GB"/>
              </w:rPr>
            </w:pPr>
          </w:p>
        </w:tc>
        <w:tc>
          <w:tcPr>
            <w:tcW w:w="299" w:type="pct"/>
            <w:vMerge/>
            <w:tcBorders>
              <w:top w:val="single" w:sz="4" w:space="0" w:color="A6A6A6" w:themeColor="background1" w:themeShade="A6"/>
              <w:bottom w:val="single" w:sz="18" w:space="0" w:color="auto"/>
            </w:tcBorders>
            <w:shd w:val="clear" w:color="auto" w:fill="FFFFFF" w:themeFill="background1"/>
            <w:noWrap/>
            <w:hideMark/>
          </w:tcPr>
          <w:p w14:paraId="497F425F" w14:textId="77777777" w:rsidR="003E302E" w:rsidRPr="007F2C39" w:rsidRDefault="003E302E" w:rsidP="003E302E">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p>
        </w:tc>
        <w:tc>
          <w:tcPr>
            <w:tcW w:w="481" w:type="pct"/>
            <w:gridSpan w:val="2"/>
            <w:vMerge/>
            <w:tcBorders>
              <w:top w:val="single" w:sz="4" w:space="0" w:color="A6A6A6" w:themeColor="background1" w:themeShade="A6"/>
              <w:bottom w:val="single" w:sz="18" w:space="0" w:color="auto"/>
            </w:tcBorders>
            <w:shd w:val="clear" w:color="auto" w:fill="FFFFFF" w:themeFill="background1"/>
          </w:tcPr>
          <w:p w14:paraId="3222161F" w14:textId="77777777" w:rsidR="003E302E" w:rsidRPr="007F2C39" w:rsidRDefault="003E302E" w:rsidP="003E302E">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p>
        </w:tc>
        <w:tc>
          <w:tcPr>
            <w:tcW w:w="616" w:type="pct"/>
            <w:gridSpan w:val="2"/>
            <w:tcBorders>
              <w:top w:val="single" w:sz="4" w:space="0" w:color="A6A6A6" w:themeColor="background1" w:themeShade="A6"/>
              <w:bottom w:val="single" w:sz="18" w:space="0" w:color="auto"/>
            </w:tcBorders>
            <w:shd w:val="clear" w:color="auto" w:fill="FFFFFF" w:themeFill="background1"/>
            <w:noWrap/>
            <w:hideMark/>
          </w:tcPr>
          <w:p w14:paraId="60B77468" w14:textId="540A3B29" w:rsidR="003E302E" w:rsidRPr="007F2C39" w:rsidRDefault="00CC121E" w:rsidP="003E302E">
            <w:pPr>
              <w:pStyle w:val="DataTab"/>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SCEN</w:t>
            </w:r>
            <w:r w:rsidR="003E302E" w:rsidRPr="007F2C39">
              <w:rPr>
                <w:color w:val="auto"/>
                <w:lang w:val="en-GB"/>
              </w:rPr>
              <w:t>ARIO:</w:t>
            </w:r>
          </w:p>
        </w:tc>
        <w:tc>
          <w:tcPr>
            <w:tcW w:w="448" w:type="pct"/>
            <w:gridSpan w:val="2"/>
            <w:tcBorders>
              <w:top w:val="single" w:sz="4" w:space="0" w:color="A6A6A6" w:themeColor="background1" w:themeShade="A6"/>
              <w:bottom w:val="single" w:sz="18" w:space="0" w:color="auto"/>
            </w:tcBorders>
            <w:shd w:val="clear" w:color="auto" w:fill="FFFFFF" w:themeFill="background1"/>
            <w:noWrap/>
            <w:hideMark/>
          </w:tcPr>
          <w:p w14:paraId="78F9AF1E" w14:textId="77777777" w:rsidR="003E302E" w:rsidRPr="007F2C39" w:rsidRDefault="003E302E" w:rsidP="009D6D5B">
            <w:pPr>
              <w:pStyle w:val="DataTab"/>
              <w:jc w:val="center"/>
              <w:cnfStyle w:val="100000000000" w:firstRow="1" w:lastRow="0" w:firstColumn="0" w:lastColumn="0" w:oddVBand="0" w:evenVBand="0" w:oddHBand="0" w:evenHBand="0" w:firstRowFirstColumn="0" w:firstRowLastColumn="0" w:lastRowFirstColumn="0" w:lastRowLastColumn="0"/>
              <w:rPr>
                <w:rFonts w:cs="Times New Roman"/>
                <w:color w:val="auto"/>
                <w:lang w:val="en-GB"/>
              </w:rPr>
            </w:pPr>
            <w:r w:rsidRPr="007F2C39">
              <w:rPr>
                <w:color w:val="auto"/>
                <w:lang w:val="en-GB"/>
              </w:rPr>
              <w:t>HIGH</w:t>
            </w:r>
          </w:p>
        </w:tc>
        <w:tc>
          <w:tcPr>
            <w:tcW w:w="447" w:type="pct"/>
            <w:gridSpan w:val="2"/>
            <w:tcBorders>
              <w:top w:val="single" w:sz="4" w:space="0" w:color="A6A6A6" w:themeColor="background1" w:themeShade="A6"/>
              <w:bottom w:val="single" w:sz="18" w:space="0" w:color="auto"/>
            </w:tcBorders>
            <w:shd w:val="clear" w:color="auto" w:fill="FFFFFF" w:themeFill="background1"/>
            <w:noWrap/>
            <w:hideMark/>
          </w:tcPr>
          <w:p w14:paraId="1DBFFCF9" w14:textId="77777777" w:rsidR="003E302E" w:rsidRPr="007F2C39" w:rsidRDefault="003E302E" w:rsidP="009D6D5B">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MED</w:t>
            </w:r>
          </w:p>
        </w:tc>
        <w:tc>
          <w:tcPr>
            <w:tcW w:w="361" w:type="pct"/>
            <w:tcBorders>
              <w:top w:val="single" w:sz="4" w:space="0" w:color="A6A6A6" w:themeColor="background1" w:themeShade="A6"/>
              <w:bottom w:val="single" w:sz="18" w:space="0" w:color="auto"/>
            </w:tcBorders>
            <w:shd w:val="clear" w:color="auto" w:fill="FFFFFF" w:themeFill="background1"/>
            <w:noWrap/>
            <w:hideMark/>
          </w:tcPr>
          <w:p w14:paraId="6958A5A9" w14:textId="77777777" w:rsidR="003E302E" w:rsidRPr="007F2C39" w:rsidRDefault="003E302E" w:rsidP="009D6D5B">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LOW</w:t>
            </w:r>
          </w:p>
        </w:tc>
        <w:tc>
          <w:tcPr>
            <w:tcW w:w="591" w:type="pct"/>
            <w:tcBorders>
              <w:top w:val="single" w:sz="4" w:space="0" w:color="A6A6A6" w:themeColor="background1" w:themeShade="A6"/>
              <w:bottom w:val="single" w:sz="18" w:space="0" w:color="auto"/>
            </w:tcBorders>
            <w:shd w:val="clear" w:color="auto" w:fill="FFFFFF" w:themeFill="background1"/>
            <w:noWrap/>
            <w:hideMark/>
          </w:tcPr>
          <w:p w14:paraId="08D82FFF" w14:textId="77777777" w:rsidR="003E302E" w:rsidRPr="007F2C39" w:rsidRDefault="003E302E" w:rsidP="009D6D5B">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HIGH</w:t>
            </w:r>
          </w:p>
        </w:tc>
        <w:tc>
          <w:tcPr>
            <w:tcW w:w="660" w:type="pct"/>
            <w:tcBorders>
              <w:top w:val="single" w:sz="4" w:space="0" w:color="A6A6A6" w:themeColor="background1" w:themeShade="A6"/>
              <w:bottom w:val="single" w:sz="18" w:space="0" w:color="auto"/>
            </w:tcBorders>
            <w:shd w:val="clear" w:color="auto" w:fill="FFFFFF" w:themeFill="background1"/>
            <w:noWrap/>
            <w:hideMark/>
          </w:tcPr>
          <w:p w14:paraId="68B5F6D1" w14:textId="77777777" w:rsidR="003E302E" w:rsidRPr="007F2C39" w:rsidRDefault="003E302E" w:rsidP="009D6D5B">
            <w:pPr>
              <w:pStyle w:val="DataTab"/>
              <w:jc w:val="center"/>
              <w:cnfStyle w:val="100000000000" w:firstRow="1" w:lastRow="0" w:firstColumn="0" w:lastColumn="0" w:oddVBand="0" w:evenVBand="0" w:oddHBand="0" w:evenHBand="0" w:firstRowFirstColumn="0" w:firstRowLastColumn="0" w:lastRowFirstColumn="0" w:lastRowLastColumn="0"/>
              <w:rPr>
                <w:rFonts w:cs="Times New Roman"/>
                <w:color w:val="auto"/>
                <w:lang w:val="en-GB"/>
              </w:rPr>
            </w:pPr>
            <w:r w:rsidRPr="007F2C39">
              <w:rPr>
                <w:color w:val="auto"/>
                <w:lang w:val="en-GB"/>
              </w:rPr>
              <w:t>MED</w:t>
            </w:r>
          </w:p>
        </w:tc>
        <w:tc>
          <w:tcPr>
            <w:tcW w:w="659" w:type="pct"/>
            <w:tcBorders>
              <w:top w:val="single" w:sz="4" w:space="0" w:color="A6A6A6" w:themeColor="background1" w:themeShade="A6"/>
              <w:bottom w:val="single" w:sz="18" w:space="0" w:color="auto"/>
            </w:tcBorders>
            <w:shd w:val="clear" w:color="auto" w:fill="FFFFFF" w:themeFill="background1"/>
            <w:noWrap/>
            <w:hideMark/>
          </w:tcPr>
          <w:p w14:paraId="27CA9E12" w14:textId="77777777" w:rsidR="003E302E" w:rsidRPr="007F2C39" w:rsidRDefault="003E302E" w:rsidP="009D6D5B">
            <w:pPr>
              <w:pStyle w:val="DataTab"/>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7F2C39">
              <w:rPr>
                <w:color w:val="auto"/>
                <w:lang w:val="en-GB"/>
              </w:rPr>
              <w:t>LOW</w:t>
            </w:r>
          </w:p>
        </w:tc>
      </w:tr>
      <w:tr w:rsidR="00301014" w:rsidRPr="00C61D6E" w14:paraId="3BCF56EB" w14:textId="77777777" w:rsidTr="004E3CEE">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437" w:type="pct"/>
            <w:vMerge w:val="restart"/>
            <w:tcBorders>
              <w:top w:val="single" w:sz="18" w:space="0" w:color="auto"/>
            </w:tcBorders>
            <w:shd w:val="clear" w:color="auto" w:fill="FFFFFF" w:themeFill="background1"/>
            <w:noWrap/>
            <w:vAlign w:val="center"/>
          </w:tcPr>
          <w:p w14:paraId="75568422" w14:textId="77777777" w:rsidR="000D3722" w:rsidRPr="00C61D6E" w:rsidRDefault="000D3722" w:rsidP="00033075">
            <w:pPr>
              <w:pStyle w:val="DataTab"/>
              <w:jc w:val="left"/>
              <w:rPr>
                <w:lang w:val="en-GB"/>
              </w:rPr>
            </w:pPr>
            <w:r w:rsidRPr="00C61D6E">
              <w:rPr>
                <w:lang w:val="en-GB"/>
              </w:rPr>
              <w:t>PRIMARY RESIDUES</w:t>
            </w:r>
          </w:p>
        </w:tc>
        <w:tc>
          <w:tcPr>
            <w:tcW w:w="299" w:type="pct"/>
            <w:vMerge w:val="restart"/>
            <w:tcBorders>
              <w:top w:val="single" w:sz="18" w:space="0" w:color="auto"/>
            </w:tcBorders>
            <w:shd w:val="clear" w:color="auto" w:fill="FFFFFF" w:themeFill="background1"/>
            <w:noWrap/>
            <w:textDirection w:val="btLr"/>
          </w:tcPr>
          <w:p w14:paraId="1317F362" w14:textId="77777777" w:rsidR="000D3722" w:rsidRPr="00C61D6E" w:rsidRDefault="000D3722" w:rsidP="0003307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Bio-degradable waste</w:t>
            </w:r>
          </w:p>
        </w:tc>
        <w:tc>
          <w:tcPr>
            <w:tcW w:w="481" w:type="pct"/>
            <w:gridSpan w:val="2"/>
            <w:vMerge w:val="restart"/>
            <w:tcBorders>
              <w:top w:val="single" w:sz="18" w:space="0" w:color="auto"/>
            </w:tcBorders>
            <w:shd w:val="clear" w:color="auto" w:fill="FFFFFF" w:themeFill="background1"/>
          </w:tcPr>
          <w:p w14:paraId="18E0A0CA"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Abandoned grasslands cuttings</w:t>
            </w:r>
          </w:p>
        </w:tc>
        <w:tc>
          <w:tcPr>
            <w:tcW w:w="267" w:type="pct"/>
            <w:vMerge w:val="restart"/>
            <w:tcBorders>
              <w:top w:val="single" w:sz="18" w:space="0" w:color="auto"/>
            </w:tcBorders>
            <w:shd w:val="clear" w:color="auto" w:fill="FFFFFF" w:themeFill="background1"/>
            <w:noWrap/>
            <w:textDirection w:val="btLr"/>
          </w:tcPr>
          <w:p w14:paraId="7C8522F8" w14:textId="77777777" w:rsidR="000D3722" w:rsidRPr="00C61D6E" w:rsidRDefault="000D3722" w:rsidP="0003307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Collection ratio</w:t>
            </w:r>
          </w:p>
        </w:tc>
        <w:tc>
          <w:tcPr>
            <w:tcW w:w="349" w:type="pct"/>
            <w:tcBorders>
              <w:top w:val="single" w:sz="18" w:space="0" w:color="auto"/>
              <w:bottom w:val="nil"/>
            </w:tcBorders>
            <w:shd w:val="clear" w:color="auto" w:fill="FFFFFF" w:themeFill="background1"/>
          </w:tcPr>
          <w:p w14:paraId="1A9B9023"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48" w:type="pct"/>
            <w:gridSpan w:val="2"/>
            <w:tcBorders>
              <w:top w:val="single" w:sz="18" w:space="0" w:color="auto"/>
            </w:tcBorders>
            <w:shd w:val="clear" w:color="auto" w:fill="FFFFFF" w:themeFill="background1"/>
            <w:noWrap/>
          </w:tcPr>
          <w:p w14:paraId="5CF554EC"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50%</w:t>
            </w:r>
          </w:p>
        </w:tc>
        <w:tc>
          <w:tcPr>
            <w:tcW w:w="447" w:type="pct"/>
            <w:gridSpan w:val="2"/>
            <w:tcBorders>
              <w:top w:val="single" w:sz="18" w:space="0" w:color="auto"/>
            </w:tcBorders>
            <w:shd w:val="clear" w:color="auto" w:fill="FFFFFF" w:themeFill="background1"/>
            <w:noWrap/>
          </w:tcPr>
          <w:p w14:paraId="4AC7C324"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50%</w:t>
            </w:r>
          </w:p>
        </w:tc>
        <w:tc>
          <w:tcPr>
            <w:tcW w:w="361" w:type="pct"/>
            <w:tcBorders>
              <w:top w:val="single" w:sz="18" w:space="0" w:color="auto"/>
            </w:tcBorders>
            <w:shd w:val="clear" w:color="auto" w:fill="FFFFFF" w:themeFill="background1"/>
            <w:noWrap/>
          </w:tcPr>
          <w:p w14:paraId="6C961B03"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20%</w:t>
            </w:r>
          </w:p>
        </w:tc>
        <w:tc>
          <w:tcPr>
            <w:tcW w:w="591" w:type="pct"/>
            <w:vMerge w:val="restart"/>
            <w:tcBorders>
              <w:top w:val="single" w:sz="18" w:space="0" w:color="auto"/>
            </w:tcBorders>
            <w:shd w:val="clear" w:color="auto" w:fill="FFFFFF" w:themeFill="background1"/>
            <w:noWrap/>
          </w:tcPr>
          <w:p w14:paraId="5597213F"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Landfill gas</w:t>
            </w:r>
          </w:p>
          <w:p w14:paraId="21E3621A"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All landfill gas is used for energy production, because of a ban on landfill on all countries Production of MSW will stabilize at current levels</w:t>
            </w:r>
          </w:p>
          <w:p w14:paraId="2B374EB9" w14:textId="77777777" w:rsidR="009D6D5B" w:rsidRPr="00C61D6E" w:rsidRDefault="009D6D5B"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03D3C96E" w14:textId="77777777" w:rsidR="004E3CEE" w:rsidRPr="00C61D6E" w:rsidRDefault="004E3CEE"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6EE3399B"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Biowaste (municipal)</w:t>
            </w:r>
          </w:p>
          <w:p w14:paraId="1E25D570"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All biowaste is used for energy production; 100% for all countries from 2030 onwards</w:t>
            </w:r>
          </w:p>
          <w:p w14:paraId="2C79F358"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High efficiencies of (separate) waste collection</w:t>
            </w:r>
          </w:p>
          <w:p w14:paraId="5D793FA6" w14:textId="77777777" w:rsidR="004E3CEE" w:rsidRPr="00C61D6E" w:rsidRDefault="004E3CEE"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0F8BA47D"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Biowaste (industrial)</w:t>
            </w:r>
          </w:p>
          <w:p w14:paraId="7B321970"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1) All biowaste is used for energy production, recycling quota = 100%, no </w:t>
            </w:r>
            <w:r w:rsidRPr="00C61D6E">
              <w:rPr>
                <w:lang w:val="en-GB"/>
              </w:rPr>
              <w:lastRenderedPageBreak/>
              <w:t>industrial waste for non-energy purposes</w:t>
            </w:r>
          </w:p>
          <w:p w14:paraId="4C06C936"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High efficiencies of (separate) waste collection</w:t>
            </w:r>
          </w:p>
          <w:p w14:paraId="3B61E945"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Production levels of waste stabilize at current levels</w:t>
            </w:r>
          </w:p>
        </w:tc>
        <w:tc>
          <w:tcPr>
            <w:tcW w:w="660" w:type="pct"/>
            <w:vMerge w:val="restart"/>
            <w:tcBorders>
              <w:top w:val="single" w:sz="18" w:space="0" w:color="auto"/>
            </w:tcBorders>
            <w:shd w:val="clear" w:color="auto" w:fill="FFFFFF" w:themeFill="background1"/>
            <w:noWrap/>
          </w:tcPr>
          <w:p w14:paraId="363ECEF0"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lastRenderedPageBreak/>
              <w:t>Landfill gas</w:t>
            </w:r>
          </w:p>
          <w:p w14:paraId="2295A2FC"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Recycling quota for landfill gas harmonized; minimum 80% in 2030 in all EU-countries and 100% in 2050 Production of MSW will go down slightly as compared to current levels</w:t>
            </w:r>
          </w:p>
          <w:p w14:paraId="619A5032"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78038645"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Biowaste (municipal)</w:t>
            </w:r>
          </w:p>
          <w:p w14:paraId="3A430BCA"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reference efficiencies of (separate) waste collection</w:t>
            </w:r>
          </w:p>
          <w:p w14:paraId="39280EA3"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Recycling quotas for regions harmonize on highest benchmark (today: Austria ~60%) until 2030 an increase up to 80% of waste going to energy until 2050 for all countries</w:t>
            </w:r>
          </w:p>
          <w:p w14:paraId="50C65D47"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64F5535E"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Biowaste (industrial)</w:t>
            </w:r>
          </w:p>
          <w:p w14:paraId="328C308A"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 xml:space="preserve">1) Recycling quotas </w:t>
            </w:r>
            <w:r w:rsidRPr="00C61D6E">
              <w:rPr>
                <w:lang w:val="en-GB"/>
              </w:rPr>
              <w:lastRenderedPageBreak/>
              <w:t>for regions harmonize on highest benchmark</w:t>
            </w:r>
          </w:p>
          <w:p w14:paraId="472EED7B"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Bioenergy has preference over non-energy use of industrial biowaste</w:t>
            </w:r>
          </w:p>
          <w:p w14:paraId="6E596F3B"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 Production levels of waste decline at medium rate towards 2050 as compared to current levels</w:t>
            </w:r>
          </w:p>
        </w:tc>
        <w:tc>
          <w:tcPr>
            <w:tcW w:w="659" w:type="pct"/>
            <w:vMerge w:val="restart"/>
            <w:tcBorders>
              <w:top w:val="single" w:sz="18" w:space="0" w:color="auto"/>
            </w:tcBorders>
            <w:shd w:val="clear" w:color="auto" w:fill="FFFFFF" w:themeFill="background1"/>
            <w:noWrap/>
          </w:tcPr>
          <w:p w14:paraId="780D2BAF"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lastRenderedPageBreak/>
              <w:t>Landfill gas</w:t>
            </w:r>
          </w:p>
          <w:p w14:paraId="2C51BF27"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Recycling quota for landfill gas remains on current level in the countries</w:t>
            </w:r>
          </w:p>
          <w:p w14:paraId="571F0845"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5C8D1562" w14:textId="77777777" w:rsidR="004E3CEE" w:rsidRPr="00C61D6E" w:rsidRDefault="004E3CEE"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2B7A3408" w14:textId="77777777" w:rsidR="004E3CEE" w:rsidRPr="00C61D6E" w:rsidRDefault="004E3CEE"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0A2AF22C" w14:textId="77777777" w:rsidR="004E3CEE" w:rsidRPr="00C61D6E" w:rsidRDefault="004E3CEE"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2C993E9A" w14:textId="77777777" w:rsidR="004E3CEE" w:rsidRPr="00C61D6E" w:rsidRDefault="004E3CEE"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0E0371C4"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Biowaste (municipal)</w:t>
            </w:r>
          </w:p>
          <w:p w14:paraId="35301B2F"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Today’s recycling quotas of the countries persist</w:t>
            </w:r>
          </w:p>
          <w:p w14:paraId="118FAFA5"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biowaste in competition with non-energy use</w:t>
            </w:r>
          </w:p>
          <w:p w14:paraId="5052110D"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p w14:paraId="7764FDD4"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Biowaste (industrial)</w:t>
            </w:r>
          </w:p>
          <w:p w14:paraId="786AB39C"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1) Today’s recycling quotas of the countries remain</w:t>
            </w:r>
          </w:p>
          <w:p w14:paraId="307962C8"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 Food chain efficiency improvements (better efficiency and less biowaste)</w:t>
            </w:r>
          </w:p>
        </w:tc>
      </w:tr>
      <w:tr w:rsidR="00301014" w:rsidRPr="00C61D6E" w14:paraId="6B4C4CD0" w14:textId="77777777" w:rsidTr="004E3CEE">
        <w:trPr>
          <w:trHeight w:val="219"/>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1C463B0F" w14:textId="77777777" w:rsidR="000D3722" w:rsidRPr="00C61D6E" w:rsidRDefault="000D3722" w:rsidP="00033075">
            <w:pPr>
              <w:pStyle w:val="DataTab"/>
              <w:jc w:val="left"/>
              <w:rPr>
                <w:b w:val="0"/>
                <w:lang w:val="en-GB"/>
              </w:rPr>
            </w:pPr>
          </w:p>
        </w:tc>
        <w:tc>
          <w:tcPr>
            <w:tcW w:w="299" w:type="pct"/>
            <w:vMerge/>
            <w:shd w:val="clear" w:color="auto" w:fill="FFFFFF" w:themeFill="background1"/>
            <w:noWrap/>
            <w:textDirection w:val="btLr"/>
          </w:tcPr>
          <w:p w14:paraId="4D545F14" w14:textId="77777777" w:rsidR="000D3722" w:rsidRPr="00C61D6E" w:rsidRDefault="000D3722" w:rsidP="0003307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81" w:type="pct"/>
            <w:gridSpan w:val="2"/>
            <w:vMerge/>
            <w:shd w:val="clear" w:color="auto" w:fill="FFFFFF" w:themeFill="background1"/>
          </w:tcPr>
          <w:p w14:paraId="38D057AF" w14:textId="77777777" w:rsidR="000D3722" w:rsidRPr="00C61D6E" w:rsidRDefault="000D3722" w:rsidP="0003307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67" w:type="pct"/>
            <w:vMerge/>
            <w:shd w:val="clear" w:color="auto" w:fill="FFFFFF" w:themeFill="background1"/>
            <w:noWrap/>
          </w:tcPr>
          <w:p w14:paraId="2BC0B11D" w14:textId="77777777" w:rsidR="000D3722" w:rsidRPr="00C61D6E" w:rsidRDefault="000D3722" w:rsidP="0003307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49" w:type="pct"/>
            <w:tcBorders>
              <w:top w:val="nil"/>
              <w:bottom w:val="nil"/>
            </w:tcBorders>
            <w:shd w:val="clear" w:color="auto" w:fill="FFFFFF" w:themeFill="background1"/>
          </w:tcPr>
          <w:p w14:paraId="1A576587" w14:textId="77777777" w:rsidR="000D3722" w:rsidRPr="00C61D6E" w:rsidRDefault="000D3722" w:rsidP="0003307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2030</w:t>
            </w:r>
          </w:p>
        </w:tc>
        <w:tc>
          <w:tcPr>
            <w:tcW w:w="448" w:type="pct"/>
            <w:gridSpan w:val="2"/>
            <w:shd w:val="clear" w:color="auto" w:fill="FFFFFF" w:themeFill="background1"/>
            <w:noWrap/>
          </w:tcPr>
          <w:p w14:paraId="25DEA42B"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60%</w:t>
            </w:r>
          </w:p>
        </w:tc>
        <w:tc>
          <w:tcPr>
            <w:tcW w:w="447" w:type="pct"/>
            <w:gridSpan w:val="2"/>
            <w:shd w:val="clear" w:color="auto" w:fill="FFFFFF" w:themeFill="background1"/>
            <w:noWrap/>
          </w:tcPr>
          <w:p w14:paraId="694CBAF8"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60%</w:t>
            </w:r>
          </w:p>
        </w:tc>
        <w:tc>
          <w:tcPr>
            <w:tcW w:w="361" w:type="pct"/>
            <w:shd w:val="clear" w:color="auto" w:fill="FFFFFF" w:themeFill="background1"/>
            <w:noWrap/>
          </w:tcPr>
          <w:p w14:paraId="3FADA285"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20%</w:t>
            </w:r>
          </w:p>
        </w:tc>
        <w:tc>
          <w:tcPr>
            <w:tcW w:w="591" w:type="pct"/>
            <w:vMerge/>
            <w:shd w:val="clear" w:color="auto" w:fill="FFFFFF" w:themeFill="background1"/>
            <w:noWrap/>
          </w:tcPr>
          <w:p w14:paraId="0340ADC6" w14:textId="77777777" w:rsidR="000D3722" w:rsidRPr="00C61D6E" w:rsidRDefault="000D3722" w:rsidP="0003307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63573628" w14:textId="77777777" w:rsidR="000D3722" w:rsidRPr="00C61D6E" w:rsidRDefault="000D3722" w:rsidP="0003307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23C58356" w14:textId="77777777" w:rsidR="000D3722" w:rsidRPr="00C61D6E" w:rsidRDefault="000D3722" w:rsidP="0003307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301014" w:rsidRPr="00C61D6E" w14:paraId="563F9679" w14:textId="77777777" w:rsidTr="004E3C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692BA7D8" w14:textId="77777777" w:rsidR="000D3722" w:rsidRPr="00C61D6E" w:rsidRDefault="000D3722" w:rsidP="00033075">
            <w:pPr>
              <w:pStyle w:val="DataTab"/>
              <w:jc w:val="left"/>
              <w:rPr>
                <w:b w:val="0"/>
                <w:lang w:val="en-GB"/>
              </w:rPr>
            </w:pPr>
          </w:p>
        </w:tc>
        <w:tc>
          <w:tcPr>
            <w:tcW w:w="299" w:type="pct"/>
            <w:vMerge/>
            <w:shd w:val="clear" w:color="auto" w:fill="FFFFFF" w:themeFill="background1"/>
            <w:noWrap/>
            <w:textDirection w:val="btLr"/>
          </w:tcPr>
          <w:p w14:paraId="4AD2F30B" w14:textId="77777777" w:rsidR="000D3722" w:rsidRPr="00C61D6E" w:rsidRDefault="000D3722" w:rsidP="0003307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81" w:type="pct"/>
            <w:gridSpan w:val="2"/>
            <w:vMerge/>
            <w:shd w:val="clear" w:color="auto" w:fill="FFFFFF" w:themeFill="background1"/>
          </w:tcPr>
          <w:p w14:paraId="19C2C437"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67" w:type="pct"/>
            <w:vMerge/>
            <w:shd w:val="clear" w:color="auto" w:fill="FFFFFF" w:themeFill="background1"/>
            <w:noWrap/>
          </w:tcPr>
          <w:p w14:paraId="5FEE35F0"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49" w:type="pct"/>
            <w:tcBorders>
              <w:top w:val="nil"/>
            </w:tcBorders>
            <w:shd w:val="clear" w:color="auto" w:fill="FFFFFF" w:themeFill="background1"/>
          </w:tcPr>
          <w:p w14:paraId="50982EB9"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2040-50</w:t>
            </w:r>
          </w:p>
        </w:tc>
        <w:tc>
          <w:tcPr>
            <w:tcW w:w="448" w:type="pct"/>
            <w:gridSpan w:val="2"/>
            <w:shd w:val="clear" w:color="auto" w:fill="FFFFFF" w:themeFill="background1"/>
            <w:noWrap/>
          </w:tcPr>
          <w:p w14:paraId="794556AE"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70%</w:t>
            </w:r>
          </w:p>
        </w:tc>
        <w:tc>
          <w:tcPr>
            <w:tcW w:w="447" w:type="pct"/>
            <w:gridSpan w:val="2"/>
            <w:shd w:val="clear" w:color="auto" w:fill="FFFFFF" w:themeFill="background1"/>
            <w:noWrap/>
          </w:tcPr>
          <w:p w14:paraId="741B4B7E"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70%</w:t>
            </w:r>
          </w:p>
        </w:tc>
        <w:tc>
          <w:tcPr>
            <w:tcW w:w="361" w:type="pct"/>
            <w:shd w:val="clear" w:color="auto" w:fill="FFFFFF" w:themeFill="background1"/>
            <w:noWrap/>
          </w:tcPr>
          <w:p w14:paraId="562C0B65"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20%</w:t>
            </w:r>
          </w:p>
        </w:tc>
        <w:tc>
          <w:tcPr>
            <w:tcW w:w="591" w:type="pct"/>
            <w:vMerge/>
            <w:shd w:val="clear" w:color="auto" w:fill="FFFFFF" w:themeFill="background1"/>
            <w:noWrap/>
          </w:tcPr>
          <w:p w14:paraId="72BE0DCF"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0024C287"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1D476021" w14:textId="77777777" w:rsidR="000D3722" w:rsidRPr="00C61D6E" w:rsidRDefault="000D3722" w:rsidP="0003307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4E3CEE" w:rsidRPr="00C61D6E" w14:paraId="13D8E5D1" w14:textId="77777777" w:rsidTr="004E3CEE">
        <w:trPr>
          <w:trHeight w:val="448"/>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607C88EE" w14:textId="77777777" w:rsidR="000D3722" w:rsidRPr="00C61D6E" w:rsidRDefault="000D3722" w:rsidP="001128D5">
            <w:pPr>
              <w:pStyle w:val="DataTab"/>
              <w:jc w:val="left"/>
              <w:rPr>
                <w:lang w:val="en-GB"/>
              </w:rPr>
            </w:pPr>
          </w:p>
        </w:tc>
        <w:tc>
          <w:tcPr>
            <w:tcW w:w="299" w:type="pct"/>
            <w:vMerge/>
            <w:shd w:val="clear" w:color="auto" w:fill="FFFFFF" w:themeFill="background1"/>
            <w:noWrap/>
            <w:textDirection w:val="btLr"/>
          </w:tcPr>
          <w:p w14:paraId="249DFEA9"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81" w:type="pct"/>
            <w:gridSpan w:val="2"/>
            <w:vMerge w:val="restart"/>
            <w:shd w:val="clear" w:color="auto" w:fill="FFFFFF" w:themeFill="background1"/>
          </w:tcPr>
          <w:p w14:paraId="5C3F57F5"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Public green = municipal landscape manage-</w:t>
            </w:r>
          </w:p>
        </w:tc>
        <w:tc>
          <w:tcPr>
            <w:tcW w:w="267" w:type="pct"/>
            <w:vMerge w:val="restart"/>
            <w:shd w:val="clear" w:color="auto" w:fill="FFFFFF" w:themeFill="background1"/>
            <w:noWrap/>
            <w:textDirection w:val="btLr"/>
          </w:tcPr>
          <w:p w14:paraId="051E458C" w14:textId="77777777" w:rsidR="000D3722" w:rsidRPr="00C61D6E" w:rsidRDefault="000D3722" w:rsidP="000D3722">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Collection ratio</w:t>
            </w:r>
          </w:p>
        </w:tc>
        <w:tc>
          <w:tcPr>
            <w:tcW w:w="349" w:type="pct"/>
            <w:shd w:val="clear" w:color="auto" w:fill="FFFFFF" w:themeFill="background1"/>
          </w:tcPr>
          <w:p w14:paraId="755EC2C7"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2020</w:t>
            </w:r>
          </w:p>
        </w:tc>
        <w:tc>
          <w:tcPr>
            <w:tcW w:w="448" w:type="pct"/>
            <w:gridSpan w:val="2"/>
            <w:shd w:val="clear" w:color="auto" w:fill="FFFFFF" w:themeFill="background1"/>
            <w:noWrap/>
            <w:vAlign w:val="center"/>
          </w:tcPr>
          <w:p w14:paraId="4F6351F7"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447" w:type="pct"/>
            <w:gridSpan w:val="2"/>
            <w:vMerge w:val="restart"/>
            <w:shd w:val="clear" w:color="auto" w:fill="FFFFFF" w:themeFill="background1"/>
            <w:noWrap/>
            <w:vAlign w:val="center"/>
          </w:tcPr>
          <w:p w14:paraId="304C4C5E"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Base year</w:t>
            </w:r>
          </w:p>
        </w:tc>
        <w:tc>
          <w:tcPr>
            <w:tcW w:w="361" w:type="pct"/>
            <w:vMerge w:val="restart"/>
            <w:shd w:val="clear" w:color="auto" w:fill="FFFFFF" w:themeFill="background1"/>
            <w:noWrap/>
            <w:vAlign w:val="center"/>
          </w:tcPr>
          <w:p w14:paraId="7A1A919B"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20%</w:t>
            </w:r>
          </w:p>
        </w:tc>
        <w:tc>
          <w:tcPr>
            <w:tcW w:w="591" w:type="pct"/>
            <w:vMerge/>
            <w:shd w:val="clear" w:color="auto" w:fill="FFFFFF" w:themeFill="background1"/>
            <w:noWrap/>
          </w:tcPr>
          <w:p w14:paraId="6850D0E1"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7F6A4564"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2AF4FE9F"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4E3CEE" w:rsidRPr="00C61D6E" w14:paraId="3E0E76DF" w14:textId="77777777" w:rsidTr="004E3CEE">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02F5446B" w14:textId="77777777" w:rsidR="000D3722" w:rsidRPr="00C61D6E" w:rsidRDefault="000D3722" w:rsidP="001128D5">
            <w:pPr>
              <w:pStyle w:val="DataTab"/>
              <w:jc w:val="left"/>
              <w:rPr>
                <w:b w:val="0"/>
                <w:lang w:val="en-GB"/>
              </w:rPr>
            </w:pPr>
          </w:p>
        </w:tc>
        <w:tc>
          <w:tcPr>
            <w:tcW w:w="299" w:type="pct"/>
            <w:vMerge/>
            <w:shd w:val="clear" w:color="auto" w:fill="FFFFFF" w:themeFill="background1"/>
            <w:noWrap/>
            <w:textDirection w:val="btLr"/>
          </w:tcPr>
          <w:p w14:paraId="164E66E9"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81" w:type="pct"/>
            <w:gridSpan w:val="2"/>
            <w:vMerge/>
            <w:shd w:val="clear" w:color="auto" w:fill="FFFFFF" w:themeFill="background1"/>
          </w:tcPr>
          <w:p w14:paraId="58CEA84D"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67" w:type="pct"/>
            <w:vMerge/>
            <w:shd w:val="clear" w:color="auto" w:fill="FFFFFF" w:themeFill="background1"/>
            <w:noWrap/>
          </w:tcPr>
          <w:p w14:paraId="0B1B7089"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49" w:type="pct"/>
            <w:shd w:val="clear" w:color="auto" w:fill="FFFFFF" w:themeFill="background1"/>
          </w:tcPr>
          <w:p w14:paraId="36B8F416"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2030</w:t>
            </w:r>
          </w:p>
        </w:tc>
        <w:tc>
          <w:tcPr>
            <w:tcW w:w="448" w:type="pct"/>
            <w:gridSpan w:val="2"/>
            <w:shd w:val="clear" w:color="auto" w:fill="FFFFFF" w:themeFill="background1"/>
            <w:noWrap/>
            <w:vAlign w:val="center"/>
          </w:tcPr>
          <w:p w14:paraId="7078D24C"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60%</w:t>
            </w:r>
          </w:p>
        </w:tc>
        <w:tc>
          <w:tcPr>
            <w:tcW w:w="447" w:type="pct"/>
            <w:gridSpan w:val="2"/>
            <w:vMerge/>
            <w:shd w:val="clear" w:color="auto" w:fill="FFFFFF" w:themeFill="background1"/>
            <w:noWrap/>
            <w:vAlign w:val="center"/>
          </w:tcPr>
          <w:p w14:paraId="6628936F"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p>
        </w:tc>
        <w:tc>
          <w:tcPr>
            <w:tcW w:w="361" w:type="pct"/>
            <w:vMerge/>
            <w:shd w:val="clear" w:color="auto" w:fill="FFFFFF" w:themeFill="background1"/>
            <w:noWrap/>
            <w:vAlign w:val="center"/>
          </w:tcPr>
          <w:p w14:paraId="3DAD03D5"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p>
        </w:tc>
        <w:tc>
          <w:tcPr>
            <w:tcW w:w="591" w:type="pct"/>
            <w:vMerge/>
            <w:shd w:val="clear" w:color="auto" w:fill="FFFFFF" w:themeFill="background1"/>
            <w:noWrap/>
          </w:tcPr>
          <w:p w14:paraId="3178DB8B"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048B432F"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6D9D13D3"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4E3CEE" w:rsidRPr="00C61D6E" w14:paraId="4BBABF4B" w14:textId="77777777" w:rsidTr="004E3CEE">
        <w:trPr>
          <w:trHeight w:val="446"/>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4BF30E2C" w14:textId="77777777" w:rsidR="000D3722" w:rsidRPr="00C61D6E" w:rsidRDefault="000D3722" w:rsidP="001128D5">
            <w:pPr>
              <w:pStyle w:val="DataTab"/>
              <w:jc w:val="left"/>
              <w:rPr>
                <w:b w:val="0"/>
                <w:lang w:val="en-GB"/>
              </w:rPr>
            </w:pPr>
          </w:p>
        </w:tc>
        <w:tc>
          <w:tcPr>
            <w:tcW w:w="299" w:type="pct"/>
            <w:vMerge/>
            <w:shd w:val="clear" w:color="auto" w:fill="FFFFFF" w:themeFill="background1"/>
            <w:noWrap/>
            <w:textDirection w:val="btLr"/>
          </w:tcPr>
          <w:p w14:paraId="46737A90"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81" w:type="pct"/>
            <w:gridSpan w:val="2"/>
            <w:vMerge/>
            <w:shd w:val="clear" w:color="auto" w:fill="FFFFFF" w:themeFill="background1"/>
          </w:tcPr>
          <w:p w14:paraId="5731B237"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67" w:type="pct"/>
            <w:vMerge/>
            <w:shd w:val="clear" w:color="auto" w:fill="FFFFFF" w:themeFill="background1"/>
            <w:noWrap/>
          </w:tcPr>
          <w:p w14:paraId="288EC1E5"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49" w:type="pct"/>
            <w:shd w:val="clear" w:color="auto" w:fill="FFFFFF" w:themeFill="background1"/>
          </w:tcPr>
          <w:p w14:paraId="07B146D6"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2040-50</w:t>
            </w:r>
          </w:p>
        </w:tc>
        <w:tc>
          <w:tcPr>
            <w:tcW w:w="448" w:type="pct"/>
            <w:gridSpan w:val="2"/>
            <w:shd w:val="clear" w:color="auto" w:fill="FFFFFF" w:themeFill="background1"/>
            <w:noWrap/>
            <w:vAlign w:val="center"/>
          </w:tcPr>
          <w:p w14:paraId="36F72EA6"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70%</w:t>
            </w:r>
          </w:p>
        </w:tc>
        <w:tc>
          <w:tcPr>
            <w:tcW w:w="447" w:type="pct"/>
            <w:gridSpan w:val="2"/>
            <w:vMerge/>
            <w:shd w:val="clear" w:color="auto" w:fill="FFFFFF" w:themeFill="background1"/>
            <w:noWrap/>
            <w:vAlign w:val="center"/>
          </w:tcPr>
          <w:p w14:paraId="43C564E8"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p>
        </w:tc>
        <w:tc>
          <w:tcPr>
            <w:tcW w:w="361" w:type="pct"/>
            <w:vMerge/>
            <w:shd w:val="clear" w:color="auto" w:fill="FFFFFF" w:themeFill="background1"/>
            <w:noWrap/>
            <w:vAlign w:val="center"/>
          </w:tcPr>
          <w:p w14:paraId="06BCE084"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p>
        </w:tc>
        <w:tc>
          <w:tcPr>
            <w:tcW w:w="591" w:type="pct"/>
            <w:vMerge/>
            <w:shd w:val="clear" w:color="auto" w:fill="FFFFFF" w:themeFill="background1"/>
            <w:noWrap/>
          </w:tcPr>
          <w:p w14:paraId="16FDDF54"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246D55E9"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11858E8F"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4E3CEE" w:rsidRPr="00C61D6E" w14:paraId="5D889B6D" w14:textId="77777777" w:rsidTr="004E3C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564974B0" w14:textId="77777777" w:rsidR="000D3722" w:rsidRPr="00C61D6E" w:rsidRDefault="000D3722" w:rsidP="001128D5">
            <w:pPr>
              <w:pStyle w:val="DataTab"/>
              <w:jc w:val="left"/>
              <w:rPr>
                <w:lang w:val="en-GB"/>
              </w:rPr>
            </w:pPr>
          </w:p>
        </w:tc>
        <w:tc>
          <w:tcPr>
            <w:tcW w:w="299" w:type="pct"/>
            <w:vMerge/>
            <w:shd w:val="clear" w:color="auto" w:fill="FFFFFF" w:themeFill="background1"/>
            <w:noWrap/>
            <w:textDirection w:val="btLr"/>
          </w:tcPr>
          <w:p w14:paraId="5B0E78F9"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81" w:type="pct"/>
            <w:gridSpan w:val="2"/>
            <w:vMerge w:val="restart"/>
            <w:shd w:val="clear" w:color="auto" w:fill="FFFFFF" w:themeFill="background1"/>
          </w:tcPr>
          <w:p w14:paraId="5543DE05" w14:textId="7D327BE6" w:rsidR="000D3722" w:rsidRPr="00C61D6E" w:rsidRDefault="000D3722" w:rsidP="00CC121E">
            <w:pPr>
              <w:pStyle w:val="DataTab"/>
              <w:tabs>
                <w:tab w:val="left" w:pos="689"/>
              </w:tabs>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Roadside verges</w:t>
            </w:r>
          </w:p>
        </w:tc>
        <w:tc>
          <w:tcPr>
            <w:tcW w:w="267" w:type="pct"/>
            <w:vMerge w:val="restart"/>
            <w:shd w:val="clear" w:color="auto" w:fill="FFFFFF" w:themeFill="background1"/>
            <w:noWrap/>
            <w:textDirection w:val="btLr"/>
          </w:tcPr>
          <w:p w14:paraId="27A93F6F" w14:textId="77777777" w:rsidR="000D3722" w:rsidRPr="00C61D6E" w:rsidRDefault="000D3722" w:rsidP="000D3722">
            <w:pPr>
              <w:pStyle w:val="DataTab"/>
              <w:ind w:left="113" w:right="113"/>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Competing use (non energy %)</w:t>
            </w:r>
          </w:p>
        </w:tc>
        <w:tc>
          <w:tcPr>
            <w:tcW w:w="349" w:type="pct"/>
            <w:shd w:val="clear" w:color="auto" w:fill="FFFFFF" w:themeFill="background1"/>
          </w:tcPr>
          <w:p w14:paraId="22F34218" w14:textId="77777777" w:rsidR="000D3722" w:rsidRPr="00C61D6E" w:rsidRDefault="000D3722" w:rsidP="00945726">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2020</w:t>
            </w:r>
          </w:p>
        </w:tc>
        <w:tc>
          <w:tcPr>
            <w:tcW w:w="448" w:type="pct"/>
            <w:gridSpan w:val="2"/>
            <w:shd w:val="clear" w:color="auto" w:fill="FFFFFF" w:themeFill="background1"/>
            <w:noWrap/>
          </w:tcPr>
          <w:p w14:paraId="693B521B"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50%</w:t>
            </w:r>
          </w:p>
        </w:tc>
        <w:tc>
          <w:tcPr>
            <w:tcW w:w="447" w:type="pct"/>
            <w:gridSpan w:val="2"/>
            <w:vMerge w:val="restart"/>
            <w:shd w:val="clear" w:color="auto" w:fill="FFFFFF" w:themeFill="background1"/>
            <w:noWrap/>
            <w:vAlign w:val="center"/>
          </w:tcPr>
          <w:p w14:paraId="23C9C946"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Base-year</w:t>
            </w:r>
          </w:p>
        </w:tc>
        <w:tc>
          <w:tcPr>
            <w:tcW w:w="361" w:type="pct"/>
            <w:vMerge w:val="restart"/>
            <w:shd w:val="clear" w:color="auto" w:fill="FFFFFF" w:themeFill="background1"/>
            <w:noWrap/>
            <w:vAlign w:val="center"/>
          </w:tcPr>
          <w:p w14:paraId="0F3B58C0"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80%</w:t>
            </w:r>
          </w:p>
        </w:tc>
        <w:tc>
          <w:tcPr>
            <w:tcW w:w="591" w:type="pct"/>
            <w:vMerge/>
            <w:shd w:val="clear" w:color="auto" w:fill="FFFFFF" w:themeFill="background1"/>
            <w:noWrap/>
          </w:tcPr>
          <w:p w14:paraId="72C87AD0"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101C7F31"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30483792"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301014" w:rsidRPr="00C61D6E" w14:paraId="22B13732" w14:textId="77777777" w:rsidTr="004E3CEE">
        <w:trPr>
          <w:trHeight w:val="446"/>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5CBF9810" w14:textId="77777777" w:rsidR="000D3722" w:rsidRPr="00C61D6E" w:rsidRDefault="000D3722" w:rsidP="001128D5">
            <w:pPr>
              <w:pStyle w:val="DataTab"/>
              <w:jc w:val="left"/>
              <w:rPr>
                <w:b w:val="0"/>
                <w:lang w:val="en-GB"/>
              </w:rPr>
            </w:pPr>
          </w:p>
        </w:tc>
        <w:tc>
          <w:tcPr>
            <w:tcW w:w="299" w:type="pct"/>
            <w:vMerge/>
            <w:shd w:val="clear" w:color="auto" w:fill="FFFFFF" w:themeFill="background1"/>
            <w:noWrap/>
            <w:textDirection w:val="btLr"/>
          </w:tcPr>
          <w:p w14:paraId="3D397421"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81" w:type="pct"/>
            <w:gridSpan w:val="2"/>
            <w:vMerge/>
            <w:shd w:val="clear" w:color="auto" w:fill="FFFFFF" w:themeFill="background1"/>
          </w:tcPr>
          <w:p w14:paraId="6028F96B"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267" w:type="pct"/>
            <w:vMerge/>
            <w:shd w:val="clear" w:color="auto" w:fill="FFFFFF" w:themeFill="background1"/>
            <w:noWrap/>
          </w:tcPr>
          <w:p w14:paraId="1EF55923" w14:textId="77777777" w:rsidR="000D3722" w:rsidRPr="00C61D6E" w:rsidRDefault="000D3722" w:rsidP="00945726">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349" w:type="pct"/>
            <w:tcBorders>
              <w:top w:val="single" w:sz="8" w:space="0" w:color="F79646" w:themeColor="accent6"/>
              <w:bottom w:val="single" w:sz="8" w:space="0" w:color="F79646" w:themeColor="accent6"/>
            </w:tcBorders>
            <w:shd w:val="clear" w:color="auto" w:fill="FFFFFF" w:themeFill="background1"/>
          </w:tcPr>
          <w:p w14:paraId="45695055" w14:textId="77777777" w:rsidR="000D3722" w:rsidRPr="00C61D6E" w:rsidRDefault="000D3722" w:rsidP="00945726">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2030</w:t>
            </w:r>
          </w:p>
        </w:tc>
        <w:tc>
          <w:tcPr>
            <w:tcW w:w="448" w:type="pct"/>
            <w:gridSpan w:val="2"/>
            <w:shd w:val="clear" w:color="auto" w:fill="FFFFFF" w:themeFill="background1"/>
            <w:noWrap/>
          </w:tcPr>
          <w:p w14:paraId="743BA4B1" w14:textId="77777777" w:rsidR="000D3722" w:rsidRPr="00C61D6E" w:rsidRDefault="000D3722" w:rsidP="000D3722">
            <w:pPr>
              <w:pStyle w:val="DataTab"/>
              <w:jc w:val="righ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40%</w:t>
            </w:r>
          </w:p>
        </w:tc>
        <w:tc>
          <w:tcPr>
            <w:tcW w:w="447" w:type="pct"/>
            <w:gridSpan w:val="2"/>
            <w:vMerge/>
            <w:shd w:val="clear" w:color="auto" w:fill="FFFFFF" w:themeFill="background1"/>
            <w:noWrap/>
          </w:tcPr>
          <w:p w14:paraId="2F2A1602" w14:textId="77777777" w:rsidR="000D3722" w:rsidRPr="00C61D6E" w:rsidRDefault="000D3722" w:rsidP="00945726">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361" w:type="pct"/>
            <w:vMerge/>
            <w:shd w:val="clear" w:color="auto" w:fill="FFFFFF" w:themeFill="background1"/>
            <w:noWrap/>
          </w:tcPr>
          <w:p w14:paraId="7C9B205E" w14:textId="77777777" w:rsidR="000D3722" w:rsidRPr="00C61D6E" w:rsidRDefault="000D3722" w:rsidP="00945726">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1" w:type="pct"/>
            <w:vMerge/>
            <w:shd w:val="clear" w:color="auto" w:fill="FFFFFF" w:themeFill="background1"/>
            <w:noWrap/>
          </w:tcPr>
          <w:p w14:paraId="6635A796"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336B25FF"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309D6ED2"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4E3CEE" w:rsidRPr="00C61D6E" w14:paraId="0AA183DF" w14:textId="77777777" w:rsidTr="004E3CEE">
        <w:trPr>
          <w:cnfStyle w:val="000000100000" w:firstRow="0" w:lastRow="0" w:firstColumn="0" w:lastColumn="0" w:oddVBand="0" w:evenVBand="0" w:oddHBand="1" w:evenHBand="0" w:firstRowFirstColumn="0" w:firstRowLastColumn="0" w:lastRowFirstColumn="0" w:lastRowLastColumn="0"/>
          <w:trHeight w:val="759"/>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vAlign w:val="center"/>
          </w:tcPr>
          <w:p w14:paraId="039F48E4" w14:textId="77777777" w:rsidR="000D3722" w:rsidRPr="00C61D6E" w:rsidRDefault="000D3722" w:rsidP="001128D5">
            <w:pPr>
              <w:pStyle w:val="DataTab"/>
              <w:jc w:val="left"/>
              <w:rPr>
                <w:b w:val="0"/>
                <w:lang w:val="en-GB"/>
              </w:rPr>
            </w:pPr>
          </w:p>
        </w:tc>
        <w:tc>
          <w:tcPr>
            <w:tcW w:w="299" w:type="pct"/>
            <w:vMerge/>
            <w:shd w:val="clear" w:color="auto" w:fill="FFFFFF" w:themeFill="background1"/>
            <w:noWrap/>
            <w:textDirection w:val="btLr"/>
          </w:tcPr>
          <w:p w14:paraId="10BC107F"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81" w:type="pct"/>
            <w:gridSpan w:val="2"/>
            <w:vMerge/>
            <w:shd w:val="clear" w:color="auto" w:fill="FFFFFF" w:themeFill="background1"/>
          </w:tcPr>
          <w:p w14:paraId="19D19E6C"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267" w:type="pct"/>
            <w:vMerge/>
            <w:shd w:val="clear" w:color="auto" w:fill="FFFFFF" w:themeFill="background1"/>
            <w:noWrap/>
          </w:tcPr>
          <w:p w14:paraId="19B75740" w14:textId="77777777" w:rsidR="000D3722" w:rsidRPr="00C61D6E" w:rsidRDefault="000D3722" w:rsidP="00945726">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349" w:type="pct"/>
            <w:shd w:val="clear" w:color="auto" w:fill="FFFFFF" w:themeFill="background1"/>
          </w:tcPr>
          <w:p w14:paraId="299AE6B4" w14:textId="77777777" w:rsidR="000D3722" w:rsidRPr="00C61D6E" w:rsidRDefault="000D3722" w:rsidP="00945726">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2030-50</w:t>
            </w:r>
          </w:p>
        </w:tc>
        <w:tc>
          <w:tcPr>
            <w:tcW w:w="448" w:type="pct"/>
            <w:gridSpan w:val="2"/>
            <w:shd w:val="clear" w:color="auto" w:fill="FFFFFF" w:themeFill="background1"/>
            <w:noWrap/>
          </w:tcPr>
          <w:p w14:paraId="36914090" w14:textId="77777777" w:rsidR="000D3722" w:rsidRPr="00C61D6E" w:rsidRDefault="000D3722" w:rsidP="000D3722">
            <w:pPr>
              <w:pStyle w:val="DataTab"/>
              <w:jc w:val="righ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30%</w:t>
            </w:r>
          </w:p>
        </w:tc>
        <w:tc>
          <w:tcPr>
            <w:tcW w:w="447" w:type="pct"/>
            <w:gridSpan w:val="2"/>
            <w:vMerge/>
            <w:shd w:val="clear" w:color="auto" w:fill="FFFFFF" w:themeFill="background1"/>
            <w:noWrap/>
          </w:tcPr>
          <w:p w14:paraId="7D669E7D" w14:textId="77777777" w:rsidR="000D3722" w:rsidRPr="00C61D6E" w:rsidRDefault="000D3722" w:rsidP="00945726">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361" w:type="pct"/>
            <w:vMerge/>
            <w:shd w:val="clear" w:color="auto" w:fill="FFFFFF" w:themeFill="background1"/>
            <w:noWrap/>
          </w:tcPr>
          <w:p w14:paraId="64DB1ADE" w14:textId="77777777" w:rsidR="000D3722" w:rsidRPr="00C61D6E" w:rsidRDefault="000D3722" w:rsidP="00945726">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1" w:type="pct"/>
            <w:vMerge/>
            <w:shd w:val="clear" w:color="auto" w:fill="FFFFFF" w:themeFill="background1"/>
            <w:noWrap/>
          </w:tcPr>
          <w:p w14:paraId="44A2A16C"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2E177FDB"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5690C34F"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4E3CEE" w:rsidRPr="00C61D6E" w14:paraId="60F537C0" w14:textId="77777777" w:rsidTr="004E3CEE">
        <w:trPr>
          <w:trHeight w:val="300"/>
        </w:trPr>
        <w:tc>
          <w:tcPr>
            <w:cnfStyle w:val="001000000000" w:firstRow="0" w:lastRow="0" w:firstColumn="1" w:lastColumn="0" w:oddVBand="0" w:evenVBand="0" w:oddHBand="0" w:evenHBand="0" w:firstRowFirstColumn="0" w:firstRowLastColumn="0" w:lastRowFirstColumn="0" w:lastRowLastColumn="0"/>
            <w:tcW w:w="437" w:type="pct"/>
            <w:vMerge w:val="restart"/>
            <w:shd w:val="clear" w:color="auto" w:fill="FFFFFF" w:themeFill="background1"/>
            <w:noWrap/>
            <w:vAlign w:val="center"/>
          </w:tcPr>
          <w:p w14:paraId="714CB124" w14:textId="77777777" w:rsidR="000D3722" w:rsidRPr="00C61D6E" w:rsidRDefault="000D3722" w:rsidP="001128D5">
            <w:pPr>
              <w:pStyle w:val="DataTab"/>
              <w:jc w:val="left"/>
              <w:rPr>
                <w:lang w:val="en-GB"/>
              </w:rPr>
            </w:pPr>
            <w:r w:rsidRPr="00C61D6E">
              <w:rPr>
                <w:lang w:val="en-GB"/>
              </w:rPr>
              <w:t>TERTIARY RESIDUES</w:t>
            </w:r>
          </w:p>
        </w:tc>
        <w:tc>
          <w:tcPr>
            <w:tcW w:w="299" w:type="pct"/>
            <w:vMerge w:val="restart"/>
            <w:shd w:val="clear" w:color="auto" w:fill="FFFFFF" w:themeFill="background1"/>
            <w:noWrap/>
            <w:textDirection w:val="btLr"/>
          </w:tcPr>
          <w:p w14:paraId="26349596"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Bio-degradable waste</w:t>
            </w:r>
          </w:p>
        </w:tc>
        <w:tc>
          <w:tcPr>
            <w:tcW w:w="481" w:type="pct"/>
            <w:gridSpan w:val="2"/>
            <w:shd w:val="clear" w:color="auto" w:fill="FFFFFF" w:themeFill="background1"/>
          </w:tcPr>
          <w:p w14:paraId="4A5B575C"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Shells/ husks</w:t>
            </w:r>
          </w:p>
        </w:tc>
        <w:tc>
          <w:tcPr>
            <w:tcW w:w="616" w:type="pct"/>
            <w:gridSpan w:val="2"/>
            <w:shd w:val="clear" w:color="auto" w:fill="FFFFFF" w:themeFill="background1"/>
            <w:noWrap/>
          </w:tcPr>
          <w:p w14:paraId="2D334348"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Recycling ratio</w:t>
            </w:r>
          </w:p>
        </w:tc>
        <w:tc>
          <w:tcPr>
            <w:tcW w:w="448" w:type="pct"/>
            <w:gridSpan w:val="2"/>
            <w:vMerge w:val="restart"/>
            <w:shd w:val="clear" w:color="auto" w:fill="FFFFFF" w:themeFill="background1"/>
            <w:noWrap/>
          </w:tcPr>
          <w:p w14:paraId="22A8F959"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Overall recycling quotas for regions increase from status-quo to 100% in 2030 and afterwards, with high residue ratios</w:t>
            </w:r>
          </w:p>
        </w:tc>
        <w:tc>
          <w:tcPr>
            <w:tcW w:w="447" w:type="pct"/>
            <w:gridSpan w:val="2"/>
            <w:vMerge w:val="restart"/>
            <w:shd w:val="clear" w:color="auto" w:fill="FFFFFF" w:themeFill="background1"/>
            <w:noWrap/>
          </w:tcPr>
          <w:p w14:paraId="47729D27" w14:textId="77777777" w:rsidR="000D3722" w:rsidRPr="00C61D6E" w:rsidRDefault="000D3722" w:rsidP="004E3CEE">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Overall recycling quotas for regions harmoni</w:t>
            </w:r>
            <w:r w:rsidR="004E3CEE" w:rsidRPr="00C61D6E">
              <w:rPr>
                <w:lang w:val="en-GB"/>
              </w:rPr>
              <w:t xml:space="preserve">ze on highest benchmark (today: Austria~60%). </w:t>
            </w:r>
            <w:r w:rsidRPr="00C61D6E">
              <w:rPr>
                <w:lang w:val="en-GB"/>
              </w:rPr>
              <w:t>70% in 2040</w:t>
            </w:r>
            <w:r w:rsidR="004E3CEE" w:rsidRPr="00C61D6E">
              <w:rPr>
                <w:lang w:val="en-GB"/>
              </w:rPr>
              <w:t>.</w:t>
            </w:r>
            <w:r w:rsidRPr="00C61D6E">
              <w:rPr>
                <w:lang w:val="en-GB"/>
              </w:rPr>
              <w:t>80% in 20</w:t>
            </w:r>
            <w:r w:rsidR="004E3CEE" w:rsidRPr="00C61D6E">
              <w:rPr>
                <w:lang w:val="en-GB"/>
              </w:rPr>
              <w:t>50 with reference residue ratio</w:t>
            </w:r>
          </w:p>
        </w:tc>
        <w:tc>
          <w:tcPr>
            <w:tcW w:w="361" w:type="pct"/>
            <w:vMerge w:val="restart"/>
            <w:shd w:val="clear" w:color="auto" w:fill="FFFFFF" w:themeFill="background1"/>
            <w:noWrap/>
          </w:tcPr>
          <w:p w14:paraId="1303C87F"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Today’s overall recycling quotas of the countries persist</w:t>
            </w:r>
          </w:p>
        </w:tc>
        <w:tc>
          <w:tcPr>
            <w:tcW w:w="591" w:type="pct"/>
            <w:vMerge/>
            <w:shd w:val="clear" w:color="auto" w:fill="FFFFFF" w:themeFill="background1"/>
            <w:noWrap/>
          </w:tcPr>
          <w:p w14:paraId="132F761F"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1ED34FC4"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2BA7D724"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4E3CEE" w:rsidRPr="00C61D6E" w14:paraId="30864088" w14:textId="77777777" w:rsidTr="004E3C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3A689904" w14:textId="77777777" w:rsidR="000D3722" w:rsidRPr="00C61D6E" w:rsidRDefault="000D3722" w:rsidP="001128D5">
            <w:pPr>
              <w:pStyle w:val="DataTab"/>
              <w:jc w:val="left"/>
              <w:rPr>
                <w:lang w:val="en-GB"/>
              </w:rPr>
            </w:pPr>
          </w:p>
        </w:tc>
        <w:tc>
          <w:tcPr>
            <w:tcW w:w="299" w:type="pct"/>
            <w:vMerge/>
            <w:shd w:val="clear" w:color="auto" w:fill="FFFFFF" w:themeFill="background1"/>
            <w:noWrap/>
            <w:textDirection w:val="btLr"/>
          </w:tcPr>
          <w:p w14:paraId="59C3073E"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81" w:type="pct"/>
            <w:gridSpan w:val="2"/>
            <w:shd w:val="clear" w:color="auto" w:fill="FFFFFF" w:themeFill="background1"/>
          </w:tcPr>
          <w:p w14:paraId="29F9B8BB"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Nut shelling</w:t>
            </w:r>
          </w:p>
        </w:tc>
        <w:tc>
          <w:tcPr>
            <w:tcW w:w="616" w:type="pct"/>
            <w:gridSpan w:val="2"/>
            <w:shd w:val="clear" w:color="auto" w:fill="FFFFFF" w:themeFill="background1"/>
            <w:noWrap/>
          </w:tcPr>
          <w:p w14:paraId="6C30A44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Recycling ratio</w:t>
            </w:r>
          </w:p>
        </w:tc>
        <w:tc>
          <w:tcPr>
            <w:tcW w:w="448" w:type="pct"/>
            <w:gridSpan w:val="2"/>
            <w:vMerge/>
            <w:shd w:val="clear" w:color="auto" w:fill="FFFFFF" w:themeFill="background1"/>
            <w:noWrap/>
          </w:tcPr>
          <w:p w14:paraId="211B9A3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447" w:type="pct"/>
            <w:gridSpan w:val="2"/>
            <w:vMerge/>
            <w:shd w:val="clear" w:color="auto" w:fill="FFFFFF" w:themeFill="background1"/>
            <w:noWrap/>
          </w:tcPr>
          <w:p w14:paraId="3AF879E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361" w:type="pct"/>
            <w:vMerge/>
            <w:shd w:val="clear" w:color="auto" w:fill="FFFFFF" w:themeFill="background1"/>
            <w:noWrap/>
          </w:tcPr>
          <w:p w14:paraId="6969CD7D"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1" w:type="pct"/>
            <w:vMerge/>
            <w:shd w:val="clear" w:color="auto" w:fill="FFFFFF" w:themeFill="background1"/>
            <w:noWrap/>
          </w:tcPr>
          <w:p w14:paraId="1AFD1931"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7ABC2C09"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1FF2612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4E3CEE" w:rsidRPr="00C61D6E" w14:paraId="2BF767B8" w14:textId="77777777" w:rsidTr="004E3CEE">
        <w:trPr>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296664B2" w14:textId="77777777" w:rsidR="000D3722" w:rsidRPr="00C61D6E" w:rsidRDefault="000D3722" w:rsidP="001128D5">
            <w:pPr>
              <w:pStyle w:val="DataTab"/>
              <w:jc w:val="left"/>
              <w:rPr>
                <w:lang w:val="en-GB"/>
              </w:rPr>
            </w:pPr>
          </w:p>
        </w:tc>
        <w:tc>
          <w:tcPr>
            <w:tcW w:w="299" w:type="pct"/>
            <w:vMerge/>
            <w:shd w:val="clear" w:color="auto" w:fill="FFFFFF" w:themeFill="background1"/>
            <w:noWrap/>
            <w:textDirection w:val="btLr"/>
          </w:tcPr>
          <w:p w14:paraId="5831B87C"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81" w:type="pct"/>
            <w:gridSpan w:val="2"/>
            <w:shd w:val="clear" w:color="auto" w:fill="FFFFFF" w:themeFill="background1"/>
          </w:tcPr>
          <w:p w14:paraId="067F5341"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Animal and mixed food</w:t>
            </w:r>
          </w:p>
        </w:tc>
        <w:tc>
          <w:tcPr>
            <w:tcW w:w="616" w:type="pct"/>
            <w:gridSpan w:val="2"/>
            <w:shd w:val="clear" w:color="auto" w:fill="FFFFFF" w:themeFill="background1"/>
            <w:noWrap/>
          </w:tcPr>
          <w:p w14:paraId="5DA98ECC"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Recycling ratio</w:t>
            </w:r>
          </w:p>
        </w:tc>
        <w:tc>
          <w:tcPr>
            <w:tcW w:w="448" w:type="pct"/>
            <w:gridSpan w:val="2"/>
            <w:vMerge/>
            <w:shd w:val="clear" w:color="auto" w:fill="FFFFFF" w:themeFill="background1"/>
            <w:noWrap/>
          </w:tcPr>
          <w:p w14:paraId="4CD80C10"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447" w:type="pct"/>
            <w:gridSpan w:val="2"/>
            <w:vMerge/>
            <w:shd w:val="clear" w:color="auto" w:fill="FFFFFF" w:themeFill="background1"/>
            <w:noWrap/>
          </w:tcPr>
          <w:p w14:paraId="1753A77E"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361" w:type="pct"/>
            <w:vMerge/>
            <w:shd w:val="clear" w:color="auto" w:fill="FFFFFF" w:themeFill="background1"/>
            <w:noWrap/>
          </w:tcPr>
          <w:p w14:paraId="7F4D52E7"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1" w:type="pct"/>
            <w:vMerge/>
            <w:shd w:val="clear" w:color="auto" w:fill="FFFFFF" w:themeFill="background1"/>
            <w:noWrap/>
          </w:tcPr>
          <w:p w14:paraId="547268B8"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44283DF9"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56DE5F35"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4E3CEE" w:rsidRPr="00C61D6E" w14:paraId="4205D0E0" w14:textId="77777777" w:rsidTr="004E3CE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4D52D429" w14:textId="77777777" w:rsidR="000D3722" w:rsidRPr="00C61D6E" w:rsidRDefault="000D3722" w:rsidP="001128D5">
            <w:pPr>
              <w:pStyle w:val="DataTab"/>
              <w:jc w:val="left"/>
              <w:rPr>
                <w:lang w:val="en-GB"/>
              </w:rPr>
            </w:pPr>
          </w:p>
        </w:tc>
        <w:tc>
          <w:tcPr>
            <w:tcW w:w="299" w:type="pct"/>
            <w:vMerge/>
            <w:shd w:val="clear" w:color="auto" w:fill="FFFFFF" w:themeFill="background1"/>
            <w:noWrap/>
            <w:textDirection w:val="btLr"/>
          </w:tcPr>
          <w:p w14:paraId="7DA20C52"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p>
        </w:tc>
        <w:tc>
          <w:tcPr>
            <w:tcW w:w="481" w:type="pct"/>
            <w:gridSpan w:val="2"/>
            <w:shd w:val="clear" w:color="auto" w:fill="FFFFFF" w:themeFill="background1"/>
          </w:tcPr>
          <w:p w14:paraId="4CBFA76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Vegetal waste</w:t>
            </w:r>
          </w:p>
        </w:tc>
        <w:tc>
          <w:tcPr>
            <w:tcW w:w="616" w:type="pct"/>
            <w:gridSpan w:val="2"/>
            <w:shd w:val="clear" w:color="auto" w:fill="FFFFFF" w:themeFill="background1"/>
            <w:noWrap/>
          </w:tcPr>
          <w:p w14:paraId="6F8670A3"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Recycling ratio</w:t>
            </w:r>
          </w:p>
        </w:tc>
        <w:tc>
          <w:tcPr>
            <w:tcW w:w="448" w:type="pct"/>
            <w:gridSpan w:val="2"/>
            <w:vMerge/>
            <w:shd w:val="clear" w:color="auto" w:fill="FFFFFF" w:themeFill="background1"/>
            <w:noWrap/>
          </w:tcPr>
          <w:p w14:paraId="139C02F8"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447" w:type="pct"/>
            <w:gridSpan w:val="2"/>
            <w:vMerge/>
            <w:shd w:val="clear" w:color="auto" w:fill="FFFFFF" w:themeFill="background1"/>
            <w:noWrap/>
          </w:tcPr>
          <w:p w14:paraId="632AB158"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361" w:type="pct"/>
            <w:vMerge/>
            <w:shd w:val="clear" w:color="auto" w:fill="FFFFFF" w:themeFill="background1"/>
            <w:noWrap/>
          </w:tcPr>
          <w:p w14:paraId="77E26138"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1" w:type="pct"/>
            <w:vMerge/>
            <w:shd w:val="clear" w:color="auto" w:fill="FFFFFF" w:themeFill="background1"/>
            <w:noWrap/>
          </w:tcPr>
          <w:p w14:paraId="42B8A2E5"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404E0747"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0C7A11B4"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4E3CEE" w:rsidRPr="00C61D6E" w14:paraId="1CBDB22A" w14:textId="77777777" w:rsidTr="004E3CEE">
        <w:trPr>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742AFAD6" w14:textId="77777777" w:rsidR="000D3722" w:rsidRPr="00C61D6E" w:rsidRDefault="000D3722" w:rsidP="001128D5">
            <w:pPr>
              <w:pStyle w:val="DataTab"/>
              <w:jc w:val="left"/>
              <w:rPr>
                <w:lang w:val="en-GB"/>
              </w:rPr>
            </w:pPr>
          </w:p>
        </w:tc>
        <w:tc>
          <w:tcPr>
            <w:tcW w:w="299" w:type="pct"/>
            <w:vMerge/>
            <w:shd w:val="clear" w:color="auto" w:fill="FFFFFF" w:themeFill="background1"/>
            <w:noWrap/>
            <w:textDirection w:val="btLr"/>
          </w:tcPr>
          <w:p w14:paraId="2FE5DF4D"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481" w:type="pct"/>
            <w:gridSpan w:val="2"/>
            <w:shd w:val="clear" w:color="auto" w:fill="FFFFFF" w:themeFill="background1"/>
          </w:tcPr>
          <w:p w14:paraId="20B454AE"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Municipal Solid Waste</w:t>
            </w:r>
          </w:p>
        </w:tc>
        <w:tc>
          <w:tcPr>
            <w:tcW w:w="616" w:type="pct"/>
            <w:gridSpan w:val="2"/>
            <w:shd w:val="clear" w:color="auto" w:fill="FFFFFF" w:themeFill="background1"/>
            <w:noWrap/>
          </w:tcPr>
          <w:p w14:paraId="41216A88"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Recycling ratio</w:t>
            </w:r>
          </w:p>
        </w:tc>
        <w:tc>
          <w:tcPr>
            <w:tcW w:w="448" w:type="pct"/>
            <w:gridSpan w:val="2"/>
            <w:vMerge/>
            <w:shd w:val="clear" w:color="auto" w:fill="FFFFFF" w:themeFill="background1"/>
            <w:noWrap/>
          </w:tcPr>
          <w:p w14:paraId="3A00BCA6"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447" w:type="pct"/>
            <w:gridSpan w:val="2"/>
            <w:vMerge/>
            <w:shd w:val="clear" w:color="auto" w:fill="FFFFFF" w:themeFill="background1"/>
            <w:noWrap/>
          </w:tcPr>
          <w:p w14:paraId="4951EC98"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361" w:type="pct"/>
            <w:vMerge/>
            <w:shd w:val="clear" w:color="auto" w:fill="FFFFFF" w:themeFill="background1"/>
            <w:noWrap/>
          </w:tcPr>
          <w:p w14:paraId="66EE5736"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1" w:type="pct"/>
            <w:vMerge/>
            <w:shd w:val="clear" w:color="auto" w:fill="FFFFFF" w:themeFill="background1"/>
            <w:noWrap/>
          </w:tcPr>
          <w:p w14:paraId="6094A435"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416C6D2E"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77A55513"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0D3722" w:rsidRPr="00C61D6E" w14:paraId="435F1DC2" w14:textId="77777777" w:rsidTr="000330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3468BD44" w14:textId="77777777" w:rsidR="000D3722" w:rsidRPr="00C61D6E" w:rsidRDefault="000D3722" w:rsidP="001128D5">
            <w:pPr>
              <w:pStyle w:val="DataTab"/>
              <w:jc w:val="left"/>
              <w:rPr>
                <w:lang w:val="en-GB"/>
              </w:rPr>
            </w:pPr>
          </w:p>
        </w:tc>
        <w:tc>
          <w:tcPr>
            <w:tcW w:w="780" w:type="pct"/>
            <w:gridSpan w:val="3"/>
            <w:vMerge w:val="restart"/>
            <w:shd w:val="clear" w:color="auto" w:fill="FFFFFF" w:themeFill="background1"/>
            <w:noWrap/>
            <w:textDirection w:val="btLr"/>
          </w:tcPr>
          <w:p w14:paraId="3131A289"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Woody waste (incl. Discarded furniture, Woody fraction)</w:t>
            </w:r>
          </w:p>
        </w:tc>
        <w:tc>
          <w:tcPr>
            <w:tcW w:w="616" w:type="pct"/>
            <w:gridSpan w:val="2"/>
            <w:shd w:val="clear" w:color="auto" w:fill="FFFFFF" w:themeFill="background1"/>
            <w:noWrap/>
          </w:tcPr>
          <w:p w14:paraId="58352A86"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Residue ratio</w:t>
            </w:r>
          </w:p>
        </w:tc>
        <w:tc>
          <w:tcPr>
            <w:tcW w:w="1257" w:type="pct"/>
            <w:gridSpan w:val="5"/>
            <w:shd w:val="clear" w:color="auto" w:fill="FFFFFF" w:themeFill="background1"/>
            <w:noWrap/>
          </w:tcPr>
          <w:p w14:paraId="0AAD3ED5"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As in Eurostat for base year extrapolated towards 2050 according to</w:t>
            </w:r>
          </w:p>
        </w:tc>
        <w:tc>
          <w:tcPr>
            <w:tcW w:w="591" w:type="pct"/>
            <w:vMerge/>
            <w:shd w:val="clear" w:color="auto" w:fill="FFFFFF" w:themeFill="background1"/>
            <w:noWrap/>
          </w:tcPr>
          <w:p w14:paraId="3350374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2765D76B"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0905ECEE"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0D3722" w:rsidRPr="00C61D6E" w14:paraId="1254E87C" w14:textId="77777777" w:rsidTr="009D6D5B">
        <w:trPr>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33057744" w14:textId="77777777" w:rsidR="000D3722" w:rsidRPr="00C61D6E" w:rsidRDefault="000D3722" w:rsidP="001128D5">
            <w:pPr>
              <w:pStyle w:val="DataTab"/>
              <w:jc w:val="left"/>
              <w:rPr>
                <w:lang w:val="en-GB"/>
              </w:rPr>
            </w:pPr>
          </w:p>
        </w:tc>
        <w:tc>
          <w:tcPr>
            <w:tcW w:w="780" w:type="pct"/>
            <w:gridSpan w:val="3"/>
            <w:vMerge/>
            <w:shd w:val="clear" w:color="auto" w:fill="FFFFFF" w:themeFill="background1"/>
            <w:noWrap/>
            <w:textDirection w:val="btLr"/>
          </w:tcPr>
          <w:p w14:paraId="73BD32BB" w14:textId="77777777" w:rsidR="000D3722" w:rsidRPr="00C61D6E" w:rsidRDefault="000D3722" w:rsidP="001128D5">
            <w:pPr>
              <w:pStyle w:val="DataTab"/>
              <w:ind w:left="113" w:right="113"/>
              <w:jc w:val="center"/>
              <w:cnfStyle w:val="000000000000" w:firstRow="0" w:lastRow="0" w:firstColumn="0" w:lastColumn="0" w:oddVBand="0" w:evenVBand="0" w:oddHBand="0" w:evenHBand="0" w:firstRowFirstColumn="0" w:firstRowLastColumn="0" w:lastRowFirstColumn="0" w:lastRowLastColumn="0"/>
              <w:rPr>
                <w:b/>
                <w:lang w:val="en-GB"/>
              </w:rPr>
            </w:pPr>
          </w:p>
        </w:tc>
        <w:tc>
          <w:tcPr>
            <w:tcW w:w="616" w:type="pct"/>
            <w:gridSpan w:val="2"/>
            <w:shd w:val="clear" w:color="auto" w:fill="FFFFFF" w:themeFill="background1"/>
            <w:noWrap/>
          </w:tcPr>
          <w:p w14:paraId="3C5037A1"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Competing use (% NOT going to energy)</w:t>
            </w:r>
          </w:p>
        </w:tc>
        <w:tc>
          <w:tcPr>
            <w:tcW w:w="349" w:type="pct"/>
            <w:shd w:val="clear" w:color="auto" w:fill="FFFFFF" w:themeFill="background1"/>
            <w:noWrap/>
          </w:tcPr>
          <w:p w14:paraId="6C72F387"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20%</w:t>
            </w:r>
          </w:p>
        </w:tc>
        <w:tc>
          <w:tcPr>
            <w:tcW w:w="445" w:type="pct"/>
            <w:gridSpan w:val="2"/>
            <w:shd w:val="clear" w:color="auto" w:fill="FFFFFF" w:themeFill="background1"/>
            <w:noWrap/>
          </w:tcPr>
          <w:p w14:paraId="10F56C4B"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Base Year</w:t>
            </w:r>
          </w:p>
        </w:tc>
        <w:tc>
          <w:tcPr>
            <w:tcW w:w="463" w:type="pct"/>
            <w:gridSpan w:val="2"/>
            <w:shd w:val="clear" w:color="auto" w:fill="FFFFFF" w:themeFill="background1"/>
            <w:noWrap/>
          </w:tcPr>
          <w:p w14:paraId="3248429A"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r w:rsidRPr="00C61D6E">
              <w:rPr>
                <w:lang w:val="en-GB"/>
              </w:rPr>
              <w:t>50%</w:t>
            </w:r>
          </w:p>
        </w:tc>
        <w:tc>
          <w:tcPr>
            <w:tcW w:w="591" w:type="pct"/>
            <w:vMerge/>
            <w:shd w:val="clear" w:color="auto" w:fill="FFFFFF" w:themeFill="background1"/>
            <w:noWrap/>
          </w:tcPr>
          <w:p w14:paraId="192FE11E"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5CDC0733"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000D1E6D"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0D3722" w:rsidRPr="00C61D6E" w14:paraId="27AC3824" w14:textId="77777777" w:rsidTr="009D6D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5E6788F4" w14:textId="77777777" w:rsidR="000D3722" w:rsidRPr="00C61D6E" w:rsidRDefault="000D3722" w:rsidP="001128D5">
            <w:pPr>
              <w:pStyle w:val="DataTab"/>
              <w:jc w:val="left"/>
              <w:rPr>
                <w:lang w:val="en-GB"/>
              </w:rPr>
            </w:pPr>
          </w:p>
        </w:tc>
        <w:tc>
          <w:tcPr>
            <w:tcW w:w="349" w:type="pct"/>
            <w:gridSpan w:val="2"/>
            <w:vMerge w:val="restart"/>
            <w:shd w:val="clear" w:color="auto" w:fill="FFFFFF" w:themeFill="background1"/>
            <w:noWrap/>
            <w:textDirection w:val="btLr"/>
          </w:tcPr>
          <w:p w14:paraId="44FDF112" w14:textId="77777777" w:rsidR="000D3722" w:rsidRPr="00C61D6E" w:rsidRDefault="000D3722" w:rsidP="001128D5">
            <w:pPr>
              <w:pStyle w:val="DataTab"/>
              <w:ind w:left="113" w:right="113"/>
              <w:jc w:val="center"/>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Other waste</w:t>
            </w:r>
          </w:p>
        </w:tc>
        <w:tc>
          <w:tcPr>
            <w:tcW w:w="431" w:type="pct"/>
            <w:shd w:val="clear" w:color="auto" w:fill="FFFFFF" w:themeFill="background1"/>
          </w:tcPr>
          <w:p w14:paraId="5D160D8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Paper cardboard</w:t>
            </w:r>
          </w:p>
        </w:tc>
        <w:tc>
          <w:tcPr>
            <w:tcW w:w="616" w:type="pct"/>
            <w:gridSpan w:val="2"/>
            <w:vMerge w:val="restart"/>
            <w:shd w:val="clear" w:color="auto" w:fill="FFFFFF" w:themeFill="background1"/>
            <w:noWrap/>
          </w:tcPr>
          <w:p w14:paraId="32124458"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Competing use</w:t>
            </w:r>
          </w:p>
          <w:p w14:paraId="01D4BC50"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Residue Ratio</w:t>
            </w:r>
          </w:p>
        </w:tc>
        <w:tc>
          <w:tcPr>
            <w:tcW w:w="349" w:type="pct"/>
            <w:vMerge w:val="restart"/>
            <w:shd w:val="clear" w:color="auto" w:fill="FFFFFF" w:themeFill="background1"/>
            <w:noWrap/>
          </w:tcPr>
          <w:p w14:paraId="59490275"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All biomass from other waste sources are used for energy purposes</w:t>
            </w:r>
          </w:p>
        </w:tc>
        <w:tc>
          <w:tcPr>
            <w:tcW w:w="445" w:type="pct"/>
            <w:gridSpan w:val="2"/>
            <w:vMerge w:val="restart"/>
            <w:shd w:val="clear" w:color="auto" w:fill="FFFFFF" w:themeFill="background1"/>
            <w:noWrap/>
          </w:tcPr>
          <w:p w14:paraId="60F02197"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Interpolation between low and high scenario</w:t>
            </w:r>
          </w:p>
        </w:tc>
        <w:tc>
          <w:tcPr>
            <w:tcW w:w="463" w:type="pct"/>
            <w:gridSpan w:val="2"/>
            <w:vMerge w:val="restart"/>
            <w:shd w:val="clear" w:color="auto" w:fill="FFFFFF" w:themeFill="background1"/>
            <w:noWrap/>
          </w:tcPr>
          <w:p w14:paraId="77457B96"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r w:rsidRPr="00C61D6E">
              <w:rPr>
                <w:lang w:val="en-GB"/>
              </w:rPr>
              <w:t>Today’s recycling quotas of the countries persist</w:t>
            </w:r>
          </w:p>
        </w:tc>
        <w:tc>
          <w:tcPr>
            <w:tcW w:w="591" w:type="pct"/>
            <w:vMerge/>
            <w:shd w:val="clear" w:color="auto" w:fill="FFFFFF" w:themeFill="background1"/>
            <w:noWrap/>
          </w:tcPr>
          <w:p w14:paraId="3FA3329C"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shd w:val="clear" w:color="auto" w:fill="FFFFFF" w:themeFill="background1"/>
            <w:noWrap/>
          </w:tcPr>
          <w:p w14:paraId="72D97418"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shd w:val="clear" w:color="auto" w:fill="FFFFFF" w:themeFill="background1"/>
            <w:noWrap/>
          </w:tcPr>
          <w:p w14:paraId="1B47AC5D"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r w:rsidR="000D3722" w:rsidRPr="00C61D6E" w14:paraId="0BEE0069" w14:textId="77777777" w:rsidTr="009D6D5B">
        <w:trPr>
          <w:trHeight w:val="300"/>
        </w:trPr>
        <w:tc>
          <w:tcPr>
            <w:cnfStyle w:val="001000000000" w:firstRow="0" w:lastRow="0" w:firstColumn="1" w:lastColumn="0" w:oddVBand="0" w:evenVBand="0" w:oddHBand="0" w:evenHBand="0" w:firstRowFirstColumn="0" w:firstRowLastColumn="0" w:lastRowFirstColumn="0" w:lastRowLastColumn="0"/>
            <w:tcW w:w="437" w:type="pct"/>
            <w:vMerge/>
            <w:shd w:val="clear" w:color="auto" w:fill="FFFFFF" w:themeFill="background1"/>
            <w:noWrap/>
          </w:tcPr>
          <w:p w14:paraId="14F27414" w14:textId="77777777" w:rsidR="000D3722" w:rsidRPr="00C61D6E" w:rsidRDefault="000D3722" w:rsidP="001128D5">
            <w:pPr>
              <w:pStyle w:val="DataTab"/>
              <w:jc w:val="left"/>
              <w:rPr>
                <w:lang w:val="en-GB"/>
              </w:rPr>
            </w:pPr>
          </w:p>
        </w:tc>
        <w:tc>
          <w:tcPr>
            <w:tcW w:w="349" w:type="pct"/>
            <w:gridSpan w:val="2"/>
            <w:vMerge/>
            <w:shd w:val="clear" w:color="auto" w:fill="FFFFFF" w:themeFill="background1"/>
            <w:noWrap/>
          </w:tcPr>
          <w:p w14:paraId="345BE32E"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p>
        </w:tc>
        <w:tc>
          <w:tcPr>
            <w:tcW w:w="431" w:type="pct"/>
            <w:shd w:val="clear" w:color="auto" w:fill="FFFFFF" w:themeFill="background1"/>
          </w:tcPr>
          <w:p w14:paraId="4427333A"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b/>
                <w:lang w:val="en-GB"/>
              </w:rPr>
            </w:pPr>
            <w:r w:rsidRPr="00C61D6E">
              <w:rPr>
                <w:b/>
                <w:lang w:val="en-GB"/>
              </w:rPr>
              <w:t>Sewage sludge</w:t>
            </w:r>
          </w:p>
        </w:tc>
        <w:tc>
          <w:tcPr>
            <w:tcW w:w="616" w:type="pct"/>
            <w:gridSpan w:val="2"/>
            <w:vMerge/>
            <w:shd w:val="clear" w:color="auto" w:fill="FFFFFF" w:themeFill="background1"/>
            <w:noWrap/>
          </w:tcPr>
          <w:p w14:paraId="2EE517E8"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349" w:type="pct"/>
            <w:vMerge/>
            <w:shd w:val="clear" w:color="auto" w:fill="FFFFFF" w:themeFill="background1"/>
            <w:noWrap/>
          </w:tcPr>
          <w:p w14:paraId="25D2DEF9"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445" w:type="pct"/>
            <w:gridSpan w:val="2"/>
            <w:vMerge/>
            <w:shd w:val="clear" w:color="auto" w:fill="FFFFFF" w:themeFill="background1"/>
            <w:noWrap/>
          </w:tcPr>
          <w:p w14:paraId="25C0B912"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463" w:type="pct"/>
            <w:gridSpan w:val="2"/>
            <w:vMerge/>
            <w:shd w:val="clear" w:color="auto" w:fill="FFFFFF" w:themeFill="background1"/>
            <w:noWrap/>
          </w:tcPr>
          <w:p w14:paraId="6D88AD5F"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591" w:type="pct"/>
            <w:vMerge/>
            <w:shd w:val="clear" w:color="auto" w:fill="FFFFFF" w:themeFill="background1"/>
            <w:noWrap/>
          </w:tcPr>
          <w:p w14:paraId="2F6FFA71"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60" w:type="pct"/>
            <w:vMerge/>
            <w:shd w:val="clear" w:color="auto" w:fill="FFFFFF" w:themeFill="background1"/>
            <w:noWrap/>
          </w:tcPr>
          <w:p w14:paraId="75E78E4D"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c>
          <w:tcPr>
            <w:tcW w:w="659" w:type="pct"/>
            <w:vMerge/>
            <w:shd w:val="clear" w:color="auto" w:fill="FFFFFF" w:themeFill="background1"/>
            <w:noWrap/>
          </w:tcPr>
          <w:p w14:paraId="4F4B043A" w14:textId="77777777" w:rsidR="000D3722" w:rsidRPr="00C61D6E" w:rsidRDefault="000D3722" w:rsidP="001128D5">
            <w:pPr>
              <w:pStyle w:val="DataTab"/>
              <w:jc w:val="left"/>
              <w:cnfStyle w:val="000000000000" w:firstRow="0" w:lastRow="0" w:firstColumn="0" w:lastColumn="0" w:oddVBand="0" w:evenVBand="0" w:oddHBand="0" w:evenHBand="0" w:firstRowFirstColumn="0" w:firstRowLastColumn="0" w:lastRowFirstColumn="0" w:lastRowLastColumn="0"/>
              <w:rPr>
                <w:lang w:val="en-GB"/>
              </w:rPr>
            </w:pPr>
          </w:p>
        </w:tc>
      </w:tr>
      <w:tr w:rsidR="000D3722" w:rsidRPr="00C61D6E" w14:paraId="5834801D" w14:textId="77777777" w:rsidTr="009D6D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7" w:type="pct"/>
            <w:vMerge/>
            <w:tcBorders>
              <w:bottom w:val="single" w:sz="4" w:space="0" w:color="auto"/>
            </w:tcBorders>
            <w:shd w:val="clear" w:color="auto" w:fill="FFFFFF" w:themeFill="background1"/>
            <w:noWrap/>
          </w:tcPr>
          <w:p w14:paraId="44927FBB" w14:textId="77777777" w:rsidR="000D3722" w:rsidRPr="00C61D6E" w:rsidRDefault="000D3722" w:rsidP="001128D5">
            <w:pPr>
              <w:pStyle w:val="DataTab"/>
              <w:jc w:val="left"/>
              <w:rPr>
                <w:lang w:val="en-GB"/>
              </w:rPr>
            </w:pPr>
          </w:p>
        </w:tc>
        <w:tc>
          <w:tcPr>
            <w:tcW w:w="349" w:type="pct"/>
            <w:gridSpan w:val="2"/>
            <w:vMerge/>
            <w:tcBorders>
              <w:bottom w:val="single" w:sz="4" w:space="0" w:color="auto"/>
            </w:tcBorders>
            <w:shd w:val="clear" w:color="auto" w:fill="FFFFFF" w:themeFill="background1"/>
            <w:noWrap/>
          </w:tcPr>
          <w:p w14:paraId="433AFCA1"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p>
        </w:tc>
        <w:tc>
          <w:tcPr>
            <w:tcW w:w="431" w:type="pct"/>
            <w:tcBorders>
              <w:bottom w:val="single" w:sz="4" w:space="0" w:color="auto"/>
            </w:tcBorders>
            <w:shd w:val="clear" w:color="auto" w:fill="FFFFFF" w:themeFill="background1"/>
          </w:tcPr>
          <w:p w14:paraId="48FA8235"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b/>
                <w:lang w:val="en-GB"/>
              </w:rPr>
            </w:pPr>
            <w:r w:rsidRPr="00C61D6E">
              <w:rPr>
                <w:b/>
                <w:lang w:val="en-GB"/>
              </w:rPr>
              <w:t>Dredging spoils</w:t>
            </w:r>
          </w:p>
        </w:tc>
        <w:tc>
          <w:tcPr>
            <w:tcW w:w="616" w:type="pct"/>
            <w:gridSpan w:val="2"/>
            <w:vMerge/>
            <w:tcBorders>
              <w:bottom w:val="single" w:sz="4" w:space="0" w:color="auto"/>
            </w:tcBorders>
            <w:shd w:val="clear" w:color="auto" w:fill="FFFFFF" w:themeFill="background1"/>
            <w:noWrap/>
          </w:tcPr>
          <w:p w14:paraId="4D61FD4D"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349" w:type="pct"/>
            <w:vMerge/>
            <w:tcBorders>
              <w:bottom w:val="single" w:sz="4" w:space="0" w:color="auto"/>
            </w:tcBorders>
            <w:shd w:val="clear" w:color="auto" w:fill="FFFFFF" w:themeFill="background1"/>
            <w:noWrap/>
          </w:tcPr>
          <w:p w14:paraId="433F48D7"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445" w:type="pct"/>
            <w:gridSpan w:val="2"/>
            <w:vMerge/>
            <w:tcBorders>
              <w:bottom w:val="single" w:sz="4" w:space="0" w:color="auto"/>
            </w:tcBorders>
            <w:shd w:val="clear" w:color="auto" w:fill="FFFFFF" w:themeFill="background1"/>
            <w:noWrap/>
          </w:tcPr>
          <w:p w14:paraId="6DDA4016"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463" w:type="pct"/>
            <w:gridSpan w:val="2"/>
            <w:vMerge/>
            <w:tcBorders>
              <w:bottom w:val="single" w:sz="4" w:space="0" w:color="auto"/>
            </w:tcBorders>
            <w:shd w:val="clear" w:color="auto" w:fill="FFFFFF" w:themeFill="background1"/>
            <w:noWrap/>
          </w:tcPr>
          <w:p w14:paraId="68D97FFB"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591" w:type="pct"/>
            <w:vMerge/>
            <w:tcBorders>
              <w:bottom w:val="single" w:sz="4" w:space="0" w:color="auto"/>
            </w:tcBorders>
            <w:shd w:val="clear" w:color="auto" w:fill="FFFFFF" w:themeFill="background1"/>
            <w:noWrap/>
          </w:tcPr>
          <w:p w14:paraId="7B0FA0EA"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60" w:type="pct"/>
            <w:vMerge/>
            <w:tcBorders>
              <w:bottom w:val="single" w:sz="4" w:space="0" w:color="auto"/>
            </w:tcBorders>
            <w:shd w:val="clear" w:color="auto" w:fill="FFFFFF" w:themeFill="background1"/>
            <w:noWrap/>
          </w:tcPr>
          <w:p w14:paraId="219D1DF5"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c>
          <w:tcPr>
            <w:tcW w:w="659" w:type="pct"/>
            <w:vMerge/>
            <w:tcBorders>
              <w:bottom w:val="single" w:sz="4" w:space="0" w:color="auto"/>
            </w:tcBorders>
            <w:shd w:val="clear" w:color="auto" w:fill="FFFFFF" w:themeFill="background1"/>
            <w:noWrap/>
          </w:tcPr>
          <w:p w14:paraId="2392F7AD" w14:textId="77777777" w:rsidR="000D3722" w:rsidRPr="00C61D6E" w:rsidRDefault="000D3722" w:rsidP="001128D5">
            <w:pPr>
              <w:pStyle w:val="DataTab"/>
              <w:jc w:val="left"/>
              <w:cnfStyle w:val="000000100000" w:firstRow="0" w:lastRow="0" w:firstColumn="0" w:lastColumn="0" w:oddVBand="0" w:evenVBand="0" w:oddHBand="1" w:evenHBand="0" w:firstRowFirstColumn="0" w:firstRowLastColumn="0" w:lastRowFirstColumn="0" w:lastRowLastColumn="0"/>
              <w:rPr>
                <w:lang w:val="en-GB"/>
              </w:rPr>
            </w:pPr>
          </w:p>
        </w:tc>
      </w:tr>
    </w:tbl>
    <w:p w14:paraId="7123B153" w14:textId="77777777" w:rsidR="007573F2" w:rsidRPr="00C61D6E" w:rsidRDefault="007573F2" w:rsidP="00226B5C">
      <w:pPr>
        <w:sectPr w:rsidR="007573F2" w:rsidRPr="00C61D6E" w:rsidSect="00E130A3">
          <w:pgSz w:w="16838" w:h="11906" w:orient="landscape"/>
          <w:pgMar w:top="1418" w:right="1418" w:bottom="1418" w:left="1418" w:header="708" w:footer="708" w:gutter="0"/>
          <w:cols w:space="708"/>
          <w:docGrid w:linePitch="360"/>
        </w:sectPr>
      </w:pPr>
    </w:p>
    <w:p w14:paraId="0156A05D" w14:textId="77777777" w:rsidR="008E183B" w:rsidRPr="00C61D6E" w:rsidRDefault="008E183B" w:rsidP="008E183B">
      <w:pPr>
        <w:pStyle w:val="Heading2"/>
      </w:pPr>
      <w:r w:rsidRPr="00C61D6E">
        <w:lastRenderedPageBreak/>
        <w:t>Forestry energy biomass alternative modelling scheme.</w:t>
      </w:r>
    </w:p>
    <w:p w14:paraId="7352AFC7" w14:textId="77777777" w:rsidR="008E183B" w:rsidRPr="00C61D6E" w:rsidRDefault="008E183B" w:rsidP="008E183B"/>
    <w:p w14:paraId="462E54A3" w14:textId="77777777" w:rsidR="00F60C04" w:rsidRPr="0037138D" w:rsidRDefault="008E183B" w:rsidP="00226B5C">
      <w:r w:rsidRPr="0037138D">
        <w:rPr>
          <w:noProof/>
          <w:lang w:eastAsia="en-GB"/>
        </w:rPr>
        <mc:AlternateContent>
          <mc:Choice Requires="wpc">
            <w:drawing>
              <wp:inline distT="0" distB="0" distL="0" distR="0" wp14:anchorId="323C0845" wp14:editId="44160E44">
                <wp:extent cx="5295569" cy="4142629"/>
                <wp:effectExtent l="0" t="0" r="635"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ounded Rectangle 24"/>
                        <wps:cNvSpPr/>
                        <wps:spPr>
                          <a:xfrm>
                            <a:off x="1632550" y="22"/>
                            <a:ext cx="2518024" cy="1338722"/>
                          </a:xfrm>
                          <a:prstGeom prst="roundRect">
                            <a:avLst>
                              <a:gd name="adj" fmla="val 11320"/>
                            </a:avLst>
                          </a:prstGeom>
                          <a:noFill/>
                        </wps:spPr>
                        <wps:style>
                          <a:lnRef idx="2">
                            <a:schemeClr val="dk1"/>
                          </a:lnRef>
                          <a:fillRef idx="1">
                            <a:schemeClr val="lt1"/>
                          </a:fillRef>
                          <a:effectRef idx="0">
                            <a:schemeClr val="dk1"/>
                          </a:effectRef>
                          <a:fontRef idx="minor">
                            <a:schemeClr val="dk1"/>
                          </a:fontRef>
                        </wps:style>
                        <wps:txbx>
                          <w:txbxContent>
                            <w:p w14:paraId="7668A2A6" w14:textId="77777777" w:rsidR="00726F2E" w:rsidRPr="00D157FF" w:rsidRDefault="00726F2E" w:rsidP="00D157FF">
                              <w:pPr>
                                <w:jc w:val="right"/>
                                <w:rPr>
                                  <w:b/>
                                  <w:sz w:val="32"/>
                                  <w:szCs w:val="32"/>
                                </w:rPr>
                              </w:pPr>
                              <w:r w:rsidRPr="00D157FF">
                                <w:rPr>
                                  <w:b/>
                                  <w:sz w:val="32"/>
                                  <w:szCs w:val="32"/>
                                </w:rPr>
                                <w:t>CBM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759184" y="86994"/>
                            <a:ext cx="1809769" cy="464567"/>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C8AC2E9" w14:textId="77777777" w:rsidR="00726F2E" w:rsidRPr="00D157FF" w:rsidRDefault="00726F2E" w:rsidP="00D157FF">
                              <w:pPr>
                                <w:pStyle w:val="NormalWeb"/>
                                <w:spacing w:before="0" w:beforeAutospacing="0" w:after="0" w:afterAutospacing="0"/>
                                <w:jc w:val="center"/>
                                <w:rPr>
                                  <w:sz w:val="16"/>
                                  <w:szCs w:val="16"/>
                                </w:rPr>
                              </w:pPr>
                              <w:r w:rsidRPr="00D157FF">
                                <w:rPr>
                                  <w:bCs/>
                                  <w:sz w:val="16"/>
                                  <w:szCs w:val="16"/>
                                </w:rPr>
                                <w:t>THINNING, FINAL FELLINGS, GROWING STOCK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419398" y="842806"/>
                            <a:ext cx="1635428" cy="41604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36D2B9DB" w14:textId="77777777" w:rsidR="00726F2E" w:rsidRDefault="00726F2E" w:rsidP="00D157FF">
                              <w:pPr>
                                <w:pStyle w:val="NormalWeb"/>
                                <w:spacing w:before="0" w:beforeAutospacing="0" w:after="0" w:afterAutospacing="0"/>
                                <w:jc w:val="center"/>
                              </w:pPr>
                              <w:r>
                                <w:rPr>
                                  <w:sz w:val="16"/>
                                  <w:szCs w:val="16"/>
                                </w:rPr>
                                <w:t>STUMPS, TOPS &amp; BRANCHES, PRECOMERCIAL THINNINGS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770262" y="1653170"/>
                            <a:ext cx="1100160" cy="623287"/>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41DFD41" w14:textId="77777777" w:rsidR="00726F2E" w:rsidRDefault="00726F2E" w:rsidP="0046669A">
                              <w:pPr>
                                <w:pStyle w:val="NormalWeb"/>
                                <w:spacing w:before="0" w:beforeAutospacing="0" w:after="0" w:afterAutospacing="0"/>
                                <w:jc w:val="center"/>
                              </w:pPr>
                              <w:r>
                                <w:rPr>
                                  <w:sz w:val="16"/>
                                  <w:szCs w:val="16"/>
                                </w:rPr>
                                <w:t>1-POTENTIALY HARVESTABLE STEMWOOD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955006" y="1653522"/>
                            <a:ext cx="1099820" cy="622935"/>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52EBA774" w14:textId="77777777" w:rsidR="00726F2E" w:rsidRDefault="00726F2E" w:rsidP="004C03D7">
                              <w:pPr>
                                <w:pStyle w:val="NormalWeb"/>
                                <w:spacing w:before="0" w:beforeAutospacing="0" w:after="0" w:afterAutospacing="0"/>
                                <w:jc w:val="center"/>
                              </w:pPr>
                              <w:r>
                                <w:rPr>
                                  <w:sz w:val="16"/>
                                  <w:szCs w:val="16"/>
                                </w:rPr>
                                <w:t>2-OTHER WOOD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770262" y="2449006"/>
                            <a:ext cx="1099820" cy="622935"/>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2115B34A" w14:textId="77777777" w:rsidR="00726F2E" w:rsidRDefault="00726F2E" w:rsidP="004C03D7">
                              <w:pPr>
                                <w:pStyle w:val="NormalWeb"/>
                                <w:spacing w:before="0" w:beforeAutospacing="0" w:after="0" w:afterAutospacing="0"/>
                                <w:jc w:val="center"/>
                              </w:pPr>
                              <w:r>
                                <w:rPr>
                                  <w:sz w:val="16"/>
                                  <w:szCs w:val="16"/>
                                </w:rPr>
                                <w:t>3-STEMWOOD AVAILABLE FOR ENERGY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2946715" y="2449641"/>
                            <a:ext cx="1099820" cy="622300"/>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07250583" w14:textId="77777777" w:rsidR="00726F2E" w:rsidRDefault="00726F2E" w:rsidP="004C03D7">
                              <w:pPr>
                                <w:pStyle w:val="NormalWeb"/>
                                <w:spacing w:before="0" w:beforeAutospacing="0" w:after="0" w:afterAutospacing="0"/>
                                <w:jc w:val="center"/>
                              </w:pPr>
                              <w:r>
                                <w:rPr>
                                  <w:sz w:val="16"/>
                                  <w:szCs w:val="16"/>
                                </w:rPr>
                                <w:t>4-AVAILABLE FORENERGY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4148041" y="1706624"/>
                            <a:ext cx="1099820" cy="408435"/>
                          </a:xfrm>
                          <a:prstGeom prst="rect">
                            <a:avLst/>
                          </a:prstGeom>
                          <a:noFill/>
                          <a:ln w="12700">
                            <a:prstDash val="lgDash"/>
                          </a:ln>
                        </wps:spPr>
                        <wps:style>
                          <a:lnRef idx="2">
                            <a:schemeClr val="dk1"/>
                          </a:lnRef>
                          <a:fillRef idx="1">
                            <a:schemeClr val="lt1"/>
                          </a:fillRef>
                          <a:effectRef idx="0">
                            <a:schemeClr val="dk1"/>
                          </a:effectRef>
                          <a:fontRef idx="minor">
                            <a:schemeClr val="dk1"/>
                          </a:fontRef>
                        </wps:style>
                        <wps:txbx>
                          <w:txbxContent>
                            <w:p w14:paraId="6D427673" w14:textId="77777777" w:rsidR="00726F2E" w:rsidRDefault="00726F2E" w:rsidP="00A3372E">
                              <w:pPr>
                                <w:pStyle w:val="NormalWeb"/>
                                <w:spacing w:before="0" w:beforeAutospacing="0" w:after="0" w:afterAutospacing="0"/>
                                <w:jc w:val="center"/>
                              </w:pPr>
                              <w:r>
                                <w:rPr>
                                  <w:sz w:val="16"/>
                                  <w:szCs w:val="16"/>
                                </w:rPr>
                                <w:t>Primary residues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Straight Arrow Connector 450"/>
                        <wps:cNvCnPr/>
                        <wps:spPr>
                          <a:xfrm flipH="1">
                            <a:off x="2250220" y="551561"/>
                            <a:ext cx="15902" cy="1101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1" name="Elbow Connector 451"/>
                        <wps:cNvCnPr/>
                        <wps:spPr>
                          <a:xfrm>
                            <a:off x="2266122" y="742004"/>
                            <a:ext cx="970990" cy="100802"/>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Rounded Rectangle 72"/>
                        <wps:cNvSpPr/>
                        <wps:spPr>
                          <a:xfrm>
                            <a:off x="13023" y="1558486"/>
                            <a:ext cx="1569287" cy="1696523"/>
                          </a:xfrm>
                          <a:prstGeom prst="roundRect">
                            <a:avLst>
                              <a:gd name="adj" fmla="val 9067"/>
                            </a:avLst>
                          </a:prstGeom>
                          <a:noFill/>
                        </wps:spPr>
                        <wps:style>
                          <a:lnRef idx="2">
                            <a:schemeClr val="dk1"/>
                          </a:lnRef>
                          <a:fillRef idx="1">
                            <a:schemeClr val="lt1"/>
                          </a:fillRef>
                          <a:effectRef idx="0">
                            <a:schemeClr val="dk1"/>
                          </a:effectRef>
                          <a:fontRef idx="minor">
                            <a:schemeClr val="dk1"/>
                          </a:fontRef>
                        </wps:style>
                        <wps:txbx>
                          <w:txbxContent>
                            <w:p w14:paraId="55119161" w14:textId="77777777" w:rsidR="00726F2E" w:rsidRDefault="00726F2E" w:rsidP="00192B3F">
                              <w:pPr>
                                <w:pStyle w:val="NormalWeb"/>
                                <w:spacing w:before="0" w:beforeAutospacing="0" w:after="0" w:afterAutospacing="0"/>
                                <w:ind w:left="-142"/>
                                <w:jc w:val="center"/>
                                <w:rPr>
                                  <w:b/>
                                  <w:bCs/>
                                  <w:sz w:val="32"/>
                                  <w:szCs w:val="32"/>
                                </w:rPr>
                              </w:pPr>
                              <w:r>
                                <w:rPr>
                                  <w:b/>
                                  <w:bCs/>
                                  <w:sz w:val="32"/>
                                  <w:szCs w:val="32"/>
                                </w:rPr>
                                <w:t>GFTM</w:t>
                              </w:r>
                            </w:p>
                            <w:p w14:paraId="1E031D31" w14:textId="77777777" w:rsidR="00726F2E" w:rsidRDefault="00726F2E" w:rsidP="00753A52">
                              <w:pPr>
                                <w:pStyle w:val="Norm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8" name="Elbow Connector 458"/>
                        <wps:cNvCnPr>
                          <a:stCxn id="66" idx="2"/>
                          <a:endCxn id="69" idx="0"/>
                        </wps:cNvCnPr>
                        <wps:spPr>
                          <a:xfrm rot="5400000">
                            <a:off x="2233983" y="2362646"/>
                            <a:ext cx="172549" cy="17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flipH="1">
                            <a:off x="1256308" y="2331962"/>
                            <a:ext cx="10640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Rectangle 78"/>
                        <wps:cNvSpPr/>
                        <wps:spPr>
                          <a:xfrm>
                            <a:off x="389614" y="2011635"/>
                            <a:ext cx="866694" cy="647028"/>
                          </a:xfrm>
                          <a:prstGeom prst="rect">
                            <a:avLst/>
                          </a:prstGeom>
                          <a:noFill/>
                          <a:ln w="6350"/>
                        </wps:spPr>
                        <wps:style>
                          <a:lnRef idx="2">
                            <a:schemeClr val="dk1"/>
                          </a:lnRef>
                          <a:fillRef idx="1">
                            <a:schemeClr val="lt1"/>
                          </a:fillRef>
                          <a:effectRef idx="0">
                            <a:schemeClr val="dk1"/>
                          </a:effectRef>
                          <a:fontRef idx="minor">
                            <a:schemeClr val="dk1"/>
                          </a:fontRef>
                        </wps:style>
                        <wps:txbx>
                          <w:txbxContent>
                            <w:p w14:paraId="6E295371" w14:textId="77777777" w:rsidR="00726F2E" w:rsidRDefault="00726F2E" w:rsidP="00753A52">
                              <w:pPr>
                                <w:pStyle w:val="NormalWeb"/>
                                <w:spacing w:before="0" w:beforeAutospacing="0" w:after="0" w:afterAutospacing="0"/>
                                <w:jc w:val="center"/>
                              </w:pPr>
                              <w:r>
                                <w:rPr>
                                  <w:sz w:val="16"/>
                                  <w:szCs w:val="16"/>
                                </w:rPr>
                                <w:t>5-SAW LOGS &amp; PULP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2" name="Straight Arrow Connector 462"/>
                        <wps:cNvCnPr>
                          <a:stCxn id="64" idx="2"/>
                        </wps:cNvCnPr>
                        <wps:spPr>
                          <a:xfrm>
                            <a:off x="3237112" y="1258846"/>
                            <a:ext cx="0" cy="394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4" name="Elbow Connector 464"/>
                        <wps:cNvCnPr>
                          <a:endCxn id="71" idx="0"/>
                        </wps:cNvCnPr>
                        <wps:spPr>
                          <a:xfrm>
                            <a:off x="3237112" y="1489692"/>
                            <a:ext cx="1460839" cy="216932"/>
                          </a:xfrm>
                          <a:prstGeom prst="bentConnector2">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82" name="Rectangle 82"/>
                        <wps:cNvSpPr/>
                        <wps:spPr>
                          <a:xfrm>
                            <a:off x="1770602" y="3435011"/>
                            <a:ext cx="1099820" cy="622300"/>
                          </a:xfrm>
                          <a:prstGeom prst="rect">
                            <a:avLst/>
                          </a:prstGeom>
                          <a:solidFill>
                            <a:schemeClr val="bg1">
                              <a:lumMod val="85000"/>
                            </a:schemeClr>
                          </a:solidFill>
                          <a:ln w="12700"/>
                        </wps:spPr>
                        <wps:style>
                          <a:lnRef idx="2">
                            <a:schemeClr val="dk1"/>
                          </a:lnRef>
                          <a:fillRef idx="1">
                            <a:schemeClr val="lt1"/>
                          </a:fillRef>
                          <a:effectRef idx="0">
                            <a:schemeClr val="dk1"/>
                          </a:effectRef>
                          <a:fontRef idx="minor">
                            <a:schemeClr val="dk1"/>
                          </a:fontRef>
                        </wps:style>
                        <wps:txbx>
                          <w:txbxContent>
                            <w:p w14:paraId="50BFB4AD" w14:textId="77777777" w:rsidR="00726F2E" w:rsidRDefault="00726F2E" w:rsidP="00192B3F">
                              <w:pPr>
                                <w:pStyle w:val="NormalWeb"/>
                                <w:spacing w:before="0" w:beforeAutospacing="0" w:after="0" w:afterAutospacing="0"/>
                                <w:jc w:val="center"/>
                              </w:pPr>
                              <w:r>
                                <w:rPr>
                                  <w:sz w:val="16"/>
                                  <w:szCs w:val="16"/>
                                </w:rPr>
                                <w:t>CHIPS &amp; PELLETS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2955006" y="3434981"/>
                            <a:ext cx="1099820" cy="622300"/>
                          </a:xfrm>
                          <a:prstGeom prst="rect">
                            <a:avLst/>
                          </a:prstGeom>
                          <a:solidFill>
                            <a:schemeClr val="bg1">
                              <a:lumMod val="85000"/>
                            </a:schemeClr>
                          </a:solidFill>
                          <a:ln w="12700"/>
                        </wps:spPr>
                        <wps:style>
                          <a:lnRef idx="2">
                            <a:schemeClr val="dk1"/>
                          </a:lnRef>
                          <a:fillRef idx="1">
                            <a:schemeClr val="lt1"/>
                          </a:fillRef>
                          <a:effectRef idx="0">
                            <a:schemeClr val="dk1"/>
                          </a:effectRef>
                          <a:fontRef idx="minor">
                            <a:schemeClr val="dk1"/>
                          </a:fontRef>
                        </wps:style>
                        <wps:txbx>
                          <w:txbxContent>
                            <w:p w14:paraId="73099F1E" w14:textId="77777777" w:rsidR="00726F2E" w:rsidRDefault="00726F2E" w:rsidP="00192B3F">
                              <w:pPr>
                                <w:pStyle w:val="NormalWeb"/>
                                <w:spacing w:before="0" w:beforeAutospacing="0" w:after="0" w:afterAutospacing="0"/>
                                <w:jc w:val="center"/>
                              </w:pPr>
                              <w:r>
                                <w:rPr>
                                  <w:sz w:val="16"/>
                                  <w:szCs w:val="16"/>
                                </w:rPr>
                                <w:t>FUEL WOOD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5" name="Elbow Connector 465"/>
                        <wps:cNvCnPr>
                          <a:endCxn id="82" idx="1"/>
                        </wps:cNvCnPr>
                        <wps:spPr>
                          <a:xfrm rot="16200000" flipH="1">
                            <a:off x="731047" y="2706605"/>
                            <a:ext cx="1087761" cy="991350"/>
                          </a:xfrm>
                          <a:prstGeom prst="bentConnector2">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a:off x="3335333" y="2273101"/>
                            <a:ext cx="0" cy="1758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2209026" y="3079681"/>
                            <a:ext cx="0" cy="355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3568953" y="3079953"/>
                            <a:ext cx="0" cy="3549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6" name="Elbow Connector 466"/>
                        <wps:cNvCnPr>
                          <a:stCxn id="70" idx="2"/>
                          <a:endCxn id="82" idx="0"/>
                        </wps:cNvCnPr>
                        <wps:spPr>
                          <a:xfrm rot="5400000">
                            <a:off x="2727034" y="2665420"/>
                            <a:ext cx="363070" cy="117611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7" name="Elbow Connector 467"/>
                        <wps:cNvCnPr/>
                        <wps:spPr>
                          <a:xfrm rot="16200000" flipH="1">
                            <a:off x="2661062" y="2669104"/>
                            <a:ext cx="363040" cy="1184744"/>
                          </a:xfrm>
                          <a:prstGeom prst="bentConnector3">
                            <a:avLst>
                              <a:gd name="adj1" fmla="val 6314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291319" y="3461435"/>
                            <a:ext cx="1099820" cy="408305"/>
                          </a:xfrm>
                          <a:prstGeom prst="rect">
                            <a:avLst/>
                          </a:prstGeom>
                          <a:solidFill>
                            <a:schemeClr val="lt1"/>
                          </a:solidFill>
                          <a:ln w="12700">
                            <a:prstDash val="lgDash"/>
                          </a:ln>
                        </wps:spPr>
                        <wps:style>
                          <a:lnRef idx="2">
                            <a:schemeClr val="dk1"/>
                          </a:lnRef>
                          <a:fillRef idx="1">
                            <a:schemeClr val="lt1"/>
                          </a:fillRef>
                          <a:effectRef idx="0">
                            <a:schemeClr val="dk1"/>
                          </a:effectRef>
                          <a:fontRef idx="minor">
                            <a:schemeClr val="dk1"/>
                          </a:fontRef>
                        </wps:style>
                        <wps:txbx>
                          <w:txbxContent>
                            <w:p w14:paraId="149EAEFF" w14:textId="77777777" w:rsidR="00726F2E" w:rsidRDefault="00726F2E" w:rsidP="00192B3F">
                              <w:pPr>
                                <w:pStyle w:val="NormalWeb"/>
                                <w:spacing w:before="0" w:beforeAutospacing="0" w:after="0" w:afterAutospacing="0"/>
                                <w:jc w:val="center"/>
                              </w:pPr>
                              <w:r>
                                <w:rPr>
                                  <w:sz w:val="16"/>
                                  <w:szCs w:val="16"/>
                                </w:rPr>
                                <w:t>Secondary residues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6" o:spid="_x0000_s1026" editas="canvas" style="width:416.95pt;height:326.2pt;mso-position-horizontal-relative:char;mso-position-vertical-relative:line" coordsize="52952,41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">
                <v:shape id="_x0000_s1027" type="#_x0000_t75" style="position:absolute;width:52952;height:41421;visibility:visible;mso-wrap-style:square">
                  <v:fill o:detectmouseclick="t"/>
                  <v:path o:connecttype="none"/>
                </v:shape>
                <v:roundrect id="Rounded Rectangle 24" o:spid="_x0000_s1028" style="position:absolute;left:16325;width:25180;height:13387;visibility:visible;mso-wrap-style:square;v-text-anchor:middle" arcsize="7418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9DsUA&#10;AADbAAAADwAAAGRycy9kb3ducmV2LnhtbESPT2vCQBTE74LfYXlCL6IbRaSmriKC/+qhmvbg8ZF9&#10;TYLZtyG7NfHbu0LB4zAzv2Hmy9aU4ka1KywrGA0jEMSp1QVnCn6+N4N3EM4jaywtk4I7OVguup05&#10;xto2fKZb4jMRIOxiVJB7X8VSujQng25oK+Lg/draoA+yzqSusQlwU8pxFE2lwYLDQo4VrXNKr8mf&#10;UaCPyah/mX4dos9Z/7Q1K77smp1Sb7129QHCU+tf4f/2XisYT+D5JfwA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z0OxQAAANsAAAAPAAAAAAAAAAAAAAAAAJgCAABkcnMv&#10;ZG93bnJldi54bWxQSwUGAAAAAAQABAD1AAAAigMAAAAA&#10;" filled="f" strokecolor="black [3200]" strokeweight="2pt">
                  <v:textbox>
                    <w:txbxContent>
                      <w:p w14:paraId="7668A2A6" w14:textId="77777777" w:rsidR="00726F2E" w:rsidRPr="00D157FF" w:rsidRDefault="00726F2E" w:rsidP="00D157FF">
                        <w:pPr>
                          <w:jc w:val="right"/>
                          <w:rPr>
                            <w:b/>
                            <w:sz w:val="32"/>
                            <w:szCs w:val="32"/>
                          </w:rPr>
                        </w:pPr>
                        <w:r w:rsidRPr="00D157FF">
                          <w:rPr>
                            <w:b/>
                            <w:sz w:val="32"/>
                            <w:szCs w:val="32"/>
                          </w:rPr>
                          <w:t>CBM</w:t>
                        </w:r>
                      </w:p>
                    </w:txbxContent>
                  </v:textbox>
                </v:roundrect>
                <v:rect id="Rectangle 61" o:spid="_x0000_s1029" style="position:absolute;left:17591;top:869;width:18098;height:46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N8aMQA&#10;AADbAAAADwAAAGRycy9kb3ducmV2LnhtbESPUWvCQBCE3wv+h2OFvtWLRcSmniKCYAURtYU8Lrlt&#10;kprbDbmrxn/vCYKPw8x8w0znnavVmVpfCRsYDhJQxLnYigsD38fV2wSUD8gWa2EycCUP81nvZYqp&#10;lQvv6XwIhYoQ9ikaKENoUq19XpJDP5CGOHq/0joMUbaFti1eItzV+j1JxtphxXGhxIaWJeWnw78z&#10;kB+zn79RtttINZHTYivr0cdXZsxrv1t8ggrUhWf40V5bA+Mh3L/EH6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DfGjEAAAA2wAAAA8AAAAAAAAAAAAAAAAAmAIAAGRycy9k&#10;b3ducmV2LnhtbFBLBQYAAAAABAAEAPUAAACJAwAAAAA=&#10;" filled="f" strokecolor="black [3200]" strokeweight=".5pt">
                  <v:textbox>
                    <w:txbxContent>
                      <w:p w14:paraId="2C8AC2E9" w14:textId="77777777" w:rsidR="00726F2E" w:rsidRPr="00D157FF" w:rsidRDefault="00726F2E" w:rsidP="00D157FF">
                        <w:pPr>
                          <w:pStyle w:val="NormalWeb"/>
                          <w:spacing w:before="0" w:beforeAutospacing="0" w:after="0" w:afterAutospacing="0"/>
                          <w:jc w:val="center"/>
                          <w:rPr>
                            <w:sz w:val="16"/>
                            <w:szCs w:val="16"/>
                          </w:rPr>
                        </w:pPr>
                        <w:r w:rsidRPr="00D157FF">
                          <w:rPr>
                            <w:bCs/>
                            <w:sz w:val="16"/>
                            <w:szCs w:val="16"/>
                          </w:rPr>
                          <w:t>THINNING, FINAL FELLINGS, GROWING STOCK</w:t>
                        </w:r>
                      </w:p>
                    </w:txbxContent>
                  </v:textbox>
                </v:rect>
                <v:rect id="Rectangle 64" o:spid="_x0000_s1030" style="position:absolute;left:24193;top:8428;width:16355;height:41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Tf8MQA&#10;AADbAAAADwAAAGRycy9kb3ducmV2LnhtbESPX2vCQBDE3wt+h2MF3+qlEkRTTxFB0EIp9Q/kcclt&#10;k9Tcbsidmn77XqHg4zAzv2EWq9416kadr4UNvIwTUMSF2JpLA6fj9nkGygdki40wGfghD6vl4GmB&#10;mZU7f9LtEEoVIewzNFCF0GZa+6Iih34sLXH0vqRzGKLsSm07vEe4a/QkSabaYc1xocKWNhUVl8PV&#10;GSiO+fk7zT/epJ7JZf0uu3S+z40ZDfv1K6hAfXiE/9s7a2Cawt+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03/DEAAAA2wAAAA8AAAAAAAAAAAAAAAAAmAIAAGRycy9k&#10;b3ducmV2LnhtbFBLBQYAAAAABAAEAPUAAACJAwAAAAA=&#10;" filled="f" strokecolor="black [3200]" strokeweight=".5pt">
                  <v:textbox>
                    <w:txbxContent>
                      <w:p w14:paraId="36D2B9DB" w14:textId="77777777" w:rsidR="00726F2E" w:rsidRDefault="00726F2E" w:rsidP="00D157FF">
                        <w:pPr>
                          <w:pStyle w:val="NormalWeb"/>
                          <w:spacing w:before="0" w:beforeAutospacing="0" w:after="0" w:afterAutospacing="0"/>
                          <w:jc w:val="center"/>
                        </w:pPr>
                        <w:r>
                          <w:rPr>
                            <w:sz w:val="16"/>
                            <w:szCs w:val="16"/>
                          </w:rPr>
                          <w:t>STUMPS, TOPS &amp; BRANCHES, PRECOMERCIAL THINNINGS</w:t>
                        </w:r>
                      </w:p>
                    </w:txbxContent>
                  </v:textbox>
                </v:rect>
                <v:rect id="Rectangle 66" o:spid="_x0000_s1031" style="position:absolute;left:17702;top:16531;width:11002;height:6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kHMQA&#10;AADbAAAADwAAAGRycy9kb3ducmV2LnhtbESPUWvCQBCE34X+h2MLfdOLRYJGTxFBsEIp1RbyuOTW&#10;JJrbDbmrxn/fKxR8HGbmG2ax6l2jrtT5WtjAeJSAIi7E1lwa+Dpuh1NQPiBbbITJwJ08rJZPgwVm&#10;Vm78SddDKFWEsM/QQBVCm2nti4oc+pG0xNE7SecwRNmV2nZ4i3DX6NckSbXDmuNChS1tKiouhx9n&#10;oDjm3+dJ/rGXeiqX9bvsJrO33JiX5349BxWoD4/wf3tnDaQp/H2JP0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q5BzEAAAA2wAAAA8AAAAAAAAAAAAAAAAAmAIAAGRycy9k&#10;b3ducmV2LnhtbFBLBQYAAAAABAAEAPUAAACJAwAAAAA=&#10;" filled="f" strokecolor="black [3200]" strokeweight=".5pt">
                  <v:textbox>
                    <w:txbxContent>
                      <w:p w14:paraId="641DFD41" w14:textId="77777777" w:rsidR="00726F2E" w:rsidRDefault="00726F2E" w:rsidP="0046669A">
                        <w:pPr>
                          <w:pStyle w:val="NormalWeb"/>
                          <w:spacing w:before="0" w:beforeAutospacing="0" w:after="0" w:afterAutospacing="0"/>
                          <w:jc w:val="center"/>
                        </w:pPr>
                        <w:r>
                          <w:rPr>
                            <w:sz w:val="16"/>
                            <w:szCs w:val="16"/>
                          </w:rPr>
                          <w:t>1-POTENTIALY HARVESTABLE STEMWOOD</w:t>
                        </w:r>
                      </w:p>
                    </w:txbxContent>
                  </v:textbox>
                </v:rect>
                <v:rect id="Rectangle 67" o:spid="_x0000_s1032" style="position:absolute;left:29550;top:16535;width:10998;height:6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Bh8QA&#10;AADbAAAADwAAAGRycy9kb3ducmV2LnhtbESPX2vCQBDE34V+h2MLfdNLi1iNniKFgi2I+A/yuOTW&#10;JDW3G3JXTb+9JxR8HGbmN8xs0blaXaj1lbCB10ECijgXW3Fh4LD/7I9B+YBssRYmA3/kYTF/6s0w&#10;tXLlLV12oVARwj5FA2UITaq1z0ty6AfSEEfvJK3DEGVbaNviNcJdrd+SZKQdVhwXSmzoo6T8vPt1&#10;BvJ9dvwZZptvqcZyXq5lNZx8Zca8PHfLKahAXXiE/9sra2D0Dvcv8Qfo+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mQYfEAAAA2wAAAA8AAAAAAAAAAAAAAAAAmAIAAGRycy9k&#10;b3ducmV2LnhtbFBLBQYAAAAABAAEAPUAAACJAwAAAAA=&#10;" filled="f" strokecolor="black [3200]" strokeweight=".5pt">
                  <v:textbox>
                    <w:txbxContent>
                      <w:p w14:paraId="52EBA774" w14:textId="77777777" w:rsidR="00726F2E" w:rsidRDefault="00726F2E" w:rsidP="004C03D7">
                        <w:pPr>
                          <w:pStyle w:val="NormalWeb"/>
                          <w:spacing w:before="0" w:beforeAutospacing="0" w:after="0" w:afterAutospacing="0"/>
                          <w:jc w:val="center"/>
                        </w:pPr>
                        <w:r>
                          <w:rPr>
                            <w:sz w:val="16"/>
                            <w:szCs w:val="16"/>
                          </w:rPr>
                          <w:t>2-OTHER WOOD</w:t>
                        </w:r>
                      </w:p>
                    </w:txbxContent>
                  </v:textbox>
                </v:rect>
                <v:rect id="Rectangle 69" o:spid="_x0000_s1033" style="position:absolute;left:17702;top:24490;width:10998;height:6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VwbsQA&#10;AADbAAAADwAAAGRycy9kb3ducmV2LnhtbESPX2vCQBDE3wW/w7GCb3qpiGjqKSIIWiil/oE8Lrlt&#10;kprbDblT02/fKxR8HGbmN8xy3bla3an1lbCBl3ECijgXW3Fh4HzajeagfEC2WAuTgR/ysF71e0tM&#10;rTz4k+7HUKgIYZ+igTKEJtXa5yU59GNpiKP3Ja3DEGVbaNviI8JdrSdJMtMOK44LJTa0LSm/Hm/O&#10;QH7KLt/T7ONNqrlcN++yny4OmTHDQbd5BRWoC8/wf3tvDcwW8Pcl/g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1cG7EAAAA2wAAAA8AAAAAAAAAAAAAAAAAmAIAAGRycy9k&#10;b3ducmV2LnhtbFBLBQYAAAAABAAEAPUAAACJAwAAAAA=&#10;" filled="f" strokecolor="black [3200]" strokeweight=".5pt">
                  <v:textbox>
                    <w:txbxContent>
                      <w:p w14:paraId="2115B34A" w14:textId="77777777" w:rsidR="00726F2E" w:rsidRDefault="00726F2E" w:rsidP="004C03D7">
                        <w:pPr>
                          <w:pStyle w:val="NormalWeb"/>
                          <w:spacing w:before="0" w:beforeAutospacing="0" w:after="0" w:afterAutospacing="0"/>
                          <w:jc w:val="center"/>
                        </w:pPr>
                        <w:r>
                          <w:rPr>
                            <w:sz w:val="16"/>
                            <w:szCs w:val="16"/>
                          </w:rPr>
                          <w:t>3-STEMWOOD AVAILABLE FOR ENERGY</w:t>
                        </w:r>
                      </w:p>
                    </w:txbxContent>
                  </v:textbox>
                </v:rect>
                <v:rect id="Rectangle 70" o:spid="_x0000_s1034" style="position:absolute;left:29467;top:24496;width:10998;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ZPLsIA&#10;AADbAAAADwAAAGRycy9kb3ducmV2LnhtbERPS2vCQBC+F/wPywi91U2LqI1ughQKVijio5DjkB2T&#10;1OxMyG41/ffdQ8Hjx/de5YNr1ZV63wgbeJ4koIhLsQ1XBk7H96cFKB+QLbbCZOCXPOTZ6GGFqZUb&#10;7+l6CJWKIexTNFCH0KVa+7Imh34iHXHkztI7DBH2lbY93mK4a/VLksy0w4ZjQ40dvdVUXg4/zkB5&#10;LL6+p8VuK81CLutP2UxfPwpjHsfDegkq0BDu4n/3xhqYx/XxS/wBO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k8uwgAAANsAAAAPAAAAAAAAAAAAAAAAAJgCAABkcnMvZG93&#10;bnJldi54bWxQSwUGAAAAAAQABAD1AAAAhwMAAAAA&#10;" filled="f" strokecolor="black [3200]" strokeweight=".5pt">
                  <v:textbox>
                    <w:txbxContent>
                      <w:p w14:paraId="07250583" w14:textId="77777777" w:rsidR="00726F2E" w:rsidRDefault="00726F2E" w:rsidP="004C03D7">
                        <w:pPr>
                          <w:pStyle w:val="NormalWeb"/>
                          <w:spacing w:before="0" w:beforeAutospacing="0" w:after="0" w:afterAutospacing="0"/>
                          <w:jc w:val="center"/>
                        </w:pPr>
                        <w:r>
                          <w:rPr>
                            <w:sz w:val="16"/>
                            <w:szCs w:val="16"/>
                          </w:rPr>
                          <w:t>4-AVAILABLE FORENERGY</w:t>
                        </w:r>
                      </w:p>
                    </w:txbxContent>
                  </v:textbox>
                </v:rect>
                <v:rect id="Rectangle 71" o:spid="_x0000_s1035" style="position:absolute;left:41480;top:17066;width:10998;height:4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HRksQA&#10;AADbAAAADwAAAGRycy9kb3ducmV2LnhtbESPS4vCQBCE78L+h6EFbzrxgSvZjLIISjz5WA97bDJt&#10;EpLpCZkxxn/vCAt7LKrqKyrZ9KYWHbWutKxgOolAEGdWl5wruP7sxisQziNrrC2Tgic52Kw/BgnG&#10;2j74TN3F5yJA2MWooPC+iaV0WUEG3cQ2xMG72dagD7LNpW7xEeCmlrMoWkqDJYeFAhvaFpRVl7tR&#10;cJrv7OK+OvDxGelr9Xs4pum+U2o07L+/QHjq/X/4r51qBZ9TeH8JP0C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0ZLEAAAA2wAAAA8AAAAAAAAAAAAAAAAAmAIAAGRycy9k&#10;b3ducmV2LnhtbFBLBQYAAAAABAAEAPUAAACJAwAAAAA=&#10;" filled="f" strokecolor="black [3200]" strokeweight="1pt">
                  <v:stroke dashstyle="longDash"/>
                  <v:textbox>
                    <w:txbxContent>
                      <w:p w14:paraId="6D427673" w14:textId="77777777" w:rsidR="00726F2E" w:rsidRDefault="00726F2E" w:rsidP="00A3372E">
                        <w:pPr>
                          <w:pStyle w:val="NormalWeb"/>
                          <w:spacing w:before="0" w:beforeAutospacing="0" w:after="0" w:afterAutospacing="0"/>
                          <w:jc w:val="center"/>
                        </w:pPr>
                        <w:r>
                          <w:rPr>
                            <w:sz w:val="16"/>
                            <w:szCs w:val="16"/>
                          </w:rPr>
                          <w:t>Primary residues</w:t>
                        </w:r>
                      </w:p>
                    </w:txbxContent>
                  </v:textbox>
                </v:rect>
                <v:shapetype id="_x0000_t32" coordsize="21600,21600" o:spt="32" o:oned="t" path="m,l21600,21600e" filled="f">
                  <v:path arrowok="t" fillok="f" o:connecttype="none"/>
                  <o:lock v:ext="edit" shapetype="t"/>
                </v:shapetype>
                <v:shape id="Straight Arrow Connector 450" o:spid="_x0000_s1036" type="#_x0000_t32" style="position:absolute;left:22502;top:5515;width:159;height:110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5oZsMAAADcAAAADwAAAGRycy9kb3ducmV2LnhtbERPTUvDQBC9C/0PyxS82Y2SiqTdltIi&#10;KAUlVZDeptlpEszOht21if/eOQg9Pt73cj26Tl0oxNazgftZBoq48rbl2sDnx/PdE6iYkC12nsnA&#10;L0VYryY3SyysH7ikyyHVSkI4FmigSakvtI5VQw7jzPfEwp19cJgEhlrbgIOEu04/ZNmjdtiyNDTY&#10;07ah6vvw46Rkl5fz/df+lFO5eR9Or8e3FI7G3E7HzQJUojFdxf/uF2sgn8t8OSNH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uaGbDAAAA3AAAAA8AAAAAAAAAAAAA&#10;AAAAoQIAAGRycy9kb3ducmV2LnhtbFBLBQYAAAAABAAEAPkAAACRAwAAAAA=&#10;" strokecolor="#4579b8 [3044]">
                  <v:stroke endarrow="open"/>
                </v:shape>
                <v:shapetype id="_x0000_t33" coordsize="21600,21600" o:spt="33" o:oned="t" path="m,l21600,r,21600e" filled="f">
                  <v:stroke joinstyle="miter"/>
                  <v:path arrowok="t" fillok="f" o:connecttype="none"/>
                  <o:lock v:ext="edit" shapetype="t"/>
                </v:shapetype>
                <v:shape id="Elbow Connector 451" o:spid="_x0000_s1037" type="#_x0000_t33" style="position:absolute;left:22661;top:7420;width:9710;height:100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xkxcUAAADcAAAADwAAAGRycy9kb3ducmV2LnhtbESPQWvCQBSE70L/w/IKvdWNVouk2Uip&#10;DRQUpFHw+pp9TYLZtyG76vrvu0LB4zAz3zDZMphOnGlwrWUFk3ECgriyuuVawX5XPC9AOI+ssbNM&#10;Cq7kYJk/jDJMtb3wN51LX4sIYZeigsb7PpXSVQ0ZdGPbE0fv1w4GfZRDLfWAlwg3nZwmyas02HJc&#10;aLCnj4aqY3kyClZb/fK5vs6OPP0Jh409FT6sCqWeHsP7GwhPwd/D/+0vrWA2n8DtTDwCMv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xkxcUAAADcAAAADwAAAAAAAAAA&#10;AAAAAAChAgAAZHJzL2Rvd25yZXYueG1sUEsFBgAAAAAEAAQA+QAAAJMDAAAAAA==&#10;" strokecolor="#4579b8 [3044]">
                  <v:stroke endarrow="open"/>
                </v:shape>
                <v:roundrect id="Rounded Rectangle 72" o:spid="_x0000_s1038" style="position:absolute;left:130;top:15584;width:15693;height:16966;visibility:visible;mso-wrap-style:square;v-text-anchor:top" arcsize="594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SacUA&#10;AADbAAAADwAAAGRycy9kb3ducmV2LnhtbESPzWrDMBCE74G8g9hCL6GW40NSXCuhKS00hxzi9gHW&#10;1vqHWivXUhy3Tx8FAjkOM/MNk20n04mRBtdaVrCMYhDEpdUt1wq+vz6enkE4j6yxs0wK/sjBdjOf&#10;ZZhqe+YjjbmvRYCwS1FB432fSunKhgy6yPbEwavsYNAHOdRSD3gOcNPJJI5X0mDLYaHBnt4aKn/y&#10;k1GwWO5//ysu3GF3mFbSn4p3lxdKPT5Mry8gPE3+Hr61P7WCdQLXL+EHyM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BJpxQAAANsAAAAPAAAAAAAAAAAAAAAAAJgCAABkcnMv&#10;ZG93bnJldi54bWxQSwUGAAAAAAQABAD1AAAAigMAAAAA&#10;" filled="f" strokecolor="black [3200]" strokeweight="2pt">
                  <v:textbox>
                    <w:txbxContent>
                      <w:p w14:paraId="55119161" w14:textId="77777777" w:rsidR="00726F2E" w:rsidRDefault="00726F2E" w:rsidP="00192B3F">
                        <w:pPr>
                          <w:pStyle w:val="NormalWeb"/>
                          <w:spacing w:before="0" w:beforeAutospacing="0" w:after="0" w:afterAutospacing="0"/>
                          <w:ind w:left="-142"/>
                          <w:jc w:val="center"/>
                          <w:rPr>
                            <w:b/>
                            <w:bCs/>
                            <w:sz w:val="32"/>
                            <w:szCs w:val="32"/>
                          </w:rPr>
                        </w:pPr>
                        <w:r>
                          <w:rPr>
                            <w:b/>
                            <w:bCs/>
                            <w:sz w:val="32"/>
                            <w:szCs w:val="32"/>
                          </w:rPr>
                          <w:t>GFTM</w:t>
                        </w:r>
                      </w:p>
                      <w:p w14:paraId="1E031D31" w14:textId="77777777" w:rsidR="00726F2E" w:rsidRDefault="00726F2E" w:rsidP="00753A52">
                        <w:pPr>
                          <w:pStyle w:val="NormalWeb"/>
                          <w:spacing w:before="0" w:beforeAutospacing="0" w:after="0" w:afterAutospacing="0"/>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8" o:spid="_x0000_s1039" type="#_x0000_t34" style="position:absolute;left:22339;top:23626;width:1726;height: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c2IsMAAADcAAAADwAAAGRycy9kb3ducmV2LnhtbERPy2rCQBTdF/yH4QrdlDqxVKnRUSQQ&#10;qHbTaqHbS+aaDGbuxMzk0b/vLIQuD+e92Y22Fj213jhWMJ8lIIgLpw2XCr7P+fMbCB+QNdaOScEv&#10;edhtJw8bTLUb+Iv6UyhFDGGfooIqhCaV0hcVWfQz1xBH7uJaiyHCtpS6xSGG21q+JMlSWjQcGyps&#10;KKuouJ46q+B2+Aifc86b1XBYdBp/zNPRZEo9Tsf9GkSgMfyL7+53reB1EdfGM/EI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XNiLDAAAA3AAAAA8AAAAAAAAAAAAA&#10;AAAAoQIAAGRycy9kb3ducmV2LnhtbFBLBQYAAAAABAAEAPkAAACRAwAAAAA=&#10;" strokecolor="#4579b8 [3044]">
                  <v:stroke endarrow="open"/>
                </v:shape>
                <v:shape id="Straight Arrow Connector 461" o:spid="_x0000_s1040" type="#_x0000_t32" style="position:absolute;left:12563;top:23319;width:1064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4HQMUAAADcAAAADwAAAGRycy9kb3ducmV2LnhtbESPX2vCMBTF3wd+h3AF32bq6EQ6o4hD&#10;cAiO6mD4dm3u2mJzU5Jou2+/CAMfD+fPjzNf9qYRN3K+tqxgMk5AEBdW11wq+DpunmcgfEDW2Fgm&#10;Bb/kYbkYPM0x07bjnG6HUIo4wj5DBVUIbSalLyoy6Me2JY7ej3UGQ5SulNphF8dNI1+SZCoN1hwJ&#10;Fba0rqi4HK4mQt7T/HX3vTunlK8+u/PHaR/cSanRsF+9gQjUh0f4v73VCtLpBO5n4h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44HQMUAAADcAAAADwAAAAAAAAAA&#10;AAAAAAChAgAAZHJzL2Rvd25yZXYueG1sUEsFBgAAAAAEAAQA+QAAAJMDAAAAAA==&#10;" strokecolor="#4579b8 [3044]">
                  <v:stroke endarrow="open"/>
                </v:shape>
                <v:rect id="Rectangle 78" o:spid="_x0000_s1041" style="position:absolute;left:3896;top:20116;width:8667;height:6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BDKMIA&#10;AADbAAAADwAAAGRycy9kb3ducmV2LnhtbERPS2vCQBC+F/wPywi91U2LqI1ughQKVijio5DjkB2T&#10;1OxMyG41/ffdQ8Hjx/de5YNr1ZV63wgbeJ4koIhLsQ1XBk7H96cFKB+QLbbCZOCXPOTZ6GGFqZUb&#10;7+l6CJWKIexTNFCH0KVa+7Imh34iHXHkztI7DBH2lbY93mK4a/VLksy0w4ZjQ40dvdVUXg4/zkB5&#10;LL6+p8VuK81CLutP2UxfPwpjHsfDegkq0BDu4n/3xhqYx7HxS/wBOv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EMowgAAANsAAAAPAAAAAAAAAAAAAAAAAJgCAABkcnMvZG93&#10;bnJldi54bWxQSwUGAAAAAAQABAD1AAAAhwMAAAAA&#10;" filled="f" strokecolor="black [3200]" strokeweight=".5pt">
                  <v:textbox>
                    <w:txbxContent>
                      <w:p w14:paraId="6E295371" w14:textId="77777777" w:rsidR="00726F2E" w:rsidRDefault="00726F2E" w:rsidP="00753A52">
                        <w:pPr>
                          <w:pStyle w:val="NormalWeb"/>
                          <w:spacing w:before="0" w:beforeAutospacing="0" w:after="0" w:afterAutospacing="0"/>
                          <w:jc w:val="center"/>
                        </w:pPr>
                        <w:r>
                          <w:rPr>
                            <w:sz w:val="16"/>
                            <w:szCs w:val="16"/>
                          </w:rPr>
                          <w:t>5-SAW LOGS &amp; PULP</w:t>
                        </w:r>
                      </w:p>
                    </w:txbxContent>
                  </v:textbox>
                </v:rect>
                <v:shape id="Straight Arrow Connector 462" o:spid="_x0000_s1042" type="#_x0000_t32" style="position:absolute;left:32371;top:12588;width:0;height:39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C0sMAAADcAAAADwAAAGRycy9kb3ducmV2LnhtbESPQYvCMBSE74L/ITxhb5qqWynVKCIU&#10;97ruLujt2TzbYvNSmlTrvzeCsMdhZr5hVpve1OJGrassK5hOIhDEudUVFwp+f7JxAsJ5ZI21ZVLw&#10;IAeb9XCwwlTbO3/T7eALESDsUlRQet+kUrq8JINuYhvi4F1sa9AH2RZSt3gPcFPLWRQtpMGKw0KJ&#10;De1Kyq+HziiYX879PvFbmWRHu+u6OI7/spNSH6N+uwThqff/4Xf7Syv4XMzgdS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jVQtLDAAAA3AAAAA8AAAAAAAAAAAAA&#10;AAAAoQIAAGRycy9kb3ducmV2LnhtbFBLBQYAAAAABAAEAPkAAACRAwAAAAA=&#10;" strokecolor="#4579b8 [3044]">
                  <v:stroke endarrow="open"/>
                </v:shape>
                <v:shape id="Elbow Connector 464" o:spid="_x0000_s1043" type="#_x0000_t33" style="position:absolute;left:32371;top:14896;width:14608;height:21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3488IAAADcAAAADwAAAGRycy9kb3ducmV2LnhtbESPQYvCMBSE7wv+h/CEva2pIiLVKCK4&#10;KHjQrrDXR/Nsi81LSLK1+++NIHgcZuYbZrnuTSs68qGxrGA8ykAQl1Y3XCm4/Oy+5iBCRNbYWiYF&#10;/xRgvRp8LDHX9s5n6opYiQThkKOCOkaXSxnKmgyGkXXEybtabzAm6SupPd4T3LRykmUzabDhtFCj&#10;o21N5a34Mwp079tJ4Q9bfcJf5y6dKY/yW6nPYb9ZgIjUx3f41d5rBdPZFJ5n0hG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S3488IAAADcAAAADwAAAAAAAAAAAAAA&#10;AAChAgAAZHJzL2Rvd25yZXYueG1sUEsFBgAAAAAEAAQA+QAAAJADAAAAAA==&#10;" strokecolor="#4579b8 [3044]">
                  <v:stroke dashstyle="dash" endarrow="open"/>
                </v:shape>
                <v:rect id="Rectangle 82" o:spid="_x0000_s1044" style="position:absolute;left:17706;top:34350;width:10998;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88UA&#10;AADbAAAADwAAAGRycy9kb3ducmV2LnhtbESPzWrDMBCE74W8g9hAb41slxjjRgnBECiFFvJHe1ys&#10;rW1irRxLddy3jwKBHIeZ+YZZrEbTioF611hWEM8iEMSl1Q1XCg77zUsGwnlkja1lUvBPDlbLydMC&#10;c20vvKVh5ysRIOxyVFB73+VSurImg25mO+Lg/dreoA+yr6Tu8RLgppVJFKXSYMNhocaOiprK0+7P&#10;KEjn31/Rx8H+nOW2Na/H4bOIC63U83Rcv4HwNPpH+N5+1wqyB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zxQAAANsAAAAPAAAAAAAAAAAAAAAAAJgCAABkcnMv&#10;ZG93bnJldi54bWxQSwUGAAAAAAQABAD1AAAAigMAAAAA&#10;" fillcolor="#d8d8d8 [2732]" strokecolor="black [3200]" strokeweight="1pt">
                  <v:textbox>
                    <w:txbxContent>
                      <w:p w14:paraId="50BFB4AD" w14:textId="77777777" w:rsidR="00726F2E" w:rsidRDefault="00726F2E" w:rsidP="00192B3F">
                        <w:pPr>
                          <w:pStyle w:val="NormalWeb"/>
                          <w:spacing w:before="0" w:beforeAutospacing="0" w:after="0" w:afterAutospacing="0"/>
                          <w:jc w:val="center"/>
                        </w:pPr>
                        <w:r>
                          <w:rPr>
                            <w:sz w:val="16"/>
                            <w:szCs w:val="16"/>
                          </w:rPr>
                          <w:t>CHIPS &amp; PELLETS</w:t>
                        </w:r>
                      </w:p>
                    </w:txbxContent>
                  </v:textbox>
                </v:rect>
                <v:rect id="Rectangle 83" o:spid="_x0000_s1045" style="position:absolute;left:29550;top:34349;width:10998;height:62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DaaMMA&#10;AADbAAAADwAAAGRycy9kb3ducmV2LnhtbESPQYvCMBSE78L+h/AWvGmqsiLVKEtBEEFBrejx0Tzb&#10;ss1LbWKt/36zsOBxmJlvmMWqM5VoqXGlZQWjYQSCOLO65FxBeloPZiCcR9ZYWSYFL3KwWn70Fhhr&#10;++QDtUefiwBhF6OCwvs6ltJlBRl0Q1sTB+9mG4M+yCaXusFngJtKjqNoKg2WHBYKrCkpKPs5PoyC&#10;6ddlH21Te73LQ2Um53aXjBKtVP+z+56D8NT5d/i/vdEKZhP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DaaMMAAADbAAAADwAAAAAAAAAAAAAAAACYAgAAZHJzL2Rv&#10;d25yZXYueG1sUEsFBgAAAAAEAAQA9QAAAIgDAAAAAA==&#10;" fillcolor="#d8d8d8 [2732]" strokecolor="black [3200]" strokeweight="1pt">
                  <v:textbox>
                    <w:txbxContent>
                      <w:p w14:paraId="73099F1E" w14:textId="77777777" w:rsidR="00726F2E" w:rsidRDefault="00726F2E" w:rsidP="00192B3F">
                        <w:pPr>
                          <w:pStyle w:val="NormalWeb"/>
                          <w:spacing w:before="0" w:beforeAutospacing="0" w:after="0" w:afterAutospacing="0"/>
                          <w:jc w:val="center"/>
                        </w:pPr>
                        <w:r>
                          <w:rPr>
                            <w:sz w:val="16"/>
                            <w:szCs w:val="16"/>
                          </w:rPr>
                          <w:t>FUEL WOOD</w:t>
                        </w:r>
                      </w:p>
                    </w:txbxContent>
                  </v:textbox>
                </v:rect>
                <v:shape id="Elbow Connector 465" o:spid="_x0000_s1046" type="#_x0000_t33" style="position:absolute;left:7310;top:27065;width:10878;height:99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MTi8QAAADcAAAADwAAAGRycy9kb3ducmV2LnhtbESPQYvCMBSE74L/ITzBy6KpropUo4go&#10;7B48WMXzs3m2pc1LaaLW/fWbhQWPw8x8wyzXranEgxpXWFYwGkYgiFOrC84UnE/7wRyE88gaK8uk&#10;4EUO1qtuZ4mxtk8+0iPxmQgQdjEqyL2vYyldmpNBN7Q1cfButjHog2wyqRt8Brip5DiKZtJgwWEh&#10;x5q2OaVlcjcKTpcPNm7XHkp9HZWbb/8qfz4Tpfq9drMA4an17/B/+0srmMym8HcmHA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MxOLxAAAANwAAAAPAAAAAAAAAAAA&#10;AAAAAKECAABkcnMvZG93bnJldi54bWxQSwUGAAAAAAQABAD5AAAAkgMAAAAA&#10;" strokecolor="#4579b8 [3044]">
                  <v:stroke dashstyle="dash" endarrow="open"/>
                </v:shape>
                <v:shape id="Straight Arrow Connector 85" o:spid="_x0000_s1047" type="#_x0000_t32" style="position:absolute;left:33353;top:22731;width:0;height:17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V0ycMAAADbAAAADwAAAGRycy9kb3ducmV2LnhtbESPS2vDMBCE74H+B7GF3hI5LQ7GtRJC&#10;wLTX5gHtbWutH8RaGUt+9N9XgUCOw8x8w2S72bRipN41lhWsVxEI4sLqhisF51O+TEA4j6yxtUwK&#10;/sjBbvu0yDDVduIvGo++EgHCLkUFtfddKqUrajLoVrYjDl5pe4M+yL6SuscpwE0rX6NoIw02HBZq&#10;7OhQU3E9DkbBW/k7fyR+L5P82x6GIY7jS/6j1MvzvH8H4Wn2j/C9/akVJDHcvoQf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ldMnDAAAA2wAAAA8AAAAAAAAAAAAA&#10;AAAAoQIAAGRycy9kb3ducmV2LnhtbFBLBQYAAAAABAAEAPkAAACRAwAAAAA=&#10;" strokecolor="#4579b8 [3044]">
                  <v:stroke endarrow="open"/>
                </v:shape>
                <v:shape id="Straight Arrow Connector 86" o:spid="_x0000_s1048" type="#_x0000_t32" style="position:absolute;left:22090;top:30796;width:0;height:35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fqvsMAAADbAAAADwAAAGRycy9kb3ducmV2LnhtbESPQWuDQBSE74X8h+UFcmvWJChisgki&#10;SHutbaG5vbgvKnHfirsm9t93C4Ueh5n5hjmcZtOLO42us6xgs45AENdWd9wo+Hgvn1MQziNr7C2T&#10;gm9ycDoung6YafvgN7pXvhEBwi5DBa33Qyalq1sy6NZ2IA7e1Y4GfZBjI/WIjwA3vdxGUSINdhwW&#10;WhyoaKm+VZNRsLte5pfU5zItv2wxTXEcf5ZnpVbLOd+D8DT7//Bf+1UrSBP4/RJ+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36r7DAAAA2wAAAA8AAAAAAAAAAAAA&#10;AAAAoQIAAGRycy9kb3ducmV2LnhtbFBLBQYAAAAABAAEAPkAAACRAwAAAAA=&#10;" strokecolor="#4579b8 [3044]">
                  <v:stroke endarrow="open"/>
                </v:shape>
                <v:shape id="Straight Arrow Connector 87" o:spid="_x0000_s1049" type="#_x0000_t32" style="position:absolute;left:35689;top:30799;width:0;height:35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Elbow Connector 466" o:spid="_x0000_s1050" type="#_x0000_t34" style="position:absolute;left:27270;top:26654;width:3631;height:117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jNdsUAAADcAAAADwAAAGRycy9kb3ducmV2LnhtbESPT2vCQBTE7wW/w/IEL1I3ig01ukoR&#10;BLUX/4HXR/Y1WZp9m2ZXk377riD0OMzMb5jFqrOVuFPjjWMF41ECgjh32nCh4HLevL6D8AFZY+WY&#10;FPySh9Wy97LATLuWj3Q/hUJECPsMFZQh1JmUPi/Joh+5mjh6X66xGKJsCqkbbCPcVnKSJKm0aDgu&#10;lFjTuqT8+3SzCn52n+Ew5k09a3dvN41XM9ybtVKDfvcxBxGoC//hZ3urFUzTFB5n4hGQy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jNdsUAAADcAAAADwAAAAAAAAAA&#10;AAAAAAChAgAAZHJzL2Rvd25yZXYueG1sUEsFBgAAAAAEAAQA+QAAAJMDAAAAAA==&#10;" strokecolor="#4579b8 [3044]">
                  <v:stroke endarrow="open"/>
                </v:shape>
                <v:shape id="Elbow Connector 467" o:spid="_x0000_s1051" type="#_x0000_t34" style="position:absolute;left:26611;top:26690;width:3630;height:118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wPr8MAAADcAAAADwAAAGRycy9kb3ducmV2LnhtbESPwWrDMBBE74X+g9hCb43sUtLEjWKS&#10;QEyvdQK5LtbGNrVWtqXKzt9HhUKPw8y8YTb5bDoRaHStZQXpIgFBXFndcq3gfDq+rEA4j6yxs0wK&#10;buQg3z4+bDDTduIvCqWvRYSwy1BB432fSemqhgy6he2Jo3e1o0Ef5VhLPeIU4aaTr0mylAZbjgsN&#10;9nRoqPouf4yCNr0UPvSnqRxsMdA6hHO9vyr1/DTvPkB4mv1/+K/9qRW8Ld/h90w8An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8D6/DAAAA3AAAAA8AAAAAAAAAAAAA&#10;AAAAoQIAAGRycy9kb3ducmV2LnhtbFBLBQYAAAAABAAEAPkAAACRAwAAAAA=&#10;" adj="13638" strokecolor="#4579b8 [3044]">
                  <v:stroke endarrow="open"/>
                </v:shape>
                <v:rect id="Rectangle 90" o:spid="_x0000_s1052" style="position:absolute;left:2913;top:34614;width:10998;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zM5sAA&#10;AADbAAAADwAAAGRycy9kb3ducmV2LnhtbERPz2vCMBS+D/wfwhO8zcQi26xGkcKYp7F1Xrw9mmdb&#10;bF5KEjX+98thsOPH93uzS3YQN/Khd6xhMVcgiBtnem41HH/en99AhIhscHBMGh4UYLedPG2wNO7O&#10;33SrYytyCIcSNXQxjqWUoenIYpi7kThzZ+ctxgx9K43Hew63gyyUepEWe84NHY5UddRc6qvV4L4K&#10;n/xHkT7rV3UK52VdtarSejZN+zWISCn+i//cB6NhldfnL/k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zM5sAAAADbAAAADwAAAAAAAAAAAAAAAACYAgAAZHJzL2Rvd25y&#10;ZXYueG1sUEsFBgAAAAAEAAQA9QAAAIUDAAAAAA==&#10;" fillcolor="white [3201]" strokecolor="black [3200]" strokeweight="1pt">
                  <v:stroke dashstyle="longDash"/>
                  <v:textbox>
                    <w:txbxContent>
                      <w:p w14:paraId="149EAEFF" w14:textId="77777777" w:rsidR="00726F2E" w:rsidRDefault="00726F2E" w:rsidP="00192B3F">
                        <w:pPr>
                          <w:pStyle w:val="NormalWeb"/>
                          <w:spacing w:before="0" w:beforeAutospacing="0" w:after="0" w:afterAutospacing="0"/>
                          <w:jc w:val="center"/>
                        </w:pPr>
                        <w:r>
                          <w:rPr>
                            <w:sz w:val="16"/>
                            <w:szCs w:val="16"/>
                          </w:rPr>
                          <w:t>Secondary residues</w:t>
                        </w:r>
                      </w:p>
                    </w:txbxContent>
                  </v:textbox>
                </v:rect>
                <w10:anchorlock/>
              </v:group>
            </w:pict>
          </mc:Fallback>
        </mc:AlternateContent>
      </w:r>
    </w:p>
    <w:p w14:paraId="7A71D371" w14:textId="7727F693" w:rsidR="00CD051D" w:rsidRDefault="00CD051D" w:rsidP="00CD051D">
      <w:pPr>
        <w:pStyle w:val="Caption"/>
        <w:jc w:val="center"/>
      </w:pPr>
      <w:bookmarkStart w:id="35" w:name="_Ref525117155"/>
      <w:bookmarkStart w:id="36" w:name="_Ref525117151"/>
      <w:r w:rsidRPr="00B00B67">
        <w:t xml:space="preserve">Figure </w:t>
      </w:r>
      <w:r w:rsidR="009575E9">
        <w:rPr>
          <w:noProof/>
        </w:rPr>
        <w:t>16</w:t>
      </w:r>
      <w:bookmarkEnd w:id="35"/>
      <w:r w:rsidRPr="00C61D6E">
        <w:t xml:space="preserve"> Forestry modelling layout for alternative biomass for energy availability scenario</w:t>
      </w:r>
      <w:bookmarkEnd w:id="36"/>
    </w:p>
    <w:p w14:paraId="3047779E" w14:textId="77777777" w:rsidR="00726F2E" w:rsidRDefault="00726F2E" w:rsidP="00726F2E">
      <w:pPr>
        <w:rPr>
          <w:lang w:eastAsia="en-GB"/>
        </w:rPr>
      </w:pPr>
    </w:p>
    <w:p w14:paraId="1EACFD54" w14:textId="77777777" w:rsidR="00DD4A04" w:rsidRPr="00726F2E" w:rsidRDefault="00DD4A04" w:rsidP="00726F2E">
      <w:pPr>
        <w:rPr>
          <w:lang w:eastAsia="en-GB"/>
        </w:rPr>
      </w:pPr>
    </w:p>
    <w:p w14:paraId="7BC99B45" w14:textId="480EEAB1" w:rsidR="00CD051D" w:rsidRDefault="00726F2E" w:rsidP="00DD4A04">
      <w:pPr>
        <w:pStyle w:val="Heading2"/>
        <w:rPr>
          <w:lang w:eastAsia="en-GB"/>
        </w:rPr>
      </w:pPr>
      <w:r>
        <w:t>Supplementary data references.</w:t>
      </w:r>
    </w:p>
    <w:p w14:paraId="002C8C4C" w14:textId="77777777" w:rsidR="00726F2E" w:rsidRDefault="00726F2E" w:rsidP="00726F2E">
      <w:pPr>
        <w:rPr>
          <w:lang w:eastAsia="en-GB"/>
        </w:rPr>
      </w:pPr>
    </w:p>
    <w:p w14:paraId="7994CB3C" w14:textId="77777777" w:rsidR="00DD4A04" w:rsidRPr="00812668" w:rsidRDefault="00DD4A04" w:rsidP="00DD4A04">
      <w:pPr>
        <w:widowControl w:val="0"/>
        <w:autoSpaceDE w:val="0"/>
        <w:autoSpaceDN w:val="0"/>
        <w:adjustRightInd w:val="0"/>
        <w:spacing w:before="120" w:after="200"/>
        <w:ind w:left="640" w:hanging="640"/>
        <w:rPr>
          <w:noProof/>
        </w:rPr>
      </w:pPr>
      <w:r w:rsidRPr="00812668">
        <w:rPr>
          <w:noProof/>
        </w:rPr>
        <w:t>[77]</w:t>
      </w:r>
      <w:r w:rsidRPr="00812668">
        <w:rPr>
          <w:noProof/>
        </w:rPr>
        <w:tab/>
        <w:t>R. E. Bird, R. L. Hulstrom, R.E. Bird, R.L. Hulstrom, Review, evaluation, and improvement of direct irradiance models, J. Sol. Energy Eng. 103 (1981) 182–192. doi:10.1115/1.3266239.</w:t>
      </w:r>
    </w:p>
    <w:p w14:paraId="5C45B667" w14:textId="77777777" w:rsidR="00DD4A04" w:rsidRPr="00812668" w:rsidRDefault="00DD4A04" w:rsidP="00DD4A04">
      <w:pPr>
        <w:widowControl w:val="0"/>
        <w:autoSpaceDE w:val="0"/>
        <w:autoSpaceDN w:val="0"/>
        <w:adjustRightInd w:val="0"/>
        <w:spacing w:before="120" w:after="200"/>
        <w:ind w:left="640" w:hanging="640"/>
        <w:rPr>
          <w:noProof/>
        </w:rPr>
      </w:pPr>
      <w:r w:rsidRPr="00812668">
        <w:rPr>
          <w:noProof/>
        </w:rPr>
        <w:t>[78]</w:t>
      </w:r>
      <w:r w:rsidRPr="00812668">
        <w:rPr>
          <w:noProof/>
        </w:rPr>
        <w:tab/>
        <w:t>M. Iqbal, An introduction to solar radiation, Elsevier, 2012.</w:t>
      </w:r>
    </w:p>
    <w:p w14:paraId="79738620" w14:textId="77777777" w:rsidR="00DD4A04" w:rsidRPr="00812668" w:rsidRDefault="00DD4A04" w:rsidP="00DD4A04">
      <w:pPr>
        <w:widowControl w:val="0"/>
        <w:autoSpaceDE w:val="0"/>
        <w:autoSpaceDN w:val="0"/>
        <w:adjustRightInd w:val="0"/>
        <w:spacing w:before="120" w:after="200"/>
        <w:ind w:left="640" w:hanging="640"/>
        <w:rPr>
          <w:noProof/>
        </w:rPr>
      </w:pPr>
      <w:r w:rsidRPr="00812668">
        <w:rPr>
          <w:noProof/>
        </w:rPr>
        <w:t>[79]</w:t>
      </w:r>
      <w:r w:rsidRPr="00812668">
        <w:rPr>
          <w:noProof/>
        </w:rPr>
        <w:tab/>
        <w:t>F. Kasten, A new table and approximation formula for the relative optial air mass, Arch. Für Meteorol. Geophys. Und Bioklimatologie, Ser. B. 14 (1965) 206–223.</w:t>
      </w:r>
    </w:p>
    <w:p w14:paraId="5FED6B5D" w14:textId="77777777" w:rsidR="00DD4A04" w:rsidRPr="00812668" w:rsidRDefault="00DD4A04" w:rsidP="00DD4A04">
      <w:pPr>
        <w:widowControl w:val="0"/>
        <w:autoSpaceDE w:val="0"/>
        <w:autoSpaceDN w:val="0"/>
        <w:adjustRightInd w:val="0"/>
        <w:spacing w:before="120" w:after="200"/>
        <w:ind w:left="640" w:hanging="640"/>
        <w:rPr>
          <w:noProof/>
        </w:rPr>
      </w:pPr>
      <w:r w:rsidRPr="00812668">
        <w:rPr>
          <w:noProof/>
        </w:rPr>
        <w:t>[80]</w:t>
      </w:r>
      <w:r w:rsidRPr="00812668">
        <w:rPr>
          <w:noProof/>
        </w:rPr>
        <w:tab/>
        <w:t>M.A. Mächler, Parameterization of solar irradiation under clear skies, University of British Columbia, 1983.</w:t>
      </w:r>
    </w:p>
    <w:p w14:paraId="323CC4A6" w14:textId="77777777" w:rsidR="00DD4A04" w:rsidRPr="00812668" w:rsidRDefault="00DD4A04" w:rsidP="00DD4A04">
      <w:pPr>
        <w:widowControl w:val="0"/>
        <w:autoSpaceDE w:val="0"/>
        <w:autoSpaceDN w:val="0"/>
        <w:adjustRightInd w:val="0"/>
        <w:spacing w:before="120" w:after="200"/>
        <w:ind w:left="640" w:hanging="640"/>
        <w:rPr>
          <w:noProof/>
        </w:rPr>
      </w:pPr>
      <w:r w:rsidRPr="00812668">
        <w:rPr>
          <w:noProof/>
        </w:rPr>
        <w:t>[81]</w:t>
      </w:r>
      <w:r w:rsidRPr="00812668">
        <w:rPr>
          <w:noProof/>
        </w:rPr>
        <w:tab/>
        <w:t>J. Carlsson, M. del M.P. Fortes, G. de Marco, J. Giuntoli, M. Jakubcionis, A. Jäger-Waldau, R. Lacal-Arantegui, S. Lazarou, D. Magagna, C. Moles, others, ETRI 2014-Energy technology reference indicator projections for 2010-2050, Eur. Comm. Jt. Res. Centre, Inst. Energy Transp. Luxemb. Publ. Off. Eur. Union. (2014).</w:t>
      </w:r>
    </w:p>
    <w:p w14:paraId="6050E36D" w14:textId="77777777" w:rsidR="00DD4A04" w:rsidRPr="00812668" w:rsidRDefault="00DD4A04" w:rsidP="00DD4A04">
      <w:pPr>
        <w:widowControl w:val="0"/>
        <w:autoSpaceDE w:val="0"/>
        <w:autoSpaceDN w:val="0"/>
        <w:adjustRightInd w:val="0"/>
        <w:spacing w:before="120" w:after="200"/>
        <w:ind w:left="640" w:hanging="640"/>
        <w:rPr>
          <w:noProof/>
        </w:rPr>
      </w:pPr>
      <w:r w:rsidRPr="00812668">
        <w:rPr>
          <w:noProof/>
        </w:rPr>
        <w:t>[82]</w:t>
      </w:r>
      <w:r w:rsidRPr="00812668">
        <w:rPr>
          <w:noProof/>
        </w:rPr>
        <w:tab/>
        <w:t>Y. Scholz, Renewable energy based electricity supply at low costs: development of the REMix model and application for Europe, (2012).</w:t>
      </w:r>
    </w:p>
    <w:p w14:paraId="1A31C59C" w14:textId="77777777" w:rsidR="00DD4A04" w:rsidRPr="00812668" w:rsidRDefault="00DD4A04" w:rsidP="00DD4A04">
      <w:pPr>
        <w:widowControl w:val="0"/>
        <w:autoSpaceDE w:val="0"/>
        <w:autoSpaceDN w:val="0"/>
        <w:adjustRightInd w:val="0"/>
        <w:spacing w:before="120" w:after="200"/>
        <w:ind w:left="640" w:hanging="640"/>
        <w:rPr>
          <w:noProof/>
          <w:lang w:val="de-DE"/>
        </w:rPr>
      </w:pPr>
      <w:r w:rsidRPr="00812668">
        <w:rPr>
          <w:noProof/>
          <w:lang w:val="de-DE"/>
        </w:rPr>
        <w:t>[83]</w:t>
      </w:r>
      <w:r w:rsidRPr="00812668">
        <w:rPr>
          <w:noProof/>
          <w:lang w:val="de-DE"/>
        </w:rPr>
        <w:tab/>
        <w:t xml:space="preserve">J. Nitsch, T. Pregger, T. Naegler, N. Gerhardt, B. Wenzel, Langfristszenarien und </w:t>
      </w:r>
      <w:r w:rsidRPr="00812668">
        <w:rPr>
          <w:noProof/>
          <w:lang w:val="de-DE"/>
        </w:rPr>
        <w:lastRenderedPageBreak/>
        <w:t>Strategien für den Ausbau der erneuerbaren Energien in Deutschland, DLR Stuttgart, Fraunhofer-IWES, Kassel, IfnE Teltow. (2012).</w:t>
      </w:r>
    </w:p>
    <w:p w14:paraId="0276B290" w14:textId="77777777" w:rsidR="00DD4A04" w:rsidRPr="00812668" w:rsidRDefault="00DD4A04" w:rsidP="00DD4A04">
      <w:pPr>
        <w:widowControl w:val="0"/>
        <w:autoSpaceDE w:val="0"/>
        <w:autoSpaceDN w:val="0"/>
        <w:adjustRightInd w:val="0"/>
        <w:spacing w:before="120" w:after="200"/>
        <w:ind w:left="640" w:hanging="640"/>
        <w:rPr>
          <w:noProof/>
          <w:lang w:val="de-DE"/>
        </w:rPr>
      </w:pPr>
      <w:r w:rsidRPr="00812668">
        <w:rPr>
          <w:noProof/>
          <w:lang w:val="de-DE"/>
        </w:rPr>
        <w:t>[84]</w:t>
      </w:r>
      <w:r w:rsidRPr="00812668">
        <w:rPr>
          <w:noProof/>
          <w:lang w:val="de-DE"/>
        </w:rPr>
        <w:tab/>
        <w:t>R. Corradini, M. Sutter, T. Leukefeld, others, Solarthermie--Technik, Potenziale, Wirtschaftlichkeit und Ökobilanz für solarthermische Systeme in Einfamilienhäusern, 2014.</w:t>
      </w:r>
    </w:p>
    <w:p w14:paraId="7295D838" w14:textId="77777777" w:rsidR="00DD4A04" w:rsidRPr="00DD4A04" w:rsidRDefault="00DD4A04" w:rsidP="00726F2E">
      <w:pPr>
        <w:rPr>
          <w:lang w:val="de-DE" w:eastAsia="en-GB"/>
        </w:rPr>
      </w:pPr>
    </w:p>
    <w:sectPr w:rsidR="00DD4A04" w:rsidRPr="00DD4A04" w:rsidSect="00301014">
      <w:type w:val="continuous"/>
      <w:pgSz w:w="11906" w:h="16838"/>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30F21EC" w15:done="0"/>
  <w15:commentEx w15:paraId="07481B7C" w15:done="0"/>
  <w15:commentEx w15:paraId="4D16D356" w15:done="0"/>
  <w15:commentEx w15:paraId="0B71BA74" w15:done="0"/>
  <w15:commentEx w15:paraId="7401A78E" w15:done="0"/>
  <w15:commentEx w15:paraId="2A516CBC" w15:done="0"/>
  <w15:commentEx w15:paraId="1176CB77" w15:done="0"/>
  <w15:commentEx w15:paraId="2845C231" w15:done="0"/>
  <w15:commentEx w15:paraId="152C4252" w15:done="0"/>
  <w15:commentEx w15:paraId="715C7896" w15:done="0"/>
  <w15:commentEx w15:paraId="452F07D5" w15:done="0"/>
  <w15:commentEx w15:paraId="5E178093" w15:done="0"/>
  <w15:commentEx w15:paraId="09553673" w15:done="0"/>
  <w15:commentEx w15:paraId="79E28554" w15:done="0"/>
  <w15:commentEx w15:paraId="055F261D" w15:done="0"/>
  <w15:commentEx w15:paraId="78B1F969" w15:done="0"/>
  <w15:commentEx w15:paraId="046F973B" w15:done="0"/>
  <w15:commentEx w15:paraId="5D9D0E8D" w15:done="0"/>
  <w15:commentEx w15:paraId="118BA848" w15:done="0"/>
  <w15:commentEx w15:paraId="4674E45F" w15:done="0"/>
  <w15:commentEx w15:paraId="07584FBD" w15:done="0"/>
  <w15:commentEx w15:paraId="0AE5ECDA" w15:done="0"/>
  <w15:commentEx w15:paraId="282D8C78" w15:done="0"/>
  <w15:commentEx w15:paraId="2449C51D" w15:done="0"/>
  <w15:commentEx w15:paraId="3F3AE1CC" w15:done="0"/>
  <w15:commentEx w15:paraId="5AB9A829" w15:done="0"/>
  <w15:commentEx w15:paraId="1D936B06" w15:done="0"/>
  <w15:commentEx w15:paraId="47FF3076" w15:done="0"/>
  <w15:commentEx w15:paraId="61BE0C5C" w15:done="0"/>
  <w15:commentEx w15:paraId="40D89071" w15:done="0"/>
  <w15:commentEx w15:paraId="28E54C4B" w15:done="0"/>
  <w15:commentEx w15:paraId="19AB2C1F" w15:done="0"/>
  <w15:commentEx w15:paraId="1F97C699" w15:done="0"/>
  <w15:commentEx w15:paraId="1AA1D8D2" w15:done="0"/>
  <w15:commentEx w15:paraId="34BD5F3B" w15:done="0"/>
  <w15:commentEx w15:paraId="14A293BB" w15:done="0"/>
  <w15:commentEx w15:paraId="0BC90228" w15:done="0"/>
  <w15:commentEx w15:paraId="52498278" w15:done="0"/>
  <w15:commentEx w15:paraId="5167FA80" w15:done="0"/>
  <w15:commentEx w15:paraId="60DA9D32" w15:done="0"/>
  <w15:commentEx w15:paraId="66F17249" w15:done="0"/>
  <w15:commentEx w15:paraId="456415D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0F21EC" w16cid:durableId="20A61A19"/>
  <w16cid:commentId w16cid:paraId="07481B7C" w16cid:durableId="20A61AFC"/>
  <w16cid:commentId w16cid:paraId="4D16D356" w16cid:durableId="20A61C16"/>
  <w16cid:commentId w16cid:paraId="0B71BA74" w16cid:durableId="20A61D85"/>
  <w16cid:commentId w16cid:paraId="7401A78E" w16cid:durableId="20A61E97"/>
  <w16cid:commentId w16cid:paraId="2A516CBC" w16cid:durableId="20A62415"/>
  <w16cid:commentId w16cid:paraId="1176CB77" w16cid:durableId="20A62453"/>
  <w16cid:commentId w16cid:paraId="2845C231" w16cid:durableId="20A6255B"/>
  <w16cid:commentId w16cid:paraId="152C4252" w16cid:durableId="20A62657"/>
  <w16cid:commentId w16cid:paraId="715C7896" w16cid:durableId="20A626CA"/>
  <w16cid:commentId w16cid:paraId="452F07D5" w16cid:durableId="20A62811"/>
  <w16cid:commentId w16cid:paraId="5E178093" w16cid:durableId="20A62DC2"/>
  <w16cid:commentId w16cid:paraId="09553673" w16cid:durableId="20A628F2"/>
  <w16cid:commentId w16cid:paraId="79E28554" w16cid:durableId="20A62B3A"/>
  <w16cid:commentId w16cid:paraId="055F261D" w16cid:durableId="20A62D62"/>
  <w16cid:commentId w16cid:paraId="78B1F969" w16cid:durableId="20A62E54"/>
  <w16cid:commentId w16cid:paraId="046F973B" w16cid:durableId="20A62F24"/>
  <w16cid:commentId w16cid:paraId="5D9D0E8D" w16cid:durableId="20A6306F"/>
  <w16cid:commentId w16cid:paraId="118BA848" w16cid:durableId="20A63127"/>
  <w16cid:commentId w16cid:paraId="4674E45F" w16cid:durableId="20A64280"/>
  <w16cid:commentId w16cid:paraId="07584FBD" w16cid:durableId="20A642B5"/>
  <w16cid:commentId w16cid:paraId="0AE5ECDA" w16cid:durableId="20A6438E"/>
  <w16cid:commentId w16cid:paraId="282D8C78" w16cid:durableId="20A644B7"/>
  <w16cid:commentId w16cid:paraId="2449C51D" w16cid:durableId="20A644F0"/>
  <w16cid:commentId w16cid:paraId="3F3AE1CC" w16cid:durableId="20A64615"/>
  <w16cid:commentId w16cid:paraId="5AB9A829" w16cid:durableId="20A64643"/>
  <w16cid:commentId w16cid:paraId="1D936B06" w16cid:durableId="20A64747"/>
  <w16cid:commentId w16cid:paraId="47FF3076" w16cid:durableId="20A64772"/>
  <w16cid:commentId w16cid:paraId="61BE0C5C" w16cid:durableId="20A649DA"/>
  <w16cid:commentId w16cid:paraId="40D89071" w16cid:durableId="20A64B09"/>
  <w16cid:commentId w16cid:paraId="28E54C4B" w16cid:durableId="20A64F96"/>
  <w16cid:commentId w16cid:paraId="19AB2C1F" w16cid:durableId="20A65031"/>
  <w16cid:commentId w16cid:paraId="1F97C699" w16cid:durableId="20A6522F"/>
  <w16cid:commentId w16cid:paraId="1AA1D8D2" w16cid:durableId="20A65249"/>
  <w16cid:commentId w16cid:paraId="34BD5F3B" w16cid:durableId="20A65281"/>
  <w16cid:commentId w16cid:paraId="14A293BB" w16cid:durableId="20A65378"/>
  <w16cid:commentId w16cid:paraId="0BC90228" w16cid:durableId="20A65421"/>
  <w16cid:commentId w16cid:paraId="52498278" w16cid:durableId="20A65488"/>
  <w16cid:commentId w16cid:paraId="5167FA80" w16cid:durableId="20A654B3"/>
  <w16cid:commentId w16cid:paraId="60DA9D32" w16cid:durableId="20A6573D"/>
  <w16cid:commentId w16cid:paraId="66F17249" w16cid:durableId="20A658EB"/>
  <w16cid:commentId w16cid:paraId="456415DD" w16cid:durableId="20A65B4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BD6E7" w14:textId="77777777" w:rsidR="00726F2E" w:rsidRDefault="00726F2E" w:rsidP="00E4099B">
      <w:r>
        <w:separator/>
      </w:r>
    </w:p>
  </w:endnote>
  <w:endnote w:type="continuationSeparator" w:id="0">
    <w:p w14:paraId="7CCE9819" w14:textId="77777777" w:rsidR="00726F2E" w:rsidRDefault="00726F2E" w:rsidP="00E40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C Square Sans Pro">
    <w:panose1 w:val="020B0506040000020004"/>
    <w:charset w:val="00"/>
    <w:family w:val="swiss"/>
    <w:pitch w:val="variable"/>
    <w:sig w:usb0="A00002BF" w:usb1="5000E0FB"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S Y 8">
    <w:altName w:val="Arial Unicode MS"/>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7895261"/>
      <w:docPartObj>
        <w:docPartGallery w:val="Page Numbers (Bottom of Page)"/>
        <w:docPartUnique/>
      </w:docPartObj>
    </w:sdtPr>
    <w:sdtContent>
      <w:p w14:paraId="0CD1A607" w14:textId="73580B47" w:rsidR="00726F2E" w:rsidRDefault="00726F2E" w:rsidP="00E4099B">
        <w:pPr>
          <w:pStyle w:val="Footer"/>
        </w:pPr>
        <w:r w:rsidRPr="00F20091">
          <w:fldChar w:fldCharType="begin"/>
        </w:r>
        <w:r w:rsidRPr="00F20091">
          <w:instrText xml:space="preserve"> PAGE   \* MERGEFORMAT </w:instrText>
        </w:r>
        <w:r w:rsidRPr="00F20091">
          <w:fldChar w:fldCharType="separate"/>
        </w:r>
        <w:r w:rsidR="00DD4A04">
          <w:rPr>
            <w:noProof/>
          </w:rPr>
          <w:t>16</w:t>
        </w:r>
        <w:r w:rsidRPr="00F20091">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BAB50" w14:textId="77777777" w:rsidR="00726F2E" w:rsidRDefault="00726F2E" w:rsidP="00E4099B">
      <w:r>
        <w:separator/>
      </w:r>
    </w:p>
  </w:footnote>
  <w:footnote w:type="continuationSeparator" w:id="0">
    <w:p w14:paraId="61055FEC" w14:textId="77777777" w:rsidR="00726F2E" w:rsidRDefault="00726F2E" w:rsidP="00E40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C4C5C"/>
    <w:multiLevelType w:val="hybridMultilevel"/>
    <w:tmpl w:val="34AE7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94428"/>
    <w:multiLevelType w:val="hybridMultilevel"/>
    <w:tmpl w:val="0A5012F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
    <w:nsid w:val="04C06276"/>
    <w:multiLevelType w:val="multilevel"/>
    <w:tmpl w:val="F8D6ECB2"/>
    <w:lvl w:ilvl="0">
      <w:start w:val="1"/>
      <w:numFmt w:val="bullet"/>
      <w:pStyle w:val="OpsommingOngenummerd"/>
      <w:lvlText w:val=""/>
      <w:lvlJc w:val="left"/>
      <w:pPr>
        <w:ind w:left="284" w:hanging="284"/>
      </w:pPr>
      <w:rPr>
        <w:rFonts w:ascii="Symbol" w:hAnsi="Symbol" w:hint="default"/>
      </w:rPr>
    </w:lvl>
    <w:lvl w:ilvl="1">
      <w:start w:val="1"/>
      <w:numFmt w:val="bullet"/>
      <w:lvlText w:val="o"/>
      <w:lvlJc w:val="left"/>
      <w:pPr>
        <w:ind w:left="568" w:hanging="284"/>
      </w:pPr>
      <w:rPr>
        <w:rFonts w:ascii="Calibri" w:hAnsi="Calibri" w:hint="default"/>
      </w:rPr>
    </w:lvl>
    <w:lvl w:ilvl="2">
      <w:start w:val="1"/>
      <w:numFmt w:val="bullet"/>
      <w:lvlText w:val=""/>
      <w:lvlJc w:val="left"/>
      <w:pPr>
        <w:ind w:left="852" w:hanging="284"/>
      </w:pPr>
      <w:rPr>
        <w:rFonts w:ascii="Symbol" w:hAnsi="Symbol"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3">
    <w:nsid w:val="0A2A19DE"/>
    <w:multiLevelType w:val="hybridMultilevel"/>
    <w:tmpl w:val="3E2C79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7B00BF"/>
    <w:multiLevelType w:val="hybridMultilevel"/>
    <w:tmpl w:val="94949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92529A"/>
    <w:multiLevelType w:val="hybridMultilevel"/>
    <w:tmpl w:val="32C65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46215BF"/>
    <w:multiLevelType w:val="hybridMultilevel"/>
    <w:tmpl w:val="DB92F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DA50681"/>
    <w:multiLevelType w:val="hybridMultilevel"/>
    <w:tmpl w:val="60981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55C64D7"/>
    <w:multiLevelType w:val="hybridMultilevel"/>
    <w:tmpl w:val="8B580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AE00DF2"/>
    <w:multiLevelType w:val="hybridMultilevel"/>
    <w:tmpl w:val="7E54EC36"/>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0">
    <w:nsid w:val="2B6214A9"/>
    <w:multiLevelType w:val="hybridMultilevel"/>
    <w:tmpl w:val="83AAB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DA5094"/>
    <w:multiLevelType w:val="hybridMultilevel"/>
    <w:tmpl w:val="185827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239013C"/>
    <w:multiLevelType w:val="hybridMultilevel"/>
    <w:tmpl w:val="0748C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2B212CE"/>
    <w:multiLevelType w:val="hybridMultilevel"/>
    <w:tmpl w:val="352C1FC2"/>
    <w:lvl w:ilvl="0" w:tplc="8084C8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C825D56"/>
    <w:multiLevelType w:val="hybridMultilevel"/>
    <w:tmpl w:val="DA8CD69E"/>
    <w:lvl w:ilvl="0" w:tplc="F0CA0724">
      <w:start w:val="1"/>
      <w:numFmt w:val="bullet"/>
      <w:lvlText w:val="•"/>
      <w:lvlJc w:val="left"/>
      <w:pPr>
        <w:tabs>
          <w:tab w:val="num" w:pos="720"/>
        </w:tabs>
        <w:ind w:left="720" w:hanging="360"/>
      </w:pPr>
      <w:rPr>
        <w:rFonts w:ascii="Verdana" w:hAnsi="Verdana" w:hint="default"/>
      </w:rPr>
    </w:lvl>
    <w:lvl w:ilvl="1" w:tplc="6D20CBD4">
      <w:numFmt w:val="bullet"/>
      <w:lvlText w:val="–"/>
      <w:lvlJc w:val="left"/>
      <w:pPr>
        <w:tabs>
          <w:tab w:val="num" w:pos="1440"/>
        </w:tabs>
        <w:ind w:left="1440" w:hanging="360"/>
      </w:pPr>
      <w:rPr>
        <w:rFonts w:ascii="Calibri" w:hAnsi="Calibri" w:hint="default"/>
      </w:rPr>
    </w:lvl>
    <w:lvl w:ilvl="2" w:tplc="199CE22A" w:tentative="1">
      <w:start w:val="1"/>
      <w:numFmt w:val="bullet"/>
      <w:lvlText w:val="•"/>
      <w:lvlJc w:val="left"/>
      <w:pPr>
        <w:tabs>
          <w:tab w:val="num" w:pos="2160"/>
        </w:tabs>
        <w:ind w:left="2160" w:hanging="360"/>
      </w:pPr>
      <w:rPr>
        <w:rFonts w:ascii="Verdana" w:hAnsi="Verdana" w:hint="default"/>
      </w:rPr>
    </w:lvl>
    <w:lvl w:ilvl="3" w:tplc="25548AB2" w:tentative="1">
      <w:start w:val="1"/>
      <w:numFmt w:val="bullet"/>
      <w:lvlText w:val="•"/>
      <w:lvlJc w:val="left"/>
      <w:pPr>
        <w:tabs>
          <w:tab w:val="num" w:pos="2880"/>
        </w:tabs>
        <w:ind w:left="2880" w:hanging="360"/>
      </w:pPr>
      <w:rPr>
        <w:rFonts w:ascii="Verdana" w:hAnsi="Verdana" w:hint="default"/>
      </w:rPr>
    </w:lvl>
    <w:lvl w:ilvl="4" w:tplc="42484B84" w:tentative="1">
      <w:start w:val="1"/>
      <w:numFmt w:val="bullet"/>
      <w:lvlText w:val="•"/>
      <w:lvlJc w:val="left"/>
      <w:pPr>
        <w:tabs>
          <w:tab w:val="num" w:pos="3600"/>
        </w:tabs>
        <w:ind w:left="3600" w:hanging="360"/>
      </w:pPr>
      <w:rPr>
        <w:rFonts w:ascii="Verdana" w:hAnsi="Verdana" w:hint="default"/>
      </w:rPr>
    </w:lvl>
    <w:lvl w:ilvl="5" w:tplc="5D7CE528" w:tentative="1">
      <w:start w:val="1"/>
      <w:numFmt w:val="bullet"/>
      <w:lvlText w:val="•"/>
      <w:lvlJc w:val="left"/>
      <w:pPr>
        <w:tabs>
          <w:tab w:val="num" w:pos="4320"/>
        </w:tabs>
        <w:ind w:left="4320" w:hanging="360"/>
      </w:pPr>
      <w:rPr>
        <w:rFonts w:ascii="Verdana" w:hAnsi="Verdana" w:hint="default"/>
      </w:rPr>
    </w:lvl>
    <w:lvl w:ilvl="6" w:tplc="B6DEE0DA" w:tentative="1">
      <w:start w:val="1"/>
      <w:numFmt w:val="bullet"/>
      <w:lvlText w:val="•"/>
      <w:lvlJc w:val="left"/>
      <w:pPr>
        <w:tabs>
          <w:tab w:val="num" w:pos="5040"/>
        </w:tabs>
        <w:ind w:left="5040" w:hanging="360"/>
      </w:pPr>
      <w:rPr>
        <w:rFonts w:ascii="Verdana" w:hAnsi="Verdana" w:hint="default"/>
      </w:rPr>
    </w:lvl>
    <w:lvl w:ilvl="7" w:tplc="C506F54C" w:tentative="1">
      <w:start w:val="1"/>
      <w:numFmt w:val="bullet"/>
      <w:lvlText w:val="•"/>
      <w:lvlJc w:val="left"/>
      <w:pPr>
        <w:tabs>
          <w:tab w:val="num" w:pos="5760"/>
        </w:tabs>
        <w:ind w:left="5760" w:hanging="360"/>
      </w:pPr>
      <w:rPr>
        <w:rFonts w:ascii="Verdana" w:hAnsi="Verdana" w:hint="default"/>
      </w:rPr>
    </w:lvl>
    <w:lvl w:ilvl="8" w:tplc="EFF65742" w:tentative="1">
      <w:start w:val="1"/>
      <w:numFmt w:val="bullet"/>
      <w:lvlText w:val="•"/>
      <w:lvlJc w:val="left"/>
      <w:pPr>
        <w:tabs>
          <w:tab w:val="num" w:pos="6480"/>
        </w:tabs>
        <w:ind w:left="6480" w:hanging="360"/>
      </w:pPr>
      <w:rPr>
        <w:rFonts w:ascii="Verdana" w:hAnsi="Verdana" w:hint="default"/>
      </w:rPr>
    </w:lvl>
  </w:abstractNum>
  <w:abstractNum w:abstractNumId="15">
    <w:nsid w:val="51626AC3"/>
    <w:multiLevelType w:val="hybridMultilevel"/>
    <w:tmpl w:val="2788F2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15762D4"/>
    <w:multiLevelType w:val="hybridMultilevel"/>
    <w:tmpl w:val="7618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41464C0"/>
    <w:multiLevelType w:val="hybridMultilevel"/>
    <w:tmpl w:val="AA0E7F0E"/>
    <w:lvl w:ilvl="0" w:tplc="DC4A803E">
      <w:start w:val="1"/>
      <w:numFmt w:val="decimal"/>
      <w:pStyle w:val="KopBoldNumm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7F37151"/>
    <w:multiLevelType w:val="hybridMultilevel"/>
    <w:tmpl w:val="2752C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CB3D64"/>
    <w:multiLevelType w:val="hybridMultilevel"/>
    <w:tmpl w:val="47B8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C9113A7"/>
    <w:multiLevelType w:val="multilevel"/>
    <w:tmpl w:val="FCB2E394"/>
    <w:lvl w:ilvl="0">
      <w:start w:val="7"/>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20"/>
  </w:num>
  <w:num w:numId="3">
    <w:abstractNumId w:val="2"/>
  </w:num>
  <w:num w:numId="4">
    <w:abstractNumId w:val="6"/>
  </w:num>
  <w:num w:numId="5">
    <w:abstractNumId w:val="9"/>
  </w:num>
  <w:num w:numId="6">
    <w:abstractNumId w:val="12"/>
  </w:num>
  <w:num w:numId="7">
    <w:abstractNumId w:val="17"/>
  </w:num>
  <w:num w:numId="8">
    <w:abstractNumId w:val="10"/>
  </w:num>
  <w:num w:numId="9">
    <w:abstractNumId w:val="14"/>
  </w:num>
  <w:num w:numId="10">
    <w:abstractNumId w:val="8"/>
  </w:num>
  <w:num w:numId="11">
    <w:abstractNumId w:val="3"/>
  </w:num>
  <w:num w:numId="12">
    <w:abstractNumId w:val="15"/>
  </w:num>
  <w:num w:numId="13">
    <w:abstractNumId w:val="16"/>
  </w:num>
  <w:num w:numId="14">
    <w:abstractNumId w:val="7"/>
  </w:num>
  <w:num w:numId="15">
    <w:abstractNumId w:val="11"/>
  </w:num>
  <w:num w:numId="16">
    <w:abstractNumId w:val="13"/>
  </w:num>
  <w:num w:numId="17">
    <w:abstractNumId w:val="0"/>
  </w:num>
  <w:num w:numId="18">
    <w:abstractNumId w:val="5"/>
  </w:num>
  <w:num w:numId="19">
    <w:abstractNumId w:val="1"/>
  </w:num>
  <w:num w:numId="20">
    <w:abstractNumId w:val="18"/>
  </w:num>
  <w:num w:numId="21">
    <w:abstractNumId w:val="19"/>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athan Davies">
    <w15:presenceInfo w15:providerId="Windows Live" w15:userId="00b1731eaa2f79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AA Style Guid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LW_DocType" w:val="NORMAL"/>
  </w:docVars>
  <w:rsids>
    <w:rsidRoot w:val="00510887"/>
    <w:rsid w:val="00002394"/>
    <w:rsid w:val="00003353"/>
    <w:rsid w:val="00004D18"/>
    <w:rsid w:val="0000533A"/>
    <w:rsid w:val="000053B0"/>
    <w:rsid w:val="0000595B"/>
    <w:rsid w:val="00005FAC"/>
    <w:rsid w:val="000065B4"/>
    <w:rsid w:val="00007090"/>
    <w:rsid w:val="00007875"/>
    <w:rsid w:val="00007F2A"/>
    <w:rsid w:val="00010042"/>
    <w:rsid w:val="000103FE"/>
    <w:rsid w:val="0001167F"/>
    <w:rsid w:val="000116DE"/>
    <w:rsid w:val="00012A2D"/>
    <w:rsid w:val="0001440C"/>
    <w:rsid w:val="00014E8B"/>
    <w:rsid w:val="000158B1"/>
    <w:rsid w:val="00016A76"/>
    <w:rsid w:val="0001760C"/>
    <w:rsid w:val="00017B8F"/>
    <w:rsid w:val="0002029E"/>
    <w:rsid w:val="00021E2E"/>
    <w:rsid w:val="00021E8C"/>
    <w:rsid w:val="00022240"/>
    <w:rsid w:val="0002573A"/>
    <w:rsid w:val="000260D2"/>
    <w:rsid w:val="00026D14"/>
    <w:rsid w:val="00026FFE"/>
    <w:rsid w:val="00027EA2"/>
    <w:rsid w:val="000313D8"/>
    <w:rsid w:val="00031608"/>
    <w:rsid w:val="0003216A"/>
    <w:rsid w:val="00032896"/>
    <w:rsid w:val="00033075"/>
    <w:rsid w:val="00033749"/>
    <w:rsid w:val="000338A4"/>
    <w:rsid w:val="000343CC"/>
    <w:rsid w:val="0003569E"/>
    <w:rsid w:val="000401AB"/>
    <w:rsid w:val="00040C78"/>
    <w:rsid w:val="000427A0"/>
    <w:rsid w:val="00042ACB"/>
    <w:rsid w:val="00042B23"/>
    <w:rsid w:val="00042F30"/>
    <w:rsid w:val="000430AC"/>
    <w:rsid w:val="00044EEE"/>
    <w:rsid w:val="00047452"/>
    <w:rsid w:val="00051220"/>
    <w:rsid w:val="00052633"/>
    <w:rsid w:val="00054C01"/>
    <w:rsid w:val="0005663F"/>
    <w:rsid w:val="00056997"/>
    <w:rsid w:val="00057A1F"/>
    <w:rsid w:val="00057D4B"/>
    <w:rsid w:val="000606CA"/>
    <w:rsid w:val="00061616"/>
    <w:rsid w:val="00061DBE"/>
    <w:rsid w:val="0006353A"/>
    <w:rsid w:val="00064A67"/>
    <w:rsid w:val="00065EAD"/>
    <w:rsid w:val="00066321"/>
    <w:rsid w:val="000666E2"/>
    <w:rsid w:val="00070536"/>
    <w:rsid w:val="00071552"/>
    <w:rsid w:val="00071BA8"/>
    <w:rsid w:val="000721F2"/>
    <w:rsid w:val="00072376"/>
    <w:rsid w:val="00072530"/>
    <w:rsid w:val="000728EF"/>
    <w:rsid w:val="00072F5E"/>
    <w:rsid w:val="0007362C"/>
    <w:rsid w:val="00074815"/>
    <w:rsid w:val="0007502F"/>
    <w:rsid w:val="0007683D"/>
    <w:rsid w:val="00077802"/>
    <w:rsid w:val="00077A9D"/>
    <w:rsid w:val="000808AB"/>
    <w:rsid w:val="0008102B"/>
    <w:rsid w:val="0008143B"/>
    <w:rsid w:val="00083112"/>
    <w:rsid w:val="000832C2"/>
    <w:rsid w:val="00083623"/>
    <w:rsid w:val="00083FB9"/>
    <w:rsid w:val="00087B61"/>
    <w:rsid w:val="00090632"/>
    <w:rsid w:val="00090D7D"/>
    <w:rsid w:val="00094F74"/>
    <w:rsid w:val="00096A85"/>
    <w:rsid w:val="000A0803"/>
    <w:rsid w:val="000A0AB4"/>
    <w:rsid w:val="000A1ABA"/>
    <w:rsid w:val="000A2C1E"/>
    <w:rsid w:val="000A2CBD"/>
    <w:rsid w:val="000A4EAA"/>
    <w:rsid w:val="000A503F"/>
    <w:rsid w:val="000A5C14"/>
    <w:rsid w:val="000A5EEA"/>
    <w:rsid w:val="000A6CF5"/>
    <w:rsid w:val="000A7187"/>
    <w:rsid w:val="000A7741"/>
    <w:rsid w:val="000A79B3"/>
    <w:rsid w:val="000A7A48"/>
    <w:rsid w:val="000A7A6E"/>
    <w:rsid w:val="000B0121"/>
    <w:rsid w:val="000B067B"/>
    <w:rsid w:val="000B2AFD"/>
    <w:rsid w:val="000B571B"/>
    <w:rsid w:val="000B6D2B"/>
    <w:rsid w:val="000B753E"/>
    <w:rsid w:val="000B7ACA"/>
    <w:rsid w:val="000C178F"/>
    <w:rsid w:val="000C208F"/>
    <w:rsid w:val="000C2A65"/>
    <w:rsid w:val="000C46A4"/>
    <w:rsid w:val="000C63F9"/>
    <w:rsid w:val="000C6C48"/>
    <w:rsid w:val="000D0F18"/>
    <w:rsid w:val="000D1878"/>
    <w:rsid w:val="000D3026"/>
    <w:rsid w:val="000D3722"/>
    <w:rsid w:val="000D3CBB"/>
    <w:rsid w:val="000D4CD7"/>
    <w:rsid w:val="000D5049"/>
    <w:rsid w:val="000D5128"/>
    <w:rsid w:val="000D6540"/>
    <w:rsid w:val="000D6C78"/>
    <w:rsid w:val="000D6E2A"/>
    <w:rsid w:val="000D6FFF"/>
    <w:rsid w:val="000D74D7"/>
    <w:rsid w:val="000D75D5"/>
    <w:rsid w:val="000D7648"/>
    <w:rsid w:val="000E06E9"/>
    <w:rsid w:val="000E0E65"/>
    <w:rsid w:val="000E11B8"/>
    <w:rsid w:val="000E19DA"/>
    <w:rsid w:val="000E2C67"/>
    <w:rsid w:val="000E2E8C"/>
    <w:rsid w:val="000E6D19"/>
    <w:rsid w:val="000E736B"/>
    <w:rsid w:val="000F029A"/>
    <w:rsid w:val="000F084F"/>
    <w:rsid w:val="000F08F8"/>
    <w:rsid w:val="000F0C71"/>
    <w:rsid w:val="000F265D"/>
    <w:rsid w:val="000F461A"/>
    <w:rsid w:val="000F6BCA"/>
    <w:rsid w:val="00100A0E"/>
    <w:rsid w:val="0010194C"/>
    <w:rsid w:val="00103088"/>
    <w:rsid w:val="00103AA2"/>
    <w:rsid w:val="001059F5"/>
    <w:rsid w:val="00105D6E"/>
    <w:rsid w:val="00107028"/>
    <w:rsid w:val="0010740C"/>
    <w:rsid w:val="00107D3A"/>
    <w:rsid w:val="0011130C"/>
    <w:rsid w:val="001128D5"/>
    <w:rsid w:val="00114414"/>
    <w:rsid w:val="00114816"/>
    <w:rsid w:val="00114E56"/>
    <w:rsid w:val="001205B2"/>
    <w:rsid w:val="001214AE"/>
    <w:rsid w:val="001217D0"/>
    <w:rsid w:val="001227E9"/>
    <w:rsid w:val="001229DB"/>
    <w:rsid w:val="00123F72"/>
    <w:rsid w:val="001248EC"/>
    <w:rsid w:val="0012644D"/>
    <w:rsid w:val="00126D27"/>
    <w:rsid w:val="001270B8"/>
    <w:rsid w:val="00127612"/>
    <w:rsid w:val="001278EB"/>
    <w:rsid w:val="00130AC3"/>
    <w:rsid w:val="00131C51"/>
    <w:rsid w:val="00131DC9"/>
    <w:rsid w:val="001366DA"/>
    <w:rsid w:val="00136D77"/>
    <w:rsid w:val="00137CDF"/>
    <w:rsid w:val="001406B3"/>
    <w:rsid w:val="0014157B"/>
    <w:rsid w:val="001421EF"/>
    <w:rsid w:val="0014293D"/>
    <w:rsid w:val="00144B04"/>
    <w:rsid w:val="00145FDB"/>
    <w:rsid w:val="00146A24"/>
    <w:rsid w:val="00146EE9"/>
    <w:rsid w:val="00147A29"/>
    <w:rsid w:val="00152979"/>
    <w:rsid w:val="00153E8C"/>
    <w:rsid w:val="0015440D"/>
    <w:rsid w:val="0015725A"/>
    <w:rsid w:val="00160733"/>
    <w:rsid w:val="0016141A"/>
    <w:rsid w:val="00165CD0"/>
    <w:rsid w:val="00165F02"/>
    <w:rsid w:val="00166354"/>
    <w:rsid w:val="00167BAD"/>
    <w:rsid w:val="00167CB0"/>
    <w:rsid w:val="001707C8"/>
    <w:rsid w:val="00170E09"/>
    <w:rsid w:val="00171254"/>
    <w:rsid w:val="00172BD6"/>
    <w:rsid w:val="001740F3"/>
    <w:rsid w:val="00174874"/>
    <w:rsid w:val="001749CE"/>
    <w:rsid w:val="00177C4E"/>
    <w:rsid w:val="00180978"/>
    <w:rsid w:val="001815BC"/>
    <w:rsid w:val="00181D87"/>
    <w:rsid w:val="001821C0"/>
    <w:rsid w:val="001832AF"/>
    <w:rsid w:val="00183433"/>
    <w:rsid w:val="00183514"/>
    <w:rsid w:val="001839D6"/>
    <w:rsid w:val="001839DF"/>
    <w:rsid w:val="001847C0"/>
    <w:rsid w:val="00184BDA"/>
    <w:rsid w:val="00185069"/>
    <w:rsid w:val="00185230"/>
    <w:rsid w:val="001852FF"/>
    <w:rsid w:val="00185618"/>
    <w:rsid w:val="0018622A"/>
    <w:rsid w:val="00186242"/>
    <w:rsid w:val="00186D16"/>
    <w:rsid w:val="00186D29"/>
    <w:rsid w:val="00187C7B"/>
    <w:rsid w:val="00190D5D"/>
    <w:rsid w:val="001918E9"/>
    <w:rsid w:val="00192B3F"/>
    <w:rsid w:val="0019375C"/>
    <w:rsid w:val="00194CA4"/>
    <w:rsid w:val="001953F0"/>
    <w:rsid w:val="00195441"/>
    <w:rsid w:val="00196126"/>
    <w:rsid w:val="00196D8B"/>
    <w:rsid w:val="00196DD0"/>
    <w:rsid w:val="00197FCF"/>
    <w:rsid w:val="001A1EAA"/>
    <w:rsid w:val="001A39CE"/>
    <w:rsid w:val="001A3B74"/>
    <w:rsid w:val="001A5410"/>
    <w:rsid w:val="001A54FC"/>
    <w:rsid w:val="001A5A5E"/>
    <w:rsid w:val="001A6434"/>
    <w:rsid w:val="001B1B0C"/>
    <w:rsid w:val="001B1BBF"/>
    <w:rsid w:val="001B5479"/>
    <w:rsid w:val="001B6303"/>
    <w:rsid w:val="001B6800"/>
    <w:rsid w:val="001B69F5"/>
    <w:rsid w:val="001B6CB9"/>
    <w:rsid w:val="001B70B2"/>
    <w:rsid w:val="001B7E29"/>
    <w:rsid w:val="001C1E57"/>
    <w:rsid w:val="001C4004"/>
    <w:rsid w:val="001C4EAF"/>
    <w:rsid w:val="001C50A2"/>
    <w:rsid w:val="001C5A3D"/>
    <w:rsid w:val="001C5F71"/>
    <w:rsid w:val="001C621A"/>
    <w:rsid w:val="001C74EC"/>
    <w:rsid w:val="001C77F4"/>
    <w:rsid w:val="001C7B00"/>
    <w:rsid w:val="001C7E50"/>
    <w:rsid w:val="001D0A92"/>
    <w:rsid w:val="001D1860"/>
    <w:rsid w:val="001D2999"/>
    <w:rsid w:val="001D32F8"/>
    <w:rsid w:val="001D589D"/>
    <w:rsid w:val="001D5F1B"/>
    <w:rsid w:val="001D79A7"/>
    <w:rsid w:val="001E008C"/>
    <w:rsid w:val="001E1749"/>
    <w:rsid w:val="001E2218"/>
    <w:rsid w:val="001E2374"/>
    <w:rsid w:val="001E2388"/>
    <w:rsid w:val="001E23CE"/>
    <w:rsid w:val="001E24E4"/>
    <w:rsid w:val="001E2C91"/>
    <w:rsid w:val="001E316C"/>
    <w:rsid w:val="001E504B"/>
    <w:rsid w:val="001E5BC5"/>
    <w:rsid w:val="001E6BB0"/>
    <w:rsid w:val="001F0749"/>
    <w:rsid w:val="001F0B1B"/>
    <w:rsid w:val="001F1166"/>
    <w:rsid w:val="001F1F29"/>
    <w:rsid w:val="001F20F9"/>
    <w:rsid w:val="001F2819"/>
    <w:rsid w:val="001F2B8C"/>
    <w:rsid w:val="001F31A2"/>
    <w:rsid w:val="001F378C"/>
    <w:rsid w:val="001F3835"/>
    <w:rsid w:val="001F519E"/>
    <w:rsid w:val="001F6C5E"/>
    <w:rsid w:val="0020383B"/>
    <w:rsid w:val="00203F1C"/>
    <w:rsid w:val="00204004"/>
    <w:rsid w:val="002041C2"/>
    <w:rsid w:val="002047A4"/>
    <w:rsid w:val="00204D6B"/>
    <w:rsid w:val="00206E5F"/>
    <w:rsid w:val="00211578"/>
    <w:rsid w:val="00214029"/>
    <w:rsid w:val="00214325"/>
    <w:rsid w:val="002144B5"/>
    <w:rsid w:val="00214FCC"/>
    <w:rsid w:val="002154F9"/>
    <w:rsid w:val="00215C9C"/>
    <w:rsid w:val="002167DA"/>
    <w:rsid w:val="00217898"/>
    <w:rsid w:val="00220114"/>
    <w:rsid w:val="00220472"/>
    <w:rsid w:val="00220A44"/>
    <w:rsid w:val="00221375"/>
    <w:rsid w:val="00221EF9"/>
    <w:rsid w:val="002230FD"/>
    <w:rsid w:val="0022395B"/>
    <w:rsid w:val="00223F3B"/>
    <w:rsid w:val="0022599C"/>
    <w:rsid w:val="00225A94"/>
    <w:rsid w:val="00226B5C"/>
    <w:rsid w:val="002275C5"/>
    <w:rsid w:val="00227BAE"/>
    <w:rsid w:val="00230F7C"/>
    <w:rsid w:val="002313CF"/>
    <w:rsid w:val="002325D7"/>
    <w:rsid w:val="0023378A"/>
    <w:rsid w:val="00233F5A"/>
    <w:rsid w:val="00234933"/>
    <w:rsid w:val="002349C1"/>
    <w:rsid w:val="00237F5E"/>
    <w:rsid w:val="00240D0E"/>
    <w:rsid w:val="002415C5"/>
    <w:rsid w:val="00242007"/>
    <w:rsid w:val="00242B9F"/>
    <w:rsid w:val="00242F84"/>
    <w:rsid w:val="002434FB"/>
    <w:rsid w:val="00243A57"/>
    <w:rsid w:val="00243AF9"/>
    <w:rsid w:val="0024466D"/>
    <w:rsid w:val="00244CBD"/>
    <w:rsid w:val="002453FF"/>
    <w:rsid w:val="0024604F"/>
    <w:rsid w:val="002464A5"/>
    <w:rsid w:val="0024694F"/>
    <w:rsid w:val="00252FAA"/>
    <w:rsid w:val="00253044"/>
    <w:rsid w:val="00253097"/>
    <w:rsid w:val="00253476"/>
    <w:rsid w:val="002553CB"/>
    <w:rsid w:val="00256102"/>
    <w:rsid w:val="00257444"/>
    <w:rsid w:val="00257AC8"/>
    <w:rsid w:val="00257E69"/>
    <w:rsid w:val="0026034A"/>
    <w:rsid w:val="00260395"/>
    <w:rsid w:val="002605BE"/>
    <w:rsid w:val="002607D3"/>
    <w:rsid w:val="00260814"/>
    <w:rsid w:val="00260928"/>
    <w:rsid w:val="0026372B"/>
    <w:rsid w:val="00264AD3"/>
    <w:rsid w:val="002657DF"/>
    <w:rsid w:val="0026647C"/>
    <w:rsid w:val="00267568"/>
    <w:rsid w:val="00267C34"/>
    <w:rsid w:val="00267F41"/>
    <w:rsid w:val="002710E9"/>
    <w:rsid w:val="00271852"/>
    <w:rsid w:val="00271BC3"/>
    <w:rsid w:val="00276241"/>
    <w:rsid w:val="00276F65"/>
    <w:rsid w:val="00281209"/>
    <w:rsid w:val="00281A0C"/>
    <w:rsid w:val="0028229F"/>
    <w:rsid w:val="00282559"/>
    <w:rsid w:val="00282E86"/>
    <w:rsid w:val="00283FF9"/>
    <w:rsid w:val="00285671"/>
    <w:rsid w:val="002872B2"/>
    <w:rsid w:val="002904F9"/>
    <w:rsid w:val="00290656"/>
    <w:rsid w:val="002907F2"/>
    <w:rsid w:val="00292683"/>
    <w:rsid w:val="00292C26"/>
    <w:rsid w:val="00293CD6"/>
    <w:rsid w:val="002949F8"/>
    <w:rsid w:val="00294E62"/>
    <w:rsid w:val="00295F38"/>
    <w:rsid w:val="002966E2"/>
    <w:rsid w:val="00297773"/>
    <w:rsid w:val="002A039B"/>
    <w:rsid w:val="002A0498"/>
    <w:rsid w:val="002A0CCA"/>
    <w:rsid w:val="002A2ECA"/>
    <w:rsid w:val="002A43B4"/>
    <w:rsid w:val="002A5469"/>
    <w:rsid w:val="002A70A0"/>
    <w:rsid w:val="002A7590"/>
    <w:rsid w:val="002B0EDB"/>
    <w:rsid w:val="002B106F"/>
    <w:rsid w:val="002B1B0E"/>
    <w:rsid w:val="002B21C6"/>
    <w:rsid w:val="002B2F24"/>
    <w:rsid w:val="002B40AD"/>
    <w:rsid w:val="002B42FC"/>
    <w:rsid w:val="002B5574"/>
    <w:rsid w:val="002B5BDF"/>
    <w:rsid w:val="002B5E86"/>
    <w:rsid w:val="002B6136"/>
    <w:rsid w:val="002B679B"/>
    <w:rsid w:val="002C00F2"/>
    <w:rsid w:val="002C0186"/>
    <w:rsid w:val="002C0816"/>
    <w:rsid w:val="002C1880"/>
    <w:rsid w:val="002C1C81"/>
    <w:rsid w:val="002C219E"/>
    <w:rsid w:val="002C29BB"/>
    <w:rsid w:val="002C3396"/>
    <w:rsid w:val="002C4035"/>
    <w:rsid w:val="002C43B4"/>
    <w:rsid w:val="002C559A"/>
    <w:rsid w:val="002C56CF"/>
    <w:rsid w:val="002C637B"/>
    <w:rsid w:val="002C6761"/>
    <w:rsid w:val="002C6B17"/>
    <w:rsid w:val="002D02D6"/>
    <w:rsid w:val="002D2EF5"/>
    <w:rsid w:val="002D4E4E"/>
    <w:rsid w:val="002D53E2"/>
    <w:rsid w:val="002E004D"/>
    <w:rsid w:val="002E13B1"/>
    <w:rsid w:val="002E1FFB"/>
    <w:rsid w:val="002E2143"/>
    <w:rsid w:val="002E2155"/>
    <w:rsid w:val="002E2192"/>
    <w:rsid w:val="002E2B79"/>
    <w:rsid w:val="002E3533"/>
    <w:rsid w:val="002E39D9"/>
    <w:rsid w:val="002E5925"/>
    <w:rsid w:val="002E5C53"/>
    <w:rsid w:val="002E765B"/>
    <w:rsid w:val="002E7F3D"/>
    <w:rsid w:val="002F0B65"/>
    <w:rsid w:val="002F2D92"/>
    <w:rsid w:val="002F3637"/>
    <w:rsid w:val="002F3BF0"/>
    <w:rsid w:val="002F6AC6"/>
    <w:rsid w:val="002F6F57"/>
    <w:rsid w:val="00301014"/>
    <w:rsid w:val="00301CC8"/>
    <w:rsid w:val="00301FE9"/>
    <w:rsid w:val="003020E4"/>
    <w:rsid w:val="003024DE"/>
    <w:rsid w:val="00302A40"/>
    <w:rsid w:val="003035DD"/>
    <w:rsid w:val="003039FA"/>
    <w:rsid w:val="00304ACC"/>
    <w:rsid w:val="00304FCC"/>
    <w:rsid w:val="00306EF4"/>
    <w:rsid w:val="00307A61"/>
    <w:rsid w:val="00312335"/>
    <w:rsid w:val="0031239E"/>
    <w:rsid w:val="003123C1"/>
    <w:rsid w:val="00312DE6"/>
    <w:rsid w:val="00314BE1"/>
    <w:rsid w:val="0031700E"/>
    <w:rsid w:val="0031722E"/>
    <w:rsid w:val="003200E4"/>
    <w:rsid w:val="0032197F"/>
    <w:rsid w:val="00322314"/>
    <w:rsid w:val="00322914"/>
    <w:rsid w:val="0032300D"/>
    <w:rsid w:val="00323217"/>
    <w:rsid w:val="00323D44"/>
    <w:rsid w:val="003248E7"/>
    <w:rsid w:val="003259FA"/>
    <w:rsid w:val="00325AEF"/>
    <w:rsid w:val="00326BC0"/>
    <w:rsid w:val="00326E04"/>
    <w:rsid w:val="00327117"/>
    <w:rsid w:val="00327B92"/>
    <w:rsid w:val="0033028A"/>
    <w:rsid w:val="00330717"/>
    <w:rsid w:val="0033135E"/>
    <w:rsid w:val="00331474"/>
    <w:rsid w:val="00334245"/>
    <w:rsid w:val="00334F10"/>
    <w:rsid w:val="00335902"/>
    <w:rsid w:val="00336001"/>
    <w:rsid w:val="00337B84"/>
    <w:rsid w:val="00340899"/>
    <w:rsid w:val="00341B9A"/>
    <w:rsid w:val="00341CA1"/>
    <w:rsid w:val="00341DA0"/>
    <w:rsid w:val="0034395A"/>
    <w:rsid w:val="00344203"/>
    <w:rsid w:val="00344EAD"/>
    <w:rsid w:val="00345748"/>
    <w:rsid w:val="00345BD3"/>
    <w:rsid w:val="00345EC8"/>
    <w:rsid w:val="0034699F"/>
    <w:rsid w:val="00346D88"/>
    <w:rsid w:val="00346F62"/>
    <w:rsid w:val="00347944"/>
    <w:rsid w:val="0035170F"/>
    <w:rsid w:val="003525A3"/>
    <w:rsid w:val="003544A5"/>
    <w:rsid w:val="0035574B"/>
    <w:rsid w:val="003563C0"/>
    <w:rsid w:val="00356515"/>
    <w:rsid w:val="003573D5"/>
    <w:rsid w:val="00357564"/>
    <w:rsid w:val="00360E18"/>
    <w:rsid w:val="00361702"/>
    <w:rsid w:val="00361D17"/>
    <w:rsid w:val="0036254E"/>
    <w:rsid w:val="0036275D"/>
    <w:rsid w:val="00367BCF"/>
    <w:rsid w:val="0037066F"/>
    <w:rsid w:val="0037138D"/>
    <w:rsid w:val="003713FD"/>
    <w:rsid w:val="00372788"/>
    <w:rsid w:val="00372DBC"/>
    <w:rsid w:val="00373747"/>
    <w:rsid w:val="00373C17"/>
    <w:rsid w:val="00373DCC"/>
    <w:rsid w:val="0038020F"/>
    <w:rsid w:val="00380634"/>
    <w:rsid w:val="00380C12"/>
    <w:rsid w:val="003810DA"/>
    <w:rsid w:val="0038477B"/>
    <w:rsid w:val="00385AEB"/>
    <w:rsid w:val="00386131"/>
    <w:rsid w:val="003873C4"/>
    <w:rsid w:val="00387532"/>
    <w:rsid w:val="003911B6"/>
    <w:rsid w:val="00392E61"/>
    <w:rsid w:val="003945BC"/>
    <w:rsid w:val="00394B8C"/>
    <w:rsid w:val="00395455"/>
    <w:rsid w:val="003972AF"/>
    <w:rsid w:val="003A038C"/>
    <w:rsid w:val="003A1478"/>
    <w:rsid w:val="003A294E"/>
    <w:rsid w:val="003A4ABE"/>
    <w:rsid w:val="003A7C12"/>
    <w:rsid w:val="003B38BC"/>
    <w:rsid w:val="003B51DB"/>
    <w:rsid w:val="003B59F8"/>
    <w:rsid w:val="003C2A02"/>
    <w:rsid w:val="003C2AA6"/>
    <w:rsid w:val="003C3208"/>
    <w:rsid w:val="003C3701"/>
    <w:rsid w:val="003C3D68"/>
    <w:rsid w:val="003C3E96"/>
    <w:rsid w:val="003C46A4"/>
    <w:rsid w:val="003C570D"/>
    <w:rsid w:val="003C599D"/>
    <w:rsid w:val="003C6D47"/>
    <w:rsid w:val="003D0578"/>
    <w:rsid w:val="003D07BC"/>
    <w:rsid w:val="003D086C"/>
    <w:rsid w:val="003D0A1C"/>
    <w:rsid w:val="003D16FB"/>
    <w:rsid w:val="003D1A1C"/>
    <w:rsid w:val="003D2715"/>
    <w:rsid w:val="003D2BCC"/>
    <w:rsid w:val="003D379E"/>
    <w:rsid w:val="003D485F"/>
    <w:rsid w:val="003D4ECD"/>
    <w:rsid w:val="003D5900"/>
    <w:rsid w:val="003D6973"/>
    <w:rsid w:val="003D78E7"/>
    <w:rsid w:val="003E18D2"/>
    <w:rsid w:val="003E21B3"/>
    <w:rsid w:val="003E302E"/>
    <w:rsid w:val="003E3856"/>
    <w:rsid w:val="003E5D76"/>
    <w:rsid w:val="003E67E5"/>
    <w:rsid w:val="003E75BF"/>
    <w:rsid w:val="003E77C7"/>
    <w:rsid w:val="003F0331"/>
    <w:rsid w:val="003F1974"/>
    <w:rsid w:val="003F2350"/>
    <w:rsid w:val="003F2DBA"/>
    <w:rsid w:val="003F2FDC"/>
    <w:rsid w:val="003F3126"/>
    <w:rsid w:val="003F32B4"/>
    <w:rsid w:val="003F3DD7"/>
    <w:rsid w:val="003F4421"/>
    <w:rsid w:val="003F7D98"/>
    <w:rsid w:val="003F7F25"/>
    <w:rsid w:val="004007DD"/>
    <w:rsid w:val="00400A3B"/>
    <w:rsid w:val="00402820"/>
    <w:rsid w:val="00402ABE"/>
    <w:rsid w:val="00402BB9"/>
    <w:rsid w:val="00403838"/>
    <w:rsid w:val="00404B0C"/>
    <w:rsid w:val="00407EB9"/>
    <w:rsid w:val="00410321"/>
    <w:rsid w:val="00413C85"/>
    <w:rsid w:val="00413D3A"/>
    <w:rsid w:val="00414125"/>
    <w:rsid w:val="004155C4"/>
    <w:rsid w:val="00415B2A"/>
    <w:rsid w:val="00417A22"/>
    <w:rsid w:val="00417FA9"/>
    <w:rsid w:val="004204AB"/>
    <w:rsid w:val="00420791"/>
    <w:rsid w:val="004210AD"/>
    <w:rsid w:val="00421245"/>
    <w:rsid w:val="00422793"/>
    <w:rsid w:val="0042346E"/>
    <w:rsid w:val="00423924"/>
    <w:rsid w:val="00423C3C"/>
    <w:rsid w:val="00423F73"/>
    <w:rsid w:val="00424042"/>
    <w:rsid w:val="004243D0"/>
    <w:rsid w:val="00424B76"/>
    <w:rsid w:val="00425719"/>
    <w:rsid w:val="00430860"/>
    <w:rsid w:val="00431A4E"/>
    <w:rsid w:val="004321D4"/>
    <w:rsid w:val="00432622"/>
    <w:rsid w:val="00434F82"/>
    <w:rsid w:val="004368B1"/>
    <w:rsid w:val="004373E7"/>
    <w:rsid w:val="0043775D"/>
    <w:rsid w:val="00437A6F"/>
    <w:rsid w:val="0044004F"/>
    <w:rsid w:val="0044009F"/>
    <w:rsid w:val="00440192"/>
    <w:rsid w:val="004403F5"/>
    <w:rsid w:val="00441464"/>
    <w:rsid w:val="00441A29"/>
    <w:rsid w:val="00441DC7"/>
    <w:rsid w:val="0044216E"/>
    <w:rsid w:val="004424DD"/>
    <w:rsid w:val="00444032"/>
    <w:rsid w:val="00444388"/>
    <w:rsid w:val="00447144"/>
    <w:rsid w:val="00451091"/>
    <w:rsid w:val="00451A13"/>
    <w:rsid w:val="00452119"/>
    <w:rsid w:val="004524CA"/>
    <w:rsid w:val="0045464E"/>
    <w:rsid w:val="004549E6"/>
    <w:rsid w:val="00454CE6"/>
    <w:rsid w:val="00455684"/>
    <w:rsid w:val="0045571D"/>
    <w:rsid w:val="00456019"/>
    <w:rsid w:val="0045795D"/>
    <w:rsid w:val="00457A8D"/>
    <w:rsid w:val="00460A8E"/>
    <w:rsid w:val="00462346"/>
    <w:rsid w:val="00463F13"/>
    <w:rsid w:val="004644F0"/>
    <w:rsid w:val="0046669A"/>
    <w:rsid w:val="0047131E"/>
    <w:rsid w:val="0047282B"/>
    <w:rsid w:val="00472D04"/>
    <w:rsid w:val="00473734"/>
    <w:rsid w:val="00473C42"/>
    <w:rsid w:val="0047650D"/>
    <w:rsid w:val="004779A8"/>
    <w:rsid w:val="00477FCB"/>
    <w:rsid w:val="00481E1F"/>
    <w:rsid w:val="00482817"/>
    <w:rsid w:val="0048364A"/>
    <w:rsid w:val="004836E3"/>
    <w:rsid w:val="00483CF7"/>
    <w:rsid w:val="0048420F"/>
    <w:rsid w:val="0048651A"/>
    <w:rsid w:val="00487E79"/>
    <w:rsid w:val="00490508"/>
    <w:rsid w:val="00493DD4"/>
    <w:rsid w:val="0049746C"/>
    <w:rsid w:val="004975CD"/>
    <w:rsid w:val="004A0843"/>
    <w:rsid w:val="004A0E80"/>
    <w:rsid w:val="004A19A3"/>
    <w:rsid w:val="004A2B20"/>
    <w:rsid w:val="004A5E83"/>
    <w:rsid w:val="004A6D08"/>
    <w:rsid w:val="004B0048"/>
    <w:rsid w:val="004B06AB"/>
    <w:rsid w:val="004B0C5F"/>
    <w:rsid w:val="004B16EE"/>
    <w:rsid w:val="004B1D2F"/>
    <w:rsid w:val="004B3775"/>
    <w:rsid w:val="004B4570"/>
    <w:rsid w:val="004B6B3C"/>
    <w:rsid w:val="004C0087"/>
    <w:rsid w:val="004C018A"/>
    <w:rsid w:val="004C03D7"/>
    <w:rsid w:val="004C0E2B"/>
    <w:rsid w:val="004C1A67"/>
    <w:rsid w:val="004C320C"/>
    <w:rsid w:val="004C3631"/>
    <w:rsid w:val="004C4342"/>
    <w:rsid w:val="004C4A10"/>
    <w:rsid w:val="004C558C"/>
    <w:rsid w:val="004C739E"/>
    <w:rsid w:val="004D06B4"/>
    <w:rsid w:val="004D12C6"/>
    <w:rsid w:val="004D1549"/>
    <w:rsid w:val="004D16C3"/>
    <w:rsid w:val="004D208F"/>
    <w:rsid w:val="004D2790"/>
    <w:rsid w:val="004D3244"/>
    <w:rsid w:val="004D54EB"/>
    <w:rsid w:val="004E000E"/>
    <w:rsid w:val="004E0900"/>
    <w:rsid w:val="004E0FDB"/>
    <w:rsid w:val="004E1D2E"/>
    <w:rsid w:val="004E3CEE"/>
    <w:rsid w:val="004E4A98"/>
    <w:rsid w:val="004E5A30"/>
    <w:rsid w:val="004E5AF2"/>
    <w:rsid w:val="004E5B7B"/>
    <w:rsid w:val="004E6088"/>
    <w:rsid w:val="004E6D36"/>
    <w:rsid w:val="004F000E"/>
    <w:rsid w:val="004F020F"/>
    <w:rsid w:val="004F1680"/>
    <w:rsid w:val="004F16DF"/>
    <w:rsid w:val="004F19DB"/>
    <w:rsid w:val="004F2204"/>
    <w:rsid w:val="004F23FD"/>
    <w:rsid w:val="004F5BD2"/>
    <w:rsid w:val="004F6DDA"/>
    <w:rsid w:val="005016E1"/>
    <w:rsid w:val="00502725"/>
    <w:rsid w:val="00502DC4"/>
    <w:rsid w:val="00503A65"/>
    <w:rsid w:val="00503D2C"/>
    <w:rsid w:val="0050474D"/>
    <w:rsid w:val="005059D4"/>
    <w:rsid w:val="00507738"/>
    <w:rsid w:val="00507752"/>
    <w:rsid w:val="00507E50"/>
    <w:rsid w:val="00510887"/>
    <w:rsid w:val="00510E39"/>
    <w:rsid w:val="005110CF"/>
    <w:rsid w:val="00511629"/>
    <w:rsid w:val="005137BB"/>
    <w:rsid w:val="005172E9"/>
    <w:rsid w:val="005175D1"/>
    <w:rsid w:val="005177D7"/>
    <w:rsid w:val="00517DFD"/>
    <w:rsid w:val="0052267C"/>
    <w:rsid w:val="00523ECF"/>
    <w:rsid w:val="00523FA1"/>
    <w:rsid w:val="005246FE"/>
    <w:rsid w:val="0052588F"/>
    <w:rsid w:val="0053062D"/>
    <w:rsid w:val="00531317"/>
    <w:rsid w:val="0053674B"/>
    <w:rsid w:val="0054012D"/>
    <w:rsid w:val="00541E4D"/>
    <w:rsid w:val="00542143"/>
    <w:rsid w:val="00542812"/>
    <w:rsid w:val="005436D0"/>
    <w:rsid w:val="0054564D"/>
    <w:rsid w:val="005500FA"/>
    <w:rsid w:val="005506E5"/>
    <w:rsid w:val="00551A63"/>
    <w:rsid w:val="00552E92"/>
    <w:rsid w:val="0055381C"/>
    <w:rsid w:val="00556DCB"/>
    <w:rsid w:val="0056243B"/>
    <w:rsid w:val="0056496E"/>
    <w:rsid w:val="00565342"/>
    <w:rsid w:val="00566E43"/>
    <w:rsid w:val="005674A8"/>
    <w:rsid w:val="0057141C"/>
    <w:rsid w:val="00571FB7"/>
    <w:rsid w:val="0057334D"/>
    <w:rsid w:val="0057348E"/>
    <w:rsid w:val="0057376D"/>
    <w:rsid w:val="00574448"/>
    <w:rsid w:val="005758EE"/>
    <w:rsid w:val="00575B01"/>
    <w:rsid w:val="00576E77"/>
    <w:rsid w:val="00580BC8"/>
    <w:rsid w:val="00584C07"/>
    <w:rsid w:val="005900DA"/>
    <w:rsid w:val="00590D14"/>
    <w:rsid w:val="00593691"/>
    <w:rsid w:val="0059369A"/>
    <w:rsid w:val="0059407B"/>
    <w:rsid w:val="00595207"/>
    <w:rsid w:val="005966DA"/>
    <w:rsid w:val="00596A2F"/>
    <w:rsid w:val="005A151B"/>
    <w:rsid w:val="005A21C2"/>
    <w:rsid w:val="005A279D"/>
    <w:rsid w:val="005A28E8"/>
    <w:rsid w:val="005A2DDE"/>
    <w:rsid w:val="005A3C04"/>
    <w:rsid w:val="005A44A2"/>
    <w:rsid w:val="005A44B9"/>
    <w:rsid w:val="005A4A61"/>
    <w:rsid w:val="005A4F97"/>
    <w:rsid w:val="005A5885"/>
    <w:rsid w:val="005A70D5"/>
    <w:rsid w:val="005B0502"/>
    <w:rsid w:val="005B0D92"/>
    <w:rsid w:val="005B1335"/>
    <w:rsid w:val="005B1FF7"/>
    <w:rsid w:val="005B34FB"/>
    <w:rsid w:val="005B3EF4"/>
    <w:rsid w:val="005B41A2"/>
    <w:rsid w:val="005B43B5"/>
    <w:rsid w:val="005B4B54"/>
    <w:rsid w:val="005B5452"/>
    <w:rsid w:val="005B761A"/>
    <w:rsid w:val="005B7B8B"/>
    <w:rsid w:val="005C12FC"/>
    <w:rsid w:val="005C1E86"/>
    <w:rsid w:val="005C292E"/>
    <w:rsid w:val="005C2970"/>
    <w:rsid w:val="005C4C8C"/>
    <w:rsid w:val="005C4F91"/>
    <w:rsid w:val="005C7697"/>
    <w:rsid w:val="005C7B1A"/>
    <w:rsid w:val="005D1F5A"/>
    <w:rsid w:val="005D2AAC"/>
    <w:rsid w:val="005D36D1"/>
    <w:rsid w:val="005D4369"/>
    <w:rsid w:val="005D4547"/>
    <w:rsid w:val="005D4FD7"/>
    <w:rsid w:val="005D5817"/>
    <w:rsid w:val="005D611A"/>
    <w:rsid w:val="005D6A37"/>
    <w:rsid w:val="005D75C9"/>
    <w:rsid w:val="005D7C3B"/>
    <w:rsid w:val="005E0EFD"/>
    <w:rsid w:val="005E36C5"/>
    <w:rsid w:val="005E3729"/>
    <w:rsid w:val="005E3A89"/>
    <w:rsid w:val="005E3BA6"/>
    <w:rsid w:val="005E541C"/>
    <w:rsid w:val="005E5B01"/>
    <w:rsid w:val="005E6440"/>
    <w:rsid w:val="005E7BD2"/>
    <w:rsid w:val="005F2877"/>
    <w:rsid w:val="005F2E11"/>
    <w:rsid w:val="005F31DA"/>
    <w:rsid w:val="005F3496"/>
    <w:rsid w:val="005F3B81"/>
    <w:rsid w:val="005F4D2F"/>
    <w:rsid w:val="005F5E68"/>
    <w:rsid w:val="005F62C0"/>
    <w:rsid w:val="005F758F"/>
    <w:rsid w:val="0060426D"/>
    <w:rsid w:val="00604393"/>
    <w:rsid w:val="00607508"/>
    <w:rsid w:val="0061191B"/>
    <w:rsid w:val="0061594E"/>
    <w:rsid w:val="00615FF4"/>
    <w:rsid w:val="0061706B"/>
    <w:rsid w:val="0061706F"/>
    <w:rsid w:val="006174F3"/>
    <w:rsid w:val="00622425"/>
    <w:rsid w:val="00623AB7"/>
    <w:rsid w:val="0062473D"/>
    <w:rsid w:val="00624A95"/>
    <w:rsid w:val="00625B39"/>
    <w:rsid w:val="00625EAC"/>
    <w:rsid w:val="00625FBA"/>
    <w:rsid w:val="00627A0F"/>
    <w:rsid w:val="00627F14"/>
    <w:rsid w:val="00627F8E"/>
    <w:rsid w:val="00632105"/>
    <w:rsid w:val="00632D18"/>
    <w:rsid w:val="00633222"/>
    <w:rsid w:val="00636817"/>
    <w:rsid w:val="00636B2A"/>
    <w:rsid w:val="00636CB9"/>
    <w:rsid w:val="006402B6"/>
    <w:rsid w:val="00640611"/>
    <w:rsid w:val="006425E4"/>
    <w:rsid w:val="00643E3D"/>
    <w:rsid w:val="0064487A"/>
    <w:rsid w:val="00645716"/>
    <w:rsid w:val="00650589"/>
    <w:rsid w:val="00651076"/>
    <w:rsid w:val="0065182F"/>
    <w:rsid w:val="00652D13"/>
    <w:rsid w:val="00654D22"/>
    <w:rsid w:val="006552F2"/>
    <w:rsid w:val="0065567A"/>
    <w:rsid w:val="00655C0D"/>
    <w:rsid w:val="0065615E"/>
    <w:rsid w:val="006571C4"/>
    <w:rsid w:val="0066117F"/>
    <w:rsid w:val="00662637"/>
    <w:rsid w:val="00663A49"/>
    <w:rsid w:val="006640C4"/>
    <w:rsid w:val="0066419E"/>
    <w:rsid w:val="00665B3D"/>
    <w:rsid w:val="006665F0"/>
    <w:rsid w:val="0066793B"/>
    <w:rsid w:val="00667B72"/>
    <w:rsid w:val="00670EA3"/>
    <w:rsid w:val="006714F1"/>
    <w:rsid w:val="00673A29"/>
    <w:rsid w:val="00673C5D"/>
    <w:rsid w:val="00674B6F"/>
    <w:rsid w:val="006755A6"/>
    <w:rsid w:val="00676CCE"/>
    <w:rsid w:val="00676CF9"/>
    <w:rsid w:val="0067706D"/>
    <w:rsid w:val="006774E5"/>
    <w:rsid w:val="0067789F"/>
    <w:rsid w:val="006822AC"/>
    <w:rsid w:val="006828E7"/>
    <w:rsid w:val="00683763"/>
    <w:rsid w:val="00683A71"/>
    <w:rsid w:val="00684089"/>
    <w:rsid w:val="0068661A"/>
    <w:rsid w:val="0068716C"/>
    <w:rsid w:val="006874A5"/>
    <w:rsid w:val="00687FF8"/>
    <w:rsid w:val="006910A3"/>
    <w:rsid w:val="00691433"/>
    <w:rsid w:val="006915EB"/>
    <w:rsid w:val="00692482"/>
    <w:rsid w:val="00692B74"/>
    <w:rsid w:val="00692FD8"/>
    <w:rsid w:val="006933FF"/>
    <w:rsid w:val="00694D27"/>
    <w:rsid w:val="006965F6"/>
    <w:rsid w:val="006968CE"/>
    <w:rsid w:val="006A00B1"/>
    <w:rsid w:val="006A0F20"/>
    <w:rsid w:val="006A118D"/>
    <w:rsid w:val="006A126F"/>
    <w:rsid w:val="006A13B6"/>
    <w:rsid w:val="006A1C4B"/>
    <w:rsid w:val="006A1D7B"/>
    <w:rsid w:val="006A229D"/>
    <w:rsid w:val="006A2CD4"/>
    <w:rsid w:val="006A4241"/>
    <w:rsid w:val="006A4E3C"/>
    <w:rsid w:val="006A5057"/>
    <w:rsid w:val="006A6193"/>
    <w:rsid w:val="006A64D4"/>
    <w:rsid w:val="006A66DA"/>
    <w:rsid w:val="006A7E9F"/>
    <w:rsid w:val="006A7FC7"/>
    <w:rsid w:val="006B1E6D"/>
    <w:rsid w:val="006B4D8A"/>
    <w:rsid w:val="006B4F03"/>
    <w:rsid w:val="006B5C7E"/>
    <w:rsid w:val="006B7A90"/>
    <w:rsid w:val="006C2F6D"/>
    <w:rsid w:val="006C30EC"/>
    <w:rsid w:val="006C3707"/>
    <w:rsid w:val="006C3A06"/>
    <w:rsid w:val="006C3F94"/>
    <w:rsid w:val="006C530B"/>
    <w:rsid w:val="006C62F0"/>
    <w:rsid w:val="006C64A2"/>
    <w:rsid w:val="006C672E"/>
    <w:rsid w:val="006D318F"/>
    <w:rsid w:val="006D37B6"/>
    <w:rsid w:val="006D538C"/>
    <w:rsid w:val="006D5826"/>
    <w:rsid w:val="006D62B4"/>
    <w:rsid w:val="006E0139"/>
    <w:rsid w:val="006E10C7"/>
    <w:rsid w:val="006E1DBE"/>
    <w:rsid w:val="006E3408"/>
    <w:rsid w:val="006E5205"/>
    <w:rsid w:val="006E569C"/>
    <w:rsid w:val="006E5ADF"/>
    <w:rsid w:val="006E6F4B"/>
    <w:rsid w:val="006F10DD"/>
    <w:rsid w:val="006F1F29"/>
    <w:rsid w:val="006F2233"/>
    <w:rsid w:val="006F2399"/>
    <w:rsid w:val="006F36C9"/>
    <w:rsid w:val="006F3E3F"/>
    <w:rsid w:val="006F3F3A"/>
    <w:rsid w:val="006F5683"/>
    <w:rsid w:val="006F7B51"/>
    <w:rsid w:val="0070136F"/>
    <w:rsid w:val="007018D6"/>
    <w:rsid w:val="00702670"/>
    <w:rsid w:val="00702F7E"/>
    <w:rsid w:val="0070348D"/>
    <w:rsid w:val="007034B1"/>
    <w:rsid w:val="0070388D"/>
    <w:rsid w:val="00704DE1"/>
    <w:rsid w:val="00706B88"/>
    <w:rsid w:val="007117DC"/>
    <w:rsid w:val="00711A9C"/>
    <w:rsid w:val="00711DFA"/>
    <w:rsid w:val="007123A1"/>
    <w:rsid w:val="0071246F"/>
    <w:rsid w:val="00713779"/>
    <w:rsid w:val="00713F66"/>
    <w:rsid w:val="00717AD3"/>
    <w:rsid w:val="007205C5"/>
    <w:rsid w:val="00721937"/>
    <w:rsid w:val="00721940"/>
    <w:rsid w:val="00721D08"/>
    <w:rsid w:val="007222BB"/>
    <w:rsid w:val="007237A8"/>
    <w:rsid w:val="00724076"/>
    <w:rsid w:val="0072469D"/>
    <w:rsid w:val="00724843"/>
    <w:rsid w:val="00724EFB"/>
    <w:rsid w:val="00725B27"/>
    <w:rsid w:val="0072623B"/>
    <w:rsid w:val="00726E19"/>
    <w:rsid w:val="00726F2E"/>
    <w:rsid w:val="007270EC"/>
    <w:rsid w:val="00732C4E"/>
    <w:rsid w:val="0073374A"/>
    <w:rsid w:val="00733A68"/>
    <w:rsid w:val="00734903"/>
    <w:rsid w:val="007349BB"/>
    <w:rsid w:val="00736429"/>
    <w:rsid w:val="00743266"/>
    <w:rsid w:val="00743958"/>
    <w:rsid w:val="0074426A"/>
    <w:rsid w:val="00745486"/>
    <w:rsid w:val="00746BDF"/>
    <w:rsid w:val="00750317"/>
    <w:rsid w:val="00753A21"/>
    <w:rsid w:val="00753A52"/>
    <w:rsid w:val="007546E4"/>
    <w:rsid w:val="007547C7"/>
    <w:rsid w:val="007566B0"/>
    <w:rsid w:val="007573F2"/>
    <w:rsid w:val="00757821"/>
    <w:rsid w:val="00760144"/>
    <w:rsid w:val="00760A94"/>
    <w:rsid w:val="00761EA5"/>
    <w:rsid w:val="00762599"/>
    <w:rsid w:val="00764659"/>
    <w:rsid w:val="007649F7"/>
    <w:rsid w:val="007651E5"/>
    <w:rsid w:val="00765B17"/>
    <w:rsid w:val="00765F82"/>
    <w:rsid w:val="00766337"/>
    <w:rsid w:val="00766706"/>
    <w:rsid w:val="007703E6"/>
    <w:rsid w:val="00771653"/>
    <w:rsid w:val="00771BBE"/>
    <w:rsid w:val="007725B0"/>
    <w:rsid w:val="0077520A"/>
    <w:rsid w:val="0077527B"/>
    <w:rsid w:val="00775A2B"/>
    <w:rsid w:val="00775AF6"/>
    <w:rsid w:val="00776FE2"/>
    <w:rsid w:val="00777C85"/>
    <w:rsid w:val="00780BC3"/>
    <w:rsid w:val="00783162"/>
    <w:rsid w:val="00783286"/>
    <w:rsid w:val="007834DD"/>
    <w:rsid w:val="00784712"/>
    <w:rsid w:val="00785087"/>
    <w:rsid w:val="00787F1D"/>
    <w:rsid w:val="00791728"/>
    <w:rsid w:val="00791DBC"/>
    <w:rsid w:val="00793339"/>
    <w:rsid w:val="00794F7E"/>
    <w:rsid w:val="00795A14"/>
    <w:rsid w:val="00796B02"/>
    <w:rsid w:val="00797804"/>
    <w:rsid w:val="007A1203"/>
    <w:rsid w:val="007A1DEA"/>
    <w:rsid w:val="007A26C8"/>
    <w:rsid w:val="007A2A50"/>
    <w:rsid w:val="007A3106"/>
    <w:rsid w:val="007A4CA2"/>
    <w:rsid w:val="007A5E59"/>
    <w:rsid w:val="007A656D"/>
    <w:rsid w:val="007A76E9"/>
    <w:rsid w:val="007A7CE0"/>
    <w:rsid w:val="007B0A0D"/>
    <w:rsid w:val="007B252B"/>
    <w:rsid w:val="007B3420"/>
    <w:rsid w:val="007B3C61"/>
    <w:rsid w:val="007B43B1"/>
    <w:rsid w:val="007B44A4"/>
    <w:rsid w:val="007B5CC5"/>
    <w:rsid w:val="007B759F"/>
    <w:rsid w:val="007B7CBC"/>
    <w:rsid w:val="007C1FF2"/>
    <w:rsid w:val="007C67B7"/>
    <w:rsid w:val="007C703D"/>
    <w:rsid w:val="007D0841"/>
    <w:rsid w:val="007D2B3E"/>
    <w:rsid w:val="007D39BB"/>
    <w:rsid w:val="007D3B94"/>
    <w:rsid w:val="007D4C00"/>
    <w:rsid w:val="007D5643"/>
    <w:rsid w:val="007D73EE"/>
    <w:rsid w:val="007E0335"/>
    <w:rsid w:val="007E05F1"/>
    <w:rsid w:val="007E1228"/>
    <w:rsid w:val="007E1E4C"/>
    <w:rsid w:val="007E2543"/>
    <w:rsid w:val="007E2AFD"/>
    <w:rsid w:val="007E2C39"/>
    <w:rsid w:val="007E3235"/>
    <w:rsid w:val="007E3365"/>
    <w:rsid w:val="007E5292"/>
    <w:rsid w:val="007E6B2C"/>
    <w:rsid w:val="007F065B"/>
    <w:rsid w:val="007F2C39"/>
    <w:rsid w:val="007F3553"/>
    <w:rsid w:val="007F49E1"/>
    <w:rsid w:val="007F4CBF"/>
    <w:rsid w:val="007F4CCB"/>
    <w:rsid w:val="007F4F61"/>
    <w:rsid w:val="007F5200"/>
    <w:rsid w:val="007F5669"/>
    <w:rsid w:val="007F5CD8"/>
    <w:rsid w:val="007F6621"/>
    <w:rsid w:val="007F6E44"/>
    <w:rsid w:val="008003FC"/>
    <w:rsid w:val="00800891"/>
    <w:rsid w:val="0080102C"/>
    <w:rsid w:val="008040A5"/>
    <w:rsid w:val="00804364"/>
    <w:rsid w:val="00804917"/>
    <w:rsid w:val="008064A7"/>
    <w:rsid w:val="008064F4"/>
    <w:rsid w:val="00807154"/>
    <w:rsid w:val="00807533"/>
    <w:rsid w:val="008105ED"/>
    <w:rsid w:val="00810C5A"/>
    <w:rsid w:val="0081233D"/>
    <w:rsid w:val="00812668"/>
    <w:rsid w:val="00812AE2"/>
    <w:rsid w:val="00813126"/>
    <w:rsid w:val="008144BD"/>
    <w:rsid w:val="00814F92"/>
    <w:rsid w:val="00816443"/>
    <w:rsid w:val="0081651F"/>
    <w:rsid w:val="0081693F"/>
    <w:rsid w:val="008209D0"/>
    <w:rsid w:val="00820A5D"/>
    <w:rsid w:val="008242F9"/>
    <w:rsid w:val="00824BA2"/>
    <w:rsid w:val="00824EA9"/>
    <w:rsid w:val="00824FF8"/>
    <w:rsid w:val="00830004"/>
    <w:rsid w:val="008320C3"/>
    <w:rsid w:val="008343A5"/>
    <w:rsid w:val="00834716"/>
    <w:rsid w:val="00834900"/>
    <w:rsid w:val="008351E1"/>
    <w:rsid w:val="008365CD"/>
    <w:rsid w:val="00836D7D"/>
    <w:rsid w:val="0084183E"/>
    <w:rsid w:val="00843039"/>
    <w:rsid w:val="008433F8"/>
    <w:rsid w:val="008438EA"/>
    <w:rsid w:val="00844488"/>
    <w:rsid w:val="00845728"/>
    <w:rsid w:val="00850254"/>
    <w:rsid w:val="00850510"/>
    <w:rsid w:val="0085079A"/>
    <w:rsid w:val="00851040"/>
    <w:rsid w:val="008515B7"/>
    <w:rsid w:val="0085617F"/>
    <w:rsid w:val="0085619D"/>
    <w:rsid w:val="008569C0"/>
    <w:rsid w:val="00857E17"/>
    <w:rsid w:val="008604E7"/>
    <w:rsid w:val="008607A0"/>
    <w:rsid w:val="00860956"/>
    <w:rsid w:val="00860ECF"/>
    <w:rsid w:val="00861E93"/>
    <w:rsid w:val="008620C6"/>
    <w:rsid w:val="008624E8"/>
    <w:rsid w:val="0086308D"/>
    <w:rsid w:val="008632C9"/>
    <w:rsid w:val="00863B0A"/>
    <w:rsid w:val="00863B67"/>
    <w:rsid w:val="00864781"/>
    <w:rsid w:val="00864824"/>
    <w:rsid w:val="00864EDF"/>
    <w:rsid w:val="008662DF"/>
    <w:rsid w:val="008704E3"/>
    <w:rsid w:val="008707D0"/>
    <w:rsid w:val="0087085F"/>
    <w:rsid w:val="0087155B"/>
    <w:rsid w:val="00871F74"/>
    <w:rsid w:val="00872453"/>
    <w:rsid w:val="0087256A"/>
    <w:rsid w:val="00873250"/>
    <w:rsid w:val="00875585"/>
    <w:rsid w:val="00875E65"/>
    <w:rsid w:val="00876578"/>
    <w:rsid w:val="008771BA"/>
    <w:rsid w:val="00877200"/>
    <w:rsid w:val="00877C64"/>
    <w:rsid w:val="008807B8"/>
    <w:rsid w:val="00880A5B"/>
    <w:rsid w:val="00880F15"/>
    <w:rsid w:val="0088101B"/>
    <w:rsid w:val="00882281"/>
    <w:rsid w:val="0088574B"/>
    <w:rsid w:val="0088668D"/>
    <w:rsid w:val="00886BF4"/>
    <w:rsid w:val="00887F7F"/>
    <w:rsid w:val="0089020A"/>
    <w:rsid w:val="008912DE"/>
    <w:rsid w:val="00895E59"/>
    <w:rsid w:val="00896A08"/>
    <w:rsid w:val="00896F8B"/>
    <w:rsid w:val="00897579"/>
    <w:rsid w:val="008A10EC"/>
    <w:rsid w:val="008A17CE"/>
    <w:rsid w:val="008A22FA"/>
    <w:rsid w:val="008A3CC2"/>
    <w:rsid w:val="008A49D4"/>
    <w:rsid w:val="008A4D0E"/>
    <w:rsid w:val="008A4F5B"/>
    <w:rsid w:val="008A50B3"/>
    <w:rsid w:val="008A7654"/>
    <w:rsid w:val="008A7881"/>
    <w:rsid w:val="008A7F35"/>
    <w:rsid w:val="008B000F"/>
    <w:rsid w:val="008B039F"/>
    <w:rsid w:val="008B1BD3"/>
    <w:rsid w:val="008B251B"/>
    <w:rsid w:val="008B28EF"/>
    <w:rsid w:val="008B3467"/>
    <w:rsid w:val="008B6F05"/>
    <w:rsid w:val="008B73F0"/>
    <w:rsid w:val="008B744A"/>
    <w:rsid w:val="008C062F"/>
    <w:rsid w:val="008C0A16"/>
    <w:rsid w:val="008C3F1B"/>
    <w:rsid w:val="008C4100"/>
    <w:rsid w:val="008C4491"/>
    <w:rsid w:val="008C5316"/>
    <w:rsid w:val="008C5E7C"/>
    <w:rsid w:val="008C644F"/>
    <w:rsid w:val="008C66A7"/>
    <w:rsid w:val="008C6B62"/>
    <w:rsid w:val="008D0188"/>
    <w:rsid w:val="008D01E6"/>
    <w:rsid w:val="008D06A4"/>
    <w:rsid w:val="008D10B1"/>
    <w:rsid w:val="008D1468"/>
    <w:rsid w:val="008D1BC6"/>
    <w:rsid w:val="008D2B9F"/>
    <w:rsid w:val="008D346B"/>
    <w:rsid w:val="008D4256"/>
    <w:rsid w:val="008D49E8"/>
    <w:rsid w:val="008D576D"/>
    <w:rsid w:val="008D6090"/>
    <w:rsid w:val="008D6F6B"/>
    <w:rsid w:val="008D7029"/>
    <w:rsid w:val="008E06EF"/>
    <w:rsid w:val="008E1381"/>
    <w:rsid w:val="008E183B"/>
    <w:rsid w:val="008E19A4"/>
    <w:rsid w:val="008E19B1"/>
    <w:rsid w:val="008E1E6B"/>
    <w:rsid w:val="008E2A62"/>
    <w:rsid w:val="008E2F78"/>
    <w:rsid w:val="008E3673"/>
    <w:rsid w:val="008E38F7"/>
    <w:rsid w:val="008E56C9"/>
    <w:rsid w:val="008E7321"/>
    <w:rsid w:val="008F1331"/>
    <w:rsid w:val="008F14C1"/>
    <w:rsid w:val="008F1FC5"/>
    <w:rsid w:val="008F41E6"/>
    <w:rsid w:val="008F4BC5"/>
    <w:rsid w:val="008F5A5C"/>
    <w:rsid w:val="008F68B4"/>
    <w:rsid w:val="008F7F20"/>
    <w:rsid w:val="00901167"/>
    <w:rsid w:val="00901FEE"/>
    <w:rsid w:val="00902C94"/>
    <w:rsid w:val="00903727"/>
    <w:rsid w:val="0090417C"/>
    <w:rsid w:val="009046B4"/>
    <w:rsid w:val="00907F64"/>
    <w:rsid w:val="00910142"/>
    <w:rsid w:val="009115E4"/>
    <w:rsid w:val="0091177E"/>
    <w:rsid w:val="0091657D"/>
    <w:rsid w:val="00916B4B"/>
    <w:rsid w:val="00920233"/>
    <w:rsid w:val="00921937"/>
    <w:rsid w:val="0092250C"/>
    <w:rsid w:val="00926963"/>
    <w:rsid w:val="00927808"/>
    <w:rsid w:val="00930C91"/>
    <w:rsid w:val="00931A77"/>
    <w:rsid w:val="00931A94"/>
    <w:rsid w:val="00932A7C"/>
    <w:rsid w:val="009330DB"/>
    <w:rsid w:val="009340EB"/>
    <w:rsid w:val="00934964"/>
    <w:rsid w:val="00935E90"/>
    <w:rsid w:val="009369DF"/>
    <w:rsid w:val="00940EF7"/>
    <w:rsid w:val="009417B4"/>
    <w:rsid w:val="0094180B"/>
    <w:rsid w:val="0094297A"/>
    <w:rsid w:val="00944EB7"/>
    <w:rsid w:val="00945726"/>
    <w:rsid w:val="00945C3C"/>
    <w:rsid w:val="00946333"/>
    <w:rsid w:val="009463D7"/>
    <w:rsid w:val="00950036"/>
    <w:rsid w:val="009504BC"/>
    <w:rsid w:val="00951D8F"/>
    <w:rsid w:val="00952DFB"/>
    <w:rsid w:val="0095315D"/>
    <w:rsid w:val="0095351A"/>
    <w:rsid w:val="00953CFD"/>
    <w:rsid w:val="0095420A"/>
    <w:rsid w:val="00954555"/>
    <w:rsid w:val="009549DD"/>
    <w:rsid w:val="0095604B"/>
    <w:rsid w:val="0095665C"/>
    <w:rsid w:val="009570B0"/>
    <w:rsid w:val="009575E9"/>
    <w:rsid w:val="00960C11"/>
    <w:rsid w:val="0096148A"/>
    <w:rsid w:val="00962425"/>
    <w:rsid w:val="009625A6"/>
    <w:rsid w:val="009635D7"/>
    <w:rsid w:val="00964538"/>
    <w:rsid w:val="00964678"/>
    <w:rsid w:val="00964F73"/>
    <w:rsid w:val="009650E9"/>
    <w:rsid w:val="00970A5B"/>
    <w:rsid w:val="00970EAB"/>
    <w:rsid w:val="00971EC5"/>
    <w:rsid w:val="009729F0"/>
    <w:rsid w:val="00974157"/>
    <w:rsid w:val="009756AA"/>
    <w:rsid w:val="0097664D"/>
    <w:rsid w:val="00977AE1"/>
    <w:rsid w:val="00977CC2"/>
    <w:rsid w:val="00980AA9"/>
    <w:rsid w:val="00980FC8"/>
    <w:rsid w:val="0098120D"/>
    <w:rsid w:val="00981B79"/>
    <w:rsid w:val="00982AC8"/>
    <w:rsid w:val="009836C4"/>
    <w:rsid w:val="0098445B"/>
    <w:rsid w:val="00984C3F"/>
    <w:rsid w:val="00990EDB"/>
    <w:rsid w:val="00992D0E"/>
    <w:rsid w:val="00993517"/>
    <w:rsid w:val="00993890"/>
    <w:rsid w:val="00995665"/>
    <w:rsid w:val="00995A16"/>
    <w:rsid w:val="00996413"/>
    <w:rsid w:val="00996726"/>
    <w:rsid w:val="009A0D18"/>
    <w:rsid w:val="009A1AC9"/>
    <w:rsid w:val="009A235F"/>
    <w:rsid w:val="009A31D3"/>
    <w:rsid w:val="009A412A"/>
    <w:rsid w:val="009A6482"/>
    <w:rsid w:val="009A6A30"/>
    <w:rsid w:val="009A6CB5"/>
    <w:rsid w:val="009A7A34"/>
    <w:rsid w:val="009A7CA2"/>
    <w:rsid w:val="009B0514"/>
    <w:rsid w:val="009B1291"/>
    <w:rsid w:val="009B1BFC"/>
    <w:rsid w:val="009B2019"/>
    <w:rsid w:val="009B2DD4"/>
    <w:rsid w:val="009B4A7B"/>
    <w:rsid w:val="009B506D"/>
    <w:rsid w:val="009C3CDB"/>
    <w:rsid w:val="009C417B"/>
    <w:rsid w:val="009C4C18"/>
    <w:rsid w:val="009C5A0A"/>
    <w:rsid w:val="009C6029"/>
    <w:rsid w:val="009C7A09"/>
    <w:rsid w:val="009D0265"/>
    <w:rsid w:val="009D2151"/>
    <w:rsid w:val="009D25A9"/>
    <w:rsid w:val="009D2669"/>
    <w:rsid w:val="009D30A8"/>
    <w:rsid w:val="009D32E1"/>
    <w:rsid w:val="009D3617"/>
    <w:rsid w:val="009D39E7"/>
    <w:rsid w:val="009D5000"/>
    <w:rsid w:val="009D6D4B"/>
    <w:rsid w:val="009D6D5B"/>
    <w:rsid w:val="009D72B0"/>
    <w:rsid w:val="009E318B"/>
    <w:rsid w:val="009E3A5B"/>
    <w:rsid w:val="009E42B8"/>
    <w:rsid w:val="009E59A3"/>
    <w:rsid w:val="009E5EB6"/>
    <w:rsid w:val="009E79B8"/>
    <w:rsid w:val="009E7A2F"/>
    <w:rsid w:val="009F21E9"/>
    <w:rsid w:val="009F3141"/>
    <w:rsid w:val="009F39FC"/>
    <w:rsid w:val="009F4D6F"/>
    <w:rsid w:val="009F51EC"/>
    <w:rsid w:val="009F5F05"/>
    <w:rsid w:val="009F5F9E"/>
    <w:rsid w:val="00A0097B"/>
    <w:rsid w:val="00A01994"/>
    <w:rsid w:val="00A01EC1"/>
    <w:rsid w:val="00A0246B"/>
    <w:rsid w:val="00A04757"/>
    <w:rsid w:val="00A06B94"/>
    <w:rsid w:val="00A06CBB"/>
    <w:rsid w:val="00A1047F"/>
    <w:rsid w:val="00A10842"/>
    <w:rsid w:val="00A11393"/>
    <w:rsid w:val="00A1169D"/>
    <w:rsid w:val="00A123C5"/>
    <w:rsid w:val="00A130C8"/>
    <w:rsid w:val="00A13A7D"/>
    <w:rsid w:val="00A13D72"/>
    <w:rsid w:val="00A13DF5"/>
    <w:rsid w:val="00A14187"/>
    <w:rsid w:val="00A16CF8"/>
    <w:rsid w:val="00A20120"/>
    <w:rsid w:val="00A215AA"/>
    <w:rsid w:val="00A24CE5"/>
    <w:rsid w:val="00A25990"/>
    <w:rsid w:val="00A265F3"/>
    <w:rsid w:val="00A267F8"/>
    <w:rsid w:val="00A26B42"/>
    <w:rsid w:val="00A2787F"/>
    <w:rsid w:val="00A27E5A"/>
    <w:rsid w:val="00A31A2D"/>
    <w:rsid w:val="00A32AAF"/>
    <w:rsid w:val="00A32D0F"/>
    <w:rsid w:val="00A3372E"/>
    <w:rsid w:val="00A34662"/>
    <w:rsid w:val="00A3565D"/>
    <w:rsid w:val="00A357A4"/>
    <w:rsid w:val="00A37355"/>
    <w:rsid w:val="00A379A2"/>
    <w:rsid w:val="00A37CA0"/>
    <w:rsid w:val="00A40846"/>
    <w:rsid w:val="00A4113C"/>
    <w:rsid w:val="00A41345"/>
    <w:rsid w:val="00A419DE"/>
    <w:rsid w:val="00A4280C"/>
    <w:rsid w:val="00A42B09"/>
    <w:rsid w:val="00A4555E"/>
    <w:rsid w:val="00A46B11"/>
    <w:rsid w:val="00A46CC6"/>
    <w:rsid w:val="00A471A6"/>
    <w:rsid w:val="00A50C46"/>
    <w:rsid w:val="00A5287E"/>
    <w:rsid w:val="00A52D8D"/>
    <w:rsid w:val="00A531A8"/>
    <w:rsid w:val="00A54C03"/>
    <w:rsid w:val="00A54D8B"/>
    <w:rsid w:val="00A55D73"/>
    <w:rsid w:val="00A57A5B"/>
    <w:rsid w:val="00A6096E"/>
    <w:rsid w:val="00A60A36"/>
    <w:rsid w:val="00A648A5"/>
    <w:rsid w:val="00A664EF"/>
    <w:rsid w:val="00A66B89"/>
    <w:rsid w:val="00A6777B"/>
    <w:rsid w:val="00A70D17"/>
    <w:rsid w:val="00A72D8C"/>
    <w:rsid w:val="00A735DF"/>
    <w:rsid w:val="00A761E7"/>
    <w:rsid w:val="00A77482"/>
    <w:rsid w:val="00A80B67"/>
    <w:rsid w:val="00A80F2A"/>
    <w:rsid w:val="00A829BD"/>
    <w:rsid w:val="00A82F8C"/>
    <w:rsid w:val="00A84398"/>
    <w:rsid w:val="00A84633"/>
    <w:rsid w:val="00A84797"/>
    <w:rsid w:val="00A84918"/>
    <w:rsid w:val="00A8517C"/>
    <w:rsid w:val="00A86374"/>
    <w:rsid w:val="00A86843"/>
    <w:rsid w:val="00A90719"/>
    <w:rsid w:val="00A935C6"/>
    <w:rsid w:val="00A969D2"/>
    <w:rsid w:val="00A978B7"/>
    <w:rsid w:val="00AA0797"/>
    <w:rsid w:val="00AA0BDB"/>
    <w:rsid w:val="00AA165E"/>
    <w:rsid w:val="00AA2515"/>
    <w:rsid w:val="00AA2C26"/>
    <w:rsid w:val="00AA36D4"/>
    <w:rsid w:val="00AA48FF"/>
    <w:rsid w:val="00AA609C"/>
    <w:rsid w:val="00AA6510"/>
    <w:rsid w:val="00AA66EA"/>
    <w:rsid w:val="00AA786D"/>
    <w:rsid w:val="00AB06CB"/>
    <w:rsid w:val="00AB1684"/>
    <w:rsid w:val="00AB26B6"/>
    <w:rsid w:val="00AB3124"/>
    <w:rsid w:val="00AB39B4"/>
    <w:rsid w:val="00AB3D42"/>
    <w:rsid w:val="00AB707D"/>
    <w:rsid w:val="00AB76FE"/>
    <w:rsid w:val="00AC0CDF"/>
    <w:rsid w:val="00AC0D5F"/>
    <w:rsid w:val="00AC2955"/>
    <w:rsid w:val="00AC3305"/>
    <w:rsid w:val="00AC418C"/>
    <w:rsid w:val="00AC4769"/>
    <w:rsid w:val="00AC58F4"/>
    <w:rsid w:val="00AC6104"/>
    <w:rsid w:val="00AC6C24"/>
    <w:rsid w:val="00AC7A14"/>
    <w:rsid w:val="00AD043C"/>
    <w:rsid w:val="00AD05FA"/>
    <w:rsid w:val="00AD08DF"/>
    <w:rsid w:val="00AD1FFF"/>
    <w:rsid w:val="00AD3914"/>
    <w:rsid w:val="00AD4460"/>
    <w:rsid w:val="00AD5B19"/>
    <w:rsid w:val="00AE006E"/>
    <w:rsid w:val="00AE0D85"/>
    <w:rsid w:val="00AE3E79"/>
    <w:rsid w:val="00AE50DC"/>
    <w:rsid w:val="00AE537D"/>
    <w:rsid w:val="00AE626F"/>
    <w:rsid w:val="00AE6866"/>
    <w:rsid w:val="00AE71B0"/>
    <w:rsid w:val="00AE7B1B"/>
    <w:rsid w:val="00AE7CE6"/>
    <w:rsid w:val="00AF09A8"/>
    <w:rsid w:val="00AF218B"/>
    <w:rsid w:val="00AF2C86"/>
    <w:rsid w:val="00AF38AD"/>
    <w:rsid w:val="00AF3DE2"/>
    <w:rsid w:val="00AF49B0"/>
    <w:rsid w:val="00AF4CA4"/>
    <w:rsid w:val="00AF66B2"/>
    <w:rsid w:val="00AF7129"/>
    <w:rsid w:val="00AF77C8"/>
    <w:rsid w:val="00B00B67"/>
    <w:rsid w:val="00B029ED"/>
    <w:rsid w:val="00B02A85"/>
    <w:rsid w:val="00B060F0"/>
    <w:rsid w:val="00B069FE"/>
    <w:rsid w:val="00B07352"/>
    <w:rsid w:val="00B11049"/>
    <w:rsid w:val="00B1107A"/>
    <w:rsid w:val="00B1215A"/>
    <w:rsid w:val="00B1469B"/>
    <w:rsid w:val="00B148C4"/>
    <w:rsid w:val="00B14AD6"/>
    <w:rsid w:val="00B15BE6"/>
    <w:rsid w:val="00B174E1"/>
    <w:rsid w:val="00B20C15"/>
    <w:rsid w:val="00B20C1F"/>
    <w:rsid w:val="00B20D57"/>
    <w:rsid w:val="00B219FE"/>
    <w:rsid w:val="00B21BE5"/>
    <w:rsid w:val="00B233B1"/>
    <w:rsid w:val="00B234B9"/>
    <w:rsid w:val="00B30417"/>
    <w:rsid w:val="00B317BE"/>
    <w:rsid w:val="00B31C4F"/>
    <w:rsid w:val="00B3241A"/>
    <w:rsid w:val="00B3261E"/>
    <w:rsid w:val="00B331D1"/>
    <w:rsid w:val="00B33CF5"/>
    <w:rsid w:val="00B3521A"/>
    <w:rsid w:val="00B35898"/>
    <w:rsid w:val="00B40730"/>
    <w:rsid w:val="00B40AD9"/>
    <w:rsid w:val="00B420D5"/>
    <w:rsid w:val="00B42745"/>
    <w:rsid w:val="00B468FC"/>
    <w:rsid w:val="00B52022"/>
    <w:rsid w:val="00B55AC9"/>
    <w:rsid w:val="00B60748"/>
    <w:rsid w:val="00B614FC"/>
    <w:rsid w:val="00B6328B"/>
    <w:rsid w:val="00B645C0"/>
    <w:rsid w:val="00B66A63"/>
    <w:rsid w:val="00B71030"/>
    <w:rsid w:val="00B71B47"/>
    <w:rsid w:val="00B72D7C"/>
    <w:rsid w:val="00B72E44"/>
    <w:rsid w:val="00B7660E"/>
    <w:rsid w:val="00B76790"/>
    <w:rsid w:val="00B812D5"/>
    <w:rsid w:val="00B81739"/>
    <w:rsid w:val="00B818B9"/>
    <w:rsid w:val="00B8371E"/>
    <w:rsid w:val="00B85BB0"/>
    <w:rsid w:val="00B85D83"/>
    <w:rsid w:val="00B875FC"/>
    <w:rsid w:val="00B87810"/>
    <w:rsid w:val="00B87B76"/>
    <w:rsid w:val="00B91A4C"/>
    <w:rsid w:val="00B922D9"/>
    <w:rsid w:val="00B93A03"/>
    <w:rsid w:val="00B93D12"/>
    <w:rsid w:val="00B959C5"/>
    <w:rsid w:val="00B9744E"/>
    <w:rsid w:val="00B977E9"/>
    <w:rsid w:val="00BA08AD"/>
    <w:rsid w:val="00BA1C69"/>
    <w:rsid w:val="00BA23B0"/>
    <w:rsid w:val="00BA2DDB"/>
    <w:rsid w:val="00BA5D96"/>
    <w:rsid w:val="00BA5F15"/>
    <w:rsid w:val="00BA6CDA"/>
    <w:rsid w:val="00BA7813"/>
    <w:rsid w:val="00BB0A0B"/>
    <w:rsid w:val="00BB0D92"/>
    <w:rsid w:val="00BB2C0F"/>
    <w:rsid w:val="00BB3D2A"/>
    <w:rsid w:val="00BB5107"/>
    <w:rsid w:val="00BB7A9D"/>
    <w:rsid w:val="00BB7BA3"/>
    <w:rsid w:val="00BB7EC7"/>
    <w:rsid w:val="00BC007A"/>
    <w:rsid w:val="00BC23B7"/>
    <w:rsid w:val="00BC3A86"/>
    <w:rsid w:val="00BC3F1E"/>
    <w:rsid w:val="00BC498F"/>
    <w:rsid w:val="00BC4BB3"/>
    <w:rsid w:val="00BC5A16"/>
    <w:rsid w:val="00BC5BD4"/>
    <w:rsid w:val="00BC7AAC"/>
    <w:rsid w:val="00BD070D"/>
    <w:rsid w:val="00BD0F8A"/>
    <w:rsid w:val="00BD123C"/>
    <w:rsid w:val="00BD18F5"/>
    <w:rsid w:val="00BD1D0E"/>
    <w:rsid w:val="00BD1F42"/>
    <w:rsid w:val="00BD2016"/>
    <w:rsid w:val="00BD2AC7"/>
    <w:rsid w:val="00BD2C14"/>
    <w:rsid w:val="00BD3029"/>
    <w:rsid w:val="00BD5C15"/>
    <w:rsid w:val="00BD7532"/>
    <w:rsid w:val="00BE026A"/>
    <w:rsid w:val="00BF02F4"/>
    <w:rsid w:val="00BF377E"/>
    <w:rsid w:val="00BF3822"/>
    <w:rsid w:val="00BF58F7"/>
    <w:rsid w:val="00BF6188"/>
    <w:rsid w:val="00C038DB"/>
    <w:rsid w:val="00C03B3D"/>
    <w:rsid w:val="00C041A5"/>
    <w:rsid w:val="00C0580D"/>
    <w:rsid w:val="00C069CE"/>
    <w:rsid w:val="00C1057B"/>
    <w:rsid w:val="00C106F2"/>
    <w:rsid w:val="00C11D82"/>
    <w:rsid w:val="00C12759"/>
    <w:rsid w:val="00C1290D"/>
    <w:rsid w:val="00C138A6"/>
    <w:rsid w:val="00C13E48"/>
    <w:rsid w:val="00C1517E"/>
    <w:rsid w:val="00C1580C"/>
    <w:rsid w:val="00C159C3"/>
    <w:rsid w:val="00C15D95"/>
    <w:rsid w:val="00C1605A"/>
    <w:rsid w:val="00C161C9"/>
    <w:rsid w:val="00C166A3"/>
    <w:rsid w:val="00C179A3"/>
    <w:rsid w:val="00C17D7F"/>
    <w:rsid w:val="00C17F92"/>
    <w:rsid w:val="00C2036C"/>
    <w:rsid w:val="00C21508"/>
    <w:rsid w:val="00C21AF0"/>
    <w:rsid w:val="00C2280D"/>
    <w:rsid w:val="00C2302F"/>
    <w:rsid w:val="00C234FF"/>
    <w:rsid w:val="00C235EB"/>
    <w:rsid w:val="00C2564B"/>
    <w:rsid w:val="00C26186"/>
    <w:rsid w:val="00C2635F"/>
    <w:rsid w:val="00C26C88"/>
    <w:rsid w:val="00C27BCF"/>
    <w:rsid w:val="00C30722"/>
    <w:rsid w:val="00C31710"/>
    <w:rsid w:val="00C341C8"/>
    <w:rsid w:val="00C34706"/>
    <w:rsid w:val="00C34CD7"/>
    <w:rsid w:val="00C34E15"/>
    <w:rsid w:val="00C35417"/>
    <w:rsid w:val="00C3710C"/>
    <w:rsid w:val="00C377DD"/>
    <w:rsid w:val="00C445E6"/>
    <w:rsid w:val="00C4532E"/>
    <w:rsid w:val="00C47F1C"/>
    <w:rsid w:val="00C507FA"/>
    <w:rsid w:val="00C51CC1"/>
    <w:rsid w:val="00C51EC7"/>
    <w:rsid w:val="00C52A05"/>
    <w:rsid w:val="00C5318B"/>
    <w:rsid w:val="00C5562B"/>
    <w:rsid w:val="00C55898"/>
    <w:rsid w:val="00C55C8A"/>
    <w:rsid w:val="00C560DB"/>
    <w:rsid w:val="00C565F5"/>
    <w:rsid w:val="00C571A0"/>
    <w:rsid w:val="00C60222"/>
    <w:rsid w:val="00C61D6E"/>
    <w:rsid w:val="00C63BBD"/>
    <w:rsid w:val="00C6491F"/>
    <w:rsid w:val="00C6577A"/>
    <w:rsid w:val="00C6656D"/>
    <w:rsid w:val="00C666DE"/>
    <w:rsid w:val="00C67A70"/>
    <w:rsid w:val="00C70AED"/>
    <w:rsid w:val="00C71A73"/>
    <w:rsid w:val="00C7211F"/>
    <w:rsid w:val="00C73F6B"/>
    <w:rsid w:val="00C7427D"/>
    <w:rsid w:val="00C7451E"/>
    <w:rsid w:val="00C76A07"/>
    <w:rsid w:val="00C77197"/>
    <w:rsid w:val="00C81BCA"/>
    <w:rsid w:val="00C822E5"/>
    <w:rsid w:val="00C8356A"/>
    <w:rsid w:val="00C852E6"/>
    <w:rsid w:val="00C86DA1"/>
    <w:rsid w:val="00C87106"/>
    <w:rsid w:val="00C91288"/>
    <w:rsid w:val="00C9171A"/>
    <w:rsid w:val="00C92B2A"/>
    <w:rsid w:val="00C93296"/>
    <w:rsid w:val="00C94004"/>
    <w:rsid w:val="00C94576"/>
    <w:rsid w:val="00C95857"/>
    <w:rsid w:val="00C95CD4"/>
    <w:rsid w:val="00C9694E"/>
    <w:rsid w:val="00CA01C2"/>
    <w:rsid w:val="00CA1949"/>
    <w:rsid w:val="00CA204D"/>
    <w:rsid w:val="00CA2961"/>
    <w:rsid w:val="00CA3BA5"/>
    <w:rsid w:val="00CA407C"/>
    <w:rsid w:val="00CA6454"/>
    <w:rsid w:val="00CA7AD1"/>
    <w:rsid w:val="00CB0008"/>
    <w:rsid w:val="00CB52B6"/>
    <w:rsid w:val="00CB548E"/>
    <w:rsid w:val="00CB5B02"/>
    <w:rsid w:val="00CB69AF"/>
    <w:rsid w:val="00CB7119"/>
    <w:rsid w:val="00CB7B8A"/>
    <w:rsid w:val="00CC121E"/>
    <w:rsid w:val="00CC174F"/>
    <w:rsid w:val="00CC2819"/>
    <w:rsid w:val="00CC2EE9"/>
    <w:rsid w:val="00CC3270"/>
    <w:rsid w:val="00CC3768"/>
    <w:rsid w:val="00CC644F"/>
    <w:rsid w:val="00CC6453"/>
    <w:rsid w:val="00CC7735"/>
    <w:rsid w:val="00CC7E3B"/>
    <w:rsid w:val="00CD00F6"/>
    <w:rsid w:val="00CD051D"/>
    <w:rsid w:val="00CD2860"/>
    <w:rsid w:val="00CD425F"/>
    <w:rsid w:val="00CD484D"/>
    <w:rsid w:val="00CD4C25"/>
    <w:rsid w:val="00CE0D2C"/>
    <w:rsid w:val="00CE2931"/>
    <w:rsid w:val="00CE2D72"/>
    <w:rsid w:val="00CE354B"/>
    <w:rsid w:val="00CE58BE"/>
    <w:rsid w:val="00CE636D"/>
    <w:rsid w:val="00CE6781"/>
    <w:rsid w:val="00CE7070"/>
    <w:rsid w:val="00CE711C"/>
    <w:rsid w:val="00CE7D50"/>
    <w:rsid w:val="00CE7FBF"/>
    <w:rsid w:val="00CF1991"/>
    <w:rsid w:val="00CF1A9A"/>
    <w:rsid w:val="00CF3167"/>
    <w:rsid w:val="00CF3881"/>
    <w:rsid w:val="00CF526A"/>
    <w:rsid w:val="00CF5856"/>
    <w:rsid w:val="00CF5A83"/>
    <w:rsid w:val="00CF6119"/>
    <w:rsid w:val="00CF615E"/>
    <w:rsid w:val="00D00779"/>
    <w:rsid w:val="00D0175E"/>
    <w:rsid w:val="00D018EA"/>
    <w:rsid w:val="00D01B40"/>
    <w:rsid w:val="00D03E06"/>
    <w:rsid w:val="00D03FDC"/>
    <w:rsid w:val="00D04766"/>
    <w:rsid w:val="00D05EC4"/>
    <w:rsid w:val="00D063DF"/>
    <w:rsid w:val="00D0717A"/>
    <w:rsid w:val="00D077CE"/>
    <w:rsid w:val="00D07FF1"/>
    <w:rsid w:val="00D129C6"/>
    <w:rsid w:val="00D12A74"/>
    <w:rsid w:val="00D1381F"/>
    <w:rsid w:val="00D157FF"/>
    <w:rsid w:val="00D168F2"/>
    <w:rsid w:val="00D1799E"/>
    <w:rsid w:val="00D17ADE"/>
    <w:rsid w:val="00D17B9F"/>
    <w:rsid w:val="00D207C5"/>
    <w:rsid w:val="00D20A3E"/>
    <w:rsid w:val="00D20D7A"/>
    <w:rsid w:val="00D22EEB"/>
    <w:rsid w:val="00D242A1"/>
    <w:rsid w:val="00D24DAD"/>
    <w:rsid w:val="00D30C01"/>
    <w:rsid w:val="00D324D4"/>
    <w:rsid w:val="00D34F29"/>
    <w:rsid w:val="00D357FD"/>
    <w:rsid w:val="00D376F7"/>
    <w:rsid w:val="00D40C88"/>
    <w:rsid w:val="00D41530"/>
    <w:rsid w:val="00D426D0"/>
    <w:rsid w:val="00D44CBB"/>
    <w:rsid w:val="00D4500C"/>
    <w:rsid w:val="00D45206"/>
    <w:rsid w:val="00D459A0"/>
    <w:rsid w:val="00D45E66"/>
    <w:rsid w:val="00D460C9"/>
    <w:rsid w:val="00D506BA"/>
    <w:rsid w:val="00D50773"/>
    <w:rsid w:val="00D508F9"/>
    <w:rsid w:val="00D5097D"/>
    <w:rsid w:val="00D51235"/>
    <w:rsid w:val="00D5353D"/>
    <w:rsid w:val="00D5420C"/>
    <w:rsid w:val="00D54A4B"/>
    <w:rsid w:val="00D55607"/>
    <w:rsid w:val="00D55F21"/>
    <w:rsid w:val="00D5628F"/>
    <w:rsid w:val="00D565A5"/>
    <w:rsid w:val="00D56653"/>
    <w:rsid w:val="00D605D9"/>
    <w:rsid w:val="00D632B4"/>
    <w:rsid w:val="00D6331C"/>
    <w:rsid w:val="00D634DA"/>
    <w:rsid w:val="00D64A13"/>
    <w:rsid w:val="00D706A7"/>
    <w:rsid w:val="00D723A5"/>
    <w:rsid w:val="00D729F2"/>
    <w:rsid w:val="00D72A00"/>
    <w:rsid w:val="00D7395E"/>
    <w:rsid w:val="00D75B35"/>
    <w:rsid w:val="00D75DDC"/>
    <w:rsid w:val="00D762BA"/>
    <w:rsid w:val="00D7665B"/>
    <w:rsid w:val="00D76B9E"/>
    <w:rsid w:val="00D76C29"/>
    <w:rsid w:val="00D77A92"/>
    <w:rsid w:val="00D80D84"/>
    <w:rsid w:val="00D83331"/>
    <w:rsid w:val="00D87C59"/>
    <w:rsid w:val="00D91336"/>
    <w:rsid w:val="00D915E3"/>
    <w:rsid w:val="00D92C2F"/>
    <w:rsid w:val="00D955D8"/>
    <w:rsid w:val="00D95FB7"/>
    <w:rsid w:val="00D9660B"/>
    <w:rsid w:val="00D969A6"/>
    <w:rsid w:val="00D969CD"/>
    <w:rsid w:val="00D96B50"/>
    <w:rsid w:val="00DA0D0F"/>
    <w:rsid w:val="00DA1DE6"/>
    <w:rsid w:val="00DA241B"/>
    <w:rsid w:val="00DA2E1D"/>
    <w:rsid w:val="00DA3552"/>
    <w:rsid w:val="00DA460C"/>
    <w:rsid w:val="00DA517F"/>
    <w:rsid w:val="00DA5B78"/>
    <w:rsid w:val="00DA62BD"/>
    <w:rsid w:val="00DA6D5C"/>
    <w:rsid w:val="00DA7B6A"/>
    <w:rsid w:val="00DA7EDA"/>
    <w:rsid w:val="00DA7F90"/>
    <w:rsid w:val="00DB0B2E"/>
    <w:rsid w:val="00DB0CA5"/>
    <w:rsid w:val="00DB3C00"/>
    <w:rsid w:val="00DB3EAD"/>
    <w:rsid w:val="00DB55EE"/>
    <w:rsid w:val="00DB64D7"/>
    <w:rsid w:val="00DC2053"/>
    <w:rsid w:val="00DC21BA"/>
    <w:rsid w:val="00DC229D"/>
    <w:rsid w:val="00DC3A93"/>
    <w:rsid w:val="00DC3AF4"/>
    <w:rsid w:val="00DC6BF2"/>
    <w:rsid w:val="00DC6E89"/>
    <w:rsid w:val="00DC7ABD"/>
    <w:rsid w:val="00DD263C"/>
    <w:rsid w:val="00DD341F"/>
    <w:rsid w:val="00DD371D"/>
    <w:rsid w:val="00DD4733"/>
    <w:rsid w:val="00DD47D9"/>
    <w:rsid w:val="00DD4A04"/>
    <w:rsid w:val="00DD55FE"/>
    <w:rsid w:val="00DD5C9D"/>
    <w:rsid w:val="00DD6119"/>
    <w:rsid w:val="00DD6F82"/>
    <w:rsid w:val="00DE09A9"/>
    <w:rsid w:val="00DE17B9"/>
    <w:rsid w:val="00DE2889"/>
    <w:rsid w:val="00DE3EBA"/>
    <w:rsid w:val="00DE4337"/>
    <w:rsid w:val="00DE4D3D"/>
    <w:rsid w:val="00DE5B87"/>
    <w:rsid w:val="00DE6A10"/>
    <w:rsid w:val="00DE6ABC"/>
    <w:rsid w:val="00DE6FE8"/>
    <w:rsid w:val="00DE7BC8"/>
    <w:rsid w:val="00DF0111"/>
    <w:rsid w:val="00DF04DB"/>
    <w:rsid w:val="00DF2749"/>
    <w:rsid w:val="00DF294F"/>
    <w:rsid w:val="00DF4F05"/>
    <w:rsid w:val="00DF5740"/>
    <w:rsid w:val="00DF6648"/>
    <w:rsid w:val="00DF6F0E"/>
    <w:rsid w:val="00E03CDF"/>
    <w:rsid w:val="00E05A82"/>
    <w:rsid w:val="00E06C3C"/>
    <w:rsid w:val="00E12122"/>
    <w:rsid w:val="00E1259C"/>
    <w:rsid w:val="00E13074"/>
    <w:rsid w:val="00E130A3"/>
    <w:rsid w:val="00E151F9"/>
    <w:rsid w:val="00E15823"/>
    <w:rsid w:val="00E1601C"/>
    <w:rsid w:val="00E20B57"/>
    <w:rsid w:val="00E20CC7"/>
    <w:rsid w:val="00E20E65"/>
    <w:rsid w:val="00E21A6F"/>
    <w:rsid w:val="00E2205D"/>
    <w:rsid w:val="00E22366"/>
    <w:rsid w:val="00E224A4"/>
    <w:rsid w:val="00E23C11"/>
    <w:rsid w:val="00E24691"/>
    <w:rsid w:val="00E24CAD"/>
    <w:rsid w:val="00E252AA"/>
    <w:rsid w:val="00E27A5F"/>
    <w:rsid w:val="00E31026"/>
    <w:rsid w:val="00E337AD"/>
    <w:rsid w:val="00E337CD"/>
    <w:rsid w:val="00E34489"/>
    <w:rsid w:val="00E361E0"/>
    <w:rsid w:val="00E369D7"/>
    <w:rsid w:val="00E375E7"/>
    <w:rsid w:val="00E4099B"/>
    <w:rsid w:val="00E437EC"/>
    <w:rsid w:val="00E461FF"/>
    <w:rsid w:val="00E46F53"/>
    <w:rsid w:val="00E472B5"/>
    <w:rsid w:val="00E5002A"/>
    <w:rsid w:val="00E50037"/>
    <w:rsid w:val="00E507A3"/>
    <w:rsid w:val="00E5113C"/>
    <w:rsid w:val="00E51FE1"/>
    <w:rsid w:val="00E524CE"/>
    <w:rsid w:val="00E537E1"/>
    <w:rsid w:val="00E551DF"/>
    <w:rsid w:val="00E5579E"/>
    <w:rsid w:val="00E55962"/>
    <w:rsid w:val="00E55C1F"/>
    <w:rsid w:val="00E579B0"/>
    <w:rsid w:val="00E579CD"/>
    <w:rsid w:val="00E62DE4"/>
    <w:rsid w:val="00E6390B"/>
    <w:rsid w:val="00E64CCC"/>
    <w:rsid w:val="00E64E51"/>
    <w:rsid w:val="00E64F1E"/>
    <w:rsid w:val="00E64FFA"/>
    <w:rsid w:val="00E65AA2"/>
    <w:rsid w:val="00E65E3A"/>
    <w:rsid w:val="00E6637F"/>
    <w:rsid w:val="00E6724A"/>
    <w:rsid w:val="00E6748D"/>
    <w:rsid w:val="00E67DFD"/>
    <w:rsid w:val="00E71397"/>
    <w:rsid w:val="00E72419"/>
    <w:rsid w:val="00E72BD3"/>
    <w:rsid w:val="00E731F4"/>
    <w:rsid w:val="00E73C78"/>
    <w:rsid w:val="00E740CC"/>
    <w:rsid w:val="00E7416D"/>
    <w:rsid w:val="00E75ED6"/>
    <w:rsid w:val="00E80071"/>
    <w:rsid w:val="00E804DD"/>
    <w:rsid w:val="00E80BA0"/>
    <w:rsid w:val="00E81A7D"/>
    <w:rsid w:val="00E81C97"/>
    <w:rsid w:val="00E81FF7"/>
    <w:rsid w:val="00E82A41"/>
    <w:rsid w:val="00E82C36"/>
    <w:rsid w:val="00E83142"/>
    <w:rsid w:val="00E8338B"/>
    <w:rsid w:val="00E834EE"/>
    <w:rsid w:val="00E835FB"/>
    <w:rsid w:val="00E84DD2"/>
    <w:rsid w:val="00E84F9D"/>
    <w:rsid w:val="00E86293"/>
    <w:rsid w:val="00E875BC"/>
    <w:rsid w:val="00E91224"/>
    <w:rsid w:val="00E91C5F"/>
    <w:rsid w:val="00E9296A"/>
    <w:rsid w:val="00EA0B84"/>
    <w:rsid w:val="00EA2B7F"/>
    <w:rsid w:val="00EA32AA"/>
    <w:rsid w:val="00EA3D28"/>
    <w:rsid w:val="00EA5042"/>
    <w:rsid w:val="00EA573C"/>
    <w:rsid w:val="00EA7957"/>
    <w:rsid w:val="00EB07A6"/>
    <w:rsid w:val="00EB0D66"/>
    <w:rsid w:val="00EB41DF"/>
    <w:rsid w:val="00EB58C9"/>
    <w:rsid w:val="00EB627B"/>
    <w:rsid w:val="00EB6542"/>
    <w:rsid w:val="00EB768C"/>
    <w:rsid w:val="00EC0226"/>
    <w:rsid w:val="00EC3C79"/>
    <w:rsid w:val="00EC4428"/>
    <w:rsid w:val="00EC5587"/>
    <w:rsid w:val="00EC5DE1"/>
    <w:rsid w:val="00EC6532"/>
    <w:rsid w:val="00EC6E5F"/>
    <w:rsid w:val="00EC74AC"/>
    <w:rsid w:val="00ED0EE7"/>
    <w:rsid w:val="00ED13B3"/>
    <w:rsid w:val="00ED2FA0"/>
    <w:rsid w:val="00ED35B7"/>
    <w:rsid w:val="00ED4B18"/>
    <w:rsid w:val="00ED5414"/>
    <w:rsid w:val="00ED72B8"/>
    <w:rsid w:val="00EE1EF2"/>
    <w:rsid w:val="00EE33DB"/>
    <w:rsid w:val="00EE4E01"/>
    <w:rsid w:val="00EE51BA"/>
    <w:rsid w:val="00EE60DF"/>
    <w:rsid w:val="00EE6775"/>
    <w:rsid w:val="00EE67FB"/>
    <w:rsid w:val="00EF2762"/>
    <w:rsid w:val="00EF3B06"/>
    <w:rsid w:val="00EF3BA1"/>
    <w:rsid w:val="00EF3E7E"/>
    <w:rsid w:val="00EF4AA9"/>
    <w:rsid w:val="00EF56D9"/>
    <w:rsid w:val="00EF68A4"/>
    <w:rsid w:val="00EF6E2F"/>
    <w:rsid w:val="00EF7493"/>
    <w:rsid w:val="00F00463"/>
    <w:rsid w:val="00F016BF"/>
    <w:rsid w:val="00F0193D"/>
    <w:rsid w:val="00F01BE5"/>
    <w:rsid w:val="00F02ADB"/>
    <w:rsid w:val="00F06788"/>
    <w:rsid w:val="00F06EF7"/>
    <w:rsid w:val="00F07D8D"/>
    <w:rsid w:val="00F1255A"/>
    <w:rsid w:val="00F12FD2"/>
    <w:rsid w:val="00F14A1A"/>
    <w:rsid w:val="00F15B59"/>
    <w:rsid w:val="00F16303"/>
    <w:rsid w:val="00F1648B"/>
    <w:rsid w:val="00F16FD4"/>
    <w:rsid w:val="00F1727E"/>
    <w:rsid w:val="00F20091"/>
    <w:rsid w:val="00F203FA"/>
    <w:rsid w:val="00F20631"/>
    <w:rsid w:val="00F208CD"/>
    <w:rsid w:val="00F20AD6"/>
    <w:rsid w:val="00F225F8"/>
    <w:rsid w:val="00F25803"/>
    <w:rsid w:val="00F26973"/>
    <w:rsid w:val="00F316C9"/>
    <w:rsid w:val="00F333D2"/>
    <w:rsid w:val="00F3420A"/>
    <w:rsid w:val="00F37261"/>
    <w:rsid w:val="00F41709"/>
    <w:rsid w:val="00F4414C"/>
    <w:rsid w:val="00F46537"/>
    <w:rsid w:val="00F46AAE"/>
    <w:rsid w:val="00F474B3"/>
    <w:rsid w:val="00F47E0F"/>
    <w:rsid w:val="00F50217"/>
    <w:rsid w:val="00F50D6C"/>
    <w:rsid w:val="00F50DE5"/>
    <w:rsid w:val="00F52165"/>
    <w:rsid w:val="00F52809"/>
    <w:rsid w:val="00F53367"/>
    <w:rsid w:val="00F54A5A"/>
    <w:rsid w:val="00F54EFE"/>
    <w:rsid w:val="00F55C1B"/>
    <w:rsid w:val="00F563EC"/>
    <w:rsid w:val="00F57BFA"/>
    <w:rsid w:val="00F6064A"/>
    <w:rsid w:val="00F60906"/>
    <w:rsid w:val="00F60C04"/>
    <w:rsid w:val="00F612AC"/>
    <w:rsid w:val="00F62840"/>
    <w:rsid w:val="00F63A4B"/>
    <w:rsid w:val="00F64B78"/>
    <w:rsid w:val="00F650D5"/>
    <w:rsid w:val="00F66FBF"/>
    <w:rsid w:val="00F70792"/>
    <w:rsid w:val="00F7091D"/>
    <w:rsid w:val="00F72CA3"/>
    <w:rsid w:val="00F72CB5"/>
    <w:rsid w:val="00F73131"/>
    <w:rsid w:val="00F7385A"/>
    <w:rsid w:val="00F73B32"/>
    <w:rsid w:val="00F758FA"/>
    <w:rsid w:val="00F76F7C"/>
    <w:rsid w:val="00F77A26"/>
    <w:rsid w:val="00F8142D"/>
    <w:rsid w:val="00F8386C"/>
    <w:rsid w:val="00F841DD"/>
    <w:rsid w:val="00F8522B"/>
    <w:rsid w:val="00F8658F"/>
    <w:rsid w:val="00F87CDB"/>
    <w:rsid w:val="00F910C1"/>
    <w:rsid w:val="00F91491"/>
    <w:rsid w:val="00F92B7D"/>
    <w:rsid w:val="00F93E8A"/>
    <w:rsid w:val="00F93FB1"/>
    <w:rsid w:val="00F95DCA"/>
    <w:rsid w:val="00F976B2"/>
    <w:rsid w:val="00F9775E"/>
    <w:rsid w:val="00FA1690"/>
    <w:rsid w:val="00FA24E6"/>
    <w:rsid w:val="00FA30B2"/>
    <w:rsid w:val="00FA567A"/>
    <w:rsid w:val="00FA5D90"/>
    <w:rsid w:val="00FB0FE8"/>
    <w:rsid w:val="00FB1C93"/>
    <w:rsid w:val="00FB3D02"/>
    <w:rsid w:val="00FB7FD2"/>
    <w:rsid w:val="00FC01AB"/>
    <w:rsid w:val="00FC1E7F"/>
    <w:rsid w:val="00FC2C79"/>
    <w:rsid w:val="00FC4BC5"/>
    <w:rsid w:val="00FC4F1A"/>
    <w:rsid w:val="00FC68EB"/>
    <w:rsid w:val="00FC74DF"/>
    <w:rsid w:val="00FD011D"/>
    <w:rsid w:val="00FD019A"/>
    <w:rsid w:val="00FD03D3"/>
    <w:rsid w:val="00FD16FD"/>
    <w:rsid w:val="00FD24A8"/>
    <w:rsid w:val="00FD53E1"/>
    <w:rsid w:val="00FD629F"/>
    <w:rsid w:val="00FD6FCE"/>
    <w:rsid w:val="00FD70F3"/>
    <w:rsid w:val="00FD76A4"/>
    <w:rsid w:val="00FE2DCB"/>
    <w:rsid w:val="00FE45CF"/>
    <w:rsid w:val="00FE636D"/>
    <w:rsid w:val="00FE6855"/>
    <w:rsid w:val="00FF0419"/>
    <w:rsid w:val="00FF0B01"/>
    <w:rsid w:val="00FF22A1"/>
    <w:rsid w:val="00FF2364"/>
    <w:rsid w:val="00FF23A9"/>
    <w:rsid w:val="00FF24CF"/>
    <w:rsid w:val="00FF2FCC"/>
    <w:rsid w:val="00FF455D"/>
    <w:rsid w:val="00FF5B96"/>
    <w:rsid w:val="00FF65E6"/>
    <w:rsid w:val="00FF69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653C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120" w:after="200" w:line="276" w:lineRule="auto"/>
        <w:ind w:left="709"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4099B"/>
    <w:pPr>
      <w:spacing w:before="0" w:after="0" w:line="240" w:lineRule="auto"/>
      <w:ind w:left="0" w:firstLine="0"/>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AA48FF"/>
    <w:pPr>
      <w:numPr>
        <w:numId w:val="2"/>
      </w:numPr>
      <w:outlineLvl w:val="0"/>
    </w:pPr>
    <w:rPr>
      <w:b/>
    </w:rPr>
  </w:style>
  <w:style w:type="paragraph" w:styleId="Heading2">
    <w:name w:val="heading 2"/>
    <w:basedOn w:val="Normal"/>
    <w:link w:val="Heading2Char"/>
    <w:uiPriority w:val="9"/>
    <w:qFormat/>
    <w:rsid w:val="00AA48FF"/>
    <w:pPr>
      <w:numPr>
        <w:ilvl w:val="1"/>
        <w:numId w:val="2"/>
      </w:numPr>
      <w:outlineLvl w:val="1"/>
    </w:pPr>
  </w:style>
  <w:style w:type="paragraph" w:styleId="Heading3">
    <w:name w:val="heading 3"/>
    <w:basedOn w:val="Normal"/>
    <w:next w:val="Normal"/>
    <w:link w:val="Heading3Char"/>
    <w:uiPriority w:val="9"/>
    <w:unhideWhenUsed/>
    <w:qFormat/>
    <w:rsid w:val="00AA48FF"/>
    <w:pPr>
      <w:numPr>
        <w:ilvl w:val="2"/>
        <w:numId w:val="2"/>
      </w:numPr>
      <w:outlineLvl w:val="2"/>
    </w:pPr>
  </w:style>
  <w:style w:type="paragraph" w:styleId="Heading4">
    <w:name w:val="heading 4"/>
    <w:basedOn w:val="Normal"/>
    <w:next w:val="Normal"/>
    <w:link w:val="Heading4Char"/>
    <w:uiPriority w:val="9"/>
    <w:semiHidden/>
    <w:unhideWhenUsed/>
    <w:rsid w:val="00944EB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4EB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4EB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4EB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4EB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4EB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8FF"/>
    <w:rPr>
      <w:rFonts w:ascii="Times New Roman" w:eastAsia="Times New Roman" w:hAnsi="Times New Roman" w:cs="Times New Roman"/>
      <w:sz w:val="24"/>
      <w:szCs w:val="24"/>
      <w:lang w:val="en-GB"/>
    </w:rPr>
  </w:style>
  <w:style w:type="paragraph" w:styleId="ListParagraph">
    <w:name w:val="List Paragraph"/>
    <w:basedOn w:val="Normal"/>
    <w:uiPriority w:val="34"/>
    <w:rsid w:val="00510887"/>
    <w:pPr>
      <w:ind w:left="720"/>
      <w:contextualSpacing/>
    </w:pPr>
  </w:style>
  <w:style w:type="paragraph" w:styleId="NormalWeb">
    <w:name w:val="Normal (Web)"/>
    <w:basedOn w:val="Normal"/>
    <w:uiPriority w:val="99"/>
    <w:unhideWhenUsed/>
    <w:rsid w:val="00421245"/>
    <w:pPr>
      <w:spacing w:before="100" w:beforeAutospacing="1" w:after="100" w:afterAutospacing="1"/>
    </w:pPr>
    <w:rPr>
      <w:lang w:eastAsia="es-ES"/>
    </w:rPr>
  </w:style>
  <w:style w:type="character" w:customStyle="1" w:styleId="Heading2Char">
    <w:name w:val="Heading 2 Char"/>
    <w:basedOn w:val="DefaultParagraphFont"/>
    <w:link w:val="Heading2"/>
    <w:uiPriority w:val="9"/>
    <w:rsid w:val="00AA48FF"/>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3C46A4"/>
    <w:rPr>
      <w:color w:val="0000FF"/>
      <w:u w:val="single"/>
    </w:rPr>
  </w:style>
  <w:style w:type="character" w:customStyle="1" w:styleId="apple-converted-space">
    <w:name w:val="apple-converted-space"/>
    <w:basedOn w:val="DefaultParagraphFont"/>
    <w:rsid w:val="003C46A4"/>
  </w:style>
  <w:style w:type="character" w:customStyle="1" w:styleId="hit">
    <w:name w:val="hit"/>
    <w:basedOn w:val="DefaultParagraphFont"/>
    <w:rsid w:val="003C46A4"/>
  </w:style>
  <w:style w:type="character" w:customStyle="1" w:styleId="articletypelabel">
    <w:name w:val="articletypelabel"/>
    <w:basedOn w:val="DefaultParagraphFont"/>
    <w:rsid w:val="003C46A4"/>
  </w:style>
  <w:style w:type="character" w:styleId="FootnoteReference">
    <w:name w:val="footnote reference"/>
    <w:aliases w:val="oc-footreference,oc-footnoteref,oc-footreference1,oc-footnoteref1,number,SUPERS,Footnote Reference Superscript,stylish,Footnote symbol,footnote sign,Footnote Reference Number,Footnote,Char1 Char Char Char Char,Footnote number,cal"/>
    <w:basedOn w:val="DefaultParagraphFont"/>
    <w:rsid w:val="00EF2762"/>
    <w:rPr>
      <w:vertAlign w:val="superscript"/>
    </w:rPr>
  </w:style>
  <w:style w:type="paragraph" w:styleId="CommentText">
    <w:name w:val="annotation text"/>
    <w:basedOn w:val="Normal"/>
    <w:link w:val="CommentTextChar"/>
    <w:uiPriority w:val="99"/>
    <w:unhideWhenUsed/>
    <w:rsid w:val="00A54C03"/>
    <w:rPr>
      <w:rFonts w:eastAsiaTheme="minorEastAsia"/>
      <w:sz w:val="20"/>
      <w:szCs w:val="20"/>
      <w:lang w:eastAsia="es-ES"/>
    </w:rPr>
  </w:style>
  <w:style w:type="character" w:customStyle="1" w:styleId="CommentTextChar">
    <w:name w:val="Comment Text Char"/>
    <w:basedOn w:val="DefaultParagraphFont"/>
    <w:link w:val="CommentText"/>
    <w:uiPriority w:val="99"/>
    <w:rsid w:val="00A54C03"/>
    <w:rPr>
      <w:rFonts w:eastAsiaTheme="minorEastAsia"/>
      <w:sz w:val="20"/>
      <w:szCs w:val="20"/>
      <w:lang w:val="en-GB" w:eastAsia="es-ES"/>
    </w:rPr>
  </w:style>
  <w:style w:type="character" w:styleId="CommentReference">
    <w:name w:val="annotation reference"/>
    <w:basedOn w:val="DefaultParagraphFont"/>
    <w:uiPriority w:val="99"/>
    <w:semiHidden/>
    <w:unhideWhenUsed/>
    <w:rsid w:val="00EF2762"/>
    <w:rPr>
      <w:sz w:val="16"/>
      <w:szCs w:val="16"/>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ft,fn"/>
    <w:basedOn w:val="Normal"/>
    <w:link w:val="FootnoteTextChar"/>
    <w:unhideWhenUsed/>
    <w:rsid w:val="00EF2762"/>
    <w:rPr>
      <w:rFonts w:eastAsiaTheme="minorEastAsia"/>
      <w:sz w:val="20"/>
      <w:szCs w:val="20"/>
      <w:lang w:eastAsia="es-ES"/>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basedOn w:val="DefaultParagraphFont"/>
    <w:link w:val="FootnoteText"/>
    <w:rsid w:val="00EF2762"/>
    <w:rPr>
      <w:rFonts w:eastAsiaTheme="minorEastAsia"/>
      <w:sz w:val="20"/>
      <w:szCs w:val="20"/>
      <w:lang w:eastAsia="es-ES"/>
    </w:rPr>
  </w:style>
  <w:style w:type="paragraph" w:styleId="BalloonText">
    <w:name w:val="Balloon Text"/>
    <w:basedOn w:val="Normal"/>
    <w:link w:val="BalloonTextChar"/>
    <w:uiPriority w:val="99"/>
    <w:semiHidden/>
    <w:unhideWhenUsed/>
    <w:rsid w:val="00EF2762"/>
    <w:rPr>
      <w:rFonts w:ascii="Tahoma" w:hAnsi="Tahoma" w:cs="Tahoma"/>
      <w:sz w:val="16"/>
      <w:szCs w:val="16"/>
    </w:rPr>
  </w:style>
  <w:style w:type="character" w:customStyle="1" w:styleId="BalloonTextChar">
    <w:name w:val="Balloon Text Char"/>
    <w:basedOn w:val="DefaultParagraphFont"/>
    <w:link w:val="BalloonText"/>
    <w:uiPriority w:val="99"/>
    <w:semiHidden/>
    <w:rsid w:val="00EF2762"/>
    <w:rPr>
      <w:rFonts w:ascii="Tahoma" w:hAnsi="Tahoma" w:cs="Tahoma"/>
      <w:sz w:val="16"/>
      <w:szCs w:val="16"/>
    </w:rPr>
  </w:style>
  <w:style w:type="table" w:styleId="TableGrid">
    <w:name w:val="Table Grid"/>
    <w:basedOn w:val="TableNormal"/>
    <w:uiPriority w:val="59"/>
    <w:rsid w:val="00033749"/>
    <w:pPr>
      <w:spacing w:before="0" w:after="0"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F68B4"/>
    <w:pPr>
      <w:spacing w:before="120"/>
      <w:ind w:left="709" w:hanging="357"/>
      <w:jc w:val="both"/>
    </w:pPr>
    <w:rPr>
      <w:rFonts w:eastAsiaTheme="minorHAnsi"/>
      <w:b/>
      <w:bCs/>
      <w:lang w:eastAsia="en-US"/>
    </w:rPr>
  </w:style>
  <w:style w:type="character" w:customStyle="1" w:styleId="CommentSubjectChar">
    <w:name w:val="Comment Subject Char"/>
    <w:basedOn w:val="CommentTextChar"/>
    <w:link w:val="CommentSubject"/>
    <w:uiPriority w:val="99"/>
    <w:semiHidden/>
    <w:rsid w:val="008F68B4"/>
    <w:rPr>
      <w:rFonts w:eastAsiaTheme="minorEastAsia"/>
      <w:b/>
      <w:bCs/>
      <w:sz w:val="20"/>
      <w:szCs w:val="20"/>
      <w:lang w:val="en-GB" w:eastAsia="es-ES"/>
    </w:rPr>
  </w:style>
  <w:style w:type="character" w:customStyle="1" w:styleId="Heading1Char">
    <w:name w:val="Heading 1 Char"/>
    <w:basedOn w:val="DefaultParagraphFont"/>
    <w:link w:val="Heading1"/>
    <w:uiPriority w:val="9"/>
    <w:rsid w:val="00AA48FF"/>
    <w:rPr>
      <w:rFonts w:ascii="Times New Roman" w:eastAsia="Times New Roman" w:hAnsi="Times New Roman" w:cs="Times New Roman"/>
      <w:b/>
      <w:sz w:val="24"/>
      <w:szCs w:val="24"/>
      <w:lang w:val="en-GB"/>
    </w:rPr>
  </w:style>
  <w:style w:type="paragraph" w:styleId="Caption">
    <w:name w:val="caption"/>
    <w:aliases w:val="Legend,Figure reference,Tab_Überschrift,Caption Char1,Caption Char Char,Caption Char1 Char Char Char,Caption Char Char Char Char Char,Caption Char1 Char Char Char Char Char,Caption Char Char Char Char Char Char Char,Eco"/>
    <w:basedOn w:val="Normal"/>
    <w:next w:val="Normal"/>
    <w:link w:val="CaptionChar"/>
    <w:unhideWhenUsed/>
    <w:rsid w:val="000338A4"/>
    <w:rPr>
      <w:rFonts w:ascii="Verdana" w:hAnsi="Verdana"/>
      <w:b/>
      <w:bCs/>
      <w:sz w:val="16"/>
      <w:szCs w:val="18"/>
      <w:lang w:eastAsia="en-GB"/>
    </w:rPr>
  </w:style>
  <w:style w:type="character" w:customStyle="1" w:styleId="CaptionChar">
    <w:name w:val="Caption Char"/>
    <w:aliases w:val="Legend Char,Figure reference Char,Tab_Überschrift Char,Caption Char1 Char,Caption Char Char Char,Caption Char1 Char Char Char Char,Caption Char Char Char Char Char Char,Caption Char1 Char Char Char Char Char Char,Eco Char"/>
    <w:link w:val="Caption"/>
    <w:rsid w:val="000338A4"/>
    <w:rPr>
      <w:rFonts w:ascii="Verdana" w:eastAsia="Times New Roman" w:hAnsi="Verdana" w:cs="Times New Roman"/>
      <w:b/>
      <w:bCs/>
      <w:sz w:val="16"/>
      <w:szCs w:val="18"/>
      <w:lang w:val="en-GB" w:eastAsia="en-GB"/>
    </w:rPr>
  </w:style>
  <w:style w:type="table" w:customStyle="1" w:styleId="Listaclara-nfasis11">
    <w:name w:val="Lista clara - Énfasis 11"/>
    <w:basedOn w:val="TableNormal"/>
    <w:uiPriority w:val="61"/>
    <w:rsid w:val="000338A4"/>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claro1">
    <w:name w:val="Sombreado claro1"/>
    <w:basedOn w:val="TableNormal"/>
    <w:uiPriority w:val="60"/>
    <w:rsid w:val="003E67E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Forreport">
    <w:name w:val="Style1 For report"/>
    <w:basedOn w:val="TableNormal"/>
    <w:uiPriority w:val="99"/>
    <w:rsid w:val="003E67E5"/>
    <w:pPr>
      <w:spacing w:before="0" w:after="0" w:line="240" w:lineRule="auto"/>
      <w:ind w:left="0" w:firstLine="0"/>
      <w:jc w:val="left"/>
    </w:pPr>
    <w:rPr>
      <w:rFonts w:ascii="EC Square Sans Pro" w:hAnsi="EC Square Sans Pro"/>
      <w:lang w:val="en-GB"/>
    </w:rPr>
    <w:tblPr>
      <w:jc w:val="center"/>
      <w:tblBorders>
        <w:top w:val="single" w:sz="4" w:space="0" w:color="auto"/>
        <w:insideH w:val="single" w:sz="4" w:space="0" w:color="auto"/>
      </w:tblBorders>
    </w:tblPr>
    <w:trPr>
      <w:jc w:val="center"/>
    </w:trPr>
  </w:style>
  <w:style w:type="paragraph" w:customStyle="1" w:styleId="Default">
    <w:name w:val="Default"/>
    <w:rsid w:val="005E541C"/>
    <w:pPr>
      <w:autoSpaceDE w:val="0"/>
      <w:autoSpaceDN w:val="0"/>
      <w:adjustRightInd w:val="0"/>
      <w:spacing w:before="0" w:after="0" w:line="240" w:lineRule="auto"/>
      <w:ind w:left="0" w:firstLine="0"/>
      <w:jc w:val="left"/>
    </w:pPr>
    <w:rPr>
      <w:rFonts w:ascii="Times New Roman" w:hAnsi="Times New Roman" w:cs="Times New Roman"/>
      <w:color w:val="000000"/>
      <w:sz w:val="24"/>
      <w:szCs w:val="24"/>
    </w:rPr>
  </w:style>
  <w:style w:type="character" w:styleId="SubtleReference">
    <w:name w:val="Subtle Reference"/>
    <w:uiPriority w:val="31"/>
    <w:rsid w:val="002E2143"/>
  </w:style>
  <w:style w:type="paragraph" w:styleId="Revision">
    <w:name w:val="Revision"/>
    <w:hidden/>
    <w:uiPriority w:val="99"/>
    <w:semiHidden/>
    <w:rsid w:val="008D2B9F"/>
    <w:pPr>
      <w:spacing w:before="0" w:after="0" w:line="240" w:lineRule="auto"/>
      <w:ind w:left="0" w:firstLine="0"/>
      <w:jc w:val="left"/>
    </w:pPr>
  </w:style>
  <w:style w:type="character" w:customStyle="1" w:styleId="articlealttitle">
    <w:name w:val="articlealttitle"/>
    <w:basedOn w:val="DefaultParagraphFont"/>
    <w:rsid w:val="00C81BCA"/>
  </w:style>
  <w:style w:type="paragraph" w:customStyle="1" w:styleId="xmsonormal">
    <w:name w:val="x_msonormal"/>
    <w:basedOn w:val="Normal"/>
    <w:rsid w:val="002F0B65"/>
    <w:pPr>
      <w:spacing w:before="100" w:beforeAutospacing="1" w:after="100" w:afterAutospacing="1"/>
    </w:pPr>
    <w:rPr>
      <w:lang w:eastAsia="es-ES"/>
    </w:rPr>
  </w:style>
  <w:style w:type="character" w:styleId="LineNumber">
    <w:name w:val="line number"/>
    <w:basedOn w:val="DefaultParagraphFont"/>
    <w:uiPriority w:val="99"/>
    <w:semiHidden/>
    <w:unhideWhenUsed/>
    <w:rsid w:val="00196126"/>
  </w:style>
  <w:style w:type="paragraph" w:styleId="NoSpacing">
    <w:name w:val="No Spacing"/>
    <w:uiPriority w:val="1"/>
    <w:rsid w:val="001E008C"/>
    <w:pPr>
      <w:spacing w:before="0" w:after="0" w:line="240" w:lineRule="auto"/>
    </w:pPr>
  </w:style>
  <w:style w:type="paragraph" w:styleId="Header">
    <w:name w:val="header"/>
    <w:basedOn w:val="Normal"/>
    <w:link w:val="HeaderChar"/>
    <w:uiPriority w:val="99"/>
    <w:unhideWhenUsed/>
    <w:rsid w:val="00F20091"/>
    <w:pPr>
      <w:tabs>
        <w:tab w:val="center" w:pos="4252"/>
        <w:tab w:val="right" w:pos="8504"/>
      </w:tabs>
    </w:pPr>
  </w:style>
  <w:style w:type="character" w:customStyle="1" w:styleId="HeaderChar">
    <w:name w:val="Header Char"/>
    <w:basedOn w:val="DefaultParagraphFont"/>
    <w:link w:val="Header"/>
    <w:uiPriority w:val="99"/>
    <w:rsid w:val="00F20091"/>
  </w:style>
  <w:style w:type="paragraph" w:styleId="Footer">
    <w:name w:val="footer"/>
    <w:basedOn w:val="Normal"/>
    <w:link w:val="FooterChar"/>
    <w:uiPriority w:val="99"/>
    <w:unhideWhenUsed/>
    <w:rsid w:val="00F20091"/>
    <w:pPr>
      <w:tabs>
        <w:tab w:val="center" w:pos="4252"/>
        <w:tab w:val="right" w:pos="8504"/>
      </w:tabs>
    </w:pPr>
  </w:style>
  <w:style w:type="character" w:customStyle="1" w:styleId="FooterChar">
    <w:name w:val="Footer Char"/>
    <w:basedOn w:val="DefaultParagraphFont"/>
    <w:link w:val="Footer"/>
    <w:uiPriority w:val="99"/>
    <w:rsid w:val="00F20091"/>
  </w:style>
  <w:style w:type="character" w:styleId="Emphasis">
    <w:name w:val="Emphasis"/>
    <w:basedOn w:val="DefaultParagraphFont"/>
    <w:uiPriority w:val="20"/>
    <w:rsid w:val="00C7427D"/>
    <w:rPr>
      <w:i/>
      <w:iCs/>
    </w:rPr>
  </w:style>
  <w:style w:type="character" w:styleId="Strong">
    <w:name w:val="Strong"/>
    <w:basedOn w:val="DefaultParagraphFont"/>
    <w:uiPriority w:val="22"/>
    <w:rsid w:val="00C7427D"/>
    <w:rPr>
      <w:b/>
      <w:bCs/>
    </w:rPr>
  </w:style>
  <w:style w:type="character" w:customStyle="1" w:styleId="size-xl">
    <w:name w:val="size-xl"/>
    <w:basedOn w:val="DefaultParagraphFont"/>
    <w:rsid w:val="00C7427D"/>
  </w:style>
  <w:style w:type="character" w:customStyle="1" w:styleId="size-m">
    <w:name w:val="size-m"/>
    <w:basedOn w:val="DefaultParagraphFont"/>
    <w:rsid w:val="00C7427D"/>
  </w:style>
  <w:style w:type="character" w:customStyle="1" w:styleId="title-text">
    <w:name w:val="title-text"/>
    <w:basedOn w:val="DefaultParagraphFont"/>
    <w:rsid w:val="00C7427D"/>
  </w:style>
  <w:style w:type="character" w:customStyle="1" w:styleId="sr-only">
    <w:name w:val="sr-only"/>
    <w:basedOn w:val="DefaultParagraphFont"/>
    <w:rsid w:val="00C7427D"/>
  </w:style>
  <w:style w:type="character" w:customStyle="1" w:styleId="text">
    <w:name w:val="text"/>
    <w:basedOn w:val="DefaultParagraphFont"/>
    <w:rsid w:val="00C7427D"/>
  </w:style>
  <w:style w:type="character" w:customStyle="1" w:styleId="author-ref">
    <w:name w:val="author-ref"/>
    <w:basedOn w:val="DefaultParagraphFont"/>
    <w:rsid w:val="00C7427D"/>
  </w:style>
  <w:style w:type="character" w:customStyle="1" w:styleId="open-access">
    <w:name w:val="open-access"/>
    <w:basedOn w:val="DefaultParagraphFont"/>
    <w:rsid w:val="00B875FC"/>
  </w:style>
  <w:style w:type="character" w:customStyle="1" w:styleId="separator">
    <w:name w:val="separator"/>
    <w:basedOn w:val="DefaultParagraphFont"/>
    <w:rsid w:val="00B875FC"/>
  </w:style>
  <w:style w:type="character" w:customStyle="1" w:styleId="article-type">
    <w:name w:val="article-type"/>
    <w:basedOn w:val="DefaultParagraphFont"/>
    <w:rsid w:val="00B875FC"/>
  </w:style>
  <w:style w:type="character" w:customStyle="1" w:styleId="author">
    <w:name w:val="author"/>
    <w:basedOn w:val="DefaultParagraphFont"/>
    <w:rsid w:val="00B875FC"/>
  </w:style>
  <w:style w:type="paragraph" w:styleId="EndnoteText">
    <w:name w:val="endnote text"/>
    <w:basedOn w:val="Normal"/>
    <w:link w:val="EndnoteTextChar"/>
    <w:uiPriority w:val="99"/>
    <w:semiHidden/>
    <w:unhideWhenUsed/>
    <w:rsid w:val="003D2BCC"/>
    <w:rPr>
      <w:sz w:val="20"/>
      <w:szCs w:val="20"/>
    </w:rPr>
  </w:style>
  <w:style w:type="character" w:customStyle="1" w:styleId="EndnoteTextChar">
    <w:name w:val="Endnote Text Char"/>
    <w:basedOn w:val="DefaultParagraphFont"/>
    <w:link w:val="EndnoteText"/>
    <w:uiPriority w:val="99"/>
    <w:semiHidden/>
    <w:rsid w:val="003D2BCC"/>
    <w:rPr>
      <w:sz w:val="20"/>
      <w:szCs w:val="20"/>
    </w:rPr>
  </w:style>
  <w:style w:type="character" w:styleId="EndnoteReference">
    <w:name w:val="endnote reference"/>
    <w:basedOn w:val="DefaultParagraphFont"/>
    <w:uiPriority w:val="99"/>
    <w:semiHidden/>
    <w:unhideWhenUsed/>
    <w:rsid w:val="003D2BCC"/>
    <w:rPr>
      <w:vertAlign w:val="superscript"/>
    </w:rPr>
  </w:style>
  <w:style w:type="paragraph" w:customStyle="1" w:styleId="Stluspapertitle17pt3">
    <w:name w:val="Stílus paper title + 17 pt3"/>
    <w:basedOn w:val="Normal"/>
    <w:rsid w:val="00E4099B"/>
    <w:pPr>
      <w:spacing w:after="60"/>
      <w:jc w:val="center"/>
    </w:pPr>
    <w:rPr>
      <w:spacing w:val="4"/>
      <w:sz w:val="34"/>
      <w:szCs w:val="34"/>
      <w:lang w:val="en-US"/>
    </w:rPr>
  </w:style>
  <w:style w:type="paragraph" w:customStyle="1" w:styleId="Papertext">
    <w:name w:val="Paper text"/>
    <w:basedOn w:val="Normal"/>
    <w:rsid w:val="00E4099B"/>
    <w:rPr>
      <w:lang w:val="en-US"/>
    </w:rPr>
  </w:style>
  <w:style w:type="paragraph" w:customStyle="1" w:styleId="Titleofthepaper">
    <w:name w:val="Title of the paper"/>
    <w:rsid w:val="00E4099B"/>
    <w:pPr>
      <w:spacing w:before="0" w:after="0" w:line="240" w:lineRule="auto"/>
      <w:ind w:left="0" w:firstLine="0"/>
      <w:jc w:val="center"/>
    </w:pPr>
    <w:rPr>
      <w:rFonts w:ascii="Arial" w:eastAsia="Times New Roman" w:hAnsi="Arial" w:cs="Times New Roman"/>
      <w:b/>
      <w:noProof/>
      <w:sz w:val="28"/>
      <w:szCs w:val="20"/>
      <w:lang w:val="en-US"/>
    </w:rPr>
  </w:style>
  <w:style w:type="paragraph" w:customStyle="1" w:styleId="HeaderAbs">
    <w:name w:val="Header (Abs."/>
    <w:aliases w:val="Ref.,Ack.)"/>
    <w:basedOn w:val="Heading1"/>
    <w:rsid w:val="00E4099B"/>
    <w:pPr>
      <w:spacing w:before="240" w:after="240"/>
    </w:pPr>
    <w:rPr>
      <w:bCs/>
      <w:caps/>
      <w:szCs w:val="20"/>
      <w:lang w:val="en-US"/>
    </w:rPr>
  </w:style>
  <w:style w:type="paragraph" w:customStyle="1" w:styleId="Affiliation">
    <w:name w:val="Affiliation"/>
    <w:rsid w:val="00E4099B"/>
    <w:pPr>
      <w:spacing w:before="0" w:after="0" w:line="240" w:lineRule="auto"/>
      <w:ind w:left="0" w:firstLine="0"/>
      <w:jc w:val="center"/>
    </w:pPr>
    <w:rPr>
      <w:rFonts w:ascii="Times New Roman" w:eastAsia="Times New Roman" w:hAnsi="Times New Roman" w:cs="Times New Roman"/>
      <w:szCs w:val="20"/>
      <w:lang w:val="en-US"/>
    </w:rPr>
  </w:style>
  <w:style w:type="paragraph" w:customStyle="1" w:styleId="StlusAuthorEltte6pt">
    <w:name w:val="Stílus Author + Előtte:  6 pt"/>
    <w:basedOn w:val="Normal"/>
    <w:rsid w:val="00E4099B"/>
    <w:pPr>
      <w:spacing w:after="40"/>
      <w:jc w:val="center"/>
    </w:pPr>
    <w:rPr>
      <w:spacing w:val="-2"/>
      <w:lang w:val="en-US"/>
    </w:rPr>
  </w:style>
  <w:style w:type="paragraph" w:customStyle="1" w:styleId="Keywords">
    <w:name w:val="Keywords"/>
    <w:basedOn w:val="BodyText"/>
    <w:rsid w:val="00E4099B"/>
    <w:pPr>
      <w:spacing w:after="0" w:line="252" w:lineRule="auto"/>
      <w:ind w:firstLine="204"/>
    </w:pPr>
    <w:rPr>
      <w:snapToGrid w:val="0"/>
      <w:sz w:val="20"/>
      <w:lang w:val="en-US"/>
    </w:rPr>
  </w:style>
  <w:style w:type="paragraph" w:styleId="BodyText">
    <w:name w:val="Body Text"/>
    <w:basedOn w:val="Normal"/>
    <w:link w:val="BodyTextChar"/>
    <w:uiPriority w:val="99"/>
    <w:semiHidden/>
    <w:unhideWhenUsed/>
    <w:rsid w:val="00E4099B"/>
    <w:pPr>
      <w:spacing w:after="120"/>
    </w:pPr>
  </w:style>
  <w:style w:type="character" w:customStyle="1" w:styleId="BodyTextChar">
    <w:name w:val="Body Text Char"/>
    <w:basedOn w:val="DefaultParagraphFont"/>
    <w:link w:val="BodyText"/>
    <w:uiPriority w:val="99"/>
    <w:semiHidden/>
    <w:rsid w:val="00E4099B"/>
  </w:style>
  <w:style w:type="paragraph" w:customStyle="1" w:styleId="JRCFigurecaption">
    <w:name w:val="JRC_Figure_caption"/>
    <w:basedOn w:val="Normal"/>
    <w:next w:val="JRCText"/>
    <w:rsid w:val="00EB0D66"/>
    <w:pPr>
      <w:spacing w:before="360" w:after="120"/>
      <w:jc w:val="center"/>
    </w:pPr>
    <w:rPr>
      <w:rFonts w:ascii="Verdana" w:eastAsia="Calibri" w:hAnsi="Verdana"/>
      <w:sz w:val="18"/>
      <w:szCs w:val="22"/>
    </w:rPr>
  </w:style>
  <w:style w:type="paragraph" w:customStyle="1" w:styleId="JRCText">
    <w:name w:val="JRC_Text"/>
    <w:basedOn w:val="Normal"/>
    <w:rsid w:val="00EB0D66"/>
    <w:pPr>
      <w:spacing w:before="120" w:after="120"/>
      <w:jc w:val="both"/>
    </w:pPr>
    <w:rPr>
      <w:rFonts w:ascii="Verdana" w:eastAsia="Calibri" w:hAnsi="Verdana"/>
      <w:sz w:val="20"/>
      <w:szCs w:val="22"/>
    </w:rPr>
  </w:style>
  <w:style w:type="character" w:customStyle="1" w:styleId="Heading4Char">
    <w:name w:val="Heading 4 Char"/>
    <w:basedOn w:val="DefaultParagraphFont"/>
    <w:link w:val="Heading4"/>
    <w:uiPriority w:val="9"/>
    <w:semiHidden/>
    <w:rsid w:val="00944EB7"/>
    <w:rPr>
      <w:rFonts w:asciiTheme="majorHAnsi" w:eastAsiaTheme="majorEastAsia" w:hAnsiTheme="majorHAnsi" w:cstheme="majorBidi"/>
      <w:b/>
      <w:bCs/>
      <w:i/>
      <w:iCs/>
      <w:color w:val="4F81BD" w:themeColor="accent1"/>
      <w:sz w:val="24"/>
      <w:szCs w:val="24"/>
      <w:lang w:val="en-GB"/>
    </w:rPr>
  </w:style>
  <w:style w:type="character" w:customStyle="1" w:styleId="Heading5Char">
    <w:name w:val="Heading 5 Char"/>
    <w:basedOn w:val="DefaultParagraphFont"/>
    <w:link w:val="Heading5"/>
    <w:uiPriority w:val="9"/>
    <w:semiHidden/>
    <w:rsid w:val="00944EB7"/>
    <w:rPr>
      <w:rFonts w:asciiTheme="majorHAnsi" w:eastAsiaTheme="majorEastAsia" w:hAnsiTheme="majorHAnsi" w:cstheme="majorBidi"/>
      <w:color w:val="243F60" w:themeColor="accent1" w:themeShade="7F"/>
      <w:sz w:val="24"/>
      <w:szCs w:val="24"/>
      <w:lang w:val="en-GB"/>
    </w:rPr>
  </w:style>
  <w:style w:type="character" w:customStyle="1" w:styleId="Heading6Char">
    <w:name w:val="Heading 6 Char"/>
    <w:basedOn w:val="DefaultParagraphFont"/>
    <w:link w:val="Heading6"/>
    <w:uiPriority w:val="9"/>
    <w:semiHidden/>
    <w:rsid w:val="00944EB7"/>
    <w:rPr>
      <w:rFonts w:asciiTheme="majorHAnsi" w:eastAsiaTheme="majorEastAsia" w:hAnsiTheme="majorHAnsi" w:cstheme="majorBidi"/>
      <w:i/>
      <w:iCs/>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944EB7"/>
    <w:rPr>
      <w:rFonts w:asciiTheme="majorHAnsi" w:eastAsiaTheme="majorEastAsia" w:hAnsiTheme="majorHAnsi" w:cstheme="majorBidi"/>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944EB7"/>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944EB7"/>
    <w:rPr>
      <w:rFonts w:asciiTheme="majorHAnsi" w:eastAsiaTheme="majorEastAsia" w:hAnsiTheme="majorHAnsi" w:cstheme="majorBidi"/>
      <w:i/>
      <w:iCs/>
      <w:color w:val="404040" w:themeColor="text1" w:themeTint="BF"/>
      <w:sz w:val="20"/>
      <w:szCs w:val="20"/>
      <w:lang w:val="en-GB"/>
    </w:rPr>
  </w:style>
  <w:style w:type="paragraph" w:customStyle="1" w:styleId="JRCTabletitle">
    <w:name w:val="JRC_Table_title"/>
    <w:basedOn w:val="Normal"/>
    <w:autoRedefine/>
    <w:rsid w:val="00724076"/>
    <w:pPr>
      <w:keepNext/>
      <w:spacing w:before="240" w:after="120"/>
      <w:jc w:val="center"/>
    </w:pPr>
    <w:rPr>
      <w:rFonts w:ascii="Verdana" w:eastAsia="Calibri" w:hAnsi="Verdana"/>
      <w:b/>
      <w:color w:val="000000"/>
      <w:sz w:val="18"/>
      <w:szCs w:val="22"/>
    </w:rPr>
  </w:style>
  <w:style w:type="table" w:styleId="LightGrid-Accent1">
    <w:name w:val="Light Grid Accent 1"/>
    <w:basedOn w:val="TableNormal"/>
    <w:uiPriority w:val="62"/>
    <w:rsid w:val="004E5B7B"/>
    <w:pPr>
      <w:spacing w:before="0" w:after="0" w:line="240" w:lineRule="auto"/>
      <w:ind w:left="0" w:firstLine="0"/>
      <w:jc w:val="left"/>
    </w:pPr>
    <w:rPr>
      <w:rFonts w:ascii="Calibri" w:eastAsia="Times New Roman" w:hAnsi="Calibri"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OpsommingOngenummerd">
    <w:name w:val="_OpsommingOngenummerd"/>
    <w:basedOn w:val="ListParagraph"/>
    <w:rsid w:val="00A31A2D"/>
    <w:pPr>
      <w:numPr>
        <w:numId w:val="3"/>
      </w:numPr>
      <w:spacing w:line="280" w:lineRule="atLeast"/>
    </w:pPr>
    <w:rPr>
      <w:rFonts w:ascii="Calibri" w:eastAsiaTheme="minorHAnsi" w:hAnsi="Calibri" w:cstheme="minorBidi"/>
      <w:sz w:val="20"/>
      <w:szCs w:val="22"/>
    </w:rPr>
  </w:style>
  <w:style w:type="character" w:styleId="PlaceholderText">
    <w:name w:val="Placeholder Text"/>
    <w:basedOn w:val="DefaultParagraphFont"/>
    <w:uiPriority w:val="99"/>
    <w:semiHidden/>
    <w:rsid w:val="003D379E"/>
    <w:rPr>
      <w:color w:val="808080"/>
    </w:rPr>
  </w:style>
  <w:style w:type="paragraph" w:styleId="IntenseQuote">
    <w:name w:val="Intense Quote"/>
    <w:basedOn w:val="Normal"/>
    <w:next w:val="Normal"/>
    <w:link w:val="IntenseQuoteChar"/>
    <w:uiPriority w:val="30"/>
    <w:rsid w:val="002D53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53E2"/>
    <w:rPr>
      <w:rFonts w:ascii="Times New Roman" w:eastAsia="Times New Roman" w:hAnsi="Times New Roman" w:cs="Times New Roman"/>
      <w:b/>
      <w:bCs/>
      <w:i/>
      <w:iCs/>
      <w:color w:val="4F81BD" w:themeColor="accent1"/>
      <w:sz w:val="24"/>
      <w:szCs w:val="24"/>
      <w:lang w:val="en-GB"/>
    </w:rPr>
  </w:style>
  <w:style w:type="table" w:customStyle="1" w:styleId="TableGrid1">
    <w:name w:val="Table Grid1"/>
    <w:basedOn w:val="TableNormal"/>
    <w:next w:val="TableGrid"/>
    <w:uiPriority w:val="59"/>
    <w:rsid w:val="006C64A2"/>
    <w:pPr>
      <w:spacing w:before="0" w:after="0" w:line="240" w:lineRule="auto"/>
      <w:ind w:left="0" w:firstLine="0"/>
      <w:jc w:val="left"/>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BoldNummer">
    <w:name w:val="KopBoldNummer"/>
    <w:next w:val="Normal"/>
    <w:rsid w:val="00CB69AF"/>
    <w:pPr>
      <w:numPr>
        <w:numId w:val="7"/>
      </w:numPr>
      <w:tabs>
        <w:tab w:val="left" w:pos="284"/>
      </w:tabs>
      <w:spacing w:before="0"/>
      <w:ind w:left="284" w:hanging="284"/>
      <w:jc w:val="left"/>
    </w:pPr>
    <w:rPr>
      <w:rFonts w:ascii="Calibri" w:hAnsi="Calibri"/>
      <w:b/>
      <w:sz w:val="20"/>
      <w:lang w:val="nl-NL"/>
    </w:rPr>
  </w:style>
  <w:style w:type="paragraph" w:customStyle="1" w:styleId="CM31">
    <w:name w:val="CM31"/>
    <w:basedOn w:val="Normal"/>
    <w:next w:val="Normal"/>
    <w:rsid w:val="00CB69AF"/>
    <w:pPr>
      <w:widowControl w:val="0"/>
      <w:autoSpaceDE w:val="0"/>
      <w:autoSpaceDN w:val="0"/>
      <w:adjustRightInd w:val="0"/>
      <w:spacing w:after="515"/>
    </w:pPr>
    <w:rPr>
      <w:rFonts w:ascii="Frutiger" w:hAnsi="Frutiger"/>
      <w:lang w:val="de-DE" w:eastAsia="de-DE"/>
    </w:rPr>
  </w:style>
  <w:style w:type="paragraph" w:customStyle="1" w:styleId="CM33">
    <w:name w:val="CM33"/>
    <w:basedOn w:val="Normal"/>
    <w:next w:val="Normal"/>
    <w:rsid w:val="00CB69AF"/>
    <w:pPr>
      <w:widowControl w:val="0"/>
      <w:autoSpaceDE w:val="0"/>
      <w:autoSpaceDN w:val="0"/>
      <w:adjustRightInd w:val="0"/>
      <w:spacing w:after="288"/>
    </w:pPr>
    <w:rPr>
      <w:rFonts w:ascii="Frutiger" w:hAnsi="Frutiger"/>
      <w:lang w:val="de-DE" w:eastAsia="de-DE"/>
    </w:rPr>
  </w:style>
  <w:style w:type="paragraph" w:customStyle="1" w:styleId="CM41">
    <w:name w:val="CM41"/>
    <w:basedOn w:val="Normal"/>
    <w:next w:val="Normal"/>
    <w:rsid w:val="00CB69AF"/>
    <w:pPr>
      <w:widowControl w:val="0"/>
      <w:autoSpaceDE w:val="0"/>
      <w:autoSpaceDN w:val="0"/>
      <w:adjustRightInd w:val="0"/>
      <w:spacing w:after="190"/>
    </w:pPr>
    <w:rPr>
      <w:rFonts w:ascii="Frutiger" w:hAnsi="Frutiger"/>
      <w:lang w:val="de-DE" w:eastAsia="de-DE"/>
    </w:rPr>
  </w:style>
  <w:style w:type="table" w:styleId="LightList-Accent6">
    <w:name w:val="Light List Accent 6"/>
    <w:basedOn w:val="TableNormal"/>
    <w:uiPriority w:val="61"/>
    <w:rsid w:val="00F60C04"/>
    <w:pPr>
      <w:spacing w:before="0" w:after="0" w:line="240" w:lineRule="auto"/>
      <w:ind w:left="0" w:firstLine="0"/>
      <w:jc w:val="left"/>
    </w:pPr>
    <w:rPr>
      <w:lang w:val="nl-NL"/>
    </w:rPr>
    <w:tblPr>
      <w:tblStyleRowBandSize w:val="1"/>
      <w:tblStyleColBandSize w:val="1"/>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Pr>
    <w:tcPr>
      <w:shd w:val="clear" w:color="auto" w:fill="auto"/>
    </w:tcPr>
    <w:tblStylePr w:type="firstRow">
      <w:pPr>
        <w:spacing w:before="0" w:after="0" w:line="240" w:lineRule="auto"/>
      </w:pPr>
      <w:rPr>
        <w:b/>
        <w:bCs/>
        <w:color w:val="FFFFFF" w:themeColor="background1"/>
      </w:rPr>
      <w:tblPr/>
      <w:tcPr>
        <w:shd w:val="clear" w:color="auto" w:fill="8DB3E2" w:themeFill="text2" w:themeFillTint="6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shd w:val="clear" w:color="auto" w:fill="auto"/>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2Vert">
      <w:tblPr/>
      <w:tcPr>
        <w:shd w:val="clear" w:color="auto" w:fill="auto"/>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neCell">
      <w:tblPr/>
      <w:tcPr>
        <w:tcBorders>
          <w:top w:val="nil"/>
          <w:left w:val="nil"/>
          <w:bottom w:val="nil"/>
          <w:right w:val="nil"/>
          <w:insideH w:val="nil"/>
          <w:insideV w:val="nil"/>
        </w:tcBorders>
        <w:shd w:val="clear" w:color="auto" w:fill="auto"/>
      </w:tcPr>
    </w:tblStylePr>
  </w:style>
  <w:style w:type="paragraph" w:customStyle="1" w:styleId="DataTab">
    <w:name w:val="Data Tab"/>
    <w:basedOn w:val="Normal"/>
    <w:link w:val="DataTabChar"/>
    <w:rsid w:val="00F60C04"/>
    <w:pPr>
      <w:spacing w:before="120" w:after="120"/>
      <w:jc w:val="both"/>
    </w:pPr>
    <w:rPr>
      <w:rFonts w:ascii="Verdana" w:eastAsiaTheme="minorHAnsi" w:hAnsi="Verdana" w:cstheme="minorBidi"/>
      <w:bCs/>
      <w:sz w:val="16"/>
      <w:szCs w:val="16"/>
      <w:lang w:val="nl-NL" w:eastAsia="en-GB"/>
    </w:rPr>
  </w:style>
  <w:style w:type="character" w:customStyle="1" w:styleId="DataTabChar">
    <w:name w:val="Data Tab Char"/>
    <w:basedOn w:val="DefaultParagraphFont"/>
    <w:link w:val="DataTab"/>
    <w:rsid w:val="00F60C04"/>
    <w:rPr>
      <w:rFonts w:ascii="Verdana" w:hAnsi="Verdana"/>
      <w:bCs/>
      <w:sz w:val="16"/>
      <w:szCs w:val="16"/>
      <w:lang w:val="nl-NL" w:eastAsia="en-GB"/>
    </w:rPr>
  </w:style>
  <w:style w:type="table" w:styleId="LightShading">
    <w:name w:val="Light Shading"/>
    <w:basedOn w:val="TableNormal"/>
    <w:uiPriority w:val="60"/>
    <w:rsid w:val="002B106F"/>
    <w:pPr>
      <w:spacing w:before="0" w:after="0" w:line="240" w:lineRule="auto"/>
    </w:pPr>
    <w:rPr>
      <w:rFonts w:ascii="Arial" w:hAnsi="Arial"/>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deck4text">
    <w:name w:val="M_deck_4_text"/>
    <w:autoRedefine/>
    <w:qFormat/>
    <w:rsid w:val="00C27BCF"/>
    <w:pPr>
      <w:kinsoku w:val="0"/>
      <w:overflowPunct w:val="0"/>
      <w:autoSpaceDE w:val="0"/>
      <w:autoSpaceDN w:val="0"/>
      <w:adjustRightInd w:val="0"/>
      <w:snapToGrid w:val="0"/>
      <w:spacing w:after="0" w:line="480" w:lineRule="auto"/>
      <w:ind w:left="0" w:firstLine="0"/>
      <w:jc w:val="left"/>
    </w:pPr>
    <w:rPr>
      <w:rFonts w:ascii="Times New Roman" w:eastAsia="Times New Roman" w:hAnsi="Times New Roman" w:cs="Times New Roman"/>
      <w:snapToGrid w:val="0"/>
      <w:sz w:val="24"/>
      <w:szCs w:val="24"/>
      <w:lang w:val="en-US" w:eastAsia="de-DE" w:bidi="en-US"/>
    </w:rPr>
  </w:style>
  <w:style w:type="paragraph" w:customStyle="1" w:styleId="Standa1">
    <w:name w:val="Standa1"/>
    <w:uiPriority w:val="99"/>
    <w:rsid w:val="004C3631"/>
    <w:pPr>
      <w:spacing w:before="0" w:after="0" w:line="240" w:lineRule="auto"/>
      <w:ind w:left="0" w:firstLine="0"/>
      <w:jc w:val="left"/>
    </w:pPr>
    <w:rPr>
      <w:rFonts w:ascii="Times New Roman" w:eastAsia="SimSun" w:hAnsi="Times New Roman" w:cs="Times New Roman"/>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120" w:after="200" w:line="276" w:lineRule="auto"/>
        <w:ind w:left="709" w:hanging="3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lsdException w:name="footnote reference"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E4099B"/>
    <w:pPr>
      <w:spacing w:before="0" w:after="0" w:line="240" w:lineRule="auto"/>
      <w:ind w:left="0" w:firstLine="0"/>
      <w:jc w:val="left"/>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AA48FF"/>
    <w:pPr>
      <w:numPr>
        <w:numId w:val="2"/>
      </w:numPr>
      <w:outlineLvl w:val="0"/>
    </w:pPr>
    <w:rPr>
      <w:b/>
    </w:rPr>
  </w:style>
  <w:style w:type="paragraph" w:styleId="Heading2">
    <w:name w:val="heading 2"/>
    <w:basedOn w:val="Normal"/>
    <w:link w:val="Heading2Char"/>
    <w:uiPriority w:val="9"/>
    <w:qFormat/>
    <w:rsid w:val="00AA48FF"/>
    <w:pPr>
      <w:numPr>
        <w:ilvl w:val="1"/>
        <w:numId w:val="2"/>
      </w:numPr>
      <w:outlineLvl w:val="1"/>
    </w:pPr>
  </w:style>
  <w:style w:type="paragraph" w:styleId="Heading3">
    <w:name w:val="heading 3"/>
    <w:basedOn w:val="Normal"/>
    <w:next w:val="Normal"/>
    <w:link w:val="Heading3Char"/>
    <w:uiPriority w:val="9"/>
    <w:unhideWhenUsed/>
    <w:qFormat/>
    <w:rsid w:val="00AA48FF"/>
    <w:pPr>
      <w:numPr>
        <w:ilvl w:val="2"/>
        <w:numId w:val="2"/>
      </w:numPr>
      <w:outlineLvl w:val="2"/>
    </w:pPr>
  </w:style>
  <w:style w:type="paragraph" w:styleId="Heading4">
    <w:name w:val="heading 4"/>
    <w:basedOn w:val="Normal"/>
    <w:next w:val="Normal"/>
    <w:link w:val="Heading4Char"/>
    <w:uiPriority w:val="9"/>
    <w:semiHidden/>
    <w:unhideWhenUsed/>
    <w:rsid w:val="00944EB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44EB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44EB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44EB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4EB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4EB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48FF"/>
    <w:rPr>
      <w:rFonts w:ascii="Times New Roman" w:eastAsia="Times New Roman" w:hAnsi="Times New Roman" w:cs="Times New Roman"/>
      <w:sz w:val="24"/>
      <w:szCs w:val="24"/>
      <w:lang w:val="en-GB"/>
    </w:rPr>
  </w:style>
  <w:style w:type="paragraph" w:styleId="ListParagraph">
    <w:name w:val="List Paragraph"/>
    <w:basedOn w:val="Normal"/>
    <w:uiPriority w:val="34"/>
    <w:rsid w:val="00510887"/>
    <w:pPr>
      <w:ind w:left="720"/>
      <w:contextualSpacing/>
    </w:pPr>
  </w:style>
  <w:style w:type="paragraph" w:styleId="NormalWeb">
    <w:name w:val="Normal (Web)"/>
    <w:basedOn w:val="Normal"/>
    <w:uiPriority w:val="99"/>
    <w:unhideWhenUsed/>
    <w:rsid w:val="00421245"/>
    <w:pPr>
      <w:spacing w:before="100" w:beforeAutospacing="1" w:after="100" w:afterAutospacing="1"/>
    </w:pPr>
    <w:rPr>
      <w:lang w:eastAsia="es-ES"/>
    </w:rPr>
  </w:style>
  <w:style w:type="character" w:customStyle="1" w:styleId="Heading2Char">
    <w:name w:val="Heading 2 Char"/>
    <w:basedOn w:val="DefaultParagraphFont"/>
    <w:link w:val="Heading2"/>
    <w:uiPriority w:val="9"/>
    <w:rsid w:val="00AA48FF"/>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3C46A4"/>
    <w:rPr>
      <w:color w:val="0000FF"/>
      <w:u w:val="single"/>
    </w:rPr>
  </w:style>
  <w:style w:type="character" w:customStyle="1" w:styleId="apple-converted-space">
    <w:name w:val="apple-converted-space"/>
    <w:basedOn w:val="DefaultParagraphFont"/>
    <w:rsid w:val="003C46A4"/>
  </w:style>
  <w:style w:type="character" w:customStyle="1" w:styleId="hit">
    <w:name w:val="hit"/>
    <w:basedOn w:val="DefaultParagraphFont"/>
    <w:rsid w:val="003C46A4"/>
  </w:style>
  <w:style w:type="character" w:customStyle="1" w:styleId="articletypelabel">
    <w:name w:val="articletypelabel"/>
    <w:basedOn w:val="DefaultParagraphFont"/>
    <w:rsid w:val="003C46A4"/>
  </w:style>
  <w:style w:type="character" w:styleId="FootnoteReference">
    <w:name w:val="footnote reference"/>
    <w:aliases w:val="oc-footreference,oc-footnoteref,oc-footreference1,oc-footnoteref1,number,SUPERS,Footnote Reference Superscript,stylish,Footnote symbol,footnote sign,Footnote Reference Number,Footnote,Char1 Char Char Char Char,Footnote number,cal"/>
    <w:basedOn w:val="DefaultParagraphFont"/>
    <w:rsid w:val="00EF2762"/>
    <w:rPr>
      <w:vertAlign w:val="superscript"/>
    </w:rPr>
  </w:style>
  <w:style w:type="paragraph" w:styleId="CommentText">
    <w:name w:val="annotation text"/>
    <w:basedOn w:val="Normal"/>
    <w:link w:val="CommentTextChar"/>
    <w:uiPriority w:val="99"/>
    <w:unhideWhenUsed/>
    <w:rsid w:val="00A54C03"/>
    <w:rPr>
      <w:rFonts w:eastAsiaTheme="minorEastAsia"/>
      <w:sz w:val="20"/>
      <w:szCs w:val="20"/>
      <w:lang w:eastAsia="es-ES"/>
    </w:rPr>
  </w:style>
  <w:style w:type="character" w:customStyle="1" w:styleId="CommentTextChar">
    <w:name w:val="Comment Text Char"/>
    <w:basedOn w:val="DefaultParagraphFont"/>
    <w:link w:val="CommentText"/>
    <w:uiPriority w:val="99"/>
    <w:rsid w:val="00A54C03"/>
    <w:rPr>
      <w:rFonts w:eastAsiaTheme="minorEastAsia"/>
      <w:sz w:val="20"/>
      <w:szCs w:val="20"/>
      <w:lang w:val="en-GB" w:eastAsia="es-ES"/>
    </w:rPr>
  </w:style>
  <w:style w:type="character" w:styleId="CommentReference">
    <w:name w:val="annotation reference"/>
    <w:basedOn w:val="DefaultParagraphFont"/>
    <w:uiPriority w:val="99"/>
    <w:semiHidden/>
    <w:unhideWhenUsed/>
    <w:rsid w:val="00EF2762"/>
    <w:rPr>
      <w:sz w:val="16"/>
      <w:szCs w:val="16"/>
    </w:rPr>
  </w:style>
  <w:style w:type="paragraph" w:styleId="FootnoteText">
    <w:name w:val="footnote text"/>
    <w:aliases w:val="Fußnotentext Char,Fußnotentext Char1 Char1,Fußnotentext Char Char Char Char,Fußnotentext Char1 Char Char Char,Fußnotentext Char Char,Fußnotentext Char1 Char Char Char Char,Fußnotentext Char Char Char Char Char Char,Fußnotentext Char1,ft,fn"/>
    <w:basedOn w:val="Normal"/>
    <w:link w:val="FootnoteTextChar"/>
    <w:unhideWhenUsed/>
    <w:rsid w:val="00EF2762"/>
    <w:rPr>
      <w:rFonts w:eastAsiaTheme="minorEastAsia"/>
      <w:sz w:val="20"/>
      <w:szCs w:val="20"/>
      <w:lang w:eastAsia="es-ES"/>
    </w:rPr>
  </w:style>
  <w:style w:type="character" w:customStyle="1" w:styleId="FootnoteTextChar">
    <w:name w:val="Footnote Text Char"/>
    <w:aliases w:val="Fußnotentext Char Char1,Fußnotentext Char1 Char1 Char,Fußnotentext Char Char Char Char Char,Fußnotentext Char1 Char Char Char Char1,Fußnotentext Char Char Char,Fußnotentext Char1 Char Char Char Char Char,Fußnotentext Char1 Char"/>
    <w:basedOn w:val="DefaultParagraphFont"/>
    <w:link w:val="FootnoteText"/>
    <w:rsid w:val="00EF2762"/>
    <w:rPr>
      <w:rFonts w:eastAsiaTheme="minorEastAsia"/>
      <w:sz w:val="20"/>
      <w:szCs w:val="20"/>
      <w:lang w:eastAsia="es-ES"/>
    </w:rPr>
  </w:style>
  <w:style w:type="paragraph" w:styleId="BalloonText">
    <w:name w:val="Balloon Text"/>
    <w:basedOn w:val="Normal"/>
    <w:link w:val="BalloonTextChar"/>
    <w:uiPriority w:val="99"/>
    <w:semiHidden/>
    <w:unhideWhenUsed/>
    <w:rsid w:val="00EF2762"/>
    <w:rPr>
      <w:rFonts w:ascii="Tahoma" w:hAnsi="Tahoma" w:cs="Tahoma"/>
      <w:sz w:val="16"/>
      <w:szCs w:val="16"/>
    </w:rPr>
  </w:style>
  <w:style w:type="character" w:customStyle="1" w:styleId="BalloonTextChar">
    <w:name w:val="Balloon Text Char"/>
    <w:basedOn w:val="DefaultParagraphFont"/>
    <w:link w:val="BalloonText"/>
    <w:uiPriority w:val="99"/>
    <w:semiHidden/>
    <w:rsid w:val="00EF2762"/>
    <w:rPr>
      <w:rFonts w:ascii="Tahoma" w:hAnsi="Tahoma" w:cs="Tahoma"/>
      <w:sz w:val="16"/>
      <w:szCs w:val="16"/>
    </w:rPr>
  </w:style>
  <w:style w:type="table" w:styleId="TableGrid">
    <w:name w:val="Table Grid"/>
    <w:basedOn w:val="TableNormal"/>
    <w:uiPriority w:val="59"/>
    <w:rsid w:val="00033749"/>
    <w:pPr>
      <w:spacing w:before="0" w:after="0"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F68B4"/>
    <w:pPr>
      <w:spacing w:before="120"/>
      <w:ind w:left="709" w:hanging="357"/>
      <w:jc w:val="both"/>
    </w:pPr>
    <w:rPr>
      <w:rFonts w:eastAsiaTheme="minorHAnsi"/>
      <w:b/>
      <w:bCs/>
      <w:lang w:eastAsia="en-US"/>
    </w:rPr>
  </w:style>
  <w:style w:type="character" w:customStyle="1" w:styleId="CommentSubjectChar">
    <w:name w:val="Comment Subject Char"/>
    <w:basedOn w:val="CommentTextChar"/>
    <w:link w:val="CommentSubject"/>
    <w:uiPriority w:val="99"/>
    <w:semiHidden/>
    <w:rsid w:val="008F68B4"/>
    <w:rPr>
      <w:rFonts w:eastAsiaTheme="minorEastAsia"/>
      <w:b/>
      <w:bCs/>
      <w:sz w:val="20"/>
      <w:szCs w:val="20"/>
      <w:lang w:val="en-GB" w:eastAsia="es-ES"/>
    </w:rPr>
  </w:style>
  <w:style w:type="character" w:customStyle="1" w:styleId="Heading1Char">
    <w:name w:val="Heading 1 Char"/>
    <w:basedOn w:val="DefaultParagraphFont"/>
    <w:link w:val="Heading1"/>
    <w:uiPriority w:val="9"/>
    <w:rsid w:val="00AA48FF"/>
    <w:rPr>
      <w:rFonts w:ascii="Times New Roman" w:eastAsia="Times New Roman" w:hAnsi="Times New Roman" w:cs="Times New Roman"/>
      <w:b/>
      <w:sz w:val="24"/>
      <w:szCs w:val="24"/>
      <w:lang w:val="en-GB"/>
    </w:rPr>
  </w:style>
  <w:style w:type="paragraph" w:styleId="Caption">
    <w:name w:val="caption"/>
    <w:aliases w:val="Legend,Figure reference,Tab_Überschrift,Caption Char1,Caption Char Char,Caption Char1 Char Char Char,Caption Char Char Char Char Char,Caption Char1 Char Char Char Char Char,Caption Char Char Char Char Char Char Char,Eco"/>
    <w:basedOn w:val="Normal"/>
    <w:next w:val="Normal"/>
    <w:link w:val="CaptionChar"/>
    <w:unhideWhenUsed/>
    <w:rsid w:val="000338A4"/>
    <w:rPr>
      <w:rFonts w:ascii="Verdana" w:hAnsi="Verdana"/>
      <w:b/>
      <w:bCs/>
      <w:sz w:val="16"/>
      <w:szCs w:val="18"/>
      <w:lang w:eastAsia="en-GB"/>
    </w:rPr>
  </w:style>
  <w:style w:type="character" w:customStyle="1" w:styleId="CaptionChar">
    <w:name w:val="Caption Char"/>
    <w:aliases w:val="Legend Char,Figure reference Char,Tab_Überschrift Char,Caption Char1 Char,Caption Char Char Char,Caption Char1 Char Char Char Char,Caption Char Char Char Char Char Char,Caption Char1 Char Char Char Char Char Char,Eco Char"/>
    <w:link w:val="Caption"/>
    <w:rsid w:val="000338A4"/>
    <w:rPr>
      <w:rFonts w:ascii="Verdana" w:eastAsia="Times New Roman" w:hAnsi="Verdana" w:cs="Times New Roman"/>
      <w:b/>
      <w:bCs/>
      <w:sz w:val="16"/>
      <w:szCs w:val="18"/>
      <w:lang w:val="en-GB" w:eastAsia="en-GB"/>
    </w:rPr>
  </w:style>
  <w:style w:type="table" w:customStyle="1" w:styleId="Listaclara-nfasis11">
    <w:name w:val="Lista clara - Énfasis 11"/>
    <w:basedOn w:val="TableNormal"/>
    <w:uiPriority w:val="61"/>
    <w:rsid w:val="000338A4"/>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claro1">
    <w:name w:val="Sombreado claro1"/>
    <w:basedOn w:val="TableNormal"/>
    <w:uiPriority w:val="60"/>
    <w:rsid w:val="003E67E5"/>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tyle1Forreport">
    <w:name w:val="Style1 For report"/>
    <w:basedOn w:val="TableNormal"/>
    <w:uiPriority w:val="99"/>
    <w:rsid w:val="003E67E5"/>
    <w:pPr>
      <w:spacing w:before="0" w:after="0" w:line="240" w:lineRule="auto"/>
      <w:ind w:left="0" w:firstLine="0"/>
      <w:jc w:val="left"/>
    </w:pPr>
    <w:rPr>
      <w:rFonts w:ascii="EC Square Sans Pro" w:hAnsi="EC Square Sans Pro"/>
      <w:lang w:val="en-GB"/>
    </w:rPr>
    <w:tblPr>
      <w:jc w:val="center"/>
      <w:tblBorders>
        <w:top w:val="single" w:sz="4" w:space="0" w:color="auto"/>
        <w:insideH w:val="single" w:sz="4" w:space="0" w:color="auto"/>
      </w:tblBorders>
    </w:tblPr>
    <w:trPr>
      <w:jc w:val="center"/>
    </w:trPr>
  </w:style>
  <w:style w:type="paragraph" w:customStyle="1" w:styleId="Default">
    <w:name w:val="Default"/>
    <w:rsid w:val="005E541C"/>
    <w:pPr>
      <w:autoSpaceDE w:val="0"/>
      <w:autoSpaceDN w:val="0"/>
      <w:adjustRightInd w:val="0"/>
      <w:spacing w:before="0" w:after="0" w:line="240" w:lineRule="auto"/>
      <w:ind w:left="0" w:firstLine="0"/>
      <w:jc w:val="left"/>
    </w:pPr>
    <w:rPr>
      <w:rFonts w:ascii="Times New Roman" w:hAnsi="Times New Roman" w:cs="Times New Roman"/>
      <w:color w:val="000000"/>
      <w:sz w:val="24"/>
      <w:szCs w:val="24"/>
    </w:rPr>
  </w:style>
  <w:style w:type="character" w:styleId="SubtleReference">
    <w:name w:val="Subtle Reference"/>
    <w:uiPriority w:val="31"/>
    <w:rsid w:val="002E2143"/>
  </w:style>
  <w:style w:type="paragraph" w:styleId="Revision">
    <w:name w:val="Revision"/>
    <w:hidden/>
    <w:uiPriority w:val="99"/>
    <w:semiHidden/>
    <w:rsid w:val="008D2B9F"/>
    <w:pPr>
      <w:spacing w:before="0" w:after="0" w:line="240" w:lineRule="auto"/>
      <w:ind w:left="0" w:firstLine="0"/>
      <w:jc w:val="left"/>
    </w:pPr>
  </w:style>
  <w:style w:type="character" w:customStyle="1" w:styleId="articlealttitle">
    <w:name w:val="articlealttitle"/>
    <w:basedOn w:val="DefaultParagraphFont"/>
    <w:rsid w:val="00C81BCA"/>
  </w:style>
  <w:style w:type="paragraph" w:customStyle="1" w:styleId="xmsonormal">
    <w:name w:val="x_msonormal"/>
    <w:basedOn w:val="Normal"/>
    <w:rsid w:val="002F0B65"/>
    <w:pPr>
      <w:spacing w:before="100" w:beforeAutospacing="1" w:after="100" w:afterAutospacing="1"/>
    </w:pPr>
    <w:rPr>
      <w:lang w:eastAsia="es-ES"/>
    </w:rPr>
  </w:style>
  <w:style w:type="character" w:styleId="LineNumber">
    <w:name w:val="line number"/>
    <w:basedOn w:val="DefaultParagraphFont"/>
    <w:uiPriority w:val="99"/>
    <w:semiHidden/>
    <w:unhideWhenUsed/>
    <w:rsid w:val="00196126"/>
  </w:style>
  <w:style w:type="paragraph" w:styleId="NoSpacing">
    <w:name w:val="No Spacing"/>
    <w:uiPriority w:val="1"/>
    <w:rsid w:val="001E008C"/>
    <w:pPr>
      <w:spacing w:before="0" w:after="0" w:line="240" w:lineRule="auto"/>
    </w:pPr>
  </w:style>
  <w:style w:type="paragraph" w:styleId="Header">
    <w:name w:val="header"/>
    <w:basedOn w:val="Normal"/>
    <w:link w:val="HeaderChar"/>
    <w:uiPriority w:val="99"/>
    <w:unhideWhenUsed/>
    <w:rsid w:val="00F20091"/>
    <w:pPr>
      <w:tabs>
        <w:tab w:val="center" w:pos="4252"/>
        <w:tab w:val="right" w:pos="8504"/>
      </w:tabs>
    </w:pPr>
  </w:style>
  <w:style w:type="character" w:customStyle="1" w:styleId="HeaderChar">
    <w:name w:val="Header Char"/>
    <w:basedOn w:val="DefaultParagraphFont"/>
    <w:link w:val="Header"/>
    <w:uiPriority w:val="99"/>
    <w:rsid w:val="00F20091"/>
  </w:style>
  <w:style w:type="paragraph" w:styleId="Footer">
    <w:name w:val="footer"/>
    <w:basedOn w:val="Normal"/>
    <w:link w:val="FooterChar"/>
    <w:uiPriority w:val="99"/>
    <w:unhideWhenUsed/>
    <w:rsid w:val="00F20091"/>
    <w:pPr>
      <w:tabs>
        <w:tab w:val="center" w:pos="4252"/>
        <w:tab w:val="right" w:pos="8504"/>
      </w:tabs>
    </w:pPr>
  </w:style>
  <w:style w:type="character" w:customStyle="1" w:styleId="FooterChar">
    <w:name w:val="Footer Char"/>
    <w:basedOn w:val="DefaultParagraphFont"/>
    <w:link w:val="Footer"/>
    <w:uiPriority w:val="99"/>
    <w:rsid w:val="00F20091"/>
  </w:style>
  <w:style w:type="character" w:styleId="Emphasis">
    <w:name w:val="Emphasis"/>
    <w:basedOn w:val="DefaultParagraphFont"/>
    <w:uiPriority w:val="20"/>
    <w:rsid w:val="00C7427D"/>
    <w:rPr>
      <w:i/>
      <w:iCs/>
    </w:rPr>
  </w:style>
  <w:style w:type="character" w:styleId="Strong">
    <w:name w:val="Strong"/>
    <w:basedOn w:val="DefaultParagraphFont"/>
    <w:uiPriority w:val="22"/>
    <w:rsid w:val="00C7427D"/>
    <w:rPr>
      <w:b/>
      <w:bCs/>
    </w:rPr>
  </w:style>
  <w:style w:type="character" w:customStyle="1" w:styleId="size-xl">
    <w:name w:val="size-xl"/>
    <w:basedOn w:val="DefaultParagraphFont"/>
    <w:rsid w:val="00C7427D"/>
  </w:style>
  <w:style w:type="character" w:customStyle="1" w:styleId="size-m">
    <w:name w:val="size-m"/>
    <w:basedOn w:val="DefaultParagraphFont"/>
    <w:rsid w:val="00C7427D"/>
  </w:style>
  <w:style w:type="character" w:customStyle="1" w:styleId="title-text">
    <w:name w:val="title-text"/>
    <w:basedOn w:val="DefaultParagraphFont"/>
    <w:rsid w:val="00C7427D"/>
  </w:style>
  <w:style w:type="character" w:customStyle="1" w:styleId="sr-only">
    <w:name w:val="sr-only"/>
    <w:basedOn w:val="DefaultParagraphFont"/>
    <w:rsid w:val="00C7427D"/>
  </w:style>
  <w:style w:type="character" w:customStyle="1" w:styleId="text">
    <w:name w:val="text"/>
    <w:basedOn w:val="DefaultParagraphFont"/>
    <w:rsid w:val="00C7427D"/>
  </w:style>
  <w:style w:type="character" w:customStyle="1" w:styleId="author-ref">
    <w:name w:val="author-ref"/>
    <w:basedOn w:val="DefaultParagraphFont"/>
    <w:rsid w:val="00C7427D"/>
  </w:style>
  <w:style w:type="character" w:customStyle="1" w:styleId="open-access">
    <w:name w:val="open-access"/>
    <w:basedOn w:val="DefaultParagraphFont"/>
    <w:rsid w:val="00B875FC"/>
  </w:style>
  <w:style w:type="character" w:customStyle="1" w:styleId="separator">
    <w:name w:val="separator"/>
    <w:basedOn w:val="DefaultParagraphFont"/>
    <w:rsid w:val="00B875FC"/>
  </w:style>
  <w:style w:type="character" w:customStyle="1" w:styleId="article-type">
    <w:name w:val="article-type"/>
    <w:basedOn w:val="DefaultParagraphFont"/>
    <w:rsid w:val="00B875FC"/>
  </w:style>
  <w:style w:type="character" w:customStyle="1" w:styleId="author">
    <w:name w:val="author"/>
    <w:basedOn w:val="DefaultParagraphFont"/>
    <w:rsid w:val="00B875FC"/>
  </w:style>
  <w:style w:type="paragraph" w:styleId="EndnoteText">
    <w:name w:val="endnote text"/>
    <w:basedOn w:val="Normal"/>
    <w:link w:val="EndnoteTextChar"/>
    <w:uiPriority w:val="99"/>
    <w:semiHidden/>
    <w:unhideWhenUsed/>
    <w:rsid w:val="003D2BCC"/>
    <w:rPr>
      <w:sz w:val="20"/>
      <w:szCs w:val="20"/>
    </w:rPr>
  </w:style>
  <w:style w:type="character" w:customStyle="1" w:styleId="EndnoteTextChar">
    <w:name w:val="Endnote Text Char"/>
    <w:basedOn w:val="DefaultParagraphFont"/>
    <w:link w:val="EndnoteText"/>
    <w:uiPriority w:val="99"/>
    <w:semiHidden/>
    <w:rsid w:val="003D2BCC"/>
    <w:rPr>
      <w:sz w:val="20"/>
      <w:szCs w:val="20"/>
    </w:rPr>
  </w:style>
  <w:style w:type="character" w:styleId="EndnoteReference">
    <w:name w:val="endnote reference"/>
    <w:basedOn w:val="DefaultParagraphFont"/>
    <w:uiPriority w:val="99"/>
    <w:semiHidden/>
    <w:unhideWhenUsed/>
    <w:rsid w:val="003D2BCC"/>
    <w:rPr>
      <w:vertAlign w:val="superscript"/>
    </w:rPr>
  </w:style>
  <w:style w:type="paragraph" w:customStyle="1" w:styleId="Stluspapertitle17pt3">
    <w:name w:val="Stílus paper title + 17 pt3"/>
    <w:basedOn w:val="Normal"/>
    <w:rsid w:val="00E4099B"/>
    <w:pPr>
      <w:spacing w:after="60"/>
      <w:jc w:val="center"/>
    </w:pPr>
    <w:rPr>
      <w:spacing w:val="4"/>
      <w:sz w:val="34"/>
      <w:szCs w:val="34"/>
      <w:lang w:val="en-US"/>
    </w:rPr>
  </w:style>
  <w:style w:type="paragraph" w:customStyle="1" w:styleId="Papertext">
    <w:name w:val="Paper text"/>
    <w:basedOn w:val="Normal"/>
    <w:rsid w:val="00E4099B"/>
    <w:rPr>
      <w:lang w:val="en-US"/>
    </w:rPr>
  </w:style>
  <w:style w:type="paragraph" w:customStyle="1" w:styleId="Titleofthepaper">
    <w:name w:val="Title of the paper"/>
    <w:rsid w:val="00E4099B"/>
    <w:pPr>
      <w:spacing w:before="0" w:after="0" w:line="240" w:lineRule="auto"/>
      <w:ind w:left="0" w:firstLine="0"/>
      <w:jc w:val="center"/>
    </w:pPr>
    <w:rPr>
      <w:rFonts w:ascii="Arial" w:eastAsia="Times New Roman" w:hAnsi="Arial" w:cs="Times New Roman"/>
      <w:b/>
      <w:noProof/>
      <w:sz w:val="28"/>
      <w:szCs w:val="20"/>
      <w:lang w:val="en-US"/>
    </w:rPr>
  </w:style>
  <w:style w:type="paragraph" w:customStyle="1" w:styleId="HeaderAbs">
    <w:name w:val="Header (Abs."/>
    <w:aliases w:val="Ref.,Ack.)"/>
    <w:basedOn w:val="Heading1"/>
    <w:rsid w:val="00E4099B"/>
    <w:pPr>
      <w:spacing w:before="240" w:after="240"/>
    </w:pPr>
    <w:rPr>
      <w:bCs/>
      <w:caps/>
      <w:szCs w:val="20"/>
      <w:lang w:val="en-US"/>
    </w:rPr>
  </w:style>
  <w:style w:type="paragraph" w:customStyle="1" w:styleId="Affiliation">
    <w:name w:val="Affiliation"/>
    <w:rsid w:val="00E4099B"/>
    <w:pPr>
      <w:spacing w:before="0" w:after="0" w:line="240" w:lineRule="auto"/>
      <w:ind w:left="0" w:firstLine="0"/>
      <w:jc w:val="center"/>
    </w:pPr>
    <w:rPr>
      <w:rFonts w:ascii="Times New Roman" w:eastAsia="Times New Roman" w:hAnsi="Times New Roman" w:cs="Times New Roman"/>
      <w:szCs w:val="20"/>
      <w:lang w:val="en-US"/>
    </w:rPr>
  </w:style>
  <w:style w:type="paragraph" w:customStyle="1" w:styleId="StlusAuthorEltte6pt">
    <w:name w:val="Stílus Author + Előtte:  6 pt"/>
    <w:basedOn w:val="Normal"/>
    <w:rsid w:val="00E4099B"/>
    <w:pPr>
      <w:spacing w:after="40"/>
      <w:jc w:val="center"/>
    </w:pPr>
    <w:rPr>
      <w:spacing w:val="-2"/>
      <w:lang w:val="en-US"/>
    </w:rPr>
  </w:style>
  <w:style w:type="paragraph" w:customStyle="1" w:styleId="Keywords">
    <w:name w:val="Keywords"/>
    <w:basedOn w:val="BodyText"/>
    <w:rsid w:val="00E4099B"/>
    <w:pPr>
      <w:spacing w:after="0" w:line="252" w:lineRule="auto"/>
      <w:ind w:firstLine="204"/>
    </w:pPr>
    <w:rPr>
      <w:snapToGrid w:val="0"/>
      <w:sz w:val="20"/>
      <w:lang w:val="en-US"/>
    </w:rPr>
  </w:style>
  <w:style w:type="paragraph" w:styleId="BodyText">
    <w:name w:val="Body Text"/>
    <w:basedOn w:val="Normal"/>
    <w:link w:val="BodyTextChar"/>
    <w:uiPriority w:val="99"/>
    <w:semiHidden/>
    <w:unhideWhenUsed/>
    <w:rsid w:val="00E4099B"/>
    <w:pPr>
      <w:spacing w:after="120"/>
    </w:pPr>
  </w:style>
  <w:style w:type="character" w:customStyle="1" w:styleId="BodyTextChar">
    <w:name w:val="Body Text Char"/>
    <w:basedOn w:val="DefaultParagraphFont"/>
    <w:link w:val="BodyText"/>
    <w:uiPriority w:val="99"/>
    <w:semiHidden/>
    <w:rsid w:val="00E4099B"/>
  </w:style>
  <w:style w:type="paragraph" w:customStyle="1" w:styleId="JRCFigurecaption">
    <w:name w:val="JRC_Figure_caption"/>
    <w:basedOn w:val="Normal"/>
    <w:next w:val="JRCText"/>
    <w:rsid w:val="00EB0D66"/>
    <w:pPr>
      <w:spacing w:before="360" w:after="120"/>
      <w:jc w:val="center"/>
    </w:pPr>
    <w:rPr>
      <w:rFonts w:ascii="Verdana" w:eastAsia="Calibri" w:hAnsi="Verdana"/>
      <w:sz w:val="18"/>
      <w:szCs w:val="22"/>
    </w:rPr>
  </w:style>
  <w:style w:type="paragraph" w:customStyle="1" w:styleId="JRCText">
    <w:name w:val="JRC_Text"/>
    <w:basedOn w:val="Normal"/>
    <w:rsid w:val="00EB0D66"/>
    <w:pPr>
      <w:spacing w:before="120" w:after="120"/>
      <w:jc w:val="both"/>
    </w:pPr>
    <w:rPr>
      <w:rFonts w:ascii="Verdana" w:eastAsia="Calibri" w:hAnsi="Verdana"/>
      <w:sz w:val="20"/>
      <w:szCs w:val="22"/>
    </w:rPr>
  </w:style>
  <w:style w:type="character" w:customStyle="1" w:styleId="Heading4Char">
    <w:name w:val="Heading 4 Char"/>
    <w:basedOn w:val="DefaultParagraphFont"/>
    <w:link w:val="Heading4"/>
    <w:uiPriority w:val="9"/>
    <w:semiHidden/>
    <w:rsid w:val="00944EB7"/>
    <w:rPr>
      <w:rFonts w:asciiTheme="majorHAnsi" w:eastAsiaTheme="majorEastAsia" w:hAnsiTheme="majorHAnsi" w:cstheme="majorBidi"/>
      <w:b/>
      <w:bCs/>
      <w:i/>
      <w:iCs/>
      <w:color w:val="4F81BD" w:themeColor="accent1"/>
      <w:sz w:val="24"/>
      <w:szCs w:val="24"/>
      <w:lang w:val="en-GB"/>
    </w:rPr>
  </w:style>
  <w:style w:type="character" w:customStyle="1" w:styleId="Heading5Char">
    <w:name w:val="Heading 5 Char"/>
    <w:basedOn w:val="DefaultParagraphFont"/>
    <w:link w:val="Heading5"/>
    <w:uiPriority w:val="9"/>
    <w:semiHidden/>
    <w:rsid w:val="00944EB7"/>
    <w:rPr>
      <w:rFonts w:asciiTheme="majorHAnsi" w:eastAsiaTheme="majorEastAsia" w:hAnsiTheme="majorHAnsi" w:cstheme="majorBidi"/>
      <w:color w:val="243F60" w:themeColor="accent1" w:themeShade="7F"/>
      <w:sz w:val="24"/>
      <w:szCs w:val="24"/>
      <w:lang w:val="en-GB"/>
    </w:rPr>
  </w:style>
  <w:style w:type="character" w:customStyle="1" w:styleId="Heading6Char">
    <w:name w:val="Heading 6 Char"/>
    <w:basedOn w:val="DefaultParagraphFont"/>
    <w:link w:val="Heading6"/>
    <w:uiPriority w:val="9"/>
    <w:semiHidden/>
    <w:rsid w:val="00944EB7"/>
    <w:rPr>
      <w:rFonts w:asciiTheme="majorHAnsi" w:eastAsiaTheme="majorEastAsia" w:hAnsiTheme="majorHAnsi" w:cstheme="majorBidi"/>
      <w:i/>
      <w:iCs/>
      <w:color w:val="243F60" w:themeColor="accent1" w:themeShade="7F"/>
      <w:sz w:val="24"/>
      <w:szCs w:val="24"/>
      <w:lang w:val="en-GB"/>
    </w:rPr>
  </w:style>
  <w:style w:type="character" w:customStyle="1" w:styleId="Heading7Char">
    <w:name w:val="Heading 7 Char"/>
    <w:basedOn w:val="DefaultParagraphFont"/>
    <w:link w:val="Heading7"/>
    <w:uiPriority w:val="9"/>
    <w:semiHidden/>
    <w:rsid w:val="00944EB7"/>
    <w:rPr>
      <w:rFonts w:asciiTheme="majorHAnsi" w:eastAsiaTheme="majorEastAsia" w:hAnsiTheme="majorHAnsi" w:cstheme="majorBidi"/>
      <w:i/>
      <w:iCs/>
      <w:color w:val="404040" w:themeColor="text1" w:themeTint="BF"/>
      <w:sz w:val="24"/>
      <w:szCs w:val="24"/>
      <w:lang w:val="en-GB"/>
    </w:rPr>
  </w:style>
  <w:style w:type="character" w:customStyle="1" w:styleId="Heading8Char">
    <w:name w:val="Heading 8 Char"/>
    <w:basedOn w:val="DefaultParagraphFont"/>
    <w:link w:val="Heading8"/>
    <w:uiPriority w:val="9"/>
    <w:semiHidden/>
    <w:rsid w:val="00944EB7"/>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944EB7"/>
    <w:rPr>
      <w:rFonts w:asciiTheme="majorHAnsi" w:eastAsiaTheme="majorEastAsia" w:hAnsiTheme="majorHAnsi" w:cstheme="majorBidi"/>
      <w:i/>
      <w:iCs/>
      <w:color w:val="404040" w:themeColor="text1" w:themeTint="BF"/>
      <w:sz w:val="20"/>
      <w:szCs w:val="20"/>
      <w:lang w:val="en-GB"/>
    </w:rPr>
  </w:style>
  <w:style w:type="paragraph" w:customStyle="1" w:styleId="JRCTabletitle">
    <w:name w:val="JRC_Table_title"/>
    <w:basedOn w:val="Normal"/>
    <w:autoRedefine/>
    <w:rsid w:val="00724076"/>
    <w:pPr>
      <w:keepNext/>
      <w:spacing w:before="240" w:after="120"/>
      <w:jc w:val="center"/>
    </w:pPr>
    <w:rPr>
      <w:rFonts w:ascii="Verdana" w:eastAsia="Calibri" w:hAnsi="Verdana"/>
      <w:b/>
      <w:color w:val="000000"/>
      <w:sz w:val="18"/>
      <w:szCs w:val="22"/>
    </w:rPr>
  </w:style>
  <w:style w:type="table" w:styleId="LightGrid-Accent1">
    <w:name w:val="Light Grid Accent 1"/>
    <w:basedOn w:val="TableNormal"/>
    <w:uiPriority w:val="62"/>
    <w:rsid w:val="004E5B7B"/>
    <w:pPr>
      <w:spacing w:before="0" w:after="0" w:line="240" w:lineRule="auto"/>
      <w:ind w:left="0" w:firstLine="0"/>
      <w:jc w:val="left"/>
    </w:pPr>
    <w:rPr>
      <w:rFonts w:ascii="Calibri" w:eastAsia="Times New Roman" w:hAnsi="Calibri" w:cs="Times New Roman"/>
      <w:sz w:val="20"/>
      <w:szCs w:val="20"/>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OpsommingOngenummerd">
    <w:name w:val="_OpsommingOngenummerd"/>
    <w:basedOn w:val="ListParagraph"/>
    <w:rsid w:val="00A31A2D"/>
    <w:pPr>
      <w:numPr>
        <w:numId w:val="3"/>
      </w:numPr>
      <w:spacing w:line="280" w:lineRule="atLeast"/>
    </w:pPr>
    <w:rPr>
      <w:rFonts w:ascii="Calibri" w:eastAsiaTheme="minorHAnsi" w:hAnsi="Calibri" w:cstheme="minorBidi"/>
      <w:sz w:val="20"/>
      <w:szCs w:val="22"/>
    </w:rPr>
  </w:style>
  <w:style w:type="character" w:styleId="PlaceholderText">
    <w:name w:val="Placeholder Text"/>
    <w:basedOn w:val="DefaultParagraphFont"/>
    <w:uiPriority w:val="99"/>
    <w:semiHidden/>
    <w:rsid w:val="003D379E"/>
    <w:rPr>
      <w:color w:val="808080"/>
    </w:rPr>
  </w:style>
  <w:style w:type="paragraph" w:styleId="IntenseQuote">
    <w:name w:val="Intense Quote"/>
    <w:basedOn w:val="Normal"/>
    <w:next w:val="Normal"/>
    <w:link w:val="IntenseQuoteChar"/>
    <w:uiPriority w:val="30"/>
    <w:rsid w:val="002D53E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53E2"/>
    <w:rPr>
      <w:rFonts w:ascii="Times New Roman" w:eastAsia="Times New Roman" w:hAnsi="Times New Roman" w:cs="Times New Roman"/>
      <w:b/>
      <w:bCs/>
      <w:i/>
      <w:iCs/>
      <w:color w:val="4F81BD" w:themeColor="accent1"/>
      <w:sz w:val="24"/>
      <w:szCs w:val="24"/>
      <w:lang w:val="en-GB"/>
    </w:rPr>
  </w:style>
  <w:style w:type="table" w:customStyle="1" w:styleId="TableGrid1">
    <w:name w:val="Table Grid1"/>
    <w:basedOn w:val="TableNormal"/>
    <w:next w:val="TableGrid"/>
    <w:uiPriority w:val="59"/>
    <w:rsid w:val="006C64A2"/>
    <w:pPr>
      <w:spacing w:before="0" w:after="0" w:line="240" w:lineRule="auto"/>
      <w:ind w:left="0" w:firstLine="0"/>
      <w:jc w:val="left"/>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pBoldNummer">
    <w:name w:val="KopBoldNummer"/>
    <w:next w:val="Normal"/>
    <w:rsid w:val="00CB69AF"/>
    <w:pPr>
      <w:numPr>
        <w:numId w:val="7"/>
      </w:numPr>
      <w:tabs>
        <w:tab w:val="left" w:pos="284"/>
      </w:tabs>
      <w:spacing w:before="0"/>
      <w:ind w:left="284" w:hanging="284"/>
      <w:jc w:val="left"/>
    </w:pPr>
    <w:rPr>
      <w:rFonts w:ascii="Calibri" w:hAnsi="Calibri"/>
      <w:b/>
      <w:sz w:val="20"/>
      <w:lang w:val="nl-NL"/>
    </w:rPr>
  </w:style>
  <w:style w:type="paragraph" w:customStyle="1" w:styleId="CM31">
    <w:name w:val="CM31"/>
    <w:basedOn w:val="Normal"/>
    <w:next w:val="Normal"/>
    <w:rsid w:val="00CB69AF"/>
    <w:pPr>
      <w:widowControl w:val="0"/>
      <w:autoSpaceDE w:val="0"/>
      <w:autoSpaceDN w:val="0"/>
      <w:adjustRightInd w:val="0"/>
      <w:spacing w:after="515"/>
    </w:pPr>
    <w:rPr>
      <w:rFonts w:ascii="Frutiger" w:hAnsi="Frutiger"/>
      <w:lang w:val="de-DE" w:eastAsia="de-DE"/>
    </w:rPr>
  </w:style>
  <w:style w:type="paragraph" w:customStyle="1" w:styleId="CM33">
    <w:name w:val="CM33"/>
    <w:basedOn w:val="Normal"/>
    <w:next w:val="Normal"/>
    <w:rsid w:val="00CB69AF"/>
    <w:pPr>
      <w:widowControl w:val="0"/>
      <w:autoSpaceDE w:val="0"/>
      <w:autoSpaceDN w:val="0"/>
      <w:adjustRightInd w:val="0"/>
      <w:spacing w:after="288"/>
    </w:pPr>
    <w:rPr>
      <w:rFonts w:ascii="Frutiger" w:hAnsi="Frutiger"/>
      <w:lang w:val="de-DE" w:eastAsia="de-DE"/>
    </w:rPr>
  </w:style>
  <w:style w:type="paragraph" w:customStyle="1" w:styleId="CM41">
    <w:name w:val="CM41"/>
    <w:basedOn w:val="Normal"/>
    <w:next w:val="Normal"/>
    <w:rsid w:val="00CB69AF"/>
    <w:pPr>
      <w:widowControl w:val="0"/>
      <w:autoSpaceDE w:val="0"/>
      <w:autoSpaceDN w:val="0"/>
      <w:adjustRightInd w:val="0"/>
      <w:spacing w:after="190"/>
    </w:pPr>
    <w:rPr>
      <w:rFonts w:ascii="Frutiger" w:hAnsi="Frutiger"/>
      <w:lang w:val="de-DE" w:eastAsia="de-DE"/>
    </w:rPr>
  </w:style>
  <w:style w:type="table" w:styleId="LightList-Accent6">
    <w:name w:val="Light List Accent 6"/>
    <w:basedOn w:val="TableNormal"/>
    <w:uiPriority w:val="61"/>
    <w:rsid w:val="00F60C04"/>
    <w:pPr>
      <w:spacing w:before="0" w:after="0" w:line="240" w:lineRule="auto"/>
      <w:ind w:left="0" w:firstLine="0"/>
      <w:jc w:val="left"/>
    </w:pPr>
    <w:rPr>
      <w:lang w:val="nl-NL"/>
    </w:rPr>
    <w:tblPr>
      <w:tblStyleRowBandSize w:val="1"/>
      <w:tblStyleColBandSize w:val="1"/>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Pr>
    <w:tcPr>
      <w:shd w:val="clear" w:color="auto" w:fill="auto"/>
    </w:tcPr>
    <w:tblStylePr w:type="firstRow">
      <w:pPr>
        <w:spacing w:before="0" w:after="0" w:line="240" w:lineRule="auto"/>
      </w:pPr>
      <w:rPr>
        <w:b/>
        <w:bCs/>
        <w:color w:val="FFFFFF" w:themeColor="background1"/>
      </w:rPr>
      <w:tblPr/>
      <w:tcPr>
        <w:shd w:val="clear" w:color="auto" w:fill="8DB3E2" w:themeFill="text2" w:themeFillTint="6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shd w:val="clear" w:color="auto" w:fill="auto"/>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2Vert">
      <w:tblPr/>
      <w:tcPr>
        <w:shd w:val="clear" w:color="auto" w:fill="auto"/>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neCell">
      <w:tblPr/>
      <w:tcPr>
        <w:tcBorders>
          <w:top w:val="nil"/>
          <w:left w:val="nil"/>
          <w:bottom w:val="nil"/>
          <w:right w:val="nil"/>
          <w:insideH w:val="nil"/>
          <w:insideV w:val="nil"/>
        </w:tcBorders>
        <w:shd w:val="clear" w:color="auto" w:fill="auto"/>
      </w:tcPr>
    </w:tblStylePr>
  </w:style>
  <w:style w:type="paragraph" w:customStyle="1" w:styleId="DataTab">
    <w:name w:val="Data Tab"/>
    <w:basedOn w:val="Normal"/>
    <w:link w:val="DataTabChar"/>
    <w:rsid w:val="00F60C04"/>
    <w:pPr>
      <w:spacing w:before="120" w:after="120"/>
      <w:jc w:val="both"/>
    </w:pPr>
    <w:rPr>
      <w:rFonts w:ascii="Verdana" w:eastAsiaTheme="minorHAnsi" w:hAnsi="Verdana" w:cstheme="minorBidi"/>
      <w:bCs/>
      <w:sz w:val="16"/>
      <w:szCs w:val="16"/>
      <w:lang w:val="nl-NL" w:eastAsia="en-GB"/>
    </w:rPr>
  </w:style>
  <w:style w:type="character" w:customStyle="1" w:styleId="DataTabChar">
    <w:name w:val="Data Tab Char"/>
    <w:basedOn w:val="DefaultParagraphFont"/>
    <w:link w:val="DataTab"/>
    <w:rsid w:val="00F60C04"/>
    <w:rPr>
      <w:rFonts w:ascii="Verdana" w:hAnsi="Verdana"/>
      <w:bCs/>
      <w:sz w:val="16"/>
      <w:szCs w:val="16"/>
      <w:lang w:val="nl-NL" w:eastAsia="en-GB"/>
    </w:rPr>
  </w:style>
  <w:style w:type="table" w:styleId="LightShading">
    <w:name w:val="Light Shading"/>
    <w:basedOn w:val="TableNormal"/>
    <w:uiPriority w:val="60"/>
    <w:rsid w:val="002B106F"/>
    <w:pPr>
      <w:spacing w:before="0" w:after="0" w:line="240" w:lineRule="auto"/>
    </w:pPr>
    <w:rPr>
      <w:rFonts w:ascii="Arial" w:hAnsi="Arial"/>
      <w:color w:val="000000" w:themeColor="text1" w:themeShade="BF"/>
    </w:rPr>
    <w:tblPr>
      <w:tblStyleRowBandSize w:val="1"/>
      <w:tblStyleColBandSize w:val="1"/>
      <w:jc w:val="center"/>
      <w:tblBorders>
        <w:top w:val="single" w:sz="8" w:space="0" w:color="000000" w:themeColor="text1"/>
        <w:bottom w:val="single" w:sz="8" w:space="0" w:color="000000" w:themeColor="text1"/>
      </w:tblBorders>
    </w:tblPr>
    <w:trPr>
      <w:jc w:val="center"/>
    </w:tr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deck4text">
    <w:name w:val="M_deck_4_text"/>
    <w:autoRedefine/>
    <w:qFormat/>
    <w:rsid w:val="00C27BCF"/>
    <w:pPr>
      <w:kinsoku w:val="0"/>
      <w:overflowPunct w:val="0"/>
      <w:autoSpaceDE w:val="0"/>
      <w:autoSpaceDN w:val="0"/>
      <w:adjustRightInd w:val="0"/>
      <w:snapToGrid w:val="0"/>
      <w:spacing w:after="0" w:line="480" w:lineRule="auto"/>
      <w:ind w:left="0" w:firstLine="0"/>
      <w:jc w:val="left"/>
    </w:pPr>
    <w:rPr>
      <w:rFonts w:ascii="Times New Roman" w:eastAsia="Times New Roman" w:hAnsi="Times New Roman" w:cs="Times New Roman"/>
      <w:snapToGrid w:val="0"/>
      <w:sz w:val="24"/>
      <w:szCs w:val="24"/>
      <w:lang w:val="en-US" w:eastAsia="de-DE" w:bidi="en-US"/>
    </w:rPr>
  </w:style>
  <w:style w:type="paragraph" w:customStyle="1" w:styleId="Standa1">
    <w:name w:val="Standa1"/>
    <w:uiPriority w:val="99"/>
    <w:rsid w:val="004C3631"/>
    <w:pPr>
      <w:spacing w:before="0" w:after="0" w:line="240" w:lineRule="auto"/>
      <w:ind w:left="0" w:firstLine="0"/>
      <w:jc w:val="left"/>
    </w:pPr>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7301">
      <w:bodyDiv w:val="1"/>
      <w:marLeft w:val="0"/>
      <w:marRight w:val="0"/>
      <w:marTop w:val="0"/>
      <w:marBottom w:val="0"/>
      <w:divBdr>
        <w:top w:val="none" w:sz="0" w:space="0" w:color="auto"/>
        <w:left w:val="none" w:sz="0" w:space="0" w:color="auto"/>
        <w:bottom w:val="none" w:sz="0" w:space="0" w:color="auto"/>
        <w:right w:val="none" w:sz="0" w:space="0" w:color="auto"/>
      </w:divBdr>
    </w:div>
    <w:div w:id="59982991">
      <w:bodyDiv w:val="1"/>
      <w:marLeft w:val="0"/>
      <w:marRight w:val="0"/>
      <w:marTop w:val="0"/>
      <w:marBottom w:val="0"/>
      <w:divBdr>
        <w:top w:val="none" w:sz="0" w:space="0" w:color="auto"/>
        <w:left w:val="none" w:sz="0" w:space="0" w:color="auto"/>
        <w:bottom w:val="none" w:sz="0" w:space="0" w:color="auto"/>
        <w:right w:val="none" w:sz="0" w:space="0" w:color="auto"/>
      </w:divBdr>
    </w:div>
    <w:div w:id="77487904">
      <w:bodyDiv w:val="1"/>
      <w:marLeft w:val="0"/>
      <w:marRight w:val="0"/>
      <w:marTop w:val="0"/>
      <w:marBottom w:val="0"/>
      <w:divBdr>
        <w:top w:val="none" w:sz="0" w:space="0" w:color="auto"/>
        <w:left w:val="none" w:sz="0" w:space="0" w:color="auto"/>
        <w:bottom w:val="none" w:sz="0" w:space="0" w:color="auto"/>
        <w:right w:val="none" w:sz="0" w:space="0" w:color="auto"/>
      </w:divBdr>
    </w:div>
    <w:div w:id="112947187">
      <w:bodyDiv w:val="1"/>
      <w:marLeft w:val="0"/>
      <w:marRight w:val="0"/>
      <w:marTop w:val="0"/>
      <w:marBottom w:val="0"/>
      <w:divBdr>
        <w:top w:val="none" w:sz="0" w:space="0" w:color="auto"/>
        <w:left w:val="none" w:sz="0" w:space="0" w:color="auto"/>
        <w:bottom w:val="none" w:sz="0" w:space="0" w:color="auto"/>
        <w:right w:val="none" w:sz="0" w:space="0" w:color="auto"/>
      </w:divBdr>
    </w:div>
    <w:div w:id="129593436">
      <w:bodyDiv w:val="1"/>
      <w:marLeft w:val="0"/>
      <w:marRight w:val="0"/>
      <w:marTop w:val="0"/>
      <w:marBottom w:val="0"/>
      <w:divBdr>
        <w:top w:val="none" w:sz="0" w:space="0" w:color="auto"/>
        <w:left w:val="none" w:sz="0" w:space="0" w:color="auto"/>
        <w:bottom w:val="none" w:sz="0" w:space="0" w:color="auto"/>
        <w:right w:val="none" w:sz="0" w:space="0" w:color="auto"/>
      </w:divBdr>
    </w:div>
    <w:div w:id="273286951">
      <w:bodyDiv w:val="1"/>
      <w:marLeft w:val="0"/>
      <w:marRight w:val="0"/>
      <w:marTop w:val="0"/>
      <w:marBottom w:val="0"/>
      <w:divBdr>
        <w:top w:val="none" w:sz="0" w:space="0" w:color="auto"/>
        <w:left w:val="none" w:sz="0" w:space="0" w:color="auto"/>
        <w:bottom w:val="none" w:sz="0" w:space="0" w:color="auto"/>
        <w:right w:val="none" w:sz="0" w:space="0" w:color="auto"/>
      </w:divBdr>
    </w:div>
    <w:div w:id="285739070">
      <w:bodyDiv w:val="1"/>
      <w:marLeft w:val="0"/>
      <w:marRight w:val="0"/>
      <w:marTop w:val="0"/>
      <w:marBottom w:val="0"/>
      <w:divBdr>
        <w:top w:val="none" w:sz="0" w:space="0" w:color="auto"/>
        <w:left w:val="none" w:sz="0" w:space="0" w:color="auto"/>
        <w:bottom w:val="none" w:sz="0" w:space="0" w:color="auto"/>
        <w:right w:val="none" w:sz="0" w:space="0" w:color="auto"/>
      </w:divBdr>
      <w:divsChild>
        <w:div w:id="172577466">
          <w:marLeft w:val="0"/>
          <w:marRight w:val="0"/>
          <w:marTop w:val="0"/>
          <w:marBottom w:val="0"/>
          <w:divBdr>
            <w:top w:val="none" w:sz="0" w:space="0" w:color="auto"/>
            <w:left w:val="none" w:sz="0" w:space="0" w:color="auto"/>
            <w:bottom w:val="none" w:sz="0" w:space="0" w:color="auto"/>
            <w:right w:val="none" w:sz="0" w:space="0" w:color="auto"/>
          </w:divBdr>
        </w:div>
        <w:div w:id="731080188">
          <w:marLeft w:val="0"/>
          <w:marRight w:val="0"/>
          <w:marTop w:val="0"/>
          <w:marBottom w:val="0"/>
          <w:divBdr>
            <w:top w:val="none" w:sz="0" w:space="0" w:color="auto"/>
            <w:left w:val="none" w:sz="0" w:space="0" w:color="auto"/>
            <w:bottom w:val="none" w:sz="0" w:space="0" w:color="auto"/>
            <w:right w:val="none" w:sz="0" w:space="0" w:color="auto"/>
          </w:divBdr>
        </w:div>
        <w:div w:id="1180048380">
          <w:marLeft w:val="0"/>
          <w:marRight w:val="0"/>
          <w:marTop w:val="0"/>
          <w:marBottom w:val="0"/>
          <w:divBdr>
            <w:top w:val="none" w:sz="0" w:space="0" w:color="auto"/>
            <w:left w:val="none" w:sz="0" w:space="0" w:color="auto"/>
            <w:bottom w:val="none" w:sz="0" w:space="0" w:color="auto"/>
            <w:right w:val="none" w:sz="0" w:space="0" w:color="auto"/>
          </w:divBdr>
        </w:div>
      </w:divsChild>
    </w:div>
    <w:div w:id="291522841">
      <w:bodyDiv w:val="1"/>
      <w:marLeft w:val="0"/>
      <w:marRight w:val="0"/>
      <w:marTop w:val="0"/>
      <w:marBottom w:val="0"/>
      <w:divBdr>
        <w:top w:val="none" w:sz="0" w:space="0" w:color="auto"/>
        <w:left w:val="none" w:sz="0" w:space="0" w:color="auto"/>
        <w:bottom w:val="none" w:sz="0" w:space="0" w:color="auto"/>
        <w:right w:val="none" w:sz="0" w:space="0" w:color="auto"/>
      </w:divBdr>
      <w:divsChild>
        <w:div w:id="85157013">
          <w:marLeft w:val="0"/>
          <w:marRight w:val="0"/>
          <w:marTop w:val="0"/>
          <w:marBottom w:val="0"/>
          <w:divBdr>
            <w:top w:val="none" w:sz="0" w:space="0" w:color="auto"/>
            <w:left w:val="none" w:sz="0" w:space="0" w:color="auto"/>
            <w:bottom w:val="none" w:sz="0" w:space="0" w:color="auto"/>
            <w:right w:val="none" w:sz="0" w:space="0" w:color="auto"/>
          </w:divBdr>
        </w:div>
        <w:div w:id="190579092">
          <w:marLeft w:val="0"/>
          <w:marRight w:val="0"/>
          <w:marTop w:val="0"/>
          <w:marBottom w:val="0"/>
          <w:divBdr>
            <w:top w:val="none" w:sz="0" w:space="0" w:color="auto"/>
            <w:left w:val="none" w:sz="0" w:space="0" w:color="auto"/>
            <w:bottom w:val="none" w:sz="0" w:space="0" w:color="auto"/>
            <w:right w:val="none" w:sz="0" w:space="0" w:color="auto"/>
          </w:divBdr>
        </w:div>
        <w:div w:id="193621764">
          <w:marLeft w:val="0"/>
          <w:marRight w:val="0"/>
          <w:marTop w:val="0"/>
          <w:marBottom w:val="0"/>
          <w:divBdr>
            <w:top w:val="none" w:sz="0" w:space="0" w:color="auto"/>
            <w:left w:val="none" w:sz="0" w:space="0" w:color="auto"/>
            <w:bottom w:val="none" w:sz="0" w:space="0" w:color="auto"/>
            <w:right w:val="none" w:sz="0" w:space="0" w:color="auto"/>
          </w:divBdr>
        </w:div>
        <w:div w:id="323053423">
          <w:marLeft w:val="0"/>
          <w:marRight w:val="0"/>
          <w:marTop w:val="0"/>
          <w:marBottom w:val="0"/>
          <w:divBdr>
            <w:top w:val="none" w:sz="0" w:space="0" w:color="auto"/>
            <w:left w:val="none" w:sz="0" w:space="0" w:color="auto"/>
            <w:bottom w:val="none" w:sz="0" w:space="0" w:color="auto"/>
            <w:right w:val="none" w:sz="0" w:space="0" w:color="auto"/>
          </w:divBdr>
        </w:div>
        <w:div w:id="513303103">
          <w:marLeft w:val="0"/>
          <w:marRight w:val="0"/>
          <w:marTop w:val="0"/>
          <w:marBottom w:val="0"/>
          <w:divBdr>
            <w:top w:val="none" w:sz="0" w:space="0" w:color="auto"/>
            <w:left w:val="none" w:sz="0" w:space="0" w:color="auto"/>
            <w:bottom w:val="none" w:sz="0" w:space="0" w:color="auto"/>
            <w:right w:val="none" w:sz="0" w:space="0" w:color="auto"/>
          </w:divBdr>
        </w:div>
        <w:div w:id="539755062">
          <w:marLeft w:val="0"/>
          <w:marRight w:val="0"/>
          <w:marTop w:val="0"/>
          <w:marBottom w:val="0"/>
          <w:divBdr>
            <w:top w:val="none" w:sz="0" w:space="0" w:color="auto"/>
            <w:left w:val="none" w:sz="0" w:space="0" w:color="auto"/>
            <w:bottom w:val="none" w:sz="0" w:space="0" w:color="auto"/>
            <w:right w:val="none" w:sz="0" w:space="0" w:color="auto"/>
          </w:divBdr>
        </w:div>
        <w:div w:id="586421300">
          <w:marLeft w:val="0"/>
          <w:marRight w:val="0"/>
          <w:marTop w:val="0"/>
          <w:marBottom w:val="0"/>
          <w:divBdr>
            <w:top w:val="none" w:sz="0" w:space="0" w:color="auto"/>
            <w:left w:val="none" w:sz="0" w:space="0" w:color="auto"/>
            <w:bottom w:val="none" w:sz="0" w:space="0" w:color="auto"/>
            <w:right w:val="none" w:sz="0" w:space="0" w:color="auto"/>
          </w:divBdr>
        </w:div>
        <w:div w:id="706099570">
          <w:marLeft w:val="0"/>
          <w:marRight w:val="0"/>
          <w:marTop w:val="0"/>
          <w:marBottom w:val="0"/>
          <w:divBdr>
            <w:top w:val="none" w:sz="0" w:space="0" w:color="auto"/>
            <w:left w:val="none" w:sz="0" w:space="0" w:color="auto"/>
            <w:bottom w:val="none" w:sz="0" w:space="0" w:color="auto"/>
            <w:right w:val="none" w:sz="0" w:space="0" w:color="auto"/>
          </w:divBdr>
        </w:div>
        <w:div w:id="897742353">
          <w:marLeft w:val="0"/>
          <w:marRight w:val="0"/>
          <w:marTop w:val="0"/>
          <w:marBottom w:val="0"/>
          <w:divBdr>
            <w:top w:val="none" w:sz="0" w:space="0" w:color="auto"/>
            <w:left w:val="none" w:sz="0" w:space="0" w:color="auto"/>
            <w:bottom w:val="none" w:sz="0" w:space="0" w:color="auto"/>
            <w:right w:val="none" w:sz="0" w:space="0" w:color="auto"/>
          </w:divBdr>
        </w:div>
        <w:div w:id="992871007">
          <w:marLeft w:val="0"/>
          <w:marRight w:val="0"/>
          <w:marTop w:val="0"/>
          <w:marBottom w:val="0"/>
          <w:divBdr>
            <w:top w:val="none" w:sz="0" w:space="0" w:color="auto"/>
            <w:left w:val="none" w:sz="0" w:space="0" w:color="auto"/>
            <w:bottom w:val="none" w:sz="0" w:space="0" w:color="auto"/>
            <w:right w:val="none" w:sz="0" w:space="0" w:color="auto"/>
          </w:divBdr>
        </w:div>
        <w:div w:id="1230848983">
          <w:marLeft w:val="0"/>
          <w:marRight w:val="0"/>
          <w:marTop w:val="0"/>
          <w:marBottom w:val="0"/>
          <w:divBdr>
            <w:top w:val="none" w:sz="0" w:space="0" w:color="auto"/>
            <w:left w:val="none" w:sz="0" w:space="0" w:color="auto"/>
            <w:bottom w:val="none" w:sz="0" w:space="0" w:color="auto"/>
            <w:right w:val="none" w:sz="0" w:space="0" w:color="auto"/>
          </w:divBdr>
        </w:div>
        <w:div w:id="1531990773">
          <w:marLeft w:val="0"/>
          <w:marRight w:val="0"/>
          <w:marTop w:val="0"/>
          <w:marBottom w:val="0"/>
          <w:divBdr>
            <w:top w:val="none" w:sz="0" w:space="0" w:color="auto"/>
            <w:left w:val="none" w:sz="0" w:space="0" w:color="auto"/>
            <w:bottom w:val="none" w:sz="0" w:space="0" w:color="auto"/>
            <w:right w:val="none" w:sz="0" w:space="0" w:color="auto"/>
          </w:divBdr>
        </w:div>
        <w:div w:id="1550342375">
          <w:marLeft w:val="0"/>
          <w:marRight w:val="0"/>
          <w:marTop w:val="0"/>
          <w:marBottom w:val="0"/>
          <w:divBdr>
            <w:top w:val="none" w:sz="0" w:space="0" w:color="auto"/>
            <w:left w:val="none" w:sz="0" w:space="0" w:color="auto"/>
            <w:bottom w:val="none" w:sz="0" w:space="0" w:color="auto"/>
            <w:right w:val="none" w:sz="0" w:space="0" w:color="auto"/>
          </w:divBdr>
        </w:div>
        <w:div w:id="1663661098">
          <w:marLeft w:val="0"/>
          <w:marRight w:val="0"/>
          <w:marTop w:val="0"/>
          <w:marBottom w:val="0"/>
          <w:divBdr>
            <w:top w:val="none" w:sz="0" w:space="0" w:color="auto"/>
            <w:left w:val="none" w:sz="0" w:space="0" w:color="auto"/>
            <w:bottom w:val="none" w:sz="0" w:space="0" w:color="auto"/>
            <w:right w:val="none" w:sz="0" w:space="0" w:color="auto"/>
          </w:divBdr>
        </w:div>
        <w:div w:id="1886215964">
          <w:marLeft w:val="0"/>
          <w:marRight w:val="0"/>
          <w:marTop w:val="0"/>
          <w:marBottom w:val="0"/>
          <w:divBdr>
            <w:top w:val="none" w:sz="0" w:space="0" w:color="auto"/>
            <w:left w:val="none" w:sz="0" w:space="0" w:color="auto"/>
            <w:bottom w:val="none" w:sz="0" w:space="0" w:color="auto"/>
            <w:right w:val="none" w:sz="0" w:space="0" w:color="auto"/>
          </w:divBdr>
        </w:div>
      </w:divsChild>
    </w:div>
    <w:div w:id="328364525">
      <w:bodyDiv w:val="1"/>
      <w:marLeft w:val="0"/>
      <w:marRight w:val="0"/>
      <w:marTop w:val="0"/>
      <w:marBottom w:val="0"/>
      <w:divBdr>
        <w:top w:val="none" w:sz="0" w:space="0" w:color="auto"/>
        <w:left w:val="none" w:sz="0" w:space="0" w:color="auto"/>
        <w:bottom w:val="none" w:sz="0" w:space="0" w:color="auto"/>
        <w:right w:val="none" w:sz="0" w:space="0" w:color="auto"/>
      </w:divBdr>
    </w:div>
    <w:div w:id="348412791">
      <w:bodyDiv w:val="1"/>
      <w:marLeft w:val="0"/>
      <w:marRight w:val="0"/>
      <w:marTop w:val="0"/>
      <w:marBottom w:val="0"/>
      <w:divBdr>
        <w:top w:val="none" w:sz="0" w:space="0" w:color="auto"/>
        <w:left w:val="none" w:sz="0" w:space="0" w:color="auto"/>
        <w:bottom w:val="none" w:sz="0" w:space="0" w:color="auto"/>
        <w:right w:val="none" w:sz="0" w:space="0" w:color="auto"/>
      </w:divBdr>
      <w:divsChild>
        <w:div w:id="266810817">
          <w:marLeft w:val="0"/>
          <w:marRight w:val="0"/>
          <w:marTop w:val="0"/>
          <w:marBottom w:val="0"/>
          <w:divBdr>
            <w:top w:val="none" w:sz="0" w:space="0" w:color="auto"/>
            <w:left w:val="none" w:sz="0" w:space="0" w:color="auto"/>
            <w:bottom w:val="none" w:sz="0" w:space="0" w:color="auto"/>
            <w:right w:val="none" w:sz="0" w:space="0" w:color="auto"/>
          </w:divBdr>
        </w:div>
        <w:div w:id="1296524174">
          <w:marLeft w:val="0"/>
          <w:marRight w:val="0"/>
          <w:marTop w:val="0"/>
          <w:marBottom w:val="0"/>
          <w:divBdr>
            <w:top w:val="none" w:sz="0" w:space="0" w:color="auto"/>
            <w:left w:val="none" w:sz="0" w:space="0" w:color="auto"/>
            <w:bottom w:val="none" w:sz="0" w:space="0" w:color="auto"/>
            <w:right w:val="none" w:sz="0" w:space="0" w:color="auto"/>
          </w:divBdr>
        </w:div>
        <w:div w:id="1341083286">
          <w:marLeft w:val="0"/>
          <w:marRight w:val="0"/>
          <w:marTop w:val="0"/>
          <w:marBottom w:val="0"/>
          <w:divBdr>
            <w:top w:val="none" w:sz="0" w:space="0" w:color="auto"/>
            <w:left w:val="none" w:sz="0" w:space="0" w:color="auto"/>
            <w:bottom w:val="none" w:sz="0" w:space="0" w:color="auto"/>
            <w:right w:val="none" w:sz="0" w:space="0" w:color="auto"/>
          </w:divBdr>
        </w:div>
        <w:div w:id="1386951120">
          <w:marLeft w:val="0"/>
          <w:marRight w:val="0"/>
          <w:marTop w:val="0"/>
          <w:marBottom w:val="0"/>
          <w:divBdr>
            <w:top w:val="none" w:sz="0" w:space="0" w:color="auto"/>
            <w:left w:val="none" w:sz="0" w:space="0" w:color="auto"/>
            <w:bottom w:val="none" w:sz="0" w:space="0" w:color="auto"/>
            <w:right w:val="none" w:sz="0" w:space="0" w:color="auto"/>
          </w:divBdr>
        </w:div>
        <w:div w:id="1754278351">
          <w:marLeft w:val="0"/>
          <w:marRight w:val="0"/>
          <w:marTop w:val="0"/>
          <w:marBottom w:val="0"/>
          <w:divBdr>
            <w:top w:val="none" w:sz="0" w:space="0" w:color="auto"/>
            <w:left w:val="none" w:sz="0" w:space="0" w:color="auto"/>
            <w:bottom w:val="none" w:sz="0" w:space="0" w:color="auto"/>
            <w:right w:val="none" w:sz="0" w:space="0" w:color="auto"/>
          </w:divBdr>
        </w:div>
      </w:divsChild>
    </w:div>
    <w:div w:id="400757101">
      <w:bodyDiv w:val="1"/>
      <w:marLeft w:val="0"/>
      <w:marRight w:val="0"/>
      <w:marTop w:val="0"/>
      <w:marBottom w:val="0"/>
      <w:divBdr>
        <w:top w:val="none" w:sz="0" w:space="0" w:color="auto"/>
        <w:left w:val="none" w:sz="0" w:space="0" w:color="auto"/>
        <w:bottom w:val="none" w:sz="0" w:space="0" w:color="auto"/>
        <w:right w:val="none" w:sz="0" w:space="0" w:color="auto"/>
      </w:divBdr>
    </w:div>
    <w:div w:id="404575428">
      <w:bodyDiv w:val="1"/>
      <w:marLeft w:val="0"/>
      <w:marRight w:val="0"/>
      <w:marTop w:val="0"/>
      <w:marBottom w:val="0"/>
      <w:divBdr>
        <w:top w:val="none" w:sz="0" w:space="0" w:color="auto"/>
        <w:left w:val="none" w:sz="0" w:space="0" w:color="auto"/>
        <w:bottom w:val="none" w:sz="0" w:space="0" w:color="auto"/>
        <w:right w:val="none" w:sz="0" w:space="0" w:color="auto"/>
      </w:divBdr>
      <w:divsChild>
        <w:div w:id="923033317">
          <w:marLeft w:val="0"/>
          <w:marRight w:val="0"/>
          <w:marTop w:val="0"/>
          <w:marBottom w:val="0"/>
          <w:divBdr>
            <w:top w:val="single" w:sz="2" w:space="0" w:color="2E2E2E"/>
            <w:left w:val="single" w:sz="2" w:space="0" w:color="2E2E2E"/>
            <w:bottom w:val="single" w:sz="2" w:space="0" w:color="2E2E2E"/>
            <w:right w:val="single" w:sz="2" w:space="0" w:color="2E2E2E"/>
          </w:divBdr>
          <w:divsChild>
            <w:div w:id="875042809">
              <w:marLeft w:val="0"/>
              <w:marRight w:val="0"/>
              <w:marTop w:val="0"/>
              <w:marBottom w:val="0"/>
              <w:divBdr>
                <w:top w:val="single" w:sz="6" w:space="0" w:color="C9C9C9"/>
                <w:left w:val="none" w:sz="0" w:space="0" w:color="auto"/>
                <w:bottom w:val="none" w:sz="0" w:space="0" w:color="auto"/>
                <w:right w:val="none" w:sz="0" w:space="0" w:color="auto"/>
              </w:divBdr>
              <w:divsChild>
                <w:div w:id="1324816097">
                  <w:marLeft w:val="0"/>
                  <w:marRight w:val="0"/>
                  <w:marTop w:val="0"/>
                  <w:marBottom w:val="0"/>
                  <w:divBdr>
                    <w:top w:val="none" w:sz="0" w:space="0" w:color="auto"/>
                    <w:left w:val="none" w:sz="0" w:space="0" w:color="auto"/>
                    <w:bottom w:val="none" w:sz="0" w:space="0" w:color="auto"/>
                    <w:right w:val="none" w:sz="0" w:space="0" w:color="auto"/>
                  </w:divBdr>
                  <w:divsChild>
                    <w:div w:id="1202014212">
                      <w:marLeft w:val="0"/>
                      <w:marRight w:val="0"/>
                      <w:marTop w:val="0"/>
                      <w:marBottom w:val="0"/>
                      <w:divBdr>
                        <w:top w:val="none" w:sz="0" w:space="0" w:color="auto"/>
                        <w:left w:val="none" w:sz="0" w:space="0" w:color="auto"/>
                        <w:bottom w:val="none" w:sz="0" w:space="0" w:color="auto"/>
                        <w:right w:val="none" w:sz="0" w:space="0" w:color="auto"/>
                      </w:divBdr>
                      <w:divsChild>
                        <w:div w:id="13455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425556">
      <w:bodyDiv w:val="1"/>
      <w:marLeft w:val="0"/>
      <w:marRight w:val="0"/>
      <w:marTop w:val="0"/>
      <w:marBottom w:val="0"/>
      <w:divBdr>
        <w:top w:val="none" w:sz="0" w:space="0" w:color="auto"/>
        <w:left w:val="none" w:sz="0" w:space="0" w:color="auto"/>
        <w:bottom w:val="none" w:sz="0" w:space="0" w:color="auto"/>
        <w:right w:val="none" w:sz="0" w:space="0" w:color="auto"/>
      </w:divBdr>
    </w:div>
    <w:div w:id="528682148">
      <w:bodyDiv w:val="1"/>
      <w:marLeft w:val="0"/>
      <w:marRight w:val="0"/>
      <w:marTop w:val="0"/>
      <w:marBottom w:val="0"/>
      <w:divBdr>
        <w:top w:val="none" w:sz="0" w:space="0" w:color="auto"/>
        <w:left w:val="none" w:sz="0" w:space="0" w:color="auto"/>
        <w:bottom w:val="none" w:sz="0" w:space="0" w:color="auto"/>
        <w:right w:val="none" w:sz="0" w:space="0" w:color="auto"/>
      </w:divBdr>
    </w:div>
    <w:div w:id="535122132">
      <w:bodyDiv w:val="1"/>
      <w:marLeft w:val="0"/>
      <w:marRight w:val="0"/>
      <w:marTop w:val="0"/>
      <w:marBottom w:val="0"/>
      <w:divBdr>
        <w:top w:val="none" w:sz="0" w:space="0" w:color="auto"/>
        <w:left w:val="none" w:sz="0" w:space="0" w:color="auto"/>
        <w:bottom w:val="none" w:sz="0" w:space="0" w:color="auto"/>
        <w:right w:val="none" w:sz="0" w:space="0" w:color="auto"/>
      </w:divBdr>
    </w:div>
    <w:div w:id="551158765">
      <w:bodyDiv w:val="1"/>
      <w:marLeft w:val="0"/>
      <w:marRight w:val="0"/>
      <w:marTop w:val="0"/>
      <w:marBottom w:val="0"/>
      <w:divBdr>
        <w:top w:val="none" w:sz="0" w:space="0" w:color="auto"/>
        <w:left w:val="none" w:sz="0" w:space="0" w:color="auto"/>
        <w:bottom w:val="none" w:sz="0" w:space="0" w:color="auto"/>
        <w:right w:val="none" w:sz="0" w:space="0" w:color="auto"/>
      </w:divBdr>
    </w:div>
    <w:div w:id="594024265">
      <w:bodyDiv w:val="1"/>
      <w:marLeft w:val="0"/>
      <w:marRight w:val="0"/>
      <w:marTop w:val="0"/>
      <w:marBottom w:val="0"/>
      <w:divBdr>
        <w:top w:val="none" w:sz="0" w:space="0" w:color="auto"/>
        <w:left w:val="none" w:sz="0" w:space="0" w:color="auto"/>
        <w:bottom w:val="none" w:sz="0" w:space="0" w:color="auto"/>
        <w:right w:val="none" w:sz="0" w:space="0" w:color="auto"/>
      </w:divBdr>
    </w:div>
    <w:div w:id="686054081">
      <w:bodyDiv w:val="1"/>
      <w:marLeft w:val="0"/>
      <w:marRight w:val="0"/>
      <w:marTop w:val="0"/>
      <w:marBottom w:val="0"/>
      <w:divBdr>
        <w:top w:val="none" w:sz="0" w:space="0" w:color="auto"/>
        <w:left w:val="none" w:sz="0" w:space="0" w:color="auto"/>
        <w:bottom w:val="none" w:sz="0" w:space="0" w:color="auto"/>
        <w:right w:val="none" w:sz="0" w:space="0" w:color="auto"/>
      </w:divBdr>
      <w:divsChild>
        <w:div w:id="82149313">
          <w:marLeft w:val="0"/>
          <w:marRight w:val="0"/>
          <w:marTop w:val="0"/>
          <w:marBottom w:val="0"/>
          <w:divBdr>
            <w:top w:val="none" w:sz="0" w:space="0" w:color="auto"/>
            <w:left w:val="none" w:sz="0" w:space="0" w:color="auto"/>
            <w:bottom w:val="none" w:sz="0" w:space="0" w:color="auto"/>
            <w:right w:val="none" w:sz="0" w:space="0" w:color="auto"/>
          </w:divBdr>
        </w:div>
        <w:div w:id="131141602">
          <w:marLeft w:val="0"/>
          <w:marRight w:val="0"/>
          <w:marTop w:val="0"/>
          <w:marBottom w:val="0"/>
          <w:divBdr>
            <w:top w:val="none" w:sz="0" w:space="0" w:color="auto"/>
            <w:left w:val="none" w:sz="0" w:space="0" w:color="auto"/>
            <w:bottom w:val="none" w:sz="0" w:space="0" w:color="auto"/>
            <w:right w:val="none" w:sz="0" w:space="0" w:color="auto"/>
          </w:divBdr>
        </w:div>
        <w:div w:id="246042843">
          <w:marLeft w:val="0"/>
          <w:marRight w:val="0"/>
          <w:marTop w:val="0"/>
          <w:marBottom w:val="0"/>
          <w:divBdr>
            <w:top w:val="none" w:sz="0" w:space="0" w:color="auto"/>
            <w:left w:val="none" w:sz="0" w:space="0" w:color="auto"/>
            <w:bottom w:val="none" w:sz="0" w:space="0" w:color="auto"/>
            <w:right w:val="none" w:sz="0" w:space="0" w:color="auto"/>
          </w:divBdr>
        </w:div>
        <w:div w:id="931620315">
          <w:marLeft w:val="0"/>
          <w:marRight w:val="0"/>
          <w:marTop w:val="0"/>
          <w:marBottom w:val="0"/>
          <w:divBdr>
            <w:top w:val="none" w:sz="0" w:space="0" w:color="auto"/>
            <w:left w:val="none" w:sz="0" w:space="0" w:color="auto"/>
            <w:bottom w:val="none" w:sz="0" w:space="0" w:color="auto"/>
            <w:right w:val="none" w:sz="0" w:space="0" w:color="auto"/>
          </w:divBdr>
        </w:div>
        <w:div w:id="990986568">
          <w:marLeft w:val="0"/>
          <w:marRight w:val="0"/>
          <w:marTop w:val="0"/>
          <w:marBottom w:val="0"/>
          <w:divBdr>
            <w:top w:val="none" w:sz="0" w:space="0" w:color="auto"/>
            <w:left w:val="none" w:sz="0" w:space="0" w:color="auto"/>
            <w:bottom w:val="none" w:sz="0" w:space="0" w:color="auto"/>
            <w:right w:val="none" w:sz="0" w:space="0" w:color="auto"/>
          </w:divBdr>
        </w:div>
        <w:div w:id="1084033125">
          <w:marLeft w:val="0"/>
          <w:marRight w:val="0"/>
          <w:marTop w:val="0"/>
          <w:marBottom w:val="0"/>
          <w:divBdr>
            <w:top w:val="none" w:sz="0" w:space="0" w:color="auto"/>
            <w:left w:val="none" w:sz="0" w:space="0" w:color="auto"/>
            <w:bottom w:val="none" w:sz="0" w:space="0" w:color="auto"/>
            <w:right w:val="none" w:sz="0" w:space="0" w:color="auto"/>
          </w:divBdr>
        </w:div>
        <w:div w:id="1339649107">
          <w:marLeft w:val="0"/>
          <w:marRight w:val="0"/>
          <w:marTop w:val="0"/>
          <w:marBottom w:val="0"/>
          <w:divBdr>
            <w:top w:val="none" w:sz="0" w:space="0" w:color="auto"/>
            <w:left w:val="none" w:sz="0" w:space="0" w:color="auto"/>
            <w:bottom w:val="none" w:sz="0" w:space="0" w:color="auto"/>
            <w:right w:val="none" w:sz="0" w:space="0" w:color="auto"/>
          </w:divBdr>
        </w:div>
        <w:div w:id="1500660567">
          <w:marLeft w:val="0"/>
          <w:marRight w:val="0"/>
          <w:marTop w:val="0"/>
          <w:marBottom w:val="0"/>
          <w:divBdr>
            <w:top w:val="none" w:sz="0" w:space="0" w:color="auto"/>
            <w:left w:val="none" w:sz="0" w:space="0" w:color="auto"/>
            <w:bottom w:val="none" w:sz="0" w:space="0" w:color="auto"/>
            <w:right w:val="none" w:sz="0" w:space="0" w:color="auto"/>
          </w:divBdr>
        </w:div>
        <w:div w:id="1697073644">
          <w:marLeft w:val="0"/>
          <w:marRight w:val="0"/>
          <w:marTop w:val="0"/>
          <w:marBottom w:val="0"/>
          <w:divBdr>
            <w:top w:val="none" w:sz="0" w:space="0" w:color="auto"/>
            <w:left w:val="none" w:sz="0" w:space="0" w:color="auto"/>
            <w:bottom w:val="none" w:sz="0" w:space="0" w:color="auto"/>
            <w:right w:val="none" w:sz="0" w:space="0" w:color="auto"/>
          </w:divBdr>
        </w:div>
        <w:div w:id="1983000347">
          <w:marLeft w:val="0"/>
          <w:marRight w:val="0"/>
          <w:marTop w:val="0"/>
          <w:marBottom w:val="0"/>
          <w:divBdr>
            <w:top w:val="none" w:sz="0" w:space="0" w:color="auto"/>
            <w:left w:val="none" w:sz="0" w:space="0" w:color="auto"/>
            <w:bottom w:val="none" w:sz="0" w:space="0" w:color="auto"/>
            <w:right w:val="none" w:sz="0" w:space="0" w:color="auto"/>
          </w:divBdr>
        </w:div>
        <w:div w:id="2085058036">
          <w:marLeft w:val="0"/>
          <w:marRight w:val="0"/>
          <w:marTop w:val="0"/>
          <w:marBottom w:val="0"/>
          <w:divBdr>
            <w:top w:val="none" w:sz="0" w:space="0" w:color="auto"/>
            <w:left w:val="none" w:sz="0" w:space="0" w:color="auto"/>
            <w:bottom w:val="none" w:sz="0" w:space="0" w:color="auto"/>
            <w:right w:val="none" w:sz="0" w:space="0" w:color="auto"/>
          </w:divBdr>
        </w:div>
      </w:divsChild>
    </w:div>
    <w:div w:id="729884586">
      <w:bodyDiv w:val="1"/>
      <w:marLeft w:val="0"/>
      <w:marRight w:val="0"/>
      <w:marTop w:val="0"/>
      <w:marBottom w:val="0"/>
      <w:divBdr>
        <w:top w:val="none" w:sz="0" w:space="0" w:color="auto"/>
        <w:left w:val="none" w:sz="0" w:space="0" w:color="auto"/>
        <w:bottom w:val="none" w:sz="0" w:space="0" w:color="auto"/>
        <w:right w:val="none" w:sz="0" w:space="0" w:color="auto"/>
      </w:divBdr>
    </w:div>
    <w:div w:id="801658619">
      <w:bodyDiv w:val="1"/>
      <w:marLeft w:val="0"/>
      <w:marRight w:val="0"/>
      <w:marTop w:val="0"/>
      <w:marBottom w:val="0"/>
      <w:divBdr>
        <w:top w:val="none" w:sz="0" w:space="0" w:color="auto"/>
        <w:left w:val="none" w:sz="0" w:space="0" w:color="auto"/>
        <w:bottom w:val="none" w:sz="0" w:space="0" w:color="auto"/>
        <w:right w:val="none" w:sz="0" w:space="0" w:color="auto"/>
      </w:divBdr>
    </w:div>
    <w:div w:id="832528413">
      <w:bodyDiv w:val="1"/>
      <w:marLeft w:val="0"/>
      <w:marRight w:val="0"/>
      <w:marTop w:val="0"/>
      <w:marBottom w:val="0"/>
      <w:divBdr>
        <w:top w:val="none" w:sz="0" w:space="0" w:color="auto"/>
        <w:left w:val="none" w:sz="0" w:space="0" w:color="auto"/>
        <w:bottom w:val="none" w:sz="0" w:space="0" w:color="auto"/>
        <w:right w:val="none" w:sz="0" w:space="0" w:color="auto"/>
      </w:divBdr>
      <w:divsChild>
        <w:div w:id="9307149">
          <w:marLeft w:val="0"/>
          <w:marRight w:val="0"/>
          <w:marTop w:val="0"/>
          <w:marBottom w:val="104"/>
          <w:divBdr>
            <w:top w:val="none" w:sz="0" w:space="0" w:color="auto"/>
            <w:left w:val="none" w:sz="0" w:space="0" w:color="auto"/>
            <w:bottom w:val="single" w:sz="8" w:space="7" w:color="EBEBEB"/>
            <w:right w:val="none" w:sz="0" w:space="0" w:color="auto"/>
          </w:divBdr>
          <w:divsChild>
            <w:div w:id="638535274">
              <w:marLeft w:val="0"/>
              <w:marRight w:val="0"/>
              <w:marTop w:val="0"/>
              <w:marBottom w:val="0"/>
              <w:divBdr>
                <w:top w:val="none" w:sz="0" w:space="0" w:color="auto"/>
                <w:left w:val="none" w:sz="0" w:space="0" w:color="auto"/>
                <w:bottom w:val="none" w:sz="0" w:space="0" w:color="auto"/>
                <w:right w:val="none" w:sz="0" w:space="0" w:color="auto"/>
              </w:divBdr>
            </w:div>
          </w:divsChild>
        </w:div>
        <w:div w:id="1006785620">
          <w:marLeft w:val="0"/>
          <w:marRight w:val="0"/>
          <w:marTop w:val="0"/>
          <w:marBottom w:val="92"/>
          <w:divBdr>
            <w:top w:val="none" w:sz="0" w:space="0" w:color="auto"/>
            <w:left w:val="none" w:sz="0" w:space="0" w:color="auto"/>
            <w:bottom w:val="none" w:sz="0" w:space="0" w:color="auto"/>
            <w:right w:val="none" w:sz="0" w:space="0" w:color="auto"/>
          </w:divBdr>
          <w:divsChild>
            <w:div w:id="325937294">
              <w:marLeft w:val="0"/>
              <w:marRight w:val="0"/>
              <w:marTop w:val="0"/>
              <w:marBottom w:val="0"/>
              <w:divBdr>
                <w:top w:val="none" w:sz="0" w:space="0" w:color="auto"/>
                <w:left w:val="none" w:sz="0" w:space="0" w:color="auto"/>
                <w:bottom w:val="none" w:sz="0" w:space="0" w:color="auto"/>
                <w:right w:val="none" w:sz="0" w:space="0" w:color="auto"/>
              </w:divBdr>
              <w:divsChild>
                <w:div w:id="1324697882">
                  <w:marLeft w:val="0"/>
                  <w:marRight w:val="0"/>
                  <w:marTop w:val="0"/>
                  <w:marBottom w:val="0"/>
                  <w:divBdr>
                    <w:top w:val="none" w:sz="0" w:space="0" w:color="auto"/>
                    <w:left w:val="none" w:sz="0" w:space="0" w:color="auto"/>
                    <w:bottom w:val="none" w:sz="0" w:space="0" w:color="auto"/>
                    <w:right w:val="none" w:sz="0" w:space="0" w:color="auto"/>
                  </w:divBdr>
                  <w:divsChild>
                    <w:div w:id="21029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00430">
      <w:bodyDiv w:val="1"/>
      <w:marLeft w:val="0"/>
      <w:marRight w:val="0"/>
      <w:marTop w:val="0"/>
      <w:marBottom w:val="0"/>
      <w:divBdr>
        <w:top w:val="none" w:sz="0" w:space="0" w:color="auto"/>
        <w:left w:val="none" w:sz="0" w:space="0" w:color="auto"/>
        <w:bottom w:val="none" w:sz="0" w:space="0" w:color="auto"/>
        <w:right w:val="none" w:sz="0" w:space="0" w:color="auto"/>
      </w:divBdr>
      <w:divsChild>
        <w:div w:id="493491948">
          <w:marLeft w:val="0"/>
          <w:marRight w:val="0"/>
          <w:marTop w:val="0"/>
          <w:marBottom w:val="0"/>
          <w:divBdr>
            <w:top w:val="none" w:sz="0" w:space="0" w:color="auto"/>
            <w:left w:val="none" w:sz="0" w:space="0" w:color="auto"/>
            <w:bottom w:val="none" w:sz="0" w:space="0" w:color="auto"/>
            <w:right w:val="none" w:sz="0" w:space="0" w:color="auto"/>
          </w:divBdr>
        </w:div>
        <w:div w:id="2026638151">
          <w:marLeft w:val="0"/>
          <w:marRight w:val="0"/>
          <w:marTop w:val="0"/>
          <w:marBottom w:val="0"/>
          <w:divBdr>
            <w:top w:val="none" w:sz="0" w:space="0" w:color="auto"/>
            <w:left w:val="none" w:sz="0" w:space="0" w:color="auto"/>
            <w:bottom w:val="none" w:sz="0" w:space="0" w:color="auto"/>
            <w:right w:val="none" w:sz="0" w:space="0" w:color="auto"/>
          </w:divBdr>
        </w:div>
      </w:divsChild>
    </w:div>
    <w:div w:id="861481307">
      <w:bodyDiv w:val="1"/>
      <w:marLeft w:val="0"/>
      <w:marRight w:val="0"/>
      <w:marTop w:val="0"/>
      <w:marBottom w:val="0"/>
      <w:divBdr>
        <w:top w:val="none" w:sz="0" w:space="0" w:color="auto"/>
        <w:left w:val="none" w:sz="0" w:space="0" w:color="auto"/>
        <w:bottom w:val="none" w:sz="0" w:space="0" w:color="auto"/>
        <w:right w:val="none" w:sz="0" w:space="0" w:color="auto"/>
      </w:divBdr>
    </w:div>
    <w:div w:id="871842071">
      <w:bodyDiv w:val="1"/>
      <w:marLeft w:val="0"/>
      <w:marRight w:val="0"/>
      <w:marTop w:val="0"/>
      <w:marBottom w:val="0"/>
      <w:divBdr>
        <w:top w:val="none" w:sz="0" w:space="0" w:color="auto"/>
        <w:left w:val="none" w:sz="0" w:space="0" w:color="auto"/>
        <w:bottom w:val="none" w:sz="0" w:space="0" w:color="auto"/>
        <w:right w:val="none" w:sz="0" w:space="0" w:color="auto"/>
      </w:divBdr>
    </w:div>
    <w:div w:id="888956228">
      <w:bodyDiv w:val="1"/>
      <w:marLeft w:val="0"/>
      <w:marRight w:val="0"/>
      <w:marTop w:val="0"/>
      <w:marBottom w:val="0"/>
      <w:divBdr>
        <w:top w:val="none" w:sz="0" w:space="0" w:color="auto"/>
        <w:left w:val="none" w:sz="0" w:space="0" w:color="auto"/>
        <w:bottom w:val="none" w:sz="0" w:space="0" w:color="auto"/>
        <w:right w:val="none" w:sz="0" w:space="0" w:color="auto"/>
      </w:divBdr>
      <w:divsChild>
        <w:div w:id="1944877840">
          <w:marLeft w:val="907"/>
          <w:marRight w:val="0"/>
          <w:marTop w:val="144"/>
          <w:marBottom w:val="0"/>
          <w:divBdr>
            <w:top w:val="none" w:sz="0" w:space="0" w:color="auto"/>
            <w:left w:val="none" w:sz="0" w:space="0" w:color="auto"/>
            <w:bottom w:val="none" w:sz="0" w:space="0" w:color="auto"/>
            <w:right w:val="none" w:sz="0" w:space="0" w:color="auto"/>
          </w:divBdr>
        </w:div>
      </w:divsChild>
    </w:div>
    <w:div w:id="894701255">
      <w:bodyDiv w:val="1"/>
      <w:marLeft w:val="0"/>
      <w:marRight w:val="0"/>
      <w:marTop w:val="0"/>
      <w:marBottom w:val="0"/>
      <w:divBdr>
        <w:top w:val="none" w:sz="0" w:space="0" w:color="auto"/>
        <w:left w:val="none" w:sz="0" w:space="0" w:color="auto"/>
        <w:bottom w:val="none" w:sz="0" w:space="0" w:color="auto"/>
        <w:right w:val="none" w:sz="0" w:space="0" w:color="auto"/>
      </w:divBdr>
    </w:div>
    <w:div w:id="924801624">
      <w:bodyDiv w:val="1"/>
      <w:marLeft w:val="0"/>
      <w:marRight w:val="0"/>
      <w:marTop w:val="0"/>
      <w:marBottom w:val="0"/>
      <w:divBdr>
        <w:top w:val="none" w:sz="0" w:space="0" w:color="auto"/>
        <w:left w:val="none" w:sz="0" w:space="0" w:color="auto"/>
        <w:bottom w:val="none" w:sz="0" w:space="0" w:color="auto"/>
        <w:right w:val="none" w:sz="0" w:space="0" w:color="auto"/>
      </w:divBdr>
    </w:div>
    <w:div w:id="975842772">
      <w:bodyDiv w:val="1"/>
      <w:marLeft w:val="0"/>
      <w:marRight w:val="0"/>
      <w:marTop w:val="0"/>
      <w:marBottom w:val="0"/>
      <w:divBdr>
        <w:top w:val="none" w:sz="0" w:space="0" w:color="auto"/>
        <w:left w:val="none" w:sz="0" w:space="0" w:color="auto"/>
        <w:bottom w:val="none" w:sz="0" w:space="0" w:color="auto"/>
        <w:right w:val="none" w:sz="0" w:space="0" w:color="auto"/>
      </w:divBdr>
      <w:divsChild>
        <w:div w:id="470296247">
          <w:marLeft w:val="0"/>
          <w:marRight w:val="0"/>
          <w:marTop w:val="0"/>
          <w:marBottom w:val="0"/>
          <w:divBdr>
            <w:top w:val="none" w:sz="0" w:space="0" w:color="auto"/>
            <w:left w:val="none" w:sz="0" w:space="0" w:color="auto"/>
            <w:bottom w:val="none" w:sz="0" w:space="0" w:color="auto"/>
            <w:right w:val="none" w:sz="0" w:space="0" w:color="auto"/>
          </w:divBdr>
        </w:div>
        <w:div w:id="1230071144">
          <w:marLeft w:val="0"/>
          <w:marRight w:val="0"/>
          <w:marTop w:val="0"/>
          <w:marBottom w:val="0"/>
          <w:divBdr>
            <w:top w:val="none" w:sz="0" w:space="0" w:color="auto"/>
            <w:left w:val="none" w:sz="0" w:space="0" w:color="auto"/>
            <w:bottom w:val="none" w:sz="0" w:space="0" w:color="auto"/>
            <w:right w:val="none" w:sz="0" w:space="0" w:color="auto"/>
          </w:divBdr>
        </w:div>
        <w:div w:id="1280574744">
          <w:marLeft w:val="0"/>
          <w:marRight w:val="0"/>
          <w:marTop w:val="0"/>
          <w:marBottom w:val="0"/>
          <w:divBdr>
            <w:top w:val="none" w:sz="0" w:space="0" w:color="auto"/>
            <w:left w:val="none" w:sz="0" w:space="0" w:color="auto"/>
            <w:bottom w:val="none" w:sz="0" w:space="0" w:color="auto"/>
            <w:right w:val="none" w:sz="0" w:space="0" w:color="auto"/>
          </w:divBdr>
        </w:div>
        <w:div w:id="1584219883">
          <w:marLeft w:val="0"/>
          <w:marRight w:val="0"/>
          <w:marTop w:val="0"/>
          <w:marBottom w:val="0"/>
          <w:divBdr>
            <w:top w:val="none" w:sz="0" w:space="0" w:color="auto"/>
            <w:left w:val="none" w:sz="0" w:space="0" w:color="auto"/>
            <w:bottom w:val="none" w:sz="0" w:space="0" w:color="auto"/>
            <w:right w:val="none" w:sz="0" w:space="0" w:color="auto"/>
          </w:divBdr>
        </w:div>
        <w:div w:id="1684017249">
          <w:marLeft w:val="0"/>
          <w:marRight w:val="0"/>
          <w:marTop w:val="0"/>
          <w:marBottom w:val="0"/>
          <w:divBdr>
            <w:top w:val="none" w:sz="0" w:space="0" w:color="auto"/>
            <w:left w:val="none" w:sz="0" w:space="0" w:color="auto"/>
            <w:bottom w:val="none" w:sz="0" w:space="0" w:color="auto"/>
            <w:right w:val="none" w:sz="0" w:space="0" w:color="auto"/>
          </w:divBdr>
        </w:div>
        <w:div w:id="1944066255">
          <w:marLeft w:val="0"/>
          <w:marRight w:val="0"/>
          <w:marTop w:val="0"/>
          <w:marBottom w:val="0"/>
          <w:divBdr>
            <w:top w:val="none" w:sz="0" w:space="0" w:color="auto"/>
            <w:left w:val="none" w:sz="0" w:space="0" w:color="auto"/>
            <w:bottom w:val="none" w:sz="0" w:space="0" w:color="auto"/>
            <w:right w:val="none" w:sz="0" w:space="0" w:color="auto"/>
          </w:divBdr>
        </w:div>
      </w:divsChild>
    </w:div>
    <w:div w:id="1015882064">
      <w:bodyDiv w:val="1"/>
      <w:marLeft w:val="0"/>
      <w:marRight w:val="0"/>
      <w:marTop w:val="0"/>
      <w:marBottom w:val="0"/>
      <w:divBdr>
        <w:top w:val="none" w:sz="0" w:space="0" w:color="auto"/>
        <w:left w:val="none" w:sz="0" w:space="0" w:color="auto"/>
        <w:bottom w:val="none" w:sz="0" w:space="0" w:color="auto"/>
        <w:right w:val="none" w:sz="0" w:space="0" w:color="auto"/>
      </w:divBdr>
    </w:div>
    <w:div w:id="1058288486">
      <w:bodyDiv w:val="1"/>
      <w:marLeft w:val="0"/>
      <w:marRight w:val="0"/>
      <w:marTop w:val="0"/>
      <w:marBottom w:val="0"/>
      <w:divBdr>
        <w:top w:val="none" w:sz="0" w:space="0" w:color="auto"/>
        <w:left w:val="none" w:sz="0" w:space="0" w:color="auto"/>
        <w:bottom w:val="none" w:sz="0" w:space="0" w:color="auto"/>
        <w:right w:val="none" w:sz="0" w:space="0" w:color="auto"/>
      </w:divBdr>
    </w:div>
    <w:div w:id="1071003051">
      <w:bodyDiv w:val="1"/>
      <w:marLeft w:val="0"/>
      <w:marRight w:val="0"/>
      <w:marTop w:val="0"/>
      <w:marBottom w:val="0"/>
      <w:divBdr>
        <w:top w:val="none" w:sz="0" w:space="0" w:color="auto"/>
        <w:left w:val="none" w:sz="0" w:space="0" w:color="auto"/>
        <w:bottom w:val="none" w:sz="0" w:space="0" w:color="auto"/>
        <w:right w:val="none" w:sz="0" w:space="0" w:color="auto"/>
      </w:divBdr>
    </w:div>
    <w:div w:id="1180704389">
      <w:bodyDiv w:val="1"/>
      <w:marLeft w:val="0"/>
      <w:marRight w:val="0"/>
      <w:marTop w:val="0"/>
      <w:marBottom w:val="0"/>
      <w:divBdr>
        <w:top w:val="none" w:sz="0" w:space="0" w:color="auto"/>
        <w:left w:val="none" w:sz="0" w:space="0" w:color="auto"/>
        <w:bottom w:val="none" w:sz="0" w:space="0" w:color="auto"/>
        <w:right w:val="none" w:sz="0" w:space="0" w:color="auto"/>
      </w:divBdr>
    </w:div>
    <w:div w:id="1264261291">
      <w:bodyDiv w:val="1"/>
      <w:marLeft w:val="0"/>
      <w:marRight w:val="0"/>
      <w:marTop w:val="0"/>
      <w:marBottom w:val="0"/>
      <w:divBdr>
        <w:top w:val="none" w:sz="0" w:space="0" w:color="auto"/>
        <w:left w:val="none" w:sz="0" w:space="0" w:color="auto"/>
        <w:bottom w:val="none" w:sz="0" w:space="0" w:color="auto"/>
        <w:right w:val="none" w:sz="0" w:space="0" w:color="auto"/>
      </w:divBdr>
    </w:div>
    <w:div w:id="1271619364">
      <w:bodyDiv w:val="1"/>
      <w:marLeft w:val="0"/>
      <w:marRight w:val="0"/>
      <w:marTop w:val="0"/>
      <w:marBottom w:val="0"/>
      <w:divBdr>
        <w:top w:val="none" w:sz="0" w:space="0" w:color="auto"/>
        <w:left w:val="none" w:sz="0" w:space="0" w:color="auto"/>
        <w:bottom w:val="none" w:sz="0" w:space="0" w:color="auto"/>
        <w:right w:val="none" w:sz="0" w:space="0" w:color="auto"/>
      </w:divBdr>
    </w:div>
    <w:div w:id="1342001821">
      <w:bodyDiv w:val="1"/>
      <w:marLeft w:val="0"/>
      <w:marRight w:val="0"/>
      <w:marTop w:val="0"/>
      <w:marBottom w:val="0"/>
      <w:divBdr>
        <w:top w:val="none" w:sz="0" w:space="0" w:color="auto"/>
        <w:left w:val="none" w:sz="0" w:space="0" w:color="auto"/>
        <w:bottom w:val="none" w:sz="0" w:space="0" w:color="auto"/>
        <w:right w:val="none" w:sz="0" w:space="0" w:color="auto"/>
      </w:divBdr>
    </w:div>
    <w:div w:id="1371220617">
      <w:bodyDiv w:val="1"/>
      <w:marLeft w:val="0"/>
      <w:marRight w:val="0"/>
      <w:marTop w:val="0"/>
      <w:marBottom w:val="0"/>
      <w:divBdr>
        <w:top w:val="none" w:sz="0" w:space="0" w:color="auto"/>
        <w:left w:val="none" w:sz="0" w:space="0" w:color="auto"/>
        <w:bottom w:val="none" w:sz="0" w:space="0" w:color="auto"/>
        <w:right w:val="none" w:sz="0" w:space="0" w:color="auto"/>
      </w:divBdr>
    </w:div>
    <w:div w:id="1406033319">
      <w:bodyDiv w:val="1"/>
      <w:marLeft w:val="0"/>
      <w:marRight w:val="0"/>
      <w:marTop w:val="0"/>
      <w:marBottom w:val="0"/>
      <w:divBdr>
        <w:top w:val="none" w:sz="0" w:space="0" w:color="auto"/>
        <w:left w:val="none" w:sz="0" w:space="0" w:color="auto"/>
        <w:bottom w:val="none" w:sz="0" w:space="0" w:color="auto"/>
        <w:right w:val="none" w:sz="0" w:space="0" w:color="auto"/>
      </w:divBdr>
    </w:div>
    <w:div w:id="1422410031">
      <w:bodyDiv w:val="1"/>
      <w:marLeft w:val="0"/>
      <w:marRight w:val="0"/>
      <w:marTop w:val="0"/>
      <w:marBottom w:val="0"/>
      <w:divBdr>
        <w:top w:val="none" w:sz="0" w:space="0" w:color="auto"/>
        <w:left w:val="none" w:sz="0" w:space="0" w:color="auto"/>
        <w:bottom w:val="none" w:sz="0" w:space="0" w:color="auto"/>
        <w:right w:val="none" w:sz="0" w:space="0" w:color="auto"/>
      </w:divBdr>
      <w:divsChild>
        <w:div w:id="15498882">
          <w:marLeft w:val="0"/>
          <w:marRight w:val="0"/>
          <w:marTop w:val="0"/>
          <w:marBottom w:val="0"/>
          <w:divBdr>
            <w:top w:val="none" w:sz="0" w:space="0" w:color="auto"/>
            <w:left w:val="none" w:sz="0" w:space="0" w:color="auto"/>
            <w:bottom w:val="none" w:sz="0" w:space="0" w:color="auto"/>
            <w:right w:val="none" w:sz="0" w:space="0" w:color="auto"/>
          </w:divBdr>
        </w:div>
        <w:div w:id="146750501">
          <w:marLeft w:val="0"/>
          <w:marRight w:val="0"/>
          <w:marTop w:val="0"/>
          <w:marBottom w:val="0"/>
          <w:divBdr>
            <w:top w:val="none" w:sz="0" w:space="0" w:color="auto"/>
            <w:left w:val="none" w:sz="0" w:space="0" w:color="auto"/>
            <w:bottom w:val="none" w:sz="0" w:space="0" w:color="auto"/>
            <w:right w:val="none" w:sz="0" w:space="0" w:color="auto"/>
          </w:divBdr>
        </w:div>
        <w:div w:id="374158036">
          <w:marLeft w:val="0"/>
          <w:marRight w:val="0"/>
          <w:marTop w:val="0"/>
          <w:marBottom w:val="0"/>
          <w:divBdr>
            <w:top w:val="none" w:sz="0" w:space="0" w:color="auto"/>
            <w:left w:val="none" w:sz="0" w:space="0" w:color="auto"/>
            <w:bottom w:val="none" w:sz="0" w:space="0" w:color="auto"/>
            <w:right w:val="none" w:sz="0" w:space="0" w:color="auto"/>
          </w:divBdr>
        </w:div>
        <w:div w:id="879171535">
          <w:marLeft w:val="0"/>
          <w:marRight w:val="0"/>
          <w:marTop w:val="0"/>
          <w:marBottom w:val="0"/>
          <w:divBdr>
            <w:top w:val="none" w:sz="0" w:space="0" w:color="auto"/>
            <w:left w:val="none" w:sz="0" w:space="0" w:color="auto"/>
            <w:bottom w:val="none" w:sz="0" w:space="0" w:color="auto"/>
            <w:right w:val="none" w:sz="0" w:space="0" w:color="auto"/>
          </w:divBdr>
        </w:div>
        <w:div w:id="2085564697">
          <w:marLeft w:val="0"/>
          <w:marRight w:val="0"/>
          <w:marTop w:val="0"/>
          <w:marBottom w:val="0"/>
          <w:divBdr>
            <w:top w:val="none" w:sz="0" w:space="0" w:color="auto"/>
            <w:left w:val="none" w:sz="0" w:space="0" w:color="auto"/>
            <w:bottom w:val="none" w:sz="0" w:space="0" w:color="auto"/>
            <w:right w:val="none" w:sz="0" w:space="0" w:color="auto"/>
          </w:divBdr>
        </w:div>
        <w:div w:id="2141337986">
          <w:marLeft w:val="0"/>
          <w:marRight w:val="0"/>
          <w:marTop w:val="0"/>
          <w:marBottom w:val="0"/>
          <w:divBdr>
            <w:top w:val="none" w:sz="0" w:space="0" w:color="auto"/>
            <w:left w:val="none" w:sz="0" w:space="0" w:color="auto"/>
            <w:bottom w:val="none" w:sz="0" w:space="0" w:color="auto"/>
            <w:right w:val="none" w:sz="0" w:space="0" w:color="auto"/>
          </w:divBdr>
        </w:div>
      </w:divsChild>
    </w:div>
    <w:div w:id="1430851721">
      <w:bodyDiv w:val="1"/>
      <w:marLeft w:val="0"/>
      <w:marRight w:val="0"/>
      <w:marTop w:val="0"/>
      <w:marBottom w:val="0"/>
      <w:divBdr>
        <w:top w:val="none" w:sz="0" w:space="0" w:color="auto"/>
        <w:left w:val="none" w:sz="0" w:space="0" w:color="auto"/>
        <w:bottom w:val="none" w:sz="0" w:space="0" w:color="auto"/>
        <w:right w:val="none" w:sz="0" w:space="0" w:color="auto"/>
      </w:divBdr>
    </w:div>
    <w:div w:id="1591234585">
      <w:bodyDiv w:val="1"/>
      <w:marLeft w:val="0"/>
      <w:marRight w:val="0"/>
      <w:marTop w:val="0"/>
      <w:marBottom w:val="0"/>
      <w:divBdr>
        <w:top w:val="none" w:sz="0" w:space="0" w:color="auto"/>
        <w:left w:val="none" w:sz="0" w:space="0" w:color="auto"/>
        <w:bottom w:val="none" w:sz="0" w:space="0" w:color="auto"/>
        <w:right w:val="none" w:sz="0" w:space="0" w:color="auto"/>
      </w:divBdr>
    </w:div>
    <w:div w:id="1599948103">
      <w:bodyDiv w:val="1"/>
      <w:marLeft w:val="0"/>
      <w:marRight w:val="0"/>
      <w:marTop w:val="0"/>
      <w:marBottom w:val="0"/>
      <w:divBdr>
        <w:top w:val="none" w:sz="0" w:space="0" w:color="auto"/>
        <w:left w:val="none" w:sz="0" w:space="0" w:color="auto"/>
        <w:bottom w:val="none" w:sz="0" w:space="0" w:color="auto"/>
        <w:right w:val="none" w:sz="0" w:space="0" w:color="auto"/>
      </w:divBdr>
    </w:div>
    <w:div w:id="1615625576">
      <w:bodyDiv w:val="1"/>
      <w:marLeft w:val="0"/>
      <w:marRight w:val="0"/>
      <w:marTop w:val="0"/>
      <w:marBottom w:val="0"/>
      <w:divBdr>
        <w:top w:val="none" w:sz="0" w:space="0" w:color="auto"/>
        <w:left w:val="none" w:sz="0" w:space="0" w:color="auto"/>
        <w:bottom w:val="none" w:sz="0" w:space="0" w:color="auto"/>
        <w:right w:val="none" w:sz="0" w:space="0" w:color="auto"/>
      </w:divBdr>
    </w:div>
    <w:div w:id="1667587647">
      <w:bodyDiv w:val="1"/>
      <w:marLeft w:val="0"/>
      <w:marRight w:val="0"/>
      <w:marTop w:val="0"/>
      <w:marBottom w:val="0"/>
      <w:divBdr>
        <w:top w:val="none" w:sz="0" w:space="0" w:color="auto"/>
        <w:left w:val="none" w:sz="0" w:space="0" w:color="auto"/>
        <w:bottom w:val="none" w:sz="0" w:space="0" w:color="auto"/>
        <w:right w:val="none" w:sz="0" w:space="0" w:color="auto"/>
      </w:divBdr>
    </w:div>
    <w:div w:id="1676419139">
      <w:bodyDiv w:val="1"/>
      <w:marLeft w:val="0"/>
      <w:marRight w:val="0"/>
      <w:marTop w:val="0"/>
      <w:marBottom w:val="0"/>
      <w:divBdr>
        <w:top w:val="none" w:sz="0" w:space="0" w:color="auto"/>
        <w:left w:val="none" w:sz="0" w:space="0" w:color="auto"/>
        <w:bottom w:val="none" w:sz="0" w:space="0" w:color="auto"/>
        <w:right w:val="none" w:sz="0" w:space="0" w:color="auto"/>
      </w:divBdr>
    </w:div>
    <w:div w:id="1716655540">
      <w:bodyDiv w:val="1"/>
      <w:marLeft w:val="0"/>
      <w:marRight w:val="0"/>
      <w:marTop w:val="0"/>
      <w:marBottom w:val="0"/>
      <w:divBdr>
        <w:top w:val="none" w:sz="0" w:space="0" w:color="auto"/>
        <w:left w:val="none" w:sz="0" w:space="0" w:color="auto"/>
        <w:bottom w:val="none" w:sz="0" w:space="0" w:color="auto"/>
        <w:right w:val="none" w:sz="0" w:space="0" w:color="auto"/>
      </w:divBdr>
    </w:div>
    <w:div w:id="1763145289">
      <w:bodyDiv w:val="1"/>
      <w:marLeft w:val="0"/>
      <w:marRight w:val="0"/>
      <w:marTop w:val="0"/>
      <w:marBottom w:val="0"/>
      <w:divBdr>
        <w:top w:val="none" w:sz="0" w:space="0" w:color="auto"/>
        <w:left w:val="none" w:sz="0" w:space="0" w:color="auto"/>
        <w:bottom w:val="none" w:sz="0" w:space="0" w:color="auto"/>
        <w:right w:val="none" w:sz="0" w:space="0" w:color="auto"/>
      </w:divBdr>
    </w:div>
    <w:div w:id="1797404552">
      <w:bodyDiv w:val="1"/>
      <w:marLeft w:val="0"/>
      <w:marRight w:val="0"/>
      <w:marTop w:val="0"/>
      <w:marBottom w:val="0"/>
      <w:divBdr>
        <w:top w:val="none" w:sz="0" w:space="0" w:color="auto"/>
        <w:left w:val="none" w:sz="0" w:space="0" w:color="auto"/>
        <w:bottom w:val="none" w:sz="0" w:space="0" w:color="auto"/>
        <w:right w:val="none" w:sz="0" w:space="0" w:color="auto"/>
      </w:divBdr>
    </w:div>
    <w:div w:id="1887066637">
      <w:bodyDiv w:val="1"/>
      <w:marLeft w:val="0"/>
      <w:marRight w:val="0"/>
      <w:marTop w:val="0"/>
      <w:marBottom w:val="0"/>
      <w:divBdr>
        <w:top w:val="none" w:sz="0" w:space="0" w:color="auto"/>
        <w:left w:val="none" w:sz="0" w:space="0" w:color="auto"/>
        <w:bottom w:val="none" w:sz="0" w:space="0" w:color="auto"/>
        <w:right w:val="none" w:sz="0" w:space="0" w:color="auto"/>
      </w:divBdr>
    </w:div>
    <w:div w:id="1916738636">
      <w:bodyDiv w:val="1"/>
      <w:marLeft w:val="0"/>
      <w:marRight w:val="0"/>
      <w:marTop w:val="0"/>
      <w:marBottom w:val="0"/>
      <w:divBdr>
        <w:top w:val="none" w:sz="0" w:space="0" w:color="auto"/>
        <w:left w:val="none" w:sz="0" w:space="0" w:color="auto"/>
        <w:bottom w:val="none" w:sz="0" w:space="0" w:color="auto"/>
        <w:right w:val="none" w:sz="0" w:space="0" w:color="auto"/>
      </w:divBdr>
    </w:div>
    <w:div w:id="1992784531">
      <w:bodyDiv w:val="1"/>
      <w:marLeft w:val="0"/>
      <w:marRight w:val="0"/>
      <w:marTop w:val="0"/>
      <w:marBottom w:val="0"/>
      <w:divBdr>
        <w:top w:val="none" w:sz="0" w:space="0" w:color="auto"/>
        <w:left w:val="none" w:sz="0" w:space="0" w:color="auto"/>
        <w:bottom w:val="none" w:sz="0" w:space="0" w:color="auto"/>
        <w:right w:val="none" w:sz="0" w:space="0" w:color="auto"/>
      </w:divBdr>
    </w:div>
    <w:div w:id="2082942395">
      <w:bodyDiv w:val="1"/>
      <w:marLeft w:val="0"/>
      <w:marRight w:val="0"/>
      <w:marTop w:val="0"/>
      <w:marBottom w:val="0"/>
      <w:divBdr>
        <w:top w:val="none" w:sz="0" w:space="0" w:color="auto"/>
        <w:left w:val="none" w:sz="0" w:space="0" w:color="auto"/>
        <w:bottom w:val="none" w:sz="0" w:space="0" w:color="auto"/>
        <w:right w:val="none" w:sz="0" w:space="0" w:color="auto"/>
      </w:divBdr>
      <w:divsChild>
        <w:div w:id="54747819">
          <w:marLeft w:val="0"/>
          <w:marRight w:val="0"/>
          <w:marTop w:val="0"/>
          <w:marBottom w:val="0"/>
          <w:divBdr>
            <w:top w:val="none" w:sz="0" w:space="0" w:color="auto"/>
            <w:left w:val="none" w:sz="0" w:space="0" w:color="auto"/>
            <w:bottom w:val="none" w:sz="0" w:space="0" w:color="auto"/>
            <w:right w:val="none" w:sz="0" w:space="0" w:color="auto"/>
          </w:divBdr>
        </w:div>
        <w:div w:id="211815874">
          <w:marLeft w:val="0"/>
          <w:marRight w:val="0"/>
          <w:marTop w:val="0"/>
          <w:marBottom w:val="0"/>
          <w:divBdr>
            <w:top w:val="none" w:sz="0" w:space="0" w:color="auto"/>
            <w:left w:val="none" w:sz="0" w:space="0" w:color="auto"/>
            <w:bottom w:val="none" w:sz="0" w:space="0" w:color="auto"/>
            <w:right w:val="none" w:sz="0" w:space="0" w:color="auto"/>
          </w:divBdr>
        </w:div>
        <w:div w:id="269433037">
          <w:marLeft w:val="0"/>
          <w:marRight w:val="0"/>
          <w:marTop w:val="0"/>
          <w:marBottom w:val="0"/>
          <w:divBdr>
            <w:top w:val="none" w:sz="0" w:space="0" w:color="auto"/>
            <w:left w:val="none" w:sz="0" w:space="0" w:color="auto"/>
            <w:bottom w:val="none" w:sz="0" w:space="0" w:color="auto"/>
            <w:right w:val="none" w:sz="0" w:space="0" w:color="auto"/>
          </w:divBdr>
        </w:div>
        <w:div w:id="361562602">
          <w:marLeft w:val="0"/>
          <w:marRight w:val="0"/>
          <w:marTop w:val="0"/>
          <w:marBottom w:val="0"/>
          <w:divBdr>
            <w:top w:val="none" w:sz="0" w:space="0" w:color="auto"/>
            <w:left w:val="none" w:sz="0" w:space="0" w:color="auto"/>
            <w:bottom w:val="none" w:sz="0" w:space="0" w:color="auto"/>
            <w:right w:val="none" w:sz="0" w:space="0" w:color="auto"/>
          </w:divBdr>
        </w:div>
        <w:div w:id="371618097">
          <w:marLeft w:val="0"/>
          <w:marRight w:val="0"/>
          <w:marTop w:val="0"/>
          <w:marBottom w:val="0"/>
          <w:divBdr>
            <w:top w:val="none" w:sz="0" w:space="0" w:color="auto"/>
            <w:left w:val="none" w:sz="0" w:space="0" w:color="auto"/>
            <w:bottom w:val="none" w:sz="0" w:space="0" w:color="auto"/>
            <w:right w:val="none" w:sz="0" w:space="0" w:color="auto"/>
          </w:divBdr>
        </w:div>
        <w:div w:id="441147437">
          <w:marLeft w:val="0"/>
          <w:marRight w:val="0"/>
          <w:marTop w:val="0"/>
          <w:marBottom w:val="0"/>
          <w:divBdr>
            <w:top w:val="none" w:sz="0" w:space="0" w:color="auto"/>
            <w:left w:val="none" w:sz="0" w:space="0" w:color="auto"/>
            <w:bottom w:val="none" w:sz="0" w:space="0" w:color="auto"/>
            <w:right w:val="none" w:sz="0" w:space="0" w:color="auto"/>
          </w:divBdr>
        </w:div>
        <w:div w:id="782530302">
          <w:marLeft w:val="0"/>
          <w:marRight w:val="0"/>
          <w:marTop w:val="0"/>
          <w:marBottom w:val="0"/>
          <w:divBdr>
            <w:top w:val="none" w:sz="0" w:space="0" w:color="auto"/>
            <w:left w:val="none" w:sz="0" w:space="0" w:color="auto"/>
            <w:bottom w:val="none" w:sz="0" w:space="0" w:color="auto"/>
            <w:right w:val="none" w:sz="0" w:space="0" w:color="auto"/>
          </w:divBdr>
        </w:div>
        <w:div w:id="1007485701">
          <w:marLeft w:val="0"/>
          <w:marRight w:val="0"/>
          <w:marTop w:val="0"/>
          <w:marBottom w:val="0"/>
          <w:divBdr>
            <w:top w:val="none" w:sz="0" w:space="0" w:color="auto"/>
            <w:left w:val="none" w:sz="0" w:space="0" w:color="auto"/>
            <w:bottom w:val="none" w:sz="0" w:space="0" w:color="auto"/>
            <w:right w:val="none" w:sz="0" w:space="0" w:color="auto"/>
          </w:divBdr>
        </w:div>
        <w:div w:id="1344161705">
          <w:marLeft w:val="0"/>
          <w:marRight w:val="0"/>
          <w:marTop w:val="0"/>
          <w:marBottom w:val="0"/>
          <w:divBdr>
            <w:top w:val="none" w:sz="0" w:space="0" w:color="auto"/>
            <w:left w:val="none" w:sz="0" w:space="0" w:color="auto"/>
            <w:bottom w:val="none" w:sz="0" w:space="0" w:color="auto"/>
            <w:right w:val="none" w:sz="0" w:space="0" w:color="auto"/>
          </w:divBdr>
        </w:div>
        <w:div w:id="1384526000">
          <w:marLeft w:val="0"/>
          <w:marRight w:val="0"/>
          <w:marTop w:val="0"/>
          <w:marBottom w:val="0"/>
          <w:divBdr>
            <w:top w:val="none" w:sz="0" w:space="0" w:color="auto"/>
            <w:left w:val="none" w:sz="0" w:space="0" w:color="auto"/>
            <w:bottom w:val="none" w:sz="0" w:space="0" w:color="auto"/>
            <w:right w:val="none" w:sz="0" w:space="0" w:color="auto"/>
          </w:divBdr>
        </w:div>
        <w:div w:id="1417441629">
          <w:marLeft w:val="0"/>
          <w:marRight w:val="0"/>
          <w:marTop w:val="0"/>
          <w:marBottom w:val="0"/>
          <w:divBdr>
            <w:top w:val="none" w:sz="0" w:space="0" w:color="auto"/>
            <w:left w:val="none" w:sz="0" w:space="0" w:color="auto"/>
            <w:bottom w:val="none" w:sz="0" w:space="0" w:color="auto"/>
            <w:right w:val="none" w:sz="0" w:space="0" w:color="auto"/>
          </w:divBdr>
        </w:div>
        <w:div w:id="1547719595">
          <w:marLeft w:val="0"/>
          <w:marRight w:val="0"/>
          <w:marTop w:val="0"/>
          <w:marBottom w:val="0"/>
          <w:divBdr>
            <w:top w:val="none" w:sz="0" w:space="0" w:color="auto"/>
            <w:left w:val="none" w:sz="0" w:space="0" w:color="auto"/>
            <w:bottom w:val="none" w:sz="0" w:space="0" w:color="auto"/>
            <w:right w:val="none" w:sz="0" w:space="0" w:color="auto"/>
          </w:divBdr>
        </w:div>
        <w:div w:id="1678000473">
          <w:marLeft w:val="0"/>
          <w:marRight w:val="0"/>
          <w:marTop w:val="0"/>
          <w:marBottom w:val="0"/>
          <w:divBdr>
            <w:top w:val="none" w:sz="0" w:space="0" w:color="auto"/>
            <w:left w:val="none" w:sz="0" w:space="0" w:color="auto"/>
            <w:bottom w:val="none" w:sz="0" w:space="0" w:color="auto"/>
            <w:right w:val="none" w:sz="0" w:space="0" w:color="auto"/>
          </w:divBdr>
        </w:div>
        <w:div w:id="1680741567">
          <w:marLeft w:val="0"/>
          <w:marRight w:val="0"/>
          <w:marTop w:val="0"/>
          <w:marBottom w:val="0"/>
          <w:divBdr>
            <w:top w:val="none" w:sz="0" w:space="0" w:color="auto"/>
            <w:left w:val="none" w:sz="0" w:space="0" w:color="auto"/>
            <w:bottom w:val="none" w:sz="0" w:space="0" w:color="auto"/>
            <w:right w:val="none" w:sz="0" w:space="0" w:color="auto"/>
          </w:divBdr>
        </w:div>
        <w:div w:id="1685933525">
          <w:marLeft w:val="0"/>
          <w:marRight w:val="0"/>
          <w:marTop w:val="0"/>
          <w:marBottom w:val="0"/>
          <w:divBdr>
            <w:top w:val="none" w:sz="0" w:space="0" w:color="auto"/>
            <w:left w:val="none" w:sz="0" w:space="0" w:color="auto"/>
            <w:bottom w:val="none" w:sz="0" w:space="0" w:color="auto"/>
            <w:right w:val="none" w:sz="0" w:space="0" w:color="auto"/>
          </w:divBdr>
        </w:div>
        <w:div w:id="1766731499">
          <w:marLeft w:val="0"/>
          <w:marRight w:val="0"/>
          <w:marTop w:val="0"/>
          <w:marBottom w:val="0"/>
          <w:divBdr>
            <w:top w:val="none" w:sz="0" w:space="0" w:color="auto"/>
            <w:left w:val="none" w:sz="0" w:space="0" w:color="auto"/>
            <w:bottom w:val="none" w:sz="0" w:space="0" w:color="auto"/>
            <w:right w:val="none" w:sz="0" w:space="0" w:color="auto"/>
          </w:divBdr>
        </w:div>
        <w:div w:id="1768455126">
          <w:marLeft w:val="0"/>
          <w:marRight w:val="0"/>
          <w:marTop w:val="0"/>
          <w:marBottom w:val="0"/>
          <w:divBdr>
            <w:top w:val="none" w:sz="0" w:space="0" w:color="auto"/>
            <w:left w:val="none" w:sz="0" w:space="0" w:color="auto"/>
            <w:bottom w:val="none" w:sz="0" w:space="0" w:color="auto"/>
            <w:right w:val="none" w:sz="0" w:space="0" w:color="auto"/>
          </w:divBdr>
        </w:div>
        <w:div w:id="1818450297">
          <w:marLeft w:val="0"/>
          <w:marRight w:val="0"/>
          <w:marTop w:val="0"/>
          <w:marBottom w:val="0"/>
          <w:divBdr>
            <w:top w:val="none" w:sz="0" w:space="0" w:color="auto"/>
            <w:left w:val="none" w:sz="0" w:space="0" w:color="auto"/>
            <w:bottom w:val="none" w:sz="0" w:space="0" w:color="auto"/>
            <w:right w:val="none" w:sz="0" w:space="0" w:color="auto"/>
          </w:divBdr>
        </w:div>
        <w:div w:id="1961690763">
          <w:marLeft w:val="0"/>
          <w:marRight w:val="0"/>
          <w:marTop w:val="0"/>
          <w:marBottom w:val="0"/>
          <w:divBdr>
            <w:top w:val="none" w:sz="0" w:space="0" w:color="auto"/>
            <w:left w:val="none" w:sz="0" w:space="0" w:color="auto"/>
            <w:bottom w:val="none" w:sz="0" w:space="0" w:color="auto"/>
            <w:right w:val="none" w:sz="0" w:space="0" w:color="auto"/>
          </w:divBdr>
        </w:div>
        <w:div w:id="2073842173">
          <w:marLeft w:val="0"/>
          <w:marRight w:val="0"/>
          <w:marTop w:val="0"/>
          <w:marBottom w:val="0"/>
          <w:divBdr>
            <w:top w:val="none" w:sz="0" w:space="0" w:color="auto"/>
            <w:left w:val="none" w:sz="0" w:space="0" w:color="auto"/>
            <w:bottom w:val="none" w:sz="0" w:space="0" w:color="auto"/>
            <w:right w:val="none" w:sz="0" w:space="0" w:color="auto"/>
          </w:divBdr>
        </w:div>
        <w:div w:id="2086415336">
          <w:marLeft w:val="0"/>
          <w:marRight w:val="0"/>
          <w:marTop w:val="0"/>
          <w:marBottom w:val="0"/>
          <w:divBdr>
            <w:top w:val="none" w:sz="0" w:space="0" w:color="auto"/>
            <w:left w:val="none" w:sz="0" w:space="0" w:color="auto"/>
            <w:bottom w:val="none" w:sz="0" w:space="0" w:color="auto"/>
            <w:right w:val="none" w:sz="0" w:space="0" w:color="auto"/>
          </w:divBdr>
        </w:div>
        <w:div w:id="2126732117">
          <w:marLeft w:val="0"/>
          <w:marRight w:val="0"/>
          <w:marTop w:val="0"/>
          <w:marBottom w:val="0"/>
          <w:divBdr>
            <w:top w:val="none" w:sz="0" w:space="0" w:color="auto"/>
            <w:left w:val="none" w:sz="0" w:space="0" w:color="auto"/>
            <w:bottom w:val="none" w:sz="0" w:space="0" w:color="auto"/>
            <w:right w:val="none" w:sz="0" w:space="0" w:color="auto"/>
          </w:divBdr>
        </w:div>
      </w:divsChild>
    </w:div>
    <w:div w:id="2143768501">
      <w:bodyDiv w:val="1"/>
      <w:marLeft w:val="0"/>
      <w:marRight w:val="0"/>
      <w:marTop w:val="0"/>
      <w:marBottom w:val="0"/>
      <w:divBdr>
        <w:top w:val="none" w:sz="0" w:space="0" w:color="auto"/>
        <w:left w:val="none" w:sz="0" w:space="0" w:color="auto"/>
        <w:bottom w:val="none" w:sz="0" w:space="0" w:color="auto"/>
        <w:right w:val="none" w:sz="0" w:space="0" w:color="auto"/>
      </w:divBdr>
      <w:divsChild>
        <w:div w:id="537161667">
          <w:marLeft w:val="0"/>
          <w:marRight w:val="0"/>
          <w:marTop w:val="0"/>
          <w:marBottom w:val="0"/>
          <w:divBdr>
            <w:top w:val="none" w:sz="0" w:space="0" w:color="auto"/>
            <w:left w:val="none" w:sz="0" w:space="0" w:color="auto"/>
            <w:bottom w:val="none" w:sz="0" w:space="0" w:color="auto"/>
            <w:right w:val="none" w:sz="0" w:space="0" w:color="auto"/>
          </w:divBdr>
        </w:div>
        <w:div w:id="1088040823">
          <w:marLeft w:val="0"/>
          <w:marRight w:val="0"/>
          <w:marTop w:val="0"/>
          <w:marBottom w:val="0"/>
          <w:divBdr>
            <w:top w:val="none" w:sz="0" w:space="0" w:color="auto"/>
            <w:left w:val="none" w:sz="0" w:space="0" w:color="auto"/>
            <w:bottom w:val="none" w:sz="0" w:space="0" w:color="auto"/>
            <w:right w:val="none" w:sz="0" w:space="0" w:color="auto"/>
          </w:divBdr>
        </w:div>
        <w:div w:id="1360424570">
          <w:marLeft w:val="0"/>
          <w:marRight w:val="0"/>
          <w:marTop w:val="0"/>
          <w:marBottom w:val="0"/>
          <w:divBdr>
            <w:top w:val="none" w:sz="0" w:space="0" w:color="auto"/>
            <w:left w:val="none" w:sz="0" w:space="0" w:color="auto"/>
            <w:bottom w:val="none" w:sz="0" w:space="0" w:color="auto"/>
            <w:right w:val="none" w:sz="0" w:space="0" w:color="auto"/>
          </w:divBdr>
        </w:div>
        <w:div w:id="1566254032">
          <w:marLeft w:val="0"/>
          <w:marRight w:val="0"/>
          <w:marTop w:val="0"/>
          <w:marBottom w:val="0"/>
          <w:divBdr>
            <w:top w:val="none" w:sz="0" w:space="0" w:color="auto"/>
            <w:left w:val="none" w:sz="0" w:space="0" w:color="auto"/>
            <w:bottom w:val="none" w:sz="0" w:space="0" w:color="auto"/>
            <w:right w:val="none" w:sz="0" w:space="0" w:color="auto"/>
          </w:divBdr>
        </w:div>
        <w:div w:id="1908950286">
          <w:marLeft w:val="0"/>
          <w:marRight w:val="0"/>
          <w:marTop w:val="0"/>
          <w:marBottom w:val="0"/>
          <w:divBdr>
            <w:top w:val="none" w:sz="0" w:space="0" w:color="auto"/>
            <w:left w:val="none" w:sz="0" w:space="0" w:color="auto"/>
            <w:bottom w:val="none" w:sz="0" w:space="0" w:color="auto"/>
            <w:right w:val="none" w:sz="0" w:space="0" w:color="auto"/>
          </w:divBdr>
        </w:div>
        <w:div w:id="2068145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29.jpeg"/><Relationship Id="rId3" Type="http://schemas.openxmlformats.org/officeDocument/2006/relationships/styles" Target="styles.xml"/><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theme" Target="theme/theme1.xml"/><Relationship Id="rId76"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8.e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1.wmf"/><Relationship Id="rId29" Type="http://schemas.openxmlformats.org/officeDocument/2006/relationships/image" Target="media/image20.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png"/><Relationship Id="rId40"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10" Type="http://schemas.openxmlformats.org/officeDocument/2006/relationships/image" Target="media/image2.jpeg"/><Relationship Id="rId19" Type="http://schemas.openxmlformats.org/officeDocument/2006/relationships/image" Target="media/image10.wmf"/><Relationship Id="rId31" Type="http://schemas.openxmlformats.org/officeDocument/2006/relationships/image" Target="media/image22.wmf"/><Relationship Id="rId78"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77"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oleObject" Target="file:///C:\SYNC_P\52726%20JRC%20RES%20Potentials\52726%2001%2003%20-%20WP3%20Solar\Task3_2\irradiation_NUTS2_T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YNC_P\52726%20JRC%20RES%20Potentials\52726%2001%2003%20-%20WP3%20Solar\data\database\modeldata\tech_so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[irradiation_NUTS2_TK.xlsx]Sheet1!PivotTable1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spPr>
          <a:solidFill>
            <a:srgbClr val="FFC000"/>
          </a:solidFill>
        </c:spPr>
        <c:marker>
          <c:symbol val="none"/>
        </c:marker>
      </c:pivotFmt>
      <c:pivotFmt>
        <c:idx val="13"/>
        <c:spPr>
          <a:pattFill prst="dkUpDiag">
            <a:fgClr>
              <a:srgbClr val="FFC000"/>
            </a:fgClr>
            <a:bgClr>
              <a:schemeClr val="tx1"/>
            </a:bgClr>
          </a:pattFill>
        </c:spPr>
        <c:marker>
          <c:symbol val="none"/>
        </c:marker>
      </c:pivotFmt>
      <c:pivotFmt>
        <c:idx val="14"/>
        <c:spPr>
          <a:pattFill prst="smCheck">
            <a:fgClr>
              <a:srgbClr val="FFC000"/>
            </a:fgClr>
            <a:bgClr>
              <a:schemeClr val="tx1"/>
            </a:bgClr>
          </a:pattFill>
        </c:spPr>
        <c:marker>
          <c:symbol val="none"/>
        </c:marker>
      </c:pivotFmt>
      <c:pivotFmt>
        <c:idx val="15"/>
        <c:spPr>
          <a:solidFill>
            <a:srgbClr val="00B0F0"/>
          </a:solidFill>
        </c:spPr>
        <c:marker>
          <c:symbol val="none"/>
        </c:marker>
      </c:pivotFmt>
      <c:pivotFmt>
        <c:idx val="16"/>
        <c:spPr>
          <a:pattFill prst="dkUpDiag">
            <a:fgClr>
              <a:srgbClr val="00B0F0"/>
            </a:fgClr>
            <a:bgClr>
              <a:schemeClr val="bg1"/>
            </a:bgClr>
          </a:pattFill>
        </c:spPr>
        <c:marker>
          <c:symbol val="none"/>
        </c:marker>
      </c:pivotFmt>
      <c:pivotFmt>
        <c:idx val="17"/>
        <c:spPr>
          <a:pattFill prst="smCheck">
            <a:fgClr>
              <a:srgbClr val="00B0F0"/>
            </a:fgClr>
            <a:bgClr>
              <a:schemeClr val="bg1"/>
            </a:bgClr>
          </a:pattFill>
        </c:spPr>
        <c:marker>
          <c:symbol val="none"/>
        </c:marker>
      </c:pivotFmt>
      <c:pivotFmt>
        <c:idx val="18"/>
        <c:spPr>
          <a:solidFill>
            <a:srgbClr val="00B050"/>
          </a:solidFill>
        </c:spPr>
        <c:marker>
          <c:symbol val="none"/>
        </c:marker>
      </c:pivotFmt>
      <c:pivotFmt>
        <c:idx val="19"/>
        <c:spPr>
          <a:pattFill prst="dkUpDiag">
            <a:fgClr>
              <a:srgbClr val="00B050"/>
            </a:fgClr>
            <a:bgClr>
              <a:schemeClr val="bg1"/>
            </a:bgClr>
          </a:pattFill>
        </c:spPr>
        <c:marker>
          <c:symbol val="none"/>
        </c:marker>
      </c:pivotFmt>
      <c:pivotFmt>
        <c:idx val="20"/>
        <c:spPr>
          <a:pattFill prst="smCheck">
            <a:fgClr>
              <a:srgbClr val="00B050"/>
            </a:fgClr>
            <a:bgClr>
              <a:schemeClr val="bg1"/>
            </a:bgClr>
          </a:pattFill>
        </c:spPr>
        <c:marker>
          <c:symbol val="none"/>
        </c:marker>
      </c:pivotFmt>
      <c:pivotFmt>
        <c:idx val="21"/>
        <c:spPr>
          <a:solidFill>
            <a:srgbClr val="FF0000"/>
          </a:solidFill>
        </c:spPr>
        <c:marker>
          <c:symbol val="none"/>
        </c:marker>
      </c:pivotFmt>
      <c:pivotFmt>
        <c:idx val="22"/>
        <c:spPr>
          <a:pattFill prst="dkUpDiag">
            <a:fgClr>
              <a:srgbClr val="FF0000"/>
            </a:fgClr>
            <a:bgClr>
              <a:schemeClr val="bg1"/>
            </a:bgClr>
          </a:pattFill>
        </c:spPr>
        <c:marker>
          <c:symbol val="none"/>
        </c:marker>
      </c:pivotFmt>
      <c:pivotFmt>
        <c:idx val="23"/>
        <c:spPr>
          <a:pattFill prst="smCheck">
            <a:fgClr>
              <a:srgbClr val="FF0000"/>
            </a:fgClr>
            <a:bgClr>
              <a:schemeClr val="bg1"/>
            </a:bgClr>
          </a:pattFill>
        </c:spPr>
        <c:marker>
          <c:symbol val="none"/>
        </c:marker>
      </c:pivotFmt>
      <c:pivotFmt>
        <c:idx val="24"/>
        <c:spPr>
          <a:solidFill>
            <a:srgbClr val="00B050"/>
          </a:solidFill>
        </c:spPr>
        <c:marker>
          <c:symbol val="none"/>
        </c:marker>
      </c:pivotFmt>
      <c:pivotFmt>
        <c:idx val="25"/>
        <c:spPr>
          <a:pattFill prst="dkUpDiag">
            <a:fgClr>
              <a:srgbClr val="00B050"/>
            </a:fgClr>
            <a:bgClr>
              <a:schemeClr val="bg1"/>
            </a:bgClr>
          </a:pattFill>
        </c:spPr>
        <c:marker>
          <c:symbol val="none"/>
        </c:marker>
      </c:pivotFmt>
      <c:pivotFmt>
        <c:idx val="26"/>
        <c:spPr>
          <a:pattFill prst="smCheck">
            <a:fgClr>
              <a:srgbClr val="00B050"/>
            </a:fgClr>
            <a:bgClr>
              <a:schemeClr val="bg1"/>
            </a:bgClr>
          </a:pattFill>
        </c:spPr>
        <c:marker>
          <c:symbol val="none"/>
        </c:marker>
      </c:pivotFmt>
      <c:pivotFmt>
        <c:idx val="27"/>
        <c:spPr>
          <a:solidFill>
            <a:srgbClr val="FF0000"/>
          </a:solidFill>
        </c:spPr>
        <c:marker>
          <c:symbol val="none"/>
        </c:marker>
      </c:pivotFmt>
      <c:pivotFmt>
        <c:idx val="28"/>
        <c:spPr>
          <a:pattFill prst="dkUpDiag">
            <a:fgClr>
              <a:srgbClr val="FF0000"/>
            </a:fgClr>
            <a:bgClr>
              <a:schemeClr val="bg1"/>
            </a:bgClr>
          </a:pattFill>
        </c:spPr>
        <c:marker>
          <c:symbol val="none"/>
        </c:marker>
      </c:pivotFmt>
      <c:pivotFmt>
        <c:idx val="29"/>
        <c:spPr>
          <a:pattFill prst="smCheck">
            <a:fgClr>
              <a:srgbClr val="FF0000"/>
            </a:fgClr>
            <a:bgClr>
              <a:schemeClr val="bg1"/>
            </a:bgClr>
          </a:pattFill>
        </c:spPr>
        <c:marker>
          <c:symbol val="none"/>
        </c:marker>
      </c:pivotFmt>
      <c:pivotFmt>
        <c:idx val="30"/>
        <c:spPr>
          <a:solidFill>
            <a:srgbClr val="FFC000"/>
          </a:solidFill>
        </c:spPr>
        <c:marker>
          <c:symbol val="none"/>
        </c:marker>
      </c:pivotFmt>
      <c:pivotFmt>
        <c:idx val="31"/>
        <c:spPr>
          <a:pattFill prst="dkUpDiag">
            <a:fgClr>
              <a:srgbClr val="FFC000"/>
            </a:fgClr>
            <a:bgClr>
              <a:schemeClr val="tx1"/>
            </a:bgClr>
          </a:pattFill>
        </c:spPr>
        <c:marker>
          <c:symbol val="none"/>
        </c:marker>
      </c:pivotFmt>
      <c:pivotFmt>
        <c:idx val="32"/>
        <c:spPr>
          <a:pattFill prst="smCheck">
            <a:fgClr>
              <a:srgbClr val="FFC000"/>
            </a:fgClr>
            <a:bgClr>
              <a:schemeClr val="tx1"/>
            </a:bgClr>
          </a:pattFill>
        </c:spPr>
        <c:marker>
          <c:symbol val="none"/>
        </c:marker>
      </c:pivotFmt>
      <c:pivotFmt>
        <c:idx val="33"/>
        <c:spPr>
          <a:solidFill>
            <a:srgbClr val="00B0F0"/>
          </a:solidFill>
        </c:spPr>
        <c:marker>
          <c:symbol val="none"/>
        </c:marker>
      </c:pivotFmt>
      <c:pivotFmt>
        <c:idx val="34"/>
        <c:spPr>
          <a:pattFill prst="dkUpDiag">
            <a:fgClr>
              <a:srgbClr val="00B0F0"/>
            </a:fgClr>
            <a:bgClr>
              <a:schemeClr val="bg1"/>
            </a:bgClr>
          </a:pattFill>
        </c:spPr>
        <c:marker>
          <c:symbol val="none"/>
        </c:marker>
      </c:pivotFmt>
      <c:pivotFmt>
        <c:idx val="35"/>
        <c:spPr>
          <a:pattFill prst="smCheck">
            <a:fgClr>
              <a:srgbClr val="00B0F0"/>
            </a:fgClr>
            <a:bgClr>
              <a:schemeClr val="bg1"/>
            </a:bgClr>
          </a:pattFill>
        </c:spPr>
        <c:marker>
          <c:symbol val="none"/>
        </c:marker>
      </c:pivotFmt>
      <c:pivotFmt>
        <c:idx val="36"/>
        <c:spPr>
          <a:solidFill>
            <a:srgbClr val="00B050"/>
          </a:solidFill>
        </c:spPr>
        <c:marker>
          <c:symbol val="none"/>
        </c:marker>
      </c:pivotFmt>
      <c:pivotFmt>
        <c:idx val="37"/>
        <c:spPr>
          <a:pattFill prst="dkUpDiag">
            <a:fgClr>
              <a:srgbClr val="00B050"/>
            </a:fgClr>
            <a:bgClr>
              <a:schemeClr val="bg1"/>
            </a:bgClr>
          </a:pattFill>
        </c:spPr>
        <c:marker>
          <c:symbol val="none"/>
        </c:marker>
      </c:pivotFmt>
      <c:pivotFmt>
        <c:idx val="38"/>
        <c:spPr>
          <a:pattFill prst="smCheck">
            <a:fgClr>
              <a:srgbClr val="00B050"/>
            </a:fgClr>
            <a:bgClr>
              <a:schemeClr val="bg1"/>
            </a:bgClr>
          </a:pattFill>
        </c:spPr>
        <c:marker>
          <c:symbol val="none"/>
        </c:marker>
      </c:pivotFmt>
      <c:pivotFmt>
        <c:idx val="39"/>
        <c:spPr>
          <a:solidFill>
            <a:srgbClr val="FF0000"/>
          </a:solidFill>
        </c:spPr>
        <c:marker>
          <c:symbol val="none"/>
        </c:marker>
      </c:pivotFmt>
      <c:pivotFmt>
        <c:idx val="40"/>
        <c:spPr>
          <a:pattFill prst="dkUpDiag">
            <a:fgClr>
              <a:srgbClr val="FF0000"/>
            </a:fgClr>
            <a:bgClr>
              <a:schemeClr val="bg1"/>
            </a:bgClr>
          </a:pattFill>
        </c:spPr>
        <c:marker>
          <c:symbol val="none"/>
        </c:marker>
      </c:pivotFmt>
      <c:pivotFmt>
        <c:idx val="41"/>
        <c:spPr>
          <a:pattFill prst="smCheck">
            <a:fgClr>
              <a:srgbClr val="FF0000"/>
            </a:fgClr>
            <a:bgClr>
              <a:schemeClr val="bg1"/>
            </a:bgClr>
          </a:pattFill>
        </c:spPr>
        <c:marker>
          <c:symbol val="none"/>
        </c:marker>
      </c:pivotFmt>
      <c:pivotFmt>
        <c:idx val="42"/>
        <c:spPr>
          <a:solidFill>
            <a:srgbClr val="FFC000"/>
          </a:solidFill>
        </c:spPr>
        <c:marker>
          <c:symbol val="none"/>
        </c:marker>
      </c:pivotFmt>
      <c:pivotFmt>
        <c:idx val="43"/>
        <c:spPr>
          <a:pattFill prst="dkUpDiag">
            <a:fgClr>
              <a:srgbClr val="FFC000"/>
            </a:fgClr>
            <a:bgClr>
              <a:schemeClr val="tx1"/>
            </a:bgClr>
          </a:pattFill>
        </c:spPr>
        <c:marker>
          <c:symbol val="none"/>
        </c:marker>
      </c:pivotFmt>
      <c:pivotFmt>
        <c:idx val="44"/>
        <c:spPr>
          <a:pattFill prst="smCheck">
            <a:fgClr>
              <a:srgbClr val="FFC000"/>
            </a:fgClr>
            <a:bgClr>
              <a:schemeClr val="tx1"/>
            </a:bgClr>
          </a:pattFill>
        </c:spPr>
        <c:marker>
          <c:symbol val="none"/>
        </c:marker>
      </c:pivotFmt>
      <c:pivotFmt>
        <c:idx val="45"/>
        <c:spPr>
          <a:solidFill>
            <a:srgbClr val="00B0F0"/>
          </a:solidFill>
        </c:spPr>
        <c:marker>
          <c:symbol val="none"/>
        </c:marker>
      </c:pivotFmt>
      <c:pivotFmt>
        <c:idx val="46"/>
        <c:spPr>
          <a:pattFill prst="dkUpDiag">
            <a:fgClr>
              <a:srgbClr val="00B0F0"/>
            </a:fgClr>
            <a:bgClr>
              <a:schemeClr val="bg1"/>
            </a:bgClr>
          </a:pattFill>
        </c:spPr>
        <c:marker>
          <c:symbol val="none"/>
        </c:marker>
      </c:pivotFmt>
      <c:pivotFmt>
        <c:idx val="47"/>
        <c:spPr>
          <a:pattFill prst="smCheck">
            <a:fgClr>
              <a:srgbClr val="00B0F0"/>
            </a:fgClr>
            <a:bgClr>
              <a:schemeClr val="bg1"/>
            </a:bgClr>
          </a:pattFill>
        </c:spPr>
        <c:marker>
          <c:symbol val="none"/>
        </c:marker>
      </c:pivotFmt>
    </c:pivotFmts>
    <c:plotArea>
      <c:layout/>
      <c:barChart>
        <c:barDir val="col"/>
        <c:grouping val="stacked"/>
        <c:varyColors val="0"/>
        <c:ser>
          <c:idx val="0"/>
          <c:order val="0"/>
          <c:tx>
            <c:strRef>
              <c:f>Sheet1!$B$3:$B$4</c:f>
              <c:strCache>
                <c:ptCount val="1"/>
                <c:pt idx="0">
                  <c:v> FD</c:v>
                </c:pt>
              </c:strCache>
            </c:strRef>
          </c:tx>
          <c:spPr>
            <a:solidFill>
              <a:srgbClr val="00B050"/>
            </a:solid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Sheet1!$B$5:$B$40</c:f>
              <c:numCache>
                <c:formatCode>General</c:formatCode>
                <c:ptCount val="35"/>
                <c:pt idx="0">
                  <c:v>1303.5</c:v>
                </c:pt>
                <c:pt idx="1">
                  <c:v>8853.130000000001</c:v>
                </c:pt>
                <c:pt idx="2">
                  <c:v>1113.6600000000001</c:v>
                </c:pt>
                <c:pt idx="3">
                  <c:v>9683.83</c:v>
                </c:pt>
                <c:pt idx="4">
                  <c:v>6853.36</c:v>
                </c:pt>
                <c:pt idx="5">
                  <c:v>7210.75</c:v>
                </c:pt>
                <c:pt idx="6">
                  <c:v>1088.01</c:v>
                </c:pt>
                <c:pt idx="7">
                  <c:v>1567.44</c:v>
                </c:pt>
                <c:pt idx="8">
                  <c:v>7068.37</c:v>
                </c:pt>
                <c:pt idx="9">
                  <c:v>33033.649999999994</c:v>
                </c:pt>
                <c:pt idx="10">
                  <c:v>3804.2400000000007</c:v>
                </c:pt>
                <c:pt idx="11">
                  <c:v>597.46</c:v>
                </c:pt>
                <c:pt idx="12">
                  <c:v>17769.009999999998</c:v>
                </c:pt>
                <c:pt idx="13">
                  <c:v>23663.489999999998</c:v>
                </c:pt>
                <c:pt idx="14">
                  <c:v>3018.62</c:v>
                </c:pt>
                <c:pt idx="15">
                  <c:v>23668.140000000003</c:v>
                </c:pt>
                <c:pt idx="16">
                  <c:v>2265.2799999999997</c:v>
                </c:pt>
                <c:pt idx="17">
                  <c:v>7625.4500000000007</c:v>
                </c:pt>
                <c:pt idx="18">
                  <c:v>1481.3600000000001</c:v>
                </c:pt>
                <c:pt idx="19">
                  <c:v>26685.720000000005</c:v>
                </c:pt>
                <c:pt idx="20">
                  <c:v>723.06</c:v>
                </c:pt>
                <c:pt idx="21">
                  <c:v>858.04</c:v>
                </c:pt>
                <c:pt idx="22">
                  <c:v>686.69</c:v>
                </c:pt>
                <c:pt idx="23">
                  <c:v>1029.1600000000001</c:v>
                </c:pt>
                <c:pt idx="24">
                  <c:v>1159.08</c:v>
                </c:pt>
                <c:pt idx="25">
                  <c:v>1529.46</c:v>
                </c:pt>
                <c:pt idx="26">
                  <c:v>9909.2900000000009</c:v>
                </c:pt>
                <c:pt idx="27">
                  <c:v>4055.3400000000006</c:v>
                </c:pt>
                <c:pt idx="28">
                  <c:v>13760.809999999998</c:v>
                </c:pt>
                <c:pt idx="29">
                  <c:v>7572.06</c:v>
                </c:pt>
                <c:pt idx="30">
                  <c:v>8821.42</c:v>
                </c:pt>
                <c:pt idx="31">
                  <c:v>5520.54</c:v>
                </c:pt>
                <c:pt idx="32">
                  <c:v>2001.92</c:v>
                </c:pt>
                <c:pt idx="33">
                  <c:v>3873.02</c:v>
                </c:pt>
                <c:pt idx="34">
                  <c:v>28961.310000000005</c:v>
                </c:pt>
              </c:numCache>
            </c:numRef>
          </c:val>
          <c:extLst xmlns:c16r2="http://schemas.microsoft.com/office/drawing/2015/06/chart">
            <c:ext xmlns:c16="http://schemas.microsoft.com/office/drawing/2014/chart" uri="{C3380CC4-5D6E-409C-BE32-E72D297353CC}">
              <c16:uniqueId val="{00000000-9232-4BDD-8FE9-2B319F2E0EED}"/>
            </c:ext>
          </c:extLst>
        </c:ser>
        <c:ser>
          <c:idx val="1"/>
          <c:order val="1"/>
          <c:tx>
            <c:strRef>
              <c:f>Sheet1!$C$3:$C$4</c:f>
              <c:strCache>
                <c:ptCount val="1"/>
                <c:pt idx="0">
                  <c:v> FN</c:v>
                </c:pt>
              </c:strCache>
            </c:strRef>
          </c:tx>
          <c:spPr>
            <a:pattFill prst="dkUpDiag">
              <a:fgClr>
                <a:srgbClr val="00B050"/>
              </a:fgClr>
              <a:bgClr>
                <a:schemeClr val="bg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Sheet1!$C$5:$C$40</c:f>
              <c:numCache>
                <c:formatCode>General</c:formatCode>
                <c:ptCount val="35"/>
                <c:pt idx="0">
                  <c:v>35.909999999999997</c:v>
                </c:pt>
                <c:pt idx="1">
                  <c:v>105.36999999999999</c:v>
                </c:pt>
                <c:pt idx="2">
                  <c:v>24.74</c:v>
                </c:pt>
                <c:pt idx="3">
                  <c:v>24.12</c:v>
                </c:pt>
                <c:pt idx="4">
                  <c:v>319.32</c:v>
                </c:pt>
                <c:pt idx="5">
                  <c:v>35.549999999999997</c:v>
                </c:pt>
                <c:pt idx="6">
                  <c:v>36.979999999999997</c:v>
                </c:pt>
                <c:pt idx="7">
                  <c:v>158.94</c:v>
                </c:pt>
                <c:pt idx="8">
                  <c:v>104.81</c:v>
                </c:pt>
                <c:pt idx="9">
                  <c:v>222.37999999999991</c:v>
                </c:pt>
                <c:pt idx="10">
                  <c:v>26.61</c:v>
                </c:pt>
                <c:pt idx="11">
                  <c:v>24.52</c:v>
                </c:pt>
                <c:pt idx="12">
                  <c:v>721.88000000000011</c:v>
                </c:pt>
                <c:pt idx="13">
                  <c:v>4.67</c:v>
                </c:pt>
                <c:pt idx="14">
                  <c:v>150.69</c:v>
                </c:pt>
                <c:pt idx="15">
                  <c:v>41.81</c:v>
                </c:pt>
                <c:pt idx="16">
                  <c:v>38.269999999999996</c:v>
                </c:pt>
                <c:pt idx="17">
                  <c:v>154.51</c:v>
                </c:pt>
                <c:pt idx="18">
                  <c:v>7.0000000000000007E-2</c:v>
                </c:pt>
                <c:pt idx="19">
                  <c:v>278.78000000000003</c:v>
                </c:pt>
                <c:pt idx="20">
                  <c:v>24.45</c:v>
                </c:pt>
                <c:pt idx="21">
                  <c:v>2.92</c:v>
                </c:pt>
                <c:pt idx="22">
                  <c:v>22.23</c:v>
                </c:pt>
                <c:pt idx="23">
                  <c:v>57.43</c:v>
                </c:pt>
                <c:pt idx="24">
                  <c:v>40.36</c:v>
                </c:pt>
                <c:pt idx="25">
                  <c:v>19.829999999999998</c:v>
                </c:pt>
                <c:pt idx="26">
                  <c:v>29.8</c:v>
                </c:pt>
                <c:pt idx="27">
                  <c:v>53.68</c:v>
                </c:pt>
                <c:pt idx="28">
                  <c:v>319.54000000000002</c:v>
                </c:pt>
                <c:pt idx="29">
                  <c:v>0</c:v>
                </c:pt>
                <c:pt idx="30">
                  <c:v>366.07</c:v>
                </c:pt>
                <c:pt idx="31">
                  <c:v>111.58000000000001</c:v>
                </c:pt>
                <c:pt idx="32">
                  <c:v>27.810000000000002</c:v>
                </c:pt>
                <c:pt idx="33">
                  <c:v>86.72</c:v>
                </c:pt>
                <c:pt idx="34">
                  <c:v>13.440000000000001</c:v>
                </c:pt>
              </c:numCache>
            </c:numRef>
          </c:val>
          <c:extLst xmlns:c16r2="http://schemas.microsoft.com/office/drawing/2015/06/chart">
            <c:ext xmlns:c16="http://schemas.microsoft.com/office/drawing/2014/chart" uri="{C3380CC4-5D6E-409C-BE32-E72D297353CC}">
              <c16:uniqueId val="{00000001-9232-4BDD-8FE9-2B319F2E0EED}"/>
            </c:ext>
          </c:extLst>
        </c:ser>
        <c:ser>
          <c:idx val="2"/>
          <c:order val="2"/>
          <c:tx>
            <c:strRef>
              <c:f>Sheet1!$D$3:$D$4</c:f>
              <c:strCache>
                <c:ptCount val="1"/>
                <c:pt idx="0">
                  <c:v> FP</c:v>
                </c:pt>
              </c:strCache>
            </c:strRef>
          </c:tx>
          <c:spPr>
            <a:pattFill prst="smCheck">
              <a:fgClr>
                <a:srgbClr val="00B050"/>
              </a:fgClr>
              <a:bgClr>
                <a:schemeClr val="bg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Sheet1!$D$5:$D$40</c:f>
              <c:numCache>
                <c:formatCode>General</c:formatCode>
                <c:ptCount val="35"/>
                <c:pt idx="0">
                  <c:v>0</c:v>
                </c:pt>
                <c:pt idx="1">
                  <c:v>0</c:v>
                </c:pt>
                <c:pt idx="2">
                  <c:v>0</c:v>
                </c:pt>
                <c:pt idx="3">
                  <c:v>0.79</c:v>
                </c:pt>
                <c:pt idx="4">
                  <c:v>0</c:v>
                </c:pt>
                <c:pt idx="5">
                  <c:v>0</c:v>
                </c:pt>
                <c:pt idx="6">
                  <c:v>0</c:v>
                </c:pt>
                <c:pt idx="7">
                  <c:v>0</c:v>
                </c:pt>
                <c:pt idx="8">
                  <c:v>0</c:v>
                </c:pt>
                <c:pt idx="9">
                  <c:v>0.05</c:v>
                </c:pt>
                <c:pt idx="10">
                  <c:v>0.04</c:v>
                </c:pt>
                <c:pt idx="11">
                  <c:v>0</c:v>
                </c:pt>
                <c:pt idx="12">
                  <c:v>0</c:v>
                </c:pt>
                <c:pt idx="13">
                  <c:v>11.44</c:v>
                </c:pt>
                <c:pt idx="14">
                  <c:v>0</c:v>
                </c:pt>
                <c:pt idx="15">
                  <c:v>3.88</c:v>
                </c:pt>
                <c:pt idx="16">
                  <c:v>0</c:v>
                </c:pt>
                <c:pt idx="17">
                  <c:v>0</c:v>
                </c:pt>
                <c:pt idx="18">
                  <c:v>3.5</c:v>
                </c:pt>
                <c:pt idx="19">
                  <c:v>0</c:v>
                </c:pt>
                <c:pt idx="20">
                  <c:v>0</c:v>
                </c:pt>
                <c:pt idx="21">
                  <c:v>0.02</c:v>
                </c:pt>
                <c:pt idx="22">
                  <c:v>0</c:v>
                </c:pt>
                <c:pt idx="23">
                  <c:v>0</c:v>
                </c:pt>
                <c:pt idx="24">
                  <c:v>0</c:v>
                </c:pt>
                <c:pt idx="25">
                  <c:v>0</c:v>
                </c:pt>
                <c:pt idx="26">
                  <c:v>0.66</c:v>
                </c:pt>
                <c:pt idx="27">
                  <c:v>0.29000000000000004</c:v>
                </c:pt>
                <c:pt idx="28">
                  <c:v>0</c:v>
                </c:pt>
                <c:pt idx="29">
                  <c:v>10.43</c:v>
                </c:pt>
                <c:pt idx="30">
                  <c:v>0</c:v>
                </c:pt>
                <c:pt idx="31">
                  <c:v>0</c:v>
                </c:pt>
                <c:pt idx="32">
                  <c:v>0</c:v>
                </c:pt>
                <c:pt idx="33">
                  <c:v>0</c:v>
                </c:pt>
                <c:pt idx="34">
                  <c:v>26.330000000000005</c:v>
                </c:pt>
              </c:numCache>
            </c:numRef>
          </c:val>
          <c:extLst xmlns:c16r2="http://schemas.microsoft.com/office/drawing/2015/06/chart">
            <c:ext xmlns:c16="http://schemas.microsoft.com/office/drawing/2014/chart" uri="{C3380CC4-5D6E-409C-BE32-E72D297353CC}">
              <c16:uniqueId val="{00000002-9232-4BDD-8FE9-2B319F2E0EED}"/>
            </c:ext>
          </c:extLst>
        </c:ser>
        <c:ser>
          <c:idx val="3"/>
          <c:order val="3"/>
          <c:tx>
            <c:strRef>
              <c:f>Sheet1!$E$3:$E$4</c:f>
              <c:strCache>
                <c:ptCount val="1"/>
                <c:pt idx="0">
                  <c:v> RD</c:v>
                </c:pt>
              </c:strCache>
            </c:strRef>
          </c:tx>
          <c:spPr>
            <a:solidFill>
              <a:srgbClr val="FF0000"/>
            </a:solid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Sheet1!$E$5:$E$40</c:f>
              <c:numCache>
                <c:formatCode>General</c:formatCode>
                <c:ptCount val="35"/>
                <c:pt idx="0">
                  <c:v>1282.33</c:v>
                </c:pt>
                <c:pt idx="1">
                  <c:v>10837.95</c:v>
                </c:pt>
                <c:pt idx="2">
                  <c:v>1260.77</c:v>
                </c:pt>
                <c:pt idx="3">
                  <c:v>13276.199999999999</c:v>
                </c:pt>
                <c:pt idx="4">
                  <c:v>7613.98</c:v>
                </c:pt>
                <c:pt idx="5">
                  <c:v>8423.0500000000011</c:v>
                </c:pt>
                <c:pt idx="6">
                  <c:v>1217.74</c:v>
                </c:pt>
                <c:pt idx="7">
                  <c:v>1479.92</c:v>
                </c:pt>
                <c:pt idx="8">
                  <c:v>9630.3100000000013</c:v>
                </c:pt>
                <c:pt idx="9">
                  <c:v>45845.03</c:v>
                </c:pt>
                <c:pt idx="10">
                  <c:v>6625.37</c:v>
                </c:pt>
                <c:pt idx="11">
                  <c:v>1197.03</c:v>
                </c:pt>
                <c:pt idx="12">
                  <c:v>18621.240000000002</c:v>
                </c:pt>
                <c:pt idx="13">
                  <c:v>24689.499999999996</c:v>
                </c:pt>
                <c:pt idx="14">
                  <c:v>6347.3200000000006</c:v>
                </c:pt>
                <c:pt idx="15">
                  <c:v>28537.140000000003</c:v>
                </c:pt>
                <c:pt idx="16">
                  <c:v>2631.36</c:v>
                </c:pt>
                <c:pt idx="17">
                  <c:v>9468.2300000000014</c:v>
                </c:pt>
                <c:pt idx="18">
                  <c:v>2202.5500000000002</c:v>
                </c:pt>
                <c:pt idx="19">
                  <c:v>29164.560000000009</c:v>
                </c:pt>
                <c:pt idx="20">
                  <c:v>1201.33</c:v>
                </c:pt>
                <c:pt idx="21">
                  <c:v>1193.25</c:v>
                </c:pt>
                <c:pt idx="22">
                  <c:v>1228.55</c:v>
                </c:pt>
                <c:pt idx="23">
                  <c:v>1266.68</c:v>
                </c:pt>
                <c:pt idx="24">
                  <c:v>1153.57</c:v>
                </c:pt>
                <c:pt idx="25">
                  <c:v>1689.88</c:v>
                </c:pt>
                <c:pt idx="26">
                  <c:v>15025.480000000001</c:v>
                </c:pt>
                <c:pt idx="27">
                  <c:v>7470.3</c:v>
                </c:pt>
                <c:pt idx="28">
                  <c:v>19242.560000000001</c:v>
                </c:pt>
                <c:pt idx="29">
                  <c:v>7597.7000000000007</c:v>
                </c:pt>
                <c:pt idx="30">
                  <c:v>9953.36</c:v>
                </c:pt>
                <c:pt idx="31">
                  <c:v>10256.67</c:v>
                </c:pt>
                <c:pt idx="32">
                  <c:v>2459.13</c:v>
                </c:pt>
                <c:pt idx="33">
                  <c:v>4985.4800000000005</c:v>
                </c:pt>
                <c:pt idx="34">
                  <c:v>41178.759999999995</c:v>
                </c:pt>
              </c:numCache>
            </c:numRef>
          </c:val>
          <c:extLst xmlns:c16r2="http://schemas.microsoft.com/office/drawing/2015/06/chart">
            <c:ext xmlns:c16="http://schemas.microsoft.com/office/drawing/2014/chart" uri="{C3380CC4-5D6E-409C-BE32-E72D297353CC}">
              <c16:uniqueId val="{00000003-9232-4BDD-8FE9-2B319F2E0EED}"/>
            </c:ext>
          </c:extLst>
        </c:ser>
        <c:ser>
          <c:idx val="4"/>
          <c:order val="4"/>
          <c:tx>
            <c:strRef>
              <c:f>Sheet1!$F$3:$F$4</c:f>
              <c:strCache>
                <c:ptCount val="1"/>
                <c:pt idx="0">
                  <c:v> RN</c:v>
                </c:pt>
              </c:strCache>
            </c:strRef>
          </c:tx>
          <c:spPr>
            <a:pattFill prst="dkUpDiag">
              <a:fgClr>
                <a:srgbClr val="FF0000"/>
              </a:fgClr>
              <a:bgClr>
                <a:schemeClr val="bg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Sheet1!$F$5:$F$40</c:f>
              <c:numCache>
                <c:formatCode>General</c:formatCode>
                <c:ptCount val="35"/>
                <c:pt idx="0">
                  <c:v>58.15</c:v>
                </c:pt>
                <c:pt idx="1">
                  <c:v>326.16000000000003</c:v>
                </c:pt>
                <c:pt idx="2">
                  <c:v>49.33</c:v>
                </c:pt>
                <c:pt idx="3">
                  <c:v>181.98</c:v>
                </c:pt>
                <c:pt idx="4">
                  <c:v>487.91</c:v>
                </c:pt>
                <c:pt idx="5">
                  <c:v>149.91000000000003</c:v>
                </c:pt>
                <c:pt idx="6">
                  <c:v>64.66</c:v>
                </c:pt>
                <c:pt idx="7">
                  <c:v>154.29</c:v>
                </c:pt>
                <c:pt idx="8">
                  <c:v>341.85</c:v>
                </c:pt>
                <c:pt idx="9">
                  <c:v>1045.97</c:v>
                </c:pt>
                <c:pt idx="10">
                  <c:v>159.84</c:v>
                </c:pt>
                <c:pt idx="11">
                  <c:v>82.65</c:v>
                </c:pt>
                <c:pt idx="12">
                  <c:v>1003.25</c:v>
                </c:pt>
                <c:pt idx="13">
                  <c:v>98.76</c:v>
                </c:pt>
                <c:pt idx="14">
                  <c:v>655.35</c:v>
                </c:pt>
                <c:pt idx="15">
                  <c:v>297.08</c:v>
                </c:pt>
                <c:pt idx="16">
                  <c:v>90.82</c:v>
                </c:pt>
                <c:pt idx="17">
                  <c:v>379.55</c:v>
                </c:pt>
                <c:pt idx="18">
                  <c:v>16.759999999999998</c:v>
                </c:pt>
                <c:pt idx="19">
                  <c:v>743.15000000000009</c:v>
                </c:pt>
                <c:pt idx="20">
                  <c:v>72.14</c:v>
                </c:pt>
                <c:pt idx="21">
                  <c:v>17.87</c:v>
                </c:pt>
                <c:pt idx="22">
                  <c:v>70.06</c:v>
                </c:pt>
                <c:pt idx="23">
                  <c:v>98.83</c:v>
                </c:pt>
                <c:pt idx="24">
                  <c:v>60.23</c:v>
                </c:pt>
                <c:pt idx="25">
                  <c:v>37.950000000000003</c:v>
                </c:pt>
                <c:pt idx="26">
                  <c:v>233.29</c:v>
                </c:pt>
                <c:pt idx="27">
                  <c:v>398.16000000000008</c:v>
                </c:pt>
                <c:pt idx="28">
                  <c:v>900.75999999999976</c:v>
                </c:pt>
                <c:pt idx="29">
                  <c:v>14.61</c:v>
                </c:pt>
                <c:pt idx="30">
                  <c:v>622.6</c:v>
                </c:pt>
                <c:pt idx="31">
                  <c:v>611.26</c:v>
                </c:pt>
                <c:pt idx="32">
                  <c:v>78.889999999999986</c:v>
                </c:pt>
                <c:pt idx="33">
                  <c:v>220.53</c:v>
                </c:pt>
                <c:pt idx="34">
                  <c:v>390.53000000000003</c:v>
                </c:pt>
              </c:numCache>
            </c:numRef>
          </c:val>
          <c:extLst xmlns:c16r2="http://schemas.microsoft.com/office/drawing/2015/06/chart">
            <c:ext xmlns:c16="http://schemas.microsoft.com/office/drawing/2014/chart" uri="{C3380CC4-5D6E-409C-BE32-E72D297353CC}">
              <c16:uniqueId val="{00000004-9232-4BDD-8FE9-2B319F2E0EED}"/>
            </c:ext>
          </c:extLst>
        </c:ser>
        <c:ser>
          <c:idx val="5"/>
          <c:order val="5"/>
          <c:tx>
            <c:strRef>
              <c:f>Sheet1!$G$3:$G$4</c:f>
              <c:strCache>
                <c:ptCount val="1"/>
                <c:pt idx="0">
                  <c:v> RP</c:v>
                </c:pt>
              </c:strCache>
            </c:strRef>
          </c:tx>
          <c:spPr>
            <a:pattFill prst="smCheck">
              <a:fgClr>
                <a:srgbClr val="FF0000"/>
              </a:fgClr>
              <a:bgClr>
                <a:schemeClr val="bg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Sheet1!$G$5:$G$40</c:f>
              <c:numCache>
                <c:formatCode>General</c:formatCode>
                <c:ptCount val="35"/>
                <c:pt idx="0">
                  <c:v>0</c:v>
                </c:pt>
                <c:pt idx="1">
                  <c:v>6.6400000000000006</c:v>
                </c:pt>
                <c:pt idx="2">
                  <c:v>0.02</c:v>
                </c:pt>
                <c:pt idx="3">
                  <c:v>50.79</c:v>
                </c:pt>
                <c:pt idx="4">
                  <c:v>0</c:v>
                </c:pt>
                <c:pt idx="5">
                  <c:v>14.790000000000001</c:v>
                </c:pt>
                <c:pt idx="6">
                  <c:v>0</c:v>
                </c:pt>
                <c:pt idx="7">
                  <c:v>0</c:v>
                </c:pt>
                <c:pt idx="8">
                  <c:v>5.69</c:v>
                </c:pt>
                <c:pt idx="9">
                  <c:v>93.130000000000024</c:v>
                </c:pt>
                <c:pt idx="10">
                  <c:v>19.170000000000002</c:v>
                </c:pt>
                <c:pt idx="11">
                  <c:v>0.52</c:v>
                </c:pt>
                <c:pt idx="12">
                  <c:v>0</c:v>
                </c:pt>
                <c:pt idx="13">
                  <c:v>129.55000000000001</c:v>
                </c:pt>
                <c:pt idx="14">
                  <c:v>4.79</c:v>
                </c:pt>
                <c:pt idx="15">
                  <c:v>110.21000000000004</c:v>
                </c:pt>
                <c:pt idx="16">
                  <c:v>0.28000000000000003</c:v>
                </c:pt>
                <c:pt idx="17">
                  <c:v>0.7400000000000001</c:v>
                </c:pt>
                <c:pt idx="18">
                  <c:v>26.46</c:v>
                </c:pt>
                <c:pt idx="19">
                  <c:v>15.04</c:v>
                </c:pt>
                <c:pt idx="20">
                  <c:v>0.39</c:v>
                </c:pt>
                <c:pt idx="21">
                  <c:v>3.77</c:v>
                </c:pt>
                <c:pt idx="22">
                  <c:v>0.67</c:v>
                </c:pt>
                <c:pt idx="23">
                  <c:v>0</c:v>
                </c:pt>
                <c:pt idx="24">
                  <c:v>0</c:v>
                </c:pt>
                <c:pt idx="25">
                  <c:v>0</c:v>
                </c:pt>
                <c:pt idx="26">
                  <c:v>56.61999999999999</c:v>
                </c:pt>
                <c:pt idx="27">
                  <c:v>36.71</c:v>
                </c:pt>
                <c:pt idx="28">
                  <c:v>8</c:v>
                </c:pt>
                <c:pt idx="29">
                  <c:v>67.67</c:v>
                </c:pt>
                <c:pt idx="30">
                  <c:v>0</c:v>
                </c:pt>
                <c:pt idx="31">
                  <c:v>23.35</c:v>
                </c:pt>
                <c:pt idx="32">
                  <c:v>0.71</c:v>
                </c:pt>
                <c:pt idx="33">
                  <c:v>0.63</c:v>
                </c:pt>
                <c:pt idx="34">
                  <c:v>342.92</c:v>
                </c:pt>
              </c:numCache>
            </c:numRef>
          </c:val>
          <c:extLst xmlns:c16r2="http://schemas.microsoft.com/office/drawing/2015/06/chart">
            <c:ext xmlns:c16="http://schemas.microsoft.com/office/drawing/2014/chart" uri="{C3380CC4-5D6E-409C-BE32-E72D297353CC}">
              <c16:uniqueId val="{00000005-9232-4BDD-8FE9-2B319F2E0EED}"/>
            </c:ext>
          </c:extLst>
        </c:ser>
        <c:ser>
          <c:idx val="6"/>
          <c:order val="6"/>
          <c:tx>
            <c:strRef>
              <c:f>Sheet1!$H$3:$H$4</c:f>
              <c:strCache>
                <c:ptCount val="1"/>
                <c:pt idx="0">
                  <c:v> SD</c:v>
                </c:pt>
              </c:strCache>
            </c:strRef>
          </c:tx>
          <c:spPr>
            <a:solidFill>
              <a:srgbClr val="FFC000"/>
            </a:solid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Sheet1!$H$5:$H$40</c:f>
              <c:numCache>
                <c:formatCode>General</c:formatCode>
                <c:ptCount val="35"/>
                <c:pt idx="0">
                  <c:v>1722.6</c:v>
                </c:pt>
                <c:pt idx="1">
                  <c:v>11712.34</c:v>
                </c:pt>
                <c:pt idx="2">
                  <c:v>1551.74</c:v>
                </c:pt>
                <c:pt idx="3">
                  <c:v>14466.5</c:v>
                </c:pt>
                <c:pt idx="4">
                  <c:v>9563.91</c:v>
                </c:pt>
                <c:pt idx="5">
                  <c:v>9803.66</c:v>
                </c:pt>
                <c:pt idx="6">
                  <c:v>1563.64</c:v>
                </c:pt>
                <c:pt idx="7">
                  <c:v>1714.52</c:v>
                </c:pt>
                <c:pt idx="8">
                  <c:v>10702.68</c:v>
                </c:pt>
                <c:pt idx="9">
                  <c:v>50688.079999999987</c:v>
                </c:pt>
                <c:pt idx="10">
                  <c:v>7010.6999999999989</c:v>
                </c:pt>
                <c:pt idx="11">
                  <c:v>1312.2</c:v>
                </c:pt>
                <c:pt idx="12">
                  <c:v>23192.69</c:v>
                </c:pt>
                <c:pt idx="13">
                  <c:v>30084.160000000003</c:v>
                </c:pt>
                <c:pt idx="14">
                  <c:v>6949.34</c:v>
                </c:pt>
                <c:pt idx="15">
                  <c:v>33185.760000000002</c:v>
                </c:pt>
                <c:pt idx="16">
                  <c:v>3227.2799999999997</c:v>
                </c:pt>
                <c:pt idx="17">
                  <c:v>10709.83</c:v>
                </c:pt>
                <c:pt idx="18">
                  <c:v>2321.3900000000003</c:v>
                </c:pt>
                <c:pt idx="19">
                  <c:v>36956.339999999997</c:v>
                </c:pt>
                <c:pt idx="20">
                  <c:v>1311.23</c:v>
                </c:pt>
                <c:pt idx="21">
                  <c:v>1328.85</c:v>
                </c:pt>
                <c:pt idx="22">
                  <c:v>1314.07</c:v>
                </c:pt>
                <c:pt idx="23">
                  <c:v>1545.63</c:v>
                </c:pt>
                <c:pt idx="24">
                  <c:v>1594.01</c:v>
                </c:pt>
                <c:pt idx="25">
                  <c:v>1867.93</c:v>
                </c:pt>
                <c:pt idx="26">
                  <c:v>15906.63</c:v>
                </c:pt>
                <c:pt idx="27">
                  <c:v>8530.81</c:v>
                </c:pt>
                <c:pt idx="28">
                  <c:v>21476.570000000003</c:v>
                </c:pt>
                <c:pt idx="29">
                  <c:v>9484.73</c:v>
                </c:pt>
                <c:pt idx="30">
                  <c:v>12187.51</c:v>
                </c:pt>
                <c:pt idx="31">
                  <c:v>10707.439999999999</c:v>
                </c:pt>
                <c:pt idx="32">
                  <c:v>2961.04</c:v>
                </c:pt>
                <c:pt idx="33">
                  <c:v>5556.5</c:v>
                </c:pt>
                <c:pt idx="34">
                  <c:v>45871.22</c:v>
                </c:pt>
              </c:numCache>
            </c:numRef>
          </c:val>
          <c:extLst xmlns:c16r2="http://schemas.microsoft.com/office/drawing/2015/06/chart">
            <c:ext xmlns:c16="http://schemas.microsoft.com/office/drawing/2014/chart" uri="{C3380CC4-5D6E-409C-BE32-E72D297353CC}">
              <c16:uniqueId val="{00000006-9232-4BDD-8FE9-2B319F2E0EED}"/>
            </c:ext>
          </c:extLst>
        </c:ser>
        <c:ser>
          <c:idx val="7"/>
          <c:order val="7"/>
          <c:tx>
            <c:strRef>
              <c:f>Sheet1!$I$3:$I$4</c:f>
              <c:strCache>
                <c:ptCount val="1"/>
                <c:pt idx="0">
                  <c:v> SN</c:v>
                </c:pt>
              </c:strCache>
            </c:strRef>
          </c:tx>
          <c:spPr>
            <a:pattFill prst="dkUpDiag">
              <a:fgClr>
                <a:srgbClr val="FFC000"/>
              </a:fgClr>
              <a:bgClr>
                <a:schemeClr val="tx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Sheet1!$I$5:$I$40</c:f>
              <c:numCache>
                <c:formatCode>General</c:formatCode>
                <c:ptCount val="35"/>
                <c:pt idx="0">
                  <c:v>104.29</c:v>
                </c:pt>
                <c:pt idx="1">
                  <c:v>539.26</c:v>
                </c:pt>
                <c:pt idx="2">
                  <c:v>86.31</c:v>
                </c:pt>
                <c:pt idx="3">
                  <c:v>383.15000000000003</c:v>
                </c:pt>
                <c:pt idx="4">
                  <c:v>844.69</c:v>
                </c:pt>
                <c:pt idx="5">
                  <c:v>291.58000000000004</c:v>
                </c:pt>
                <c:pt idx="6">
                  <c:v>110.49</c:v>
                </c:pt>
                <c:pt idx="7">
                  <c:v>220.49</c:v>
                </c:pt>
                <c:pt idx="8">
                  <c:v>560.94999999999993</c:v>
                </c:pt>
                <c:pt idx="9">
                  <c:v>1940.6499999999999</c:v>
                </c:pt>
                <c:pt idx="10">
                  <c:v>287.98</c:v>
                </c:pt>
                <c:pt idx="11">
                  <c:v>128.41</c:v>
                </c:pt>
                <c:pt idx="12">
                  <c:v>1667.9899999999998</c:v>
                </c:pt>
                <c:pt idx="13">
                  <c:v>249.35</c:v>
                </c:pt>
                <c:pt idx="14">
                  <c:v>981.73</c:v>
                </c:pt>
                <c:pt idx="15">
                  <c:v>640.54</c:v>
                </c:pt>
                <c:pt idx="16">
                  <c:v>159.62</c:v>
                </c:pt>
                <c:pt idx="17">
                  <c:v>625.97</c:v>
                </c:pt>
                <c:pt idx="18">
                  <c:v>49.86</c:v>
                </c:pt>
                <c:pt idx="19">
                  <c:v>1354.89</c:v>
                </c:pt>
                <c:pt idx="20">
                  <c:v>107.65</c:v>
                </c:pt>
                <c:pt idx="21">
                  <c:v>38.130000000000003</c:v>
                </c:pt>
                <c:pt idx="22">
                  <c:v>107.83</c:v>
                </c:pt>
                <c:pt idx="23">
                  <c:v>163.44</c:v>
                </c:pt>
                <c:pt idx="24">
                  <c:v>110.1</c:v>
                </c:pt>
                <c:pt idx="25">
                  <c:v>63.36</c:v>
                </c:pt>
                <c:pt idx="26">
                  <c:v>474.80999999999995</c:v>
                </c:pt>
                <c:pt idx="27">
                  <c:v>714.43</c:v>
                </c:pt>
                <c:pt idx="28">
                  <c:v>1446.9099999999996</c:v>
                </c:pt>
                <c:pt idx="29">
                  <c:v>54.15</c:v>
                </c:pt>
                <c:pt idx="30">
                  <c:v>1038.8200000000002</c:v>
                </c:pt>
                <c:pt idx="31">
                  <c:v>980.09000000000015</c:v>
                </c:pt>
                <c:pt idx="32">
                  <c:v>137.26</c:v>
                </c:pt>
                <c:pt idx="33">
                  <c:v>355.19</c:v>
                </c:pt>
                <c:pt idx="34">
                  <c:v>997.71000000000026</c:v>
                </c:pt>
              </c:numCache>
            </c:numRef>
          </c:val>
          <c:extLst xmlns:c16r2="http://schemas.microsoft.com/office/drawing/2015/06/chart">
            <c:ext xmlns:c16="http://schemas.microsoft.com/office/drawing/2014/chart" uri="{C3380CC4-5D6E-409C-BE32-E72D297353CC}">
              <c16:uniqueId val="{00000007-9232-4BDD-8FE9-2B319F2E0EED}"/>
            </c:ext>
          </c:extLst>
        </c:ser>
        <c:ser>
          <c:idx val="8"/>
          <c:order val="8"/>
          <c:tx>
            <c:strRef>
              <c:f>Sheet1!$J$3:$J$4</c:f>
              <c:strCache>
                <c:ptCount val="1"/>
                <c:pt idx="0">
                  <c:v> SP</c:v>
                </c:pt>
              </c:strCache>
            </c:strRef>
          </c:tx>
          <c:spPr>
            <a:pattFill prst="smCheck">
              <a:fgClr>
                <a:srgbClr val="FFC000"/>
              </a:fgClr>
              <a:bgClr>
                <a:schemeClr val="tx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Sheet1!$J$5:$J$40</c:f>
              <c:numCache>
                <c:formatCode>General</c:formatCode>
                <c:ptCount val="35"/>
                <c:pt idx="0">
                  <c:v>265.87</c:v>
                </c:pt>
                <c:pt idx="1">
                  <c:v>1672.2299999999996</c:v>
                </c:pt>
                <c:pt idx="2">
                  <c:v>236.19</c:v>
                </c:pt>
                <c:pt idx="3">
                  <c:v>1870.66</c:v>
                </c:pt>
                <c:pt idx="4">
                  <c:v>1462.1999999999998</c:v>
                </c:pt>
                <c:pt idx="5">
                  <c:v>1383.2600000000002</c:v>
                </c:pt>
                <c:pt idx="6">
                  <c:v>236.23</c:v>
                </c:pt>
                <c:pt idx="7">
                  <c:v>278.75</c:v>
                </c:pt>
                <c:pt idx="8">
                  <c:v>1477.5500000000002</c:v>
                </c:pt>
                <c:pt idx="9">
                  <c:v>6753.11</c:v>
                </c:pt>
                <c:pt idx="10">
                  <c:v>939.87000000000012</c:v>
                </c:pt>
                <c:pt idx="11">
                  <c:v>178.33</c:v>
                </c:pt>
                <c:pt idx="12">
                  <c:v>3677.5999999999995</c:v>
                </c:pt>
                <c:pt idx="13">
                  <c:v>4094.59</c:v>
                </c:pt>
                <c:pt idx="14">
                  <c:v>934.91</c:v>
                </c:pt>
                <c:pt idx="15">
                  <c:v>4401.5</c:v>
                </c:pt>
                <c:pt idx="16">
                  <c:v>485.03999999999996</c:v>
                </c:pt>
                <c:pt idx="17">
                  <c:v>1598.49</c:v>
                </c:pt>
                <c:pt idx="18">
                  <c:v>258.85000000000002</c:v>
                </c:pt>
                <c:pt idx="19">
                  <c:v>5505.52</c:v>
                </c:pt>
                <c:pt idx="20">
                  <c:v>184.2</c:v>
                </c:pt>
                <c:pt idx="21">
                  <c:v>171.51</c:v>
                </c:pt>
                <c:pt idx="22">
                  <c:v>181.62</c:v>
                </c:pt>
                <c:pt idx="23">
                  <c:v>231.88</c:v>
                </c:pt>
                <c:pt idx="24">
                  <c:v>236.71</c:v>
                </c:pt>
                <c:pt idx="25">
                  <c:v>291.22000000000003</c:v>
                </c:pt>
                <c:pt idx="26">
                  <c:v>2042.7099999999998</c:v>
                </c:pt>
                <c:pt idx="27">
                  <c:v>1065.1400000000001</c:v>
                </c:pt>
                <c:pt idx="28">
                  <c:v>2977.6500000000005</c:v>
                </c:pt>
                <c:pt idx="29">
                  <c:v>1215.21</c:v>
                </c:pt>
                <c:pt idx="30">
                  <c:v>1876.6999999999998</c:v>
                </c:pt>
                <c:pt idx="31">
                  <c:v>1393.8200000000002</c:v>
                </c:pt>
                <c:pt idx="32">
                  <c:v>443.25</c:v>
                </c:pt>
                <c:pt idx="33">
                  <c:v>802.35</c:v>
                </c:pt>
                <c:pt idx="34">
                  <c:v>5423.7999999999993</c:v>
                </c:pt>
              </c:numCache>
            </c:numRef>
          </c:val>
          <c:extLst xmlns:c16r2="http://schemas.microsoft.com/office/drawing/2015/06/chart">
            <c:ext xmlns:c16="http://schemas.microsoft.com/office/drawing/2014/chart" uri="{C3380CC4-5D6E-409C-BE32-E72D297353CC}">
              <c16:uniqueId val="{00000008-9232-4BDD-8FE9-2B319F2E0EED}"/>
            </c:ext>
          </c:extLst>
        </c:ser>
        <c:ser>
          <c:idx val="9"/>
          <c:order val="9"/>
          <c:tx>
            <c:strRef>
              <c:f>Sheet1!$K$3:$K$4</c:f>
              <c:strCache>
                <c:ptCount val="1"/>
                <c:pt idx="0">
                  <c:v> WD</c:v>
                </c:pt>
              </c:strCache>
            </c:strRef>
          </c:tx>
          <c:spPr>
            <a:solidFill>
              <a:srgbClr val="00B0F0"/>
            </a:solid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Sheet1!$K$5:$K$40</c:f>
              <c:numCache>
                <c:formatCode>General</c:formatCode>
                <c:ptCount val="35"/>
                <c:pt idx="0">
                  <c:v>1230.72</c:v>
                </c:pt>
                <c:pt idx="1">
                  <c:v>8006.7800000000007</c:v>
                </c:pt>
                <c:pt idx="2">
                  <c:v>894.1</c:v>
                </c:pt>
                <c:pt idx="3">
                  <c:v>7619.2699999999995</c:v>
                </c:pt>
                <c:pt idx="4">
                  <c:v>6199.75</c:v>
                </c:pt>
                <c:pt idx="5">
                  <c:v>6287.43</c:v>
                </c:pt>
                <c:pt idx="6">
                  <c:v>962.81</c:v>
                </c:pt>
                <c:pt idx="7">
                  <c:v>1817.45</c:v>
                </c:pt>
                <c:pt idx="8">
                  <c:v>5261.8899999999994</c:v>
                </c:pt>
                <c:pt idx="9">
                  <c:v>24426.959999999995</c:v>
                </c:pt>
                <c:pt idx="10">
                  <c:v>2409.81</c:v>
                </c:pt>
                <c:pt idx="11">
                  <c:v>453.38</c:v>
                </c:pt>
                <c:pt idx="12">
                  <c:v>18158.859999999997</c:v>
                </c:pt>
                <c:pt idx="13">
                  <c:v>27911.26</c:v>
                </c:pt>
                <c:pt idx="14">
                  <c:v>1865.56</c:v>
                </c:pt>
                <c:pt idx="15">
                  <c:v>22352.19</c:v>
                </c:pt>
                <c:pt idx="16">
                  <c:v>2076.35</c:v>
                </c:pt>
                <c:pt idx="17">
                  <c:v>5974.7999999999993</c:v>
                </c:pt>
                <c:pt idx="18">
                  <c:v>1400.71</c:v>
                </c:pt>
                <c:pt idx="19">
                  <c:v>28090.35</c:v>
                </c:pt>
                <c:pt idx="20">
                  <c:v>471.83</c:v>
                </c:pt>
                <c:pt idx="21">
                  <c:v>657.85</c:v>
                </c:pt>
                <c:pt idx="22">
                  <c:v>448.16</c:v>
                </c:pt>
                <c:pt idx="23">
                  <c:v>747.9</c:v>
                </c:pt>
                <c:pt idx="24">
                  <c:v>1061.1099999999999</c:v>
                </c:pt>
                <c:pt idx="25">
                  <c:v>1807.93</c:v>
                </c:pt>
                <c:pt idx="26">
                  <c:v>7696.0199999999986</c:v>
                </c:pt>
                <c:pt idx="27">
                  <c:v>1730.73</c:v>
                </c:pt>
                <c:pt idx="28">
                  <c:v>9291.6500000000015</c:v>
                </c:pt>
                <c:pt idx="29">
                  <c:v>8880.24</c:v>
                </c:pt>
                <c:pt idx="30">
                  <c:v>7398.7100000000009</c:v>
                </c:pt>
                <c:pt idx="31">
                  <c:v>3183.2400000000002</c:v>
                </c:pt>
                <c:pt idx="32">
                  <c:v>1995.06</c:v>
                </c:pt>
                <c:pt idx="33">
                  <c:v>3014.6000000000004</c:v>
                </c:pt>
                <c:pt idx="34">
                  <c:v>25240.340000000004</c:v>
                </c:pt>
              </c:numCache>
            </c:numRef>
          </c:val>
          <c:extLst xmlns:c16r2="http://schemas.microsoft.com/office/drawing/2015/06/chart">
            <c:ext xmlns:c16="http://schemas.microsoft.com/office/drawing/2014/chart" uri="{C3380CC4-5D6E-409C-BE32-E72D297353CC}">
              <c16:uniqueId val="{00000009-9232-4BDD-8FE9-2B319F2E0EED}"/>
            </c:ext>
          </c:extLst>
        </c:ser>
        <c:ser>
          <c:idx val="10"/>
          <c:order val="10"/>
          <c:tx>
            <c:strRef>
              <c:f>Sheet1!$L$3:$L$4</c:f>
              <c:strCache>
                <c:ptCount val="1"/>
                <c:pt idx="0">
                  <c:v> WN</c:v>
                </c:pt>
              </c:strCache>
            </c:strRef>
          </c:tx>
          <c:spPr>
            <a:pattFill prst="dkUpDiag">
              <a:fgClr>
                <a:srgbClr val="00B0F0"/>
              </a:fgClr>
              <a:bgClr>
                <a:schemeClr val="bg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Sheet1!$L$5:$L$40</c:f>
              <c:numCache>
                <c:formatCode>General</c:formatCode>
                <c:ptCount val="35"/>
                <c:pt idx="0">
                  <c:v>3.64</c:v>
                </c:pt>
                <c:pt idx="1">
                  <c:v>4.04</c:v>
                </c:pt>
                <c:pt idx="2">
                  <c:v>1.72</c:v>
                </c:pt>
                <c:pt idx="3">
                  <c:v>0</c:v>
                </c:pt>
                <c:pt idx="4">
                  <c:v>57.55</c:v>
                </c:pt>
                <c:pt idx="5">
                  <c:v>0.06</c:v>
                </c:pt>
                <c:pt idx="6">
                  <c:v>4.12</c:v>
                </c:pt>
                <c:pt idx="7">
                  <c:v>71.540000000000006</c:v>
                </c:pt>
                <c:pt idx="8">
                  <c:v>3.89</c:v>
                </c:pt>
                <c:pt idx="9">
                  <c:v>1.6600000000000001</c:v>
                </c:pt>
                <c:pt idx="10">
                  <c:v>0.06</c:v>
                </c:pt>
                <c:pt idx="11">
                  <c:v>1.84</c:v>
                </c:pt>
                <c:pt idx="12">
                  <c:v>151.53</c:v>
                </c:pt>
                <c:pt idx="13">
                  <c:v>0</c:v>
                </c:pt>
                <c:pt idx="14">
                  <c:v>12.83</c:v>
                </c:pt>
                <c:pt idx="15">
                  <c:v>0.03</c:v>
                </c:pt>
                <c:pt idx="16">
                  <c:v>2.2599999999999998</c:v>
                </c:pt>
                <c:pt idx="17">
                  <c:v>10.23</c:v>
                </c:pt>
                <c:pt idx="18">
                  <c:v>0</c:v>
                </c:pt>
                <c:pt idx="19">
                  <c:v>11.210000000000003</c:v>
                </c:pt>
                <c:pt idx="20">
                  <c:v>1.7</c:v>
                </c:pt>
                <c:pt idx="21">
                  <c:v>0</c:v>
                </c:pt>
                <c:pt idx="22">
                  <c:v>1.5</c:v>
                </c:pt>
                <c:pt idx="23">
                  <c:v>9.52</c:v>
                </c:pt>
                <c:pt idx="24">
                  <c:v>4.95</c:v>
                </c:pt>
                <c:pt idx="25">
                  <c:v>1.26</c:v>
                </c:pt>
                <c:pt idx="26">
                  <c:v>0</c:v>
                </c:pt>
                <c:pt idx="27">
                  <c:v>0.31</c:v>
                </c:pt>
                <c:pt idx="28">
                  <c:v>18.830000000000002</c:v>
                </c:pt>
                <c:pt idx="29">
                  <c:v>0</c:v>
                </c:pt>
                <c:pt idx="30">
                  <c:v>47.120000000000005</c:v>
                </c:pt>
                <c:pt idx="31">
                  <c:v>2.63</c:v>
                </c:pt>
                <c:pt idx="32">
                  <c:v>1.44</c:v>
                </c:pt>
                <c:pt idx="33">
                  <c:v>5.6400000000000006</c:v>
                </c:pt>
                <c:pt idx="34">
                  <c:v>0</c:v>
                </c:pt>
              </c:numCache>
            </c:numRef>
          </c:val>
          <c:extLst xmlns:c16r2="http://schemas.microsoft.com/office/drawing/2015/06/chart">
            <c:ext xmlns:c16="http://schemas.microsoft.com/office/drawing/2014/chart" uri="{C3380CC4-5D6E-409C-BE32-E72D297353CC}">
              <c16:uniqueId val="{0000000A-9232-4BDD-8FE9-2B319F2E0EED}"/>
            </c:ext>
          </c:extLst>
        </c:ser>
        <c:ser>
          <c:idx val="11"/>
          <c:order val="11"/>
          <c:tx>
            <c:strRef>
              <c:f>Sheet1!$M$3:$M$4</c:f>
              <c:strCache>
                <c:ptCount val="1"/>
                <c:pt idx="0">
                  <c:v> WP</c:v>
                </c:pt>
              </c:strCache>
            </c:strRef>
          </c:tx>
          <c:spPr>
            <a:pattFill prst="smCheck">
              <a:fgClr>
                <a:srgbClr val="00B0F0"/>
              </a:fgClr>
              <a:bgClr>
                <a:schemeClr val="bg1"/>
              </a:bgClr>
            </a:pattFill>
          </c:spPr>
          <c:invertIfNegative val="0"/>
          <c:cat>
            <c:strRef>
              <c:f>Sheet1!$A$5:$A$40</c:f>
              <c:strCache>
                <c:ptCount val="35"/>
                <c:pt idx="0">
                  <c:v>AL</c:v>
                </c:pt>
                <c:pt idx="1">
                  <c:v>AT</c:v>
                </c:pt>
                <c:pt idx="2">
                  <c:v>BA</c:v>
                </c:pt>
                <c:pt idx="3">
                  <c:v>BE</c:v>
                </c:pt>
                <c:pt idx="4">
                  <c:v>BG</c:v>
                </c:pt>
                <c:pt idx="5">
                  <c:v>CH</c:v>
                </c:pt>
                <c:pt idx="6">
                  <c:v>CS</c:v>
                </c:pt>
                <c:pt idx="7">
                  <c:v>CY</c:v>
                </c:pt>
                <c:pt idx="8">
                  <c:v>CZ</c:v>
                </c:pt>
                <c:pt idx="9">
                  <c:v>DE</c:v>
                </c:pt>
                <c:pt idx="10">
                  <c:v>DK</c:v>
                </c:pt>
                <c:pt idx="11">
                  <c:v>EE</c:v>
                </c:pt>
                <c:pt idx="12">
                  <c:v>EL</c:v>
                </c:pt>
                <c:pt idx="13">
                  <c:v>ES</c:v>
                </c:pt>
                <c:pt idx="14">
                  <c:v>FI</c:v>
                </c:pt>
                <c:pt idx="15">
                  <c:v>FR</c:v>
                </c:pt>
                <c:pt idx="16">
                  <c:v>HR</c:v>
                </c:pt>
                <c:pt idx="17">
                  <c:v>HU</c:v>
                </c:pt>
                <c:pt idx="18">
                  <c:v>IE</c:v>
                </c:pt>
                <c:pt idx="19">
                  <c:v>IT</c:v>
                </c:pt>
                <c:pt idx="20">
                  <c:v>LT</c:v>
                </c:pt>
                <c:pt idx="21">
                  <c:v>LU</c:v>
                </c:pt>
                <c:pt idx="22">
                  <c:v>LV</c:v>
                </c:pt>
                <c:pt idx="23">
                  <c:v>MD</c:v>
                </c:pt>
                <c:pt idx="24">
                  <c:v>MK</c:v>
                </c:pt>
                <c:pt idx="25">
                  <c:v>MT</c:v>
                </c:pt>
                <c:pt idx="26">
                  <c:v>NL</c:v>
                </c:pt>
                <c:pt idx="27">
                  <c:v>NO</c:v>
                </c:pt>
                <c:pt idx="28">
                  <c:v>PL</c:v>
                </c:pt>
                <c:pt idx="29">
                  <c:v>PT</c:v>
                </c:pt>
                <c:pt idx="30">
                  <c:v>RO</c:v>
                </c:pt>
                <c:pt idx="31">
                  <c:v>SE</c:v>
                </c:pt>
                <c:pt idx="32">
                  <c:v>SI</c:v>
                </c:pt>
                <c:pt idx="33">
                  <c:v>SK</c:v>
                </c:pt>
                <c:pt idx="34">
                  <c:v>UK</c:v>
                </c:pt>
              </c:strCache>
            </c:strRef>
          </c:cat>
          <c:val>
            <c:numRef>
              <c:f>Sheet1!$M$5:$M$40</c:f>
              <c:numCache>
                <c:formatCode>General</c:formatCode>
                <c:ptCount val="35"/>
                <c:pt idx="0">
                  <c:v>0</c:v>
                </c:pt>
                <c:pt idx="1">
                  <c:v>0</c:v>
                </c:pt>
                <c:pt idx="2">
                  <c:v>0</c:v>
                </c:pt>
                <c:pt idx="3">
                  <c:v>0</c:v>
                </c:pt>
                <c:pt idx="4">
                  <c:v>0</c:v>
                </c:pt>
                <c:pt idx="5">
                  <c:v>0</c:v>
                </c:pt>
                <c:pt idx="6">
                  <c:v>0</c:v>
                </c:pt>
                <c:pt idx="7">
                  <c:v>0</c:v>
                </c:pt>
                <c:pt idx="8">
                  <c:v>0</c:v>
                </c:pt>
                <c:pt idx="9">
                  <c:v>0</c:v>
                </c:pt>
                <c:pt idx="10">
                  <c:v>0</c:v>
                </c:pt>
                <c:pt idx="11">
                  <c:v>0</c:v>
                </c:pt>
                <c:pt idx="12">
                  <c:v>0</c:v>
                </c:pt>
                <c:pt idx="13">
                  <c:v>0.78</c:v>
                </c:pt>
                <c:pt idx="14">
                  <c:v>0</c:v>
                </c:pt>
                <c:pt idx="15">
                  <c:v>0</c:v>
                </c:pt>
                <c:pt idx="16">
                  <c:v>0</c:v>
                </c:pt>
                <c:pt idx="17">
                  <c:v>0</c:v>
                </c:pt>
                <c:pt idx="18">
                  <c:v>0.13</c:v>
                </c:pt>
                <c:pt idx="19">
                  <c:v>0</c:v>
                </c:pt>
                <c:pt idx="20">
                  <c:v>0</c:v>
                </c:pt>
                <c:pt idx="21">
                  <c:v>0</c:v>
                </c:pt>
                <c:pt idx="22">
                  <c:v>0</c:v>
                </c:pt>
                <c:pt idx="23">
                  <c:v>0</c:v>
                </c:pt>
                <c:pt idx="24">
                  <c:v>0</c:v>
                </c:pt>
                <c:pt idx="25">
                  <c:v>0</c:v>
                </c:pt>
                <c:pt idx="26">
                  <c:v>0</c:v>
                </c:pt>
                <c:pt idx="27">
                  <c:v>0</c:v>
                </c:pt>
                <c:pt idx="28">
                  <c:v>0</c:v>
                </c:pt>
                <c:pt idx="29">
                  <c:v>2.62</c:v>
                </c:pt>
                <c:pt idx="30">
                  <c:v>0</c:v>
                </c:pt>
                <c:pt idx="31">
                  <c:v>0</c:v>
                </c:pt>
                <c:pt idx="32">
                  <c:v>0</c:v>
                </c:pt>
                <c:pt idx="33">
                  <c:v>0</c:v>
                </c:pt>
                <c:pt idx="34">
                  <c:v>0.03</c:v>
                </c:pt>
              </c:numCache>
            </c:numRef>
          </c:val>
          <c:extLst xmlns:c16r2="http://schemas.microsoft.com/office/drawing/2015/06/chart">
            <c:ext xmlns:c16="http://schemas.microsoft.com/office/drawing/2014/chart" uri="{C3380CC4-5D6E-409C-BE32-E72D297353CC}">
              <c16:uniqueId val="{0000000B-9232-4BDD-8FE9-2B319F2E0EED}"/>
            </c:ext>
          </c:extLst>
        </c:ser>
        <c:dLbls>
          <c:showLegendKey val="0"/>
          <c:showVal val="0"/>
          <c:showCatName val="0"/>
          <c:showSerName val="0"/>
          <c:showPercent val="0"/>
          <c:showBubbleSize val="0"/>
        </c:dLbls>
        <c:gapWidth val="28"/>
        <c:overlap val="100"/>
        <c:axId val="385930752"/>
        <c:axId val="385932672"/>
      </c:barChart>
      <c:catAx>
        <c:axId val="385930752"/>
        <c:scaling>
          <c:orientation val="minMax"/>
        </c:scaling>
        <c:delete val="0"/>
        <c:axPos val="b"/>
        <c:numFmt formatCode="General" sourceLinked="0"/>
        <c:majorTickMark val="out"/>
        <c:minorTickMark val="none"/>
        <c:tickLblPos val="nextTo"/>
        <c:crossAx val="385932672"/>
        <c:crosses val="autoZero"/>
        <c:auto val="1"/>
        <c:lblAlgn val="ctr"/>
        <c:lblOffset val="100"/>
        <c:noMultiLvlLbl val="0"/>
      </c:catAx>
      <c:valAx>
        <c:axId val="385932672"/>
        <c:scaling>
          <c:orientation val="minMax"/>
        </c:scaling>
        <c:delete val="0"/>
        <c:axPos val="l"/>
        <c:majorGridlines/>
        <c:numFmt formatCode="General" sourceLinked="1"/>
        <c:majorTickMark val="out"/>
        <c:minorTickMark val="none"/>
        <c:tickLblPos val="nextTo"/>
        <c:crossAx val="385930752"/>
        <c:crosses val="autoZero"/>
        <c:crossBetween val="between"/>
      </c:valAx>
    </c:plotArea>
    <c:legend>
      <c:legendPos val="r"/>
      <c:layout/>
      <c:overlay val="0"/>
    </c:legend>
    <c:plotVisOnly val="1"/>
    <c:dispBlanksAs val="gap"/>
    <c:showDLblsOverMax val="0"/>
  </c:chart>
  <c:externalData r:id="rId1">
    <c:autoUpdate val="0"/>
  </c:externalData>
  <c:extLst xmlns:c16r2="http://schemas.microsoft.com/office/drawing/2015/06/char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734015886903026"/>
          <c:y val="7.6390746800896997E-2"/>
          <c:w val="0.51051292199586173"/>
          <c:h val="0.69710593467483228"/>
        </c:manualLayout>
      </c:layout>
      <c:scatterChart>
        <c:scatterStyle val="smoothMarker"/>
        <c:varyColors val="0"/>
        <c:ser>
          <c:idx val="0"/>
          <c:order val="0"/>
          <c:tx>
            <c:strRef>
              <c:f>ThermalCollectors!$B$108</c:f>
              <c:strCache>
                <c:ptCount val="1"/>
                <c:pt idx="0">
                  <c:v>flat collector</c:v>
                </c:pt>
              </c:strCache>
            </c:strRef>
          </c:tx>
          <c:spPr>
            <a:ln>
              <a:solidFill>
                <a:srgbClr val="FFC000"/>
              </a:solidFill>
              <a:prstDash val="sysDash"/>
            </a:ln>
          </c:spPr>
          <c:marker>
            <c:symbol val="none"/>
          </c:marker>
          <c:xVal>
            <c:numRef>
              <c:f>ThermalCollectors!$A$109:$A$120</c:f>
              <c:numCache>
                <c:formatCode>General</c:formatCode>
                <c:ptCount val="12"/>
                <c:pt idx="0">
                  <c:v>0</c:v>
                </c:pt>
                <c:pt idx="1">
                  <c:v>25</c:v>
                </c:pt>
                <c:pt idx="2">
                  <c:v>50</c:v>
                </c:pt>
                <c:pt idx="3">
                  <c:v>75</c:v>
                </c:pt>
                <c:pt idx="4">
                  <c:v>100</c:v>
                </c:pt>
                <c:pt idx="5">
                  <c:v>125</c:v>
                </c:pt>
                <c:pt idx="6">
                  <c:v>150</c:v>
                </c:pt>
                <c:pt idx="7">
                  <c:v>175</c:v>
                </c:pt>
                <c:pt idx="8">
                  <c:v>200</c:v>
                </c:pt>
                <c:pt idx="9">
                  <c:v>225</c:v>
                </c:pt>
                <c:pt idx="10">
                  <c:v>250</c:v>
                </c:pt>
                <c:pt idx="11">
                  <c:v>275</c:v>
                </c:pt>
              </c:numCache>
            </c:numRef>
          </c:xVal>
          <c:yVal>
            <c:numRef>
              <c:f>ThermalCollectors!$B$109:$B$120</c:f>
              <c:numCache>
                <c:formatCode>0%</c:formatCode>
                <c:ptCount val="12"/>
                <c:pt idx="0">
                  <c:v>0.85</c:v>
                </c:pt>
                <c:pt idx="1">
                  <c:v>0.71718749999999998</c:v>
                </c:pt>
                <c:pt idx="2">
                  <c:v>0.58437499999999998</c:v>
                </c:pt>
                <c:pt idx="3">
                  <c:v>0.45156250000000003</c:v>
                </c:pt>
                <c:pt idx="4">
                  <c:v>0.31874999999999998</c:v>
                </c:pt>
                <c:pt idx="5">
                  <c:v>0.18593750000000009</c:v>
                </c:pt>
                <c:pt idx="6">
                  <c:v>5.3125000000000089E-2</c:v>
                </c:pt>
                <c:pt idx="7">
                  <c:v>-7.9687499999999911E-2</c:v>
                </c:pt>
                <c:pt idx="8">
                  <c:v>-0.21250000000000002</c:v>
                </c:pt>
                <c:pt idx="9">
                  <c:v>-0.34531250000000002</c:v>
                </c:pt>
                <c:pt idx="10">
                  <c:v>-0.4781249999999998</c:v>
                </c:pt>
                <c:pt idx="11">
                  <c:v>-0.6109374999999998</c:v>
                </c:pt>
              </c:numCache>
            </c:numRef>
          </c:yVal>
          <c:smooth val="1"/>
          <c:extLst xmlns:c16r2="http://schemas.microsoft.com/office/drawing/2015/06/chart">
            <c:ext xmlns:c16="http://schemas.microsoft.com/office/drawing/2014/chart" uri="{C3380CC4-5D6E-409C-BE32-E72D297353CC}">
              <c16:uniqueId val="{00000000-4432-476B-9E2F-3CCA2E7CA5FC}"/>
            </c:ext>
          </c:extLst>
        </c:ser>
        <c:ser>
          <c:idx val="1"/>
          <c:order val="1"/>
          <c:tx>
            <c:strRef>
              <c:f>ThermalCollectors!$C$108</c:f>
              <c:strCache>
                <c:ptCount val="1"/>
                <c:pt idx="0">
                  <c:v>vacuum collector</c:v>
                </c:pt>
              </c:strCache>
            </c:strRef>
          </c:tx>
          <c:spPr>
            <a:ln>
              <a:solidFill>
                <a:srgbClr val="C00000"/>
              </a:solidFill>
              <a:prstDash val="sysDash"/>
            </a:ln>
          </c:spPr>
          <c:marker>
            <c:symbol val="none"/>
          </c:marker>
          <c:xVal>
            <c:numRef>
              <c:f>ThermalCollectors!$A$109:$A$120</c:f>
              <c:numCache>
                <c:formatCode>General</c:formatCode>
                <c:ptCount val="12"/>
                <c:pt idx="0">
                  <c:v>0</c:v>
                </c:pt>
                <c:pt idx="1">
                  <c:v>25</c:v>
                </c:pt>
                <c:pt idx="2">
                  <c:v>50</c:v>
                </c:pt>
                <c:pt idx="3">
                  <c:v>75</c:v>
                </c:pt>
                <c:pt idx="4">
                  <c:v>100</c:v>
                </c:pt>
                <c:pt idx="5">
                  <c:v>125</c:v>
                </c:pt>
                <c:pt idx="6">
                  <c:v>150</c:v>
                </c:pt>
                <c:pt idx="7">
                  <c:v>175</c:v>
                </c:pt>
                <c:pt idx="8">
                  <c:v>200</c:v>
                </c:pt>
                <c:pt idx="9">
                  <c:v>225</c:v>
                </c:pt>
                <c:pt idx="10">
                  <c:v>250</c:v>
                </c:pt>
                <c:pt idx="11">
                  <c:v>275</c:v>
                </c:pt>
              </c:numCache>
            </c:numRef>
          </c:xVal>
          <c:yVal>
            <c:numRef>
              <c:f>ThermalCollectors!$C$109:$C$120</c:f>
              <c:numCache>
                <c:formatCode>0%</c:formatCode>
                <c:ptCount val="12"/>
                <c:pt idx="0">
                  <c:v>0.77</c:v>
                </c:pt>
                <c:pt idx="1">
                  <c:v>0.70000000000000007</c:v>
                </c:pt>
                <c:pt idx="2">
                  <c:v>0.63</c:v>
                </c:pt>
                <c:pt idx="3">
                  <c:v>0.56000000000000005</c:v>
                </c:pt>
                <c:pt idx="4">
                  <c:v>0.49000000000000005</c:v>
                </c:pt>
                <c:pt idx="5">
                  <c:v>0.42000000000000004</c:v>
                </c:pt>
                <c:pt idx="6">
                  <c:v>0.35000000000000003</c:v>
                </c:pt>
                <c:pt idx="7">
                  <c:v>0.28000000000000003</c:v>
                </c:pt>
                <c:pt idx="8">
                  <c:v>0.21000000000000008</c:v>
                </c:pt>
                <c:pt idx="9">
                  <c:v>0.14000000000000001</c:v>
                </c:pt>
                <c:pt idx="10">
                  <c:v>7.0000000000000062E-2</c:v>
                </c:pt>
                <c:pt idx="11">
                  <c:v>0</c:v>
                </c:pt>
              </c:numCache>
            </c:numRef>
          </c:yVal>
          <c:smooth val="1"/>
          <c:extLst xmlns:c16r2="http://schemas.microsoft.com/office/drawing/2015/06/chart">
            <c:ext xmlns:c16="http://schemas.microsoft.com/office/drawing/2014/chart" uri="{C3380CC4-5D6E-409C-BE32-E72D297353CC}">
              <c16:uniqueId val="{00000001-4432-476B-9E2F-3CCA2E7CA5FC}"/>
            </c:ext>
          </c:extLst>
        </c:ser>
        <c:dLbls>
          <c:showLegendKey val="0"/>
          <c:showVal val="0"/>
          <c:showCatName val="0"/>
          <c:showSerName val="0"/>
          <c:showPercent val="0"/>
          <c:showBubbleSize val="0"/>
        </c:dLbls>
        <c:axId val="257082112"/>
        <c:axId val="257084032"/>
      </c:scatterChart>
      <c:valAx>
        <c:axId val="257082112"/>
        <c:scaling>
          <c:orientation val="minMax"/>
          <c:max val="275"/>
          <c:min val="0"/>
        </c:scaling>
        <c:delete val="0"/>
        <c:axPos val="b"/>
        <c:majorGridlines/>
        <c:title>
          <c:tx>
            <c:rich>
              <a:bodyPr/>
              <a:lstStyle/>
              <a:p>
                <a:pPr>
                  <a:defRPr sz="800"/>
                </a:pPr>
                <a:r>
                  <a:rPr lang="en-GB" sz="800"/>
                  <a:t>DELTA TEMPERATURE AMBIENT AIR TO COLLECTOR (K)</a:t>
                </a:r>
              </a:p>
            </c:rich>
          </c:tx>
          <c:layout/>
          <c:overlay val="0"/>
        </c:title>
        <c:numFmt formatCode="General" sourceLinked="1"/>
        <c:majorTickMark val="out"/>
        <c:minorTickMark val="none"/>
        <c:tickLblPos val="nextTo"/>
        <c:crossAx val="257084032"/>
        <c:crosses val="autoZero"/>
        <c:crossBetween val="midCat"/>
      </c:valAx>
      <c:valAx>
        <c:axId val="257084032"/>
        <c:scaling>
          <c:orientation val="minMax"/>
          <c:max val="1"/>
          <c:min val="0"/>
        </c:scaling>
        <c:delete val="0"/>
        <c:axPos val="l"/>
        <c:majorGridlines/>
        <c:title>
          <c:tx>
            <c:rich>
              <a:bodyPr rot="-5400000" vert="horz"/>
              <a:lstStyle/>
              <a:p>
                <a:pPr>
                  <a:defRPr sz="800"/>
                </a:pPr>
                <a:r>
                  <a:rPr lang="en-GB" sz="800"/>
                  <a:t>COLLECTOR EFFICIENCY</a:t>
                </a:r>
              </a:p>
            </c:rich>
          </c:tx>
          <c:layout>
            <c:manualLayout>
              <c:xMode val="edge"/>
              <c:yMode val="edge"/>
              <c:x val="4.9966427223087934E-3"/>
              <c:y val="0.22659134223831789"/>
            </c:manualLayout>
          </c:layout>
          <c:overlay val="0"/>
        </c:title>
        <c:numFmt formatCode="0%" sourceLinked="1"/>
        <c:majorTickMark val="out"/>
        <c:minorTickMark val="none"/>
        <c:tickLblPos val="nextTo"/>
        <c:crossAx val="257082112"/>
        <c:crosses val="autoZero"/>
        <c:crossBetween val="midCat"/>
        <c:majorUnit val="0.25"/>
      </c:valAx>
      <c:spPr>
        <a:noFill/>
      </c:spPr>
    </c:plotArea>
    <c:legend>
      <c:legendPos val="r"/>
      <c:layout>
        <c:manualLayout>
          <c:xMode val="edge"/>
          <c:yMode val="edge"/>
          <c:x val="0.68563927912190159"/>
          <c:y val="0.51223097112860894"/>
          <c:w val="0.2965137803228336"/>
          <c:h val="0.15163868667359975"/>
        </c:manualLayout>
      </c:layout>
      <c:overlay val="0"/>
      <c:txPr>
        <a:bodyPr/>
        <a:lstStyle/>
        <a:p>
          <a:pPr>
            <a:defRPr sz="800"/>
          </a:pPr>
          <a:endParaRPr lang="en-US"/>
        </a:p>
      </c:txPr>
    </c:legend>
    <c:plotVisOnly val="1"/>
    <c:dispBlanksAs val="gap"/>
    <c:showDLblsOverMax val="0"/>
  </c:chart>
  <c:spPr>
    <a:noFill/>
    <a:ln>
      <a:noFill/>
    </a:ln>
  </c:spPr>
  <c:txPr>
    <a:bodyPr/>
    <a:lstStyle/>
    <a:p>
      <a:pPr>
        <a:defRPr sz="1400"/>
      </a:pPr>
      <a:endParaRPr lang="en-US"/>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Hea17</b:Tag>
    <b:SourceType>Report</b:SourceType>
    <b:Guid>{633A8276-2C31-4AFC-851B-A9ACF04819E0}</b:Guid>
    <b:Author>
      <b:Author>
        <b:Corporate>Heat Roadmap Europe (HRE)</b:Corporate>
      </b:Author>
    </b:Author>
    <b:Title>Deliverable 5.2 - Baseline scenario of the total energy system up to 2050</b:Title>
    <b:Year>2017</b:Year>
    <b:URL>http://www.heatroadmap.eu/resources/HRE4_D5.4.pdf</b:URL>
    <b:RefOrder>2</b:RefOrder>
  </b:Source>
  <b:Source>
    <b:Tag>Ric16</b:Tag>
    <b:SourceType>Report</b:SourceType>
    <b:Guid>{42AB3EDA-84DD-4A3B-9E01-4AFE6DE45A26}</b:Guid>
    <b:Title>Documentation for the TIMES Model - Part I</b:Title>
    <b:Year>2016</b:Year>
    <b:Publisher>IEA Energy Technology Systems Analysis Programme</b:Publisher>
    <b:URL>http://iea-etsap.org/docs/Documentation_for_the_TIMES_Model-Part-I_July-2016.pdf</b:URL>
    <b:Author>
      <b:Author>
        <b:NameList>
          <b:Person>
            <b:Last>Loulou</b:Last>
            <b:First>Richard</b:First>
          </b:Person>
          <b:Person>
            <b:Last>Goldstein</b:Last>
            <b:First>Gary</b:First>
          </b:Person>
          <b:Person>
            <b:Last>Kanudia</b:Last>
            <b:First>Amit</b:First>
          </b:Person>
          <b:Person>
            <b:Last>Lettila</b:Last>
            <b:First>Antti</b:First>
          </b:Person>
          <b:Person>
            <b:Last>Remme</b:Last>
            <b:First>Uwe</b:First>
          </b:Person>
        </b:NameList>
      </b:Author>
    </b:Author>
    <b:RefOrder>3</b:RefOrder>
  </b:Source>
  <b:Source>
    <b:Tag>NEE</b:Tag>
    <b:SourceType>InternetSite</b:SourceType>
    <b:Guid>{F40F9222-B982-40CC-8A79-04E644932D3D}</b:Guid>
    <b:Title>NEEDS project</b:Title>
    <b:URL>http://www.needs-project.org</b:URL>
    <b:RefOrder>4</b:RefOrder>
  </b:Source>
  <b:Source>
    <b:Tag>RES</b:Tag>
    <b:SourceType>InternetSite</b:SourceType>
    <b:Guid>{4CBEB579-7F62-4DDC-9841-C00875D3A83F}</b:Guid>
    <b:Title>RES 2020 project</b:Title>
    <b:URL>http://www.cres.gr/res2020</b:URL>
    <b:RefOrder>5</b:RefOrder>
  </b:Source>
  <b:Source>
    <b:Tag>REA</b:Tag>
    <b:SourceType>InternetSite</b:SourceType>
    <b:Guid>{0C4C4243-98DC-44C5-933C-F22FBA0C43ED}</b:Guid>
    <b:Title>REALISEGRID project</b:Title>
    <b:URL>http://realisegrid.rse-web.it</b:URL>
    <b:RefOrder>6</b:RefOrder>
  </b:Source>
  <b:Source>
    <b:Tag>REA1</b:Tag>
    <b:SourceType>InternetSite</b:SourceType>
    <b:Guid>{9C0F7BDA-7732-452D-8365-31F5C9DB2218}</b:Guid>
    <b:Title>REACCESS project</b:Title>
    <b:URL>http://reaccess.epu.ntua.gr</b:URL>
    <b:RefOrder>7</b:RefOrder>
  </b:Source>
  <b:Source>
    <b:Tag>COM</b:Tag>
    <b:SourceType>InternetSite</b:SourceType>
    <b:Guid>{60AE652E-3C3B-4E01-B984-8D193D795651}</b:Guid>
    <b:Title>COMET project</b:Title>
    <b:URL>http://comet.lneg.pt</b:URL>
    <b:RefOrder>8</b:RefOrder>
  </b:Source>
  <b:Source>
    <b:Tag>EWE13</b:Tag>
    <b:SourceType>Report</b:SourceType>
    <b:Guid>{1CB50E43-CC81-40BB-8E6B-F74062076515}</b:Guid>
    <b:Title>EWEA's Wind farms and planning guidelines in Europe: a follow up</b:Title>
    <b:Year>2013</b:Year>
    <b:URL>http://pliki.psew.pl/strefa/dev/lok/EWEA_paper__-_Wind_farm_distance.pdf</b:URL>
    <b:Author>
      <b:Author>
        <b:Corporate>EWEA</b:Corporate>
      </b:Author>
    </b:Author>
    <b:YearAccessed>2017</b:YearAccessed>
    <b:MonthAccessed>01</b:MonthAccessed>
    <b:DayAccessed>31</b:DayAccessed>
    <b:RefOrder>9</b:RefOrder>
  </b:Source>
  <b:Source>
    <b:Tag>Hau11</b:Tag>
    <b:SourceType>Report</b:SourceType>
    <b:Guid>{3A9E6830-F17F-4D6C-AD10-8EF977226C6C}</b:Guid>
    <b:Title>International Review of Policies and Recommendations for Wind Turbine Setbacks from Residences: Setbacks, Noise, Shadow Flicker, and Other Concerns</b:Title>
    <b:Year>2011</b:Year>
    <b:Author>
      <b:Author>
        <b:NameList>
          <b:Person>
            <b:Last>Haugen</b:Last>
            <b:First>Kathryn</b:First>
            <b:Middle>M. B.</b:Middle>
          </b:Person>
        </b:NameList>
      </b:Author>
    </b:Author>
    <b:URL>http://mn.gov/commerce/energyfacilities/documents/International_Review_of_Wind_Policies_and_Recommendations.pdf</b:URL>
    <b:Department>Energy Facility Permitting</b:Department>
    <b:Institution>Minnesota Department of Commerce</b:Institution>
    <b:YearAccessed>2017</b:YearAccessed>
    <b:MonthAccessed>01</b:MonthAccessed>
    <b:DayAccessed>31</b:DayAccessed>
    <b:RefOrder>10</b:RefOrder>
  </b:Source>
  <b:Source>
    <b:Tag>Vin13</b:Tag>
    <b:SourceType>Report</b:SourceType>
    <b:Guid>{4B799673-8B5C-4EF3-B38D-05C98034DE17}</b:Guid>
    <b:Title>Review of the 2Km separation distance between areas of search for onshore wind farms and the edge of cities, towns and villages</b:Title>
    <b:Year>2013</b:Year>
    <b:Author>
      <b:Author>
        <b:NameList>
          <b:Person>
            <b:Last>Vincent Onyango</b:Last>
            <b:First>Barbara</b:First>
            <b:Middle>Illsley, Mohammad Radfar</b:Middle>
          </b:Person>
        </b:NameList>
      </b:Author>
    </b:Author>
    <b:Institution>University of Dundee</b:Institution>
    <b:URL>http://www.climatexchange.org.uk/files/5313/8496/4510/CXC_Report_-_Separation_distances_for_Wind_Farms.pdf</b:URL>
    <b:RefOrder>11</b:RefOrder>
  </b:Source>
  <b:Source>
    <b:Tag>Kat</b:Tag>
    <b:SourceType>Report</b:SourceType>
    <b:Guid>{70CE8149-C5B9-4DD9-ACA2-C9AD1CC27DEF}</b:Guid>
    <b:Title>Summary of Wind Policies and Recommendations by Country</b:Title>
    <b:Author>
      <b:Author>
        <b:NameList>
          <b:Person>
            <b:Last>Haugen</b:Last>
            <b:First>Kathryn</b:First>
            <b:Middle>M. B.</b:Middle>
          </b:Person>
        </b:NameList>
      </b:Author>
    </b:Author>
    <b:Department>Energy Facility Permitting</b:Department>
    <b:Institution>Minnesota Department of Commerce</b:Institution>
    <b:URL>http://mn.gov/commerce/energyfacilities/documents/Summary_Wind_Chart_by_Country.pdf</b:URL>
    <b:YearAccessed>2017</b:YearAccessed>
    <b:MonthAccessed>01</b:MonthAccessed>
    <b:DayAccessed>31</b:DayAccessed>
    <b:RefOrder>12</b:RefOrder>
  </b:Source>
  <b:Source>
    <b:Tag>Edw15</b:Tag>
    <b:SourceType>InternetSite</b:SourceType>
    <b:Guid>{95AE1362-65AC-475C-878B-74AD16D11F1C}</b:Guid>
    <b:Author>
      <b:Author>
        <b:NameList>
          <b:Person>
            <b:Last>Edwin Nieuwenhuizen</b:Last>
            <b:First>Michael</b:First>
            <b:Middle>Kohl</b:Middle>
          </b:Person>
        </b:NameList>
      </b:Author>
    </b:Author>
    <b:Title>Differences in noise regulations for wind turbines in four European countries</b:Title>
    <b:Year>2015</b:Year>
    <b:URL>https://www.mp.nl/sites/all/files/publicaties/Nieuwenhuizen_Euronoise_2015.pdf</b:URL>
    <b:YearAccessed>2017</b:YearAccessed>
    <b:MonthAccessed>01</b:MonthAccessed>
    <b:DayAccessed>31</b:DayAccessed>
    <b:RefOrder>13</b:RefOrder>
  </b:Source>
  <b:Source>
    <b:Tag>Eur09</b:Tag>
    <b:SourceType>InternetSite</b:SourceType>
    <b:Guid>{7A3000F4-DAE5-49C6-A5C3-6BFEFC883E7E}</b:Guid>
    <b:Title>European Setbacks (minimum distance between wind turbines and habitations)</b:Title>
    <b:Year>2009</b:Year>
    <b:Author>
      <b:Author>
        <b:Corporate>European Platform Against Windfarms</b:Corporate>
      </b:Author>
    </b:Author>
    <b:URL>https://www.wind-watch.org/documents/european-setbacks-minimum-distance-between-wind-turbines-and-habitations/</b:URL>
    <b:YearAccessed>2017</b:YearAccessed>
    <b:MonthAccessed>01</b:MonthAccessed>
    <b:DayAccessed>31</b:DayAccessed>
    <b:RefOrder>14</b:RefOrder>
  </b:Source>
  <b:Source>
    <b:Tag>Lor11</b:Tag>
    <b:SourceType>InternetSite</b:SourceType>
    <b:Guid>{AC8C2A99-9501-471A-82FB-89BC4FFE431D}</b:Guid>
    <b:Title>Health effects and wind turbines: A review of the literature</b:Title>
    <b:Year>2011</b:Year>
    <b:Author>
      <b:Author>
        <b:NameList>
          <b:Person>
            <b:Last>Loren D KnopperEmail</b:Last>
            <b:First>Christopher</b:First>
            <b:Middle>A Ollso</b:Middle>
          </b:Person>
        </b:NameList>
      </b:Author>
    </b:Author>
    <b:URL>http://ehjournal.biomedcentral.com/articles/10.1186/1476-069X-10-78</b:URL>
    <b:YearAccessed>2017</b:YearAccessed>
    <b:MonthAccessed>01</b:MonthAccessed>
    <b:DayAccessed>31</b:DayAccessed>
    <b:RefOrder>15</b:RefOrder>
  </b:Source>
  <b:Source>
    <b:Tag>Cri16</b:Tag>
    <b:SourceType>ElectronicSource</b:SourceType>
    <b:Guid>{BFB9190D-7527-4EAD-BEDB-700A2115E8A9}</b:Guid>
    <b:Author>
      <b:Author>
        <b:NameList>
          <b:Person>
            <b:Last>VÁZQUEZ HERNÁNDEZ C.</b:Last>
            <b:First>SANTAMARÍA</b:First>
            <b:Middle>BELDA M.</b:Middle>
          </b:Person>
        </b:NameList>
      </b:Author>
    </b:Author>
    <b:Title>Non-economic impacts of wind energy</b:Title>
    <b:ProductionCompany>JRC</b:ProductionCompany>
    <b:Year>2016</b:Year>
    <b:RefOrder>16</b:RefOrder>
  </b:Source>
  <b:Source>
    <b:Tag>Wor09</b:Tag>
    <b:SourceType>ElectronicSource</b:SourceType>
    <b:Guid>{C62E57B2-3C30-4AAE-8C30-5717F03FEAA9}</b:Guid>
    <b:Author>
      <b:Author>
        <b:Corporate>World Health Organization</b:Corporate>
      </b:Author>
    </b:Author>
    <b:Title>Night Noise Guidelines For Europe</b:Title>
    <b:Year>2009</b:Year>
    <b:StandardNumber>ISBN 978 92 890 4173 7</b:StandardNumber>
    <b:YearAccessed>2017</b:YearAccessed>
    <b:MonthAccessed>02</b:MonthAccessed>
    <b:DayAccessed>10</b:DayAccessed>
    <b:URL>http://www.euro.who.int/__data/assets/pdf_file/0017/43316/E92845.pdf</b:URL>
    <b:RefOrder>17</b:RefOrder>
  </b:Source>
  <b:Source>
    <b:Tag>win16</b:Tag>
    <b:SourceType>InternetSite</b:SourceType>
    <b:Guid>{A580EDED-5143-4270-A6DD-334639AF8B2F}</b:Guid>
    <b:Title>Spatial deployment of offshore wind in Europe</b:Title>
    <b:Author>
      <b:Author>
        <b:Corporate>windspeed.eu</b:Corporate>
      </b:Author>
    </b:Author>
    <b:YearAccessed>2016</b:YearAccessed>
    <b:MonthAccessed>06</b:MonthAccessed>
    <b:DayAccessed>07</b:DayAccessed>
    <b:URL>http://www.windspeed.eu</b:URL>
    <b:RefOrder>1</b:RefOrder>
  </b:Source>
</b:Sources>
</file>

<file path=customXml/itemProps1.xml><?xml version="1.0" encoding="utf-8"?>
<ds:datastoreItem xmlns:ds="http://schemas.openxmlformats.org/officeDocument/2006/customXml" ds:itemID="{37B7A174-4206-4B7D-9873-C02337355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5602</Words>
  <Characters>30440</Characters>
  <Application>Microsoft Office Word</Application>
  <DocSecurity>0</DocSecurity>
  <Lines>6088</Lines>
  <Paragraphs>2772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33270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dc:creator>
  <cp:lastModifiedBy>RUIZ Pablo (JRC-PETTEN)</cp:lastModifiedBy>
  <cp:revision>2</cp:revision>
  <cp:lastPrinted>2018-08-03T12:51:00Z</cp:lastPrinted>
  <dcterms:created xsi:type="dcterms:W3CDTF">2019-09-10T08:25:00Z</dcterms:created>
  <dcterms:modified xsi:type="dcterms:W3CDTF">2019-09-10T08:25:00Z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http://www.zotero.org/styles/energy-strategy-reviews</vt:lpwstr>
  </property>
  <property fmtid="{D5CDD505-2E9C-101B-9397-08002B2CF9AE}" pid="13" name="Mendeley Recent Style Name 5_1">
    <vt:lpwstr>Energy Strategy Reviews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13d7f6b5-05a2-3c70-b168-53e324b4f09c</vt:lpwstr>
  </property>
  <property fmtid="{D5CDD505-2E9C-101B-9397-08002B2CF9AE}" pid="24" name="Mendeley Citation Style_1">
    <vt:lpwstr>http://www.zotero.org/styles/energy-strategy-reviews</vt:lpwstr>
  </property>
</Properties>
</file>