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16E2" w14:textId="5B17BE5A" w:rsidR="00854BF1" w:rsidRPr="00462A45" w:rsidRDefault="00701D74" w:rsidP="00701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2A45">
        <w:rPr>
          <w:rFonts w:ascii="Times New Roman" w:hAnsi="Times New Roman" w:cs="Times New Roman"/>
          <w:b/>
          <w:bCs/>
          <w:sz w:val="28"/>
          <w:szCs w:val="28"/>
        </w:rPr>
        <w:t>ANALIZA STRATEGIJE</w:t>
      </w:r>
    </w:p>
    <w:p w14:paraId="38EE5D82" w14:textId="2B8623C3" w:rsidR="00701D74" w:rsidRPr="00462A45" w:rsidRDefault="00701D74">
      <w:pPr>
        <w:rPr>
          <w:rFonts w:ascii="Times New Roman" w:hAnsi="Times New Roman" w:cs="Times New Roman"/>
        </w:rPr>
      </w:pPr>
    </w:p>
    <w:p w14:paraId="5416BA05" w14:textId="2596CE1D" w:rsidR="00701D74" w:rsidRPr="00462A45" w:rsidRDefault="00701D74" w:rsidP="00701D74">
      <w:pPr>
        <w:pStyle w:val="Pasussalistom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2A4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PROBLEM</w:t>
      </w:r>
    </w:p>
    <w:p w14:paraId="1F64E080" w14:textId="3D701542" w:rsidR="00701D74" w:rsidRPr="001B6354" w:rsidRDefault="00701D74" w:rsidP="00701D74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1B6354">
        <w:rPr>
          <w:rFonts w:ascii="Times New Roman" w:hAnsi="Times New Roman" w:cs="Times New Roman"/>
          <w:b/>
          <w:bCs/>
          <w:sz w:val="24"/>
          <w:szCs w:val="24"/>
        </w:rPr>
        <w:t>Uspostavljanje saradnje između HEI I SME (istraživanje)</w:t>
      </w:r>
    </w:p>
    <w:p w14:paraId="1A29A253" w14:textId="32BD2E0E" w:rsidR="004171A1" w:rsidRDefault="004171A1" w:rsidP="004171A1">
      <w:pPr>
        <w:pStyle w:val="Pasussalistom"/>
        <w:numPr>
          <w:ilvl w:val="0"/>
          <w:numId w:val="7"/>
        </w:numPr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Izgradnja mostova komunikacije: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Organizovanje redovnih sastanaka, radionica ili konferencija na kojima mogu učestvovati predstavnici iz HEI i SME kako bi se razumeli njihovi jezik, kultura i prioriteti. Kreiranje digitalnih platformi ili mreža za razmenu informacija i resursa između HEI i SME radi olakšavanja komunikacije.</w:t>
      </w:r>
    </w:p>
    <w:p w14:paraId="1E9C9359" w14:textId="77777777" w:rsidR="001B6354" w:rsidRPr="00462A45" w:rsidRDefault="001B6354" w:rsidP="001B6354">
      <w:pPr>
        <w:pStyle w:val="Pasussalistom"/>
        <w:rPr>
          <w:rFonts w:ascii="Times New Roman" w:hAnsi="Times New Roman" w:cs="Times New Roman"/>
        </w:rPr>
      </w:pPr>
    </w:p>
    <w:p w14:paraId="03F6C803" w14:textId="77CD8303" w:rsidR="004171A1" w:rsidRDefault="004171A1" w:rsidP="004171A1">
      <w:pPr>
        <w:pStyle w:val="Pasussalistom"/>
        <w:numPr>
          <w:ilvl w:val="0"/>
          <w:numId w:val="7"/>
        </w:numPr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Povećanje motivacije: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Dizajniranje programa ili inicijativa koje će nagraditi SME za učešće u saradničkim projektima, kao što su porezne olakšice, pristup infrastrukturi ili podrška za razvoj novih proizvoda ili usluga. Promovisanje uspešnih primera saradnje između HEI i SME kako bi se pokazale konkretne koristi i motivisali drugi da se pridruže.</w:t>
      </w:r>
    </w:p>
    <w:p w14:paraId="74B275E8" w14:textId="77777777" w:rsidR="001B6354" w:rsidRPr="001B6354" w:rsidRDefault="001B6354" w:rsidP="001B6354">
      <w:pPr>
        <w:pStyle w:val="Pasussalistom"/>
        <w:rPr>
          <w:rFonts w:ascii="Times New Roman" w:hAnsi="Times New Roman" w:cs="Times New Roman"/>
        </w:rPr>
      </w:pPr>
    </w:p>
    <w:p w14:paraId="22280772" w14:textId="77777777" w:rsidR="001B6354" w:rsidRPr="00462A45" w:rsidRDefault="001B6354" w:rsidP="001B6354">
      <w:pPr>
        <w:pStyle w:val="Pasussalistom"/>
        <w:rPr>
          <w:rFonts w:ascii="Times New Roman" w:hAnsi="Times New Roman" w:cs="Times New Roman"/>
        </w:rPr>
      </w:pPr>
    </w:p>
    <w:p w14:paraId="7D3361A1" w14:textId="04F38FD7" w:rsidR="004171A1" w:rsidRDefault="004171A1" w:rsidP="004171A1">
      <w:pPr>
        <w:pStyle w:val="Pasussalistom"/>
        <w:numPr>
          <w:ilvl w:val="0"/>
          <w:numId w:val="7"/>
        </w:numPr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Podsticanje inovacija i razvoja: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Kreiranje programa mentorstva ili razvojnih projekata u kojima bi studenti i istraživači iz HEI radili na konkretnim problemima ili projektima SME. Otvoriti kanale za razmenu intelektualnog vlasništva između HEI i SME kako bi se podstakla inovacija i razvoj novih proizvoda ili usluga.</w:t>
      </w:r>
    </w:p>
    <w:p w14:paraId="0EE1ED92" w14:textId="77777777" w:rsidR="001B6354" w:rsidRPr="00462A45" w:rsidRDefault="001B6354" w:rsidP="001B6354">
      <w:pPr>
        <w:pStyle w:val="Pasussalistom"/>
        <w:rPr>
          <w:rFonts w:ascii="Times New Roman" w:hAnsi="Times New Roman" w:cs="Times New Roman"/>
        </w:rPr>
      </w:pPr>
    </w:p>
    <w:p w14:paraId="1E7E34A6" w14:textId="2800DDC0" w:rsidR="00701D74" w:rsidRPr="00462A45" w:rsidRDefault="004171A1" w:rsidP="004171A1">
      <w:pPr>
        <w:pStyle w:val="Pasussalistom"/>
        <w:numPr>
          <w:ilvl w:val="0"/>
          <w:numId w:val="7"/>
        </w:numPr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Jačanje veza sa tržištem: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Organizovanje seminara, radionica ili panela na kojima će stručnjaci iz industrije deliti trendove i zahteve tržišta sa SME i predstavnicima iz HEI. Razvijanje programa istraživanja tržišta ili analize potražnje kako bi se SME informisali o promenama u potrebama i preferencijama kupaca.</w:t>
      </w:r>
    </w:p>
    <w:p w14:paraId="74A8A2BD" w14:textId="77777777" w:rsidR="004171A1" w:rsidRPr="00462A45" w:rsidRDefault="004171A1" w:rsidP="004171A1">
      <w:pPr>
        <w:rPr>
          <w:rFonts w:ascii="Times New Roman" w:hAnsi="Times New Roman" w:cs="Times New Roman"/>
        </w:rPr>
      </w:pPr>
    </w:p>
    <w:p w14:paraId="1CEC59D8" w14:textId="1B9D2E67" w:rsidR="00701D74" w:rsidRPr="00462A45" w:rsidRDefault="00701D74" w:rsidP="00701D74">
      <w:pPr>
        <w:pStyle w:val="Pasussalistom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2A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</w:t>
      </w:r>
    </w:p>
    <w:p w14:paraId="7809DFEF" w14:textId="16D1E9B5" w:rsidR="00701D74" w:rsidRPr="001B6354" w:rsidRDefault="00701D74" w:rsidP="00701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354">
        <w:rPr>
          <w:rFonts w:ascii="Times New Roman" w:hAnsi="Times New Roman" w:cs="Times New Roman"/>
          <w:b/>
          <w:bCs/>
          <w:sz w:val="24"/>
          <w:szCs w:val="24"/>
        </w:rPr>
        <w:t>Uspostavljanje novih master studija (PI)</w:t>
      </w:r>
    </w:p>
    <w:p w14:paraId="5C7AF4B9" w14:textId="5D995C0C" w:rsidR="004171A1" w:rsidRPr="004171A1" w:rsidRDefault="004171A1" w:rsidP="004171A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171A1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Mobilizacija finansijskih resursa: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171A1">
        <w:rPr>
          <w:rFonts w:ascii="Times New Roman" w:hAnsi="Times New Roman" w:cs="Times New Roman"/>
        </w:rPr>
        <w:t>Traženje donacija, grantova ili investicija od privatnog sektora, fondacija ili vladinih programa kako bi se obezbedila dodatna finansijska sredstva za istraživanje, razvoj i implementaciju novih master studija.</w:t>
      </w:r>
      <w:r w:rsidRPr="00462A45">
        <w:rPr>
          <w:rFonts w:ascii="Times New Roman" w:hAnsi="Times New Roman" w:cs="Times New Roman"/>
        </w:rPr>
        <w:t xml:space="preserve"> </w:t>
      </w:r>
      <w:r w:rsidRPr="004171A1">
        <w:rPr>
          <w:rFonts w:ascii="Times New Roman" w:hAnsi="Times New Roman" w:cs="Times New Roman"/>
        </w:rPr>
        <w:t>Dizajniranje efikasnog poslovnog modela koji će optimizirati troškove i prihode novih programa, uključujući analizu tržišta i potražnje za određenim studijskim programima.</w:t>
      </w:r>
    </w:p>
    <w:p w14:paraId="1DE11CA4" w14:textId="17B4A552" w:rsidR="004171A1" w:rsidRPr="004171A1" w:rsidRDefault="004171A1" w:rsidP="004171A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171A1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Optimizacija administrativnih procesa: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171A1">
        <w:rPr>
          <w:rFonts w:ascii="Times New Roman" w:hAnsi="Times New Roman" w:cs="Times New Roman"/>
        </w:rPr>
        <w:t>Unapređenje internih procedura i procesa akreditacije kako bi se smanjili administrativni zahtevi i ubrzao proces uspostavljanja novih programa.</w:t>
      </w:r>
      <w:r w:rsidRPr="00462A45">
        <w:rPr>
          <w:rFonts w:ascii="Times New Roman" w:hAnsi="Times New Roman" w:cs="Times New Roman"/>
        </w:rPr>
        <w:t xml:space="preserve"> </w:t>
      </w:r>
      <w:r w:rsidRPr="004171A1">
        <w:rPr>
          <w:rFonts w:ascii="Times New Roman" w:hAnsi="Times New Roman" w:cs="Times New Roman"/>
        </w:rPr>
        <w:t>Zapošljavanje dodatnog osoblja ili angažovanje konsultanata koji su stručni u procesima administracije i akreditacije radi olakšavanja ovih procesa.</w:t>
      </w:r>
    </w:p>
    <w:p w14:paraId="1EFEB672" w14:textId="0991AEF9" w:rsidR="004171A1" w:rsidRPr="004171A1" w:rsidRDefault="004171A1" w:rsidP="004171A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171A1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Angažovanje akademske ekspertize: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171A1">
        <w:rPr>
          <w:rFonts w:ascii="Times New Roman" w:hAnsi="Times New Roman" w:cs="Times New Roman"/>
        </w:rPr>
        <w:t>Kreiranje programa stipendiranja ili podsticaja za privlačenje kvalifikovanog osoblja ili gostujućih predavača koji mogu doprineti razvoju i sprovođenju novih master studija.</w:t>
      </w:r>
      <w:r w:rsidRPr="00462A45">
        <w:rPr>
          <w:rFonts w:ascii="Times New Roman" w:hAnsi="Times New Roman" w:cs="Times New Roman"/>
        </w:rPr>
        <w:t xml:space="preserve"> </w:t>
      </w:r>
      <w:r w:rsidRPr="004171A1">
        <w:rPr>
          <w:rFonts w:ascii="Times New Roman" w:hAnsi="Times New Roman" w:cs="Times New Roman"/>
        </w:rPr>
        <w:t>Partnerstvo sa drugim visokoškolskim institucijama ili istraživačkim centrima radi deljenja resursa i ekspertize u oblasti u kojoj nedostaje akademska ekspertiza.</w:t>
      </w:r>
    </w:p>
    <w:p w14:paraId="66A54E5E" w14:textId="0C63B1F0" w:rsidR="00B72564" w:rsidRDefault="004171A1" w:rsidP="00B7256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171A1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Promocija novih programa:</w:t>
      </w:r>
      <w:r w:rsidR="00462A45"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171A1">
        <w:rPr>
          <w:rFonts w:ascii="Times New Roman" w:hAnsi="Times New Roman" w:cs="Times New Roman"/>
        </w:rPr>
        <w:t>Kreiranje marketinških strategija koje će promovisati nove master studije kako bi se privukli potencijalni studenti i osigurala puna upisana mesta.</w:t>
      </w:r>
      <w:r w:rsidR="00462A45" w:rsidRPr="00462A45">
        <w:rPr>
          <w:rFonts w:ascii="Times New Roman" w:hAnsi="Times New Roman" w:cs="Times New Roman"/>
        </w:rPr>
        <w:t xml:space="preserve"> </w:t>
      </w:r>
    </w:p>
    <w:p w14:paraId="27779C8A" w14:textId="77777777" w:rsidR="001B6354" w:rsidRPr="00462A45" w:rsidRDefault="001B6354" w:rsidP="001B6354">
      <w:pPr>
        <w:rPr>
          <w:rFonts w:ascii="Times New Roman" w:hAnsi="Times New Roman" w:cs="Times New Roman"/>
        </w:rPr>
      </w:pPr>
    </w:p>
    <w:p w14:paraId="38C65D49" w14:textId="2D25494D" w:rsidR="00B72564" w:rsidRPr="00462A45" w:rsidRDefault="00B72564" w:rsidP="00B72564">
      <w:pPr>
        <w:pStyle w:val="Pasussalistom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2A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</w:t>
      </w:r>
    </w:p>
    <w:p w14:paraId="28DC158E" w14:textId="6EBC4FE0" w:rsidR="00B72564" w:rsidRPr="001B6354" w:rsidRDefault="00B72564" w:rsidP="00B725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354">
        <w:rPr>
          <w:rFonts w:ascii="Times New Roman" w:hAnsi="Times New Roman" w:cs="Times New Roman"/>
          <w:b/>
          <w:bCs/>
          <w:sz w:val="24"/>
          <w:szCs w:val="24"/>
        </w:rPr>
        <w:t>Kratki kursevi PI</w:t>
      </w:r>
    </w:p>
    <w:p w14:paraId="5BEE0C65" w14:textId="18FA6CF3" w:rsidR="00462A45" w:rsidRPr="00462A45" w:rsidRDefault="00462A45" w:rsidP="00462A4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Brže prilagođavanje trendovima: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Formiranje specijalizovanih timova unutar institucija zaduženih za praćenje trendova na tržištu rada i brzo prilagođavanje obrazovnih programa u skladu sa potrebama. Uvođenje agilnih procesa planiranja i razvoja kurseva koji omogućavaju brže reagovanje na promene i zahteve tržišta.</w:t>
      </w:r>
    </w:p>
    <w:p w14:paraId="72E9C59B" w14:textId="24E17F3A" w:rsidR="00462A45" w:rsidRPr="00462A45" w:rsidRDefault="00462A45" w:rsidP="00462A4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Investiranje u resurse i ekspertizu: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Povećanje ulaganja u obrazovnu tehnologiju, digitalne platforme i alate koji olakšavaju razvoj i dostupnost kratkih kurseva. Partnerstvo sa industrijom i stručnjacima iz privatnog sektora radi deljenja ekspertize i resursa u kreiranju relevantnih obrazovnih programa.</w:t>
      </w:r>
    </w:p>
    <w:p w14:paraId="3635C5A8" w14:textId="523E3D90" w:rsidR="00462A45" w:rsidRPr="00462A45" w:rsidRDefault="00462A45" w:rsidP="00462A4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Promocija i marketinške strategije: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Razvijanje agresivnih marketinških kampanja koje ističu prednosti kratkih kurseva, poput fleksibilnosti, brze dostupnosti i specijalizacije, kako bi se privukla pažnja potencijalnih studenata. Saradnja sa kompanijama i profesionalnim organizacijama radi promocije kratkih kurseva kao kontinuiranog profesionalnog razvoja i unapređenja karijere.</w:t>
      </w:r>
    </w:p>
    <w:p w14:paraId="3FF92890" w14:textId="7A7CAC02" w:rsidR="00462A45" w:rsidRPr="00462A45" w:rsidRDefault="00462A45" w:rsidP="00462A4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Održavanje finansijske održivosti: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 xml:space="preserve">Analiza tržišta i potražnje radi identifikacije najisplativijih oblasti za razvoj kratkih kurseva kako bi se osiguralo da investicije budu usmerene tamo gde postoji najveća potražnja. Diversifikacija izvora prihoda, uključujući prodaju </w:t>
      </w:r>
      <w:proofErr w:type="spellStart"/>
      <w:r w:rsidRPr="00462A45">
        <w:rPr>
          <w:rFonts w:ascii="Times New Roman" w:hAnsi="Times New Roman" w:cs="Times New Roman"/>
        </w:rPr>
        <w:t>online</w:t>
      </w:r>
      <w:proofErr w:type="spellEnd"/>
      <w:r w:rsidRPr="00462A45">
        <w:rPr>
          <w:rFonts w:ascii="Times New Roman" w:hAnsi="Times New Roman" w:cs="Times New Roman"/>
        </w:rPr>
        <w:t xml:space="preserve"> kurseva, sponzorstva, donacije i partnerstva sa korporativnim klijentima.</w:t>
      </w:r>
    </w:p>
    <w:p w14:paraId="411E8FBA" w14:textId="07D44B16" w:rsidR="00462A45" w:rsidRPr="00462A45" w:rsidRDefault="00462A45" w:rsidP="00462A4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Kontinuirano praćenje i evaluacija: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Redovno prikupljanje povratnih informacija od studenata, instruktora i poslodavaca kako bi se identifikovali nedostaci i mogućnosti poboljšanja kratkih kurseva. Periodična revizija i ažuriranje kurikuluma kako bi se osigurala relevantnost i aktuelnost sadržaja.</w:t>
      </w:r>
    </w:p>
    <w:p w14:paraId="77304E09" w14:textId="5775CD3B" w:rsidR="00B72564" w:rsidRPr="00462A45" w:rsidRDefault="00B72564" w:rsidP="00B72564">
      <w:pPr>
        <w:jc w:val="both"/>
        <w:rPr>
          <w:rFonts w:ascii="Times New Roman" w:hAnsi="Times New Roman" w:cs="Times New Roman"/>
        </w:rPr>
      </w:pPr>
    </w:p>
    <w:p w14:paraId="5D4F2626" w14:textId="1F142152" w:rsidR="00B72564" w:rsidRPr="00462A45" w:rsidRDefault="00B72564" w:rsidP="00B72564">
      <w:pPr>
        <w:pStyle w:val="Pasussalistom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2A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</w:t>
      </w:r>
    </w:p>
    <w:p w14:paraId="624F1490" w14:textId="28CE3529" w:rsidR="00B72564" w:rsidRPr="001B6354" w:rsidRDefault="00B72564" w:rsidP="00B725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354">
        <w:rPr>
          <w:rFonts w:ascii="Times New Roman" w:hAnsi="Times New Roman" w:cs="Times New Roman"/>
          <w:b/>
          <w:bCs/>
          <w:sz w:val="24"/>
          <w:szCs w:val="24"/>
        </w:rPr>
        <w:t>Uspostavljanje efikasnijeg e-</w:t>
      </w:r>
      <w:proofErr w:type="spellStart"/>
      <w:r w:rsidRPr="001B6354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1B6354">
        <w:rPr>
          <w:rFonts w:ascii="Times New Roman" w:hAnsi="Times New Roman" w:cs="Times New Roman"/>
          <w:b/>
          <w:bCs/>
          <w:sz w:val="24"/>
          <w:szCs w:val="24"/>
        </w:rPr>
        <w:t xml:space="preserve"> modela</w:t>
      </w:r>
    </w:p>
    <w:p w14:paraId="140FE01F" w14:textId="1C22C983" w:rsidR="00462A45" w:rsidRPr="00462A45" w:rsidRDefault="00462A45" w:rsidP="00462A4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Infrastruktura i resursi: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 xml:space="preserve">Investiranje u modernu tehnološku infrastrukturu, uključujući stabilnu internet vezu, </w:t>
      </w:r>
      <w:proofErr w:type="spellStart"/>
      <w:r w:rsidRPr="00462A45">
        <w:rPr>
          <w:rFonts w:ascii="Times New Roman" w:hAnsi="Times New Roman" w:cs="Times New Roman"/>
        </w:rPr>
        <w:t>online</w:t>
      </w:r>
      <w:proofErr w:type="spellEnd"/>
      <w:r w:rsidRPr="00462A45">
        <w:rPr>
          <w:rFonts w:ascii="Times New Roman" w:hAnsi="Times New Roman" w:cs="Times New Roman"/>
        </w:rPr>
        <w:t xml:space="preserve"> platforme za učenje i softverske alate za kreiranje interaktivnih sadržaja. Osiguravanje dovoljno obučenog osoblja koje može efikasno koristiti e-</w:t>
      </w:r>
      <w:proofErr w:type="spellStart"/>
      <w:r w:rsidRPr="00462A45">
        <w:rPr>
          <w:rFonts w:ascii="Times New Roman" w:hAnsi="Times New Roman" w:cs="Times New Roman"/>
        </w:rPr>
        <w:t>learning</w:t>
      </w:r>
      <w:proofErr w:type="spellEnd"/>
      <w:r w:rsidRPr="00462A45">
        <w:rPr>
          <w:rFonts w:ascii="Times New Roman" w:hAnsi="Times New Roman" w:cs="Times New Roman"/>
        </w:rPr>
        <w:t xml:space="preserve"> platforme i alate.</w:t>
      </w:r>
    </w:p>
    <w:p w14:paraId="44983083" w14:textId="67C0F5C6" w:rsidR="00462A45" w:rsidRPr="00462A45" w:rsidRDefault="00462A45" w:rsidP="00462A4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Interaktivnost i angažovanje: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 xml:space="preserve">Integracija alata za interakciju, kao što su forumi za diskusiju, virtuelne učionice, </w:t>
      </w:r>
      <w:proofErr w:type="spellStart"/>
      <w:r w:rsidRPr="00462A45">
        <w:rPr>
          <w:rFonts w:ascii="Times New Roman" w:hAnsi="Times New Roman" w:cs="Times New Roman"/>
        </w:rPr>
        <w:t>online</w:t>
      </w:r>
      <w:proofErr w:type="spellEnd"/>
      <w:r w:rsidRPr="00462A45">
        <w:rPr>
          <w:rFonts w:ascii="Times New Roman" w:hAnsi="Times New Roman" w:cs="Times New Roman"/>
        </w:rPr>
        <w:t xml:space="preserve"> kvizovi i grupni projekti, kako bi se podstakla interakcija i angažovanje studenata. Organizacija virtuelnih sesija u realnom vremenu, kao što su video konferencije i </w:t>
      </w:r>
      <w:proofErr w:type="spellStart"/>
      <w:r w:rsidRPr="00462A45">
        <w:rPr>
          <w:rFonts w:ascii="Times New Roman" w:hAnsi="Times New Roman" w:cs="Times New Roman"/>
        </w:rPr>
        <w:t>webinari</w:t>
      </w:r>
      <w:proofErr w:type="spellEnd"/>
      <w:r w:rsidRPr="00462A45">
        <w:rPr>
          <w:rFonts w:ascii="Times New Roman" w:hAnsi="Times New Roman" w:cs="Times New Roman"/>
        </w:rPr>
        <w:t>, kako bi se omogućila direktna interakcija između studenata i nastavnika.</w:t>
      </w:r>
    </w:p>
    <w:p w14:paraId="2FC32975" w14:textId="198D4C0A" w:rsidR="00462A45" w:rsidRPr="00462A45" w:rsidRDefault="00462A45" w:rsidP="00462A4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Obuka i podrška: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Pružanje kontinuirane obuke i podrške nastavnicima i studentima u korišćenju e-</w:t>
      </w:r>
      <w:proofErr w:type="spellStart"/>
      <w:r w:rsidRPr="00462A45">
        <w:rPr>
          <w:rFonts w:ascii="Times New Roman" w:hAnsi="Times New Roman" w:cs="Times New Roman"/>
        </w:rPr>
        <w:t>learning</w:t>
      </w:r>
      <w:proofErr w:type="spellEnd"/>
      <w:r w:rsidRPr="00462A45">
        <w:rPr>
          <w:rFonts w:ascii="Times New Roman" w:hAnsi="Times New Roman" w:cs="Times New Roman"/>
        </w:rPr>
        <w:t xml:space="preserve"> alata i tehnologija. Razvoj </w:t>
      </w:r>
      <w:proofErr w:type="spellStart"/>
      <w:r w:rsidRPr="00462A45">
        <w:rPr>
          <w:rFonts w:ascii="Times New Roman" w:hAnsi="Times New Roman" w:cs="Times New Roman"/>
        </w:rPr>
        <w:t>online</w:t>
      </w:r>
      <w:proofErr w:type="spellEnd"/>
      <w:r w:rsidRPr="00462A45">
        <w:rPr>
          <w:rFonts w:ascii="Times New Roman" w:hAnsi="Times New Roman" w:cs="Times New Roman"/>
        </w:rPr>
        <w:t xml:space="preserve"> resursa, </w:t>
      </w:r>
      <w:proofErr w:type="spellStart"/>
      <w:r w:rsidRPr="00462A45">
        <w:rPr>
          <w:rFonts w:ascii="Times New Roman" w:hAnsi="Times New Roman" w:cs="Times New Roman"/>
        </w:rPr>
        <w:t>tutorijala</w:t>
      </w:r>
      <w:proofErr w:type="spellEnd"/>
      <w:r w:rsidRPr="00462A45">
        <w:rPr>
          <w:rFonts w:ascii="Times New Roman" w:hAnsi="Times New Roman" w:cs="Times New Roman"/>
        </w:rPr>
        <w:t xml:space="preserve"> i uputstava za samostalno učenje kako bi se olakšalo usvajanje novih veština i tehnika.</w:t>
      </w:r>
    </w:p>
    <w:p w14:paraId="1BA4DF11" w14:textId="6189854D" w:rsidR="00462A45" w:rsidRPr="00462A45" w:rsidRDefault="00462A45" w:rsidP="00462A4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Evaluacija i prilagođavanje: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Redovno praćenje i evaluacija efikasnosti e-</w:t>
      </w:r>
      <w:proofErr w:type="spellStart"/>
      <w:r w:rsidRPr="00462A45">
        <w:rPr>
          <w:rFonts w:ascii="Times New Roman" w:hAnsi="Times New Roman" w:cs="Times New Roman"/>
        </w:rPr>
        <w:t>learning</w:t>
      </w:r>
      <w:proofErr w:type="spellEnd"/>
      <w:r w:rsidRPr="00462A45">
        <w:rPr>
          <w:rFonts w:ascii="Times New Roman" w:hAnsi="Times New Roman" w:cs="Times New Roman"/>
        </w:rPr>
        <w:t xml:space="preserve"> modela kroz povratne informacije studenata, rezultate učenja i analizu podataka o angažovanju. </w:t>
      </w:r>
      <w:r w:rsidRPr="00462A45">
        <w:rPr>
          <w:rFonts w:ascii="Times New Roman" w:hAnsi="Times New Roman" w:cs="Times New Roman"/>
        </w:rPr>
        <w:lastRenderedPageBreak/>
        <w:t>Prilagođavanje e-</w:t>
      </w:r>
      <w:proofErr w:type="spellStart"/>
      <w:r w:rsidRPr="00462A45">
        <w:rPr>
          <w:rFonts w:ascii="Times New Roman" w:hAnsi="Times New Roman" w:cs="Times New Roman"/>
        </w:rPr>
        <w:t>learning</w:t>
      </w:r>
      <w:proofErr w:type="spellEnd"/>
      <w:r w:rsidRPr="00462A45">
        <w:rPr>
          <w:rFonts w:ascii="Times New Roman" w:hAnsi="Times New Roman" w:cs="Times New Roman"/>
        </w:rPr>
        <w:t xml:space="preserve"> sadržaja i strategija u skladu sa povratnim informacijama kako bi se kontinuirano poboljšavao kvalitet i efikasnost.</w:t>
      </w:r>
    </w:p>
    <w:p w14:paraId="4676BE6C" w14:textId="3CDD23D7" w:rsidR="00462A45" w:rsidRPr="00462A45" w:rsidRDefault="00462A45" w:rsidP="00462A4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62A45">
        <w:rPr>
          <w:rFonts w:ascii="Times New Roman" w:hAnsi="Times New Roman" w:cs="Times New Roman"/>
          <w:b/>
          <w:bCs/>
          <w:i/>
          <w:iCs/>
          <w:color w:val="222A35" w:themeColor="text2" w:themeShade="80"/>
        </w:rPr>
        <w:t>Partnerstva i saradnja:</w:t>
      </w:r>
      <w:r w:rsidRPr="00462A45">
        <w:rPr>
          <w:rFonts w:ascii="Times New Roman" w:hAnsi="Times New Roman" w:cs="Times New Roman"/>
          <w:color w:val="222A35" w:themeColor="text2" w:themeShade="80"/>
        </w:rPr>
        <w:t xml:space="preserve"> </w:t>
      </w:r>
      <w:r w:rsidRPr="00462A45">
        <w:rPr>
          <w:rFonts w:ascii="Times New Roman" w:hAnsi="Times New Roman" w:cs="Times New Roman"/>
        </w:rPr>
        <w:t>Partnerstvo sa drugim obrazovnim institucijama, kompanijama, stručnjacima i tehnološkim firmama radi razmene resursa, znanja i najbolje prakse u oblasti e-</w:t>
      </w:r>
      <w:proofErr w:type="spellStart"/>
      <w:r w:rsidRPr="00462A45">
        <w:rPr>
          <w:rFonts w:ascii="Times New Roman" w:hAnsi="Times New Roman" w:cs="Times New Roman"/>
        </w:rPr>
        <w:t>learninga</w:t>
      </w:r>
      <w:proofErr w:type="spellEnd"/>
      <w:r w:rsidRPr="00462A45">
        <w:rPr>
          <w:rFonts w:ascii="Times New Roman" w:hAnsi="Times New Roman" w:cs="Times New Roman"/>
        </w:rPr>
        <w:t>. Aktivno uključivanje studenata u proces planiranja, implementacije i evaluacije e-</w:t>
      </w:r>
      <w:proofErr w:type="spellStart"/>
      <w:r w:rsidRPr="00462A45">
        <w:rPr>
          <w:rFonts w:ascii="Times New Roman" w:hAnsi="Times New Roman" w:cs="Times New Roman"/>
        </w:rPr>
        <w:t>learning</w:t>
      </w:r>
      <w:proofErr w:type="spellEnd"/>
      <w:r w:rsidRPr="00462A45">
        <w:rPr>
          <w:rFonts w:ascii="Times New Roman" w:hAnsi="Times New Roman" w:cs="Times New Roman"/>
        </w:rPr>
        <w:t xml:space="preserve"> programa radi osiguranja relevantnosti i korisnosti.</w:t>
      </w:r>
    </w:p>
    <w:p w14:paraId="11BF7A43" w14:textId="77777777" w:rsidR="00B72564" w:rsidRPr="00462A45" w:rsidRDefault="00B72564" w:rsidP="00B72564">
      <w:pPr>
        <w:jc w:val="both"/>
        <w:rPr>
          <w:rFonts w:ascii="Times New Roman" w:hAnsi="Times New Roman" w:cs="Times New Roman"/>
        </w:rPr>
      </w:pPr>
    </w:p>
    <w:sectPr w:rsidR="00B72564" w:rsidRPr="0046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75F"/>
    <w:multiLevelType w:val="multilevel"/>
    <w:tmpl w:val="EAEE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0414"/>
    <w:multiLevelType w:val="hybridMultilevel"/>
    <w:tmpl w:val="61F6AEE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0481"/>
    <w:multiLevelType w:val="hybridMultilevel"/>
    <w:tmpl w:val="375C2C10"/>
    <w:lvl w:ilvl="0" w:tplc="811A508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F5BEE"/>
    <w:multiLevelType w:val="hybridMultilevel"/>
    <w:tmpl w:val="FE54A6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E4380"/>
    <w:multiLevelType w:val="hybridMultilevel"/>
    <w:tmpl w:val="9CD8730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1413"/>
    <w:multiLevelType w:val="hybridMultilevel"/>
    <w:tmpl w:val="C092248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662CD"/>
    <w:multiLevelType w:val="multilevel"/>
    <w:tmpl w:val="1B52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D568E"/>
    <w:multiLevelType w:val="hybridMultilevel"/>
    <w:tmpl w:val="B73040C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04E4D"/>
    <w:multiLevelType w:val="multilevel"/>
    <w:tmpl w:val="2ADC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E1C00"/>
    <w:multiLevelType w:val="hybridMultilevel"/>
    <w:tmpl w:val="BB705B8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74"/>
    <w:rsid w:val="001B6354"/>
    <w:rsid w:val="004171A1"/>
    <w:rsid w:val="00462A45"/>
    <w:rsid w:val="0055628C"/>
    <w:rsid w:val="00701D74"/>
    <w:rsid w:val="00854BF1"/>
    <w:rsid w:val="00B72564"/>
    <w:rsid w:val="00CA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2B83"/>
  <w15:chartTrackingRefBased/>
  <w15:docId w15:val="{3DE04307-F6F0-48E5-9F35-4E9E25C1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70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Mekic</dc:creator>
  <cp:keywords/>
  <dc:description/>
  <cp:lastModifiedBy>Anisa Mekic</cp:lastModifiedBy>
  <cp:revision>2</cp:revision>
  <dcterms:created xsi:type="dcterms:W3CDTF">2024-05-08T10:44:00Z</dcterms:created>
  <dcterms:modified xsi:type="dcterms:W3CDTF">2024-05-08T10:44:00Z</dcterms:modified>
</cp:coreProperties>
</file>