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000000"/>
          <w:sz w:val="40"/>
          <w:szCs w:val="40"/>
        </w:rPr>
        <w:t xml:space="preserve">CogniVault Medical AI</w:t>
      </w:r>
    </w:p>
    <w:p>
      <w:pPr>
        <w:pBdr>
          <w:bottom w:val="single" w:color="000000" w:sz="8" w:space="6"/>
        </w:pBdr>
        <w:spacing w:after="120"/>
      </w:pPr>
      <w:r>
        <w:rPr>
          <w:b/>
          <w:bCs/>
          <w:color w:val="000000"/>
          <w:sz w:val="24"/>
          <w:szCs w:val="24"/>
        </w:rPr>
        <w:t xml:space="preserve">TÜBİTAK BiGG 1812 — İŞ PLANI (AGY 112) · Revize v2</w:t>
      </w:r>
    </w:p>
    <w:p>
      <w:pPr>
        <w:spacing w:after="120"/>
        <w:jc w:val="both"/>
      </w:pPr>
      <w:r>
        <w:rPr>
          <w:i/>
          <w:iCs/>
          <w:color w:val="333333"/>
          <w:sz w:val="20"/>
          <w:szCs w:val="20"/>
        </w:rPr>
        <w:t xml:space="preserve">Mahremiyeti koruyan, deterministik klinik-yönetişim zarfı içinde çok kanallı diş hekimliği triyaj ve bakım-sürekliliği motoru — KVKK-uyumlu, tıbbi-cihaz-olmayan (non-SaMD) mimari.</w:t>
      </w:r>
    </w:p>
    <w:p>
      <w:pPr>
        <w:spacing w:after="30"/>
      </w:pPr>
      <w:r>
        <w:rPr>
          <w:b/>
          <w:bCs/>
        </w:rPr>
        <w:t xml:space="preserve">Kurucular: </w:t>
      </w:r>
      <w:r>
        <w:t xml:space="preserve">Efe Kağan Ürersoy · Enes Coşkun</w:t>
      </w:r>
    </w:p>
    <w:p>
      <w:pPr>
        <w:spacing w:after="30"/>
      </w:pPr>
      <w:r>
        <w:rPr>
          <w:b/>
          <w:bCs/>
        </w:rPr>
        <w:t xml:space="preserve">Program: </w:t>
      </w:r>
      <w:r>
        <w:t xml:space="preserve">BiGG Masters 2026-1 (SUCool)  ·  </w:t>
      </w:r>
      <w:r>
        <w:rPr>
          <w:b/>
          <w:bCs/>
        </w:rPr>
        <w:t xml:space="preserve">Tarih: </w:t>
      </w:r>
      <w:r>
        <w:t xml:space="preserve">19 Haziran 2026</w:t>
      </w:r>
    </w:p>
    <w:p>
      <w:pPr>
        <w:spacing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000000" w:sz="18"/>
              <w:bottom w:val="single" w:color="BFBFBF" w:sz="4"/>
              <w:right w:val="single" w:color="BFBFBF" w:sz="4"/>
            </w:tcBorders>
            <w:shd w:fill="F2F2F2" w:val="clear"/>
            <w:tcMar>
              <w:top w:type="dxa" w:w="120"/>
              <w:left w:type="dxa" w:w="160"/>
              <w:bottom w:type="dxa" w:w="120"/>
              <w:right w:type="dxa" w:w="160"/>
            </w:tcMar>
          </w:tcPr>
          <w:p>
            <w:pPr>
              <w:spacing w:after="140" w:line="268"/>
              <w:jc w:val="both"/>
            </w:pPr>
            <w:r>
              <w:rPr>
                <w:b/>
                <w:bCs/>
              </w:rPr>
              <w:t xml:space="preserve">Çözümün özü. </w:t>
            </w:r>
            <w:r>
              <w:t xml:space="preserve">CogniVault, dört teknik temele oturan, patentlenebilir ve yapısal olarak savunulabilir bir klinik-ön-büro karar-destek motorudur: </w:t>
            </w:r>
          </w:p>
          <w:p>
            <w:pPr>
              <w:pStyle w:val="ListParagraph"/>
              <w:numPr>
                <w:ilvl w:val="0"/>
                <w:numId w:val="2"/>
              </w:numPr>
              <w:spacing w:after="80" w:line="262"/>
              <w:jc w:val="both"/>
            </w:pPr>
            <w:r>
              <w:rPr>
                <w:b/>
                <w:bCs/>
              </w:rPr>
              <w:t xml:space="preserve">(1) Deterministik klinik-yönetişim ve veri-yerleşim zarfı</w:t>
            </w:r>
            <w:r>
              <w:t xml:space="preserve"> — olasılıksal modeli inşa gereği güvenli ve KVKK-uyumlu kılan çekirdek (bugün çalışıyor).</w:t>
            </w:r>
          </w:p>
          <w:p>
            <w:pPr>
              <w:pStyle w:val="ListParagraph"/>
              <w:numPr>
                <w:ilvl w:val="0"/>
                <w:numId w:val="2"/>
              </w:numPr>
              <w:spacing w:after="80" w:line="262"/>
              <w:jc w:val="both"/>
            </w:pPr>
            <w:r>
              <w:rPr>
                <w:b/>
                <w:bCs/>
              </w:rPr>
              <w:t xml:space="preserve">(2) Kalibre ve çekimser Türkçe diş triyaj yönlendiricisi</w:t>
            </w:r>
            <w:r>
              <w:t xml:space="preserve"> — gerçek Ar-Ge çekirdeği + veri hendeği.</w:t>
            </w:r>
          </w:p>
          <w:p>
            <w:pPr>
              <w:pStyle w:val="ListParagraph"/>
              <w:numPr>
                <w:ilvl w:val="0"/>
                <w:numId w:val="2"/>
              </w:numPr>
              <w:spacing w:after="80" w:line="262"/>
              <w:jc w:val="both"/>
            </w:pPr>
            <w:r>
              <w:rPr>
                <w:b/>
                <w:bCs/>
              </w:rPr>
              <w:t xml:space="preserve">(3) On-prem/yerinde KVKK yığını</w:t>
            </w:r>
            <w:r>
              <w:t xml:space="preserve"> — yapısal hendek, bugün demo edilebilir.</w:t>
            </w:r>
          </w:p>
          <w:p>
            <w:pPr>
              <w:pStyle w:val="ListParagraph"/>
              <w:numPr>
                <w:ilvl w:val="0"/>
                <w:numId w:val="2"/>
              </w:numPr>
              <w:spacing w:after="80" w:line="262"/>
              <w:jc w:val="both"/>
            </w:pPr>
            <w:r>
              <w:rPr>
                <w:b/>
                <w:bCs/>
              </w:rPr>
              <w:t xml:space="preserve">(4) Öngörücü bakım-sürekliliği ve no-show motoru</w:t>
            </w:r>
            <w:r>
              <w:t xml:space="preserve"> — kaybedilen gelirin kurtarımı.</w:t>
            </w:r>
          </w:p>
          <w:p>
            <w:pPr>
              <w:spacing w:after="140" w:line="268"/>
              <w:jc w:val="both"/>
            </w:pPr>
            <w:r>
              <w:t xml:space="preserve">Sistem bilinçli olarak tıbbi-cihaz-olmayan (non-SaMD) tarafta tutulur; ABD-bulutu üzerine kurulu rakipler KVKK özel-nitelikli veri rejimi altında bu mimariyi kopyalayamaz.</w:t>
            </w:r>
          </w:p>
        </w:tc>
      </w:tr>
    </w:tbl>
    <w:p>
      <w:pPr>
        <w:pStyle w:val="Heading1"/>
      </w:pPr>
      <w:r>
        <w:t xml:space="preserve">BÖLÜM A — PROJE VE GİRİŞİMCİ ÖZETİ</w:t>
      </w:r>
    </w:p>
    <w:p>
      <w:pPr>
        <w:spacing w:after="140" w:line="268"/>
        <w:jc w:val="both"/>
      </w:pPr>
      <w:r>
        <w:t xml:space="preserve">CogniVault, diş klinikleri için geliştirilen; hasta ile ilk teması telefon, WhatsApp, web ve form üzerinden karşılayan, ancak çekirdeğinde basit bir resepsiyon değil deterministik bir klinik-yönetişim zarfı bulunan bir yapay zekâ karar-destek sistemidir. Sistemin ayırt edici teknik özelliği, olasılıksal bir dil/ses modelinin ürettiği her yanıtı, otomatik gönderimden önce deterministik bir güvenlik ve KVKK kapısından geçirmesidir: veri sınıfı (özel-nitelikli sağlık, finansal, kimlik, ses metadata) sınıflandırılır; acil, sigorta, kimlik ve düşük-güven durumları her zaman insana yükseltilir; teşhis ve tedavi talimatı inşa gereği bloklanır; ve tüm işleme varsayılan olarak yurt içinde/yerinde yapılır. Bu mimari, KVKK uyumunu bir maliyet kaleminden teknik rekabet avantajına ve patentlenebilir bir yönteme dönüştürür.</w:t>
      </w:r>
    </w:p>
    <w:p>
      <w:pPr>
        <w:spacing w:after="140" w:line="268"/>
        <w:jc w:val="both"/>
      </w:pPr>
      <w:r>
        <w:t xml:space="preserve">Proje, iki Sabancı Üniversitesi Bilgisayar Bilimi kökenli kurucunun tam zamanlı (%100) katılımıyla yürütülür. 12 aylık BiGG projesinin merkezî Ar-Ge hedefi, düşük-kaynaklı Türkçe diş alanında kalibre ve çekimser bir triyaj yönlendiricisini ve olasılıksal ajanın deterministik kısıtlara uyduğunu kanıtlayan yönetişim katmanını ürün ve patent olgunluğuna taşımaktır. Klinik danışma kurulu (İstanbul Üniversitesi ve Medipol kökenli diş hekimleri) klinik doğruluğu ve branş taksonomisini denetler.</w:t>
      </w:r>
    </w:p>
    <w:p>
      <w:pPr>
        <w:pStyle w:val="Heading1"/>
      </w:pPr>
      <w:r>
        <w:t xml:space="preserve">BÖLÜM B — İŞ FİKRİNİN KISA TANIMI</w:t>
      </w:r>
    </w:p>
    <w:p>
      <w:pPr>
        <w:pStyle w:val="Heading2"/>
      </w:pPr>
      <w:r>
        <w:t xml:space="preserve">B.1 Girişimci ve İş Fikrinin Doğuşu</w:t>
      </w:r>
    </w:p>
    <w:p>
      <w:pPr>
        <w:spacing w:after="140" w:line="268"/>
        <w:jc w:val="both"/>
      </w:pPr>
      <w:r>
        <w:t xml:space="preserve">CogniVault, bankacılık ve telekom altyapılarında çalışmış iki Sabancı Üniversitesi Bilgisayar Bilimi kökenli kurucu tarafından geliştirildi. </w:t>
      </w:r>
      <w:r>
        <w:rPr>
          <w:b/>
          <w:bCs/>
        </w:rPr>
        <w:t xml:space="preserve">Efe Kağan Ürersoy</w:t>
      </w:r>
      <w:r>
        <w:t xml:space="preserve"> (Kurucu Ortak / Teknik Lider) Yapı Kredi Teknoloji'de banka-grade altyapı ve güvenlik deneyimi edindi (geçmişte Akbank); yerel LLM mimarisini ve MVP'yi geliştirdi. </w:t>
      </w:r>
      <w:r>
        <w:rPr>
          <w:b/>
          <w:bCs/>
        </w:rPr>
        <w:t xml:space="preserve">Enes Coşkun</w:t>
      </w:r>
      <w:r>
        <w:t xml:space="preserve"> (Kurucu Ortak / Ürün &amp; Yazılım) Turkcell deneyimine ve TÜBİTAK ekosistemiyle yakın çalışmaya sahip. Diş kliniklerinin kaçırdığı çağrıların doğrudan gelir kaybına dönüşmesi; mevcut AI çözümlerinin hem Türkçe diş şikâyetini yanlış anlaması hem de hasta verisini yurt dışına taşıması, bizi salt bir sohbet botu değil, mahremiyeti koruyan ve denetim altında öğrenen bir klinik karar-destek motoru kurmaya yöneltti. Her iki kurucu da projeye tam zamanlıdır.</w:t>
      </w:r>
    </w:p>
    <w:p>
      <w:pPr>
        <w:pStyle w:val="Heading2"/>
      </w:pPr>
      <w:r>
        <w:t xml:space="preserve">B.2 Problem ve Müşteri İhtiyacı</w:t>
      </w:r>
    </w:p>
    <w:p>
      <w:pPr>
        <w:spacing w:after="140" w:line="268"/>
        <w:jc w:val="both"/>
      </w:pPr>
      <w:r>
        <w:t xml:space="preserve">Diş klinikleri taleplerin büyük bölümünü telefon ve WhatsApp'tan alır; çağrıların önemli kısmı tedavi sırasında, mesai dışında veya yoğun saatlerde karşılıksız kalır ve doğrudan kayıp randevuya dönüşür. Klinikler 7/24 insan ekiple çalışamaz; nitelikli ön-büro maliyeti ve devir hızı yüksektir. Mevcut çözümler iki açıdan yetersizdir: (a) genel amaçlı metin botları yalnızca yazıya bakar, hastanın argo/günlük Türkçe şikâyetini doğru anlamaz, aciliyeti güvenle ölçemez ve teşhis riski taşır; (b) ABD-bulut LLM kullanan çözümler özel nitelikli sağlık verisini yurt dışına aktarır ve KVKK riski doğurur. Klinik; aciliyeti doğru ve kalibre ölçen, doğal Türkçe konuşan, hekim denetiminde kalan, kararının gerekçesini denetlenebilir biçimde kaydeden ve veriyi ülke içinde tutan bir asistana ihtiyaç duyar. Bu ihtiyaç, modeli daha “akıllı” yapmaktan çok, modeli güvenli ve hukuka uygun biçimde sınırlayan bir mimariyle karşılanır.</w:t>
      </w:r>
    </w:p>
    <w:p>
      <w:pPr>
        <w:pStyle w:val="Heading2"/>
      </w:pPr>
      <w:r>
        <w:t xml:space="preserve">B.3 Ürün / Hizmet ve Çözüm — Dört Teknik Temel</w:t>
      </w:r>
    </w:p>
    <w:p>
      <w:pPr>
        <w:spacing w:after="140" w:line="268"/>
        <w:jc w:val="both"/>
      </w:pPr>
      <w:r>
        <w:t xml:space="preserve">CogniVault dört kanalı tek asistanda birleştirir; ancak asıl değer aşağıdaki dört teknik temelin birlikte çalışmasındadır. Sıralama önceliklidir: çekirdek, modelin yeteneği değil, modelin etrafındaki deterministik güvenlik ve KVKK mimarisidir.</w:t>
      </w:r>
    </w:p>
    <w:p>
      <w:pPr>
        <w:pStyle w:val="Heading3"/>
      </w:pPr>
      <w:r>
        <w:t xml:space="preserve">Temel 1 — Deterministik klinik-yönetişim ve veri-yerleşim zarfı (çekirdek; bugün çalışıyor)</w:t>
      </w:r>
    </w:p>
    <w:p>
      <w:pPr>
        <w:spacing w:after="140" w:line="268"/>
        <w:jc w:val="both"/>
      </w:pPr>
      <w:r>
        <w:t xml:space="preserve">Olasılıksal dil/ses modelinin ürettiği her aday yanıt, otomatik gönderimden önce deterministik bir kapıdan geçer. Kapı: (i) veri sınıfını tespit eder (contact / özel-nitelikli sağlık / finansal-sigorta / ulusal kimlik / ses metadata); (ii) acil, sigorta, kimlik, düşük-güven ve memnuniyetsizlik durumlarını her zaman insana yükseltir; (iii) teşhis ve tedavi talimatını varsayılan olarak bloklar; (iv) sınır-ötesi işleyiciyi açık rıza ve sözleşme olmadan engeller; (v) ham PII'yi her işleyiciden (yerel dahil) önce maskeler; (vi) kararı maskeli denetim izine yazar. Bu, ürünü bir “üretken bot” olmaktan çıkarıp denetlenebilir bir karar-destek katmanına dönüştürür ve sistemi tıbbi-cihaz-olmayan tarafta tutar.</w:t>
      </w:r>
    </w:p>
    <w:p>
      <w:pPr>
        <w:pStyle w:val="Heading3"/>
      </w:pPr>
      <w:r>
        <w:t xml:space="preserve">Temel 2 — Kalibre ve çekimser Türkçe diş triyaj yönlendiricisi (gerçek Ar-Ge çekirdeği)</w:t>
      </w:r>
    </w:p>
    <w:p>
      <w:pPr>
        <w:spacing w:after="140" w:line="268"/>
        <w:jc w:val="both"/>
      </w:pPr>
      <w:r>
        <w:t xml:space="preserve">Hastanın günlük/argo Türkçe şikâyetini (ASR + diş alanına özgü normalizasyon) işleyerek branş yönlendirmesi ve operasyonel öncelik üreten model. Buradaki asıl zorluk doğruluk değil, kalibrasyon ve çekimserliktir: model, güveni düşük veya kanıtlar tutarsız olduğunda kendiliğinden insana yükselir (selective/conformal prediction). “Acil vakayı kaçırma” hatası için garantili kapsama hedeflenir. Halka açık Türkçe diş şikâyeti veri seti bulunmadığından, özel korpus + branş/aciliyet ontolojisi geliştirilir; bu, hem veri hendeği hem de küçük ölçekte bile çalışan bir ağ etkisidir (her klinik düzeltmesi yönlendiriciyi iyileştirir).</w:t>
      </w:r>
    </w:p>
    <w:p>
      <w:pPr>
        <w:pStyle w:val="Heading3"/>
      </w:pPr>
      <w:r>
        <w:t xml:space="preserve">Temel 3 — On-prem / yerinde KVKK yığını (yapısal hendek; demo edilebilir)</w:t>
      </w:r>
    </w:p>
    <w:p>
      <w:pPr>
        <w:spacing w:after="140" w:line="268"/>
        <w:jc w:val="both"/>
      </w:pPr>
      <w:r>
        <w:t xml:space="preserve">Çıkarım ve ses işleme yerinde yapılır: yerel ASR (faster-whisper), yerel LLM (Qwen2.5 sınıfı) ve yerel TTS (Piper tr_TR), PII maskeleme hattı, yerel veritabanı ve denetim kaydı. Harici LLM/STT/TTS klinik veride varsayılan olarak kapalıdır. Ham hasta verisi cihazdan çıkmaz. Ar-Ge bileşeni: küçük bir on-prem modeli, özel Türkçe diş korpusunda damıtma/ince-ayar ile klinik-yönlendirme kalitesine çıkarmak ve gerçek-zamanlı ses gecikmesini klinik kullanımı için düşürmek.</w:t>
      </w:r>
    </w:p>
    <w:p>
      <w:pPr>
        <w:pStyle w:val="Heading3"/>
      </w:pPr>
      <w:r>
        <w:t xml:space="preserve">Temel 4 — Öngörücü bakım-sürekliliği ve no-show motoru</w:t>
      </w:r>
    </w:p>
    <w:p>
      <w:pPr>
        <w:spacing w:after="140" w:line="268"/>
        <w:jc w:val="both"/>
      </w:pPr>
      <w:r>
        <w:t xml:space="preserve">İptal/no-show olasılığını ve tedavi sürekliliği riskini (yarım kalan kanal tedavisi, geciken altı aylık kontrol) öngörerek dinamik slot önerisi ve kişiye özel proaktif geri-çağırma zamanlaması üretir; kaybedilen geliri ve klinik sürekliliğini kurtarır.</w:t>
      </w:r>
    </w:p>
    <w:p>
      <w:pPr>
        <w:spacing w:after="140" w:line="268"/>
        <w:jc w:val="both"/>
      </w:pPr>
      <w:r>
        <w:rPr>
          <w:b/>
          <w:bCs/>
        </w:rPr>
        <w:t xml:space="preserve">Bugünkü MVP </w:t>
      </w:r>
      <w:r>
        <w:t xml:space="preserve">çok kanallı etkileşimi, Türkçe branş yönlendirmeyi, deterministik yönetişim kapısını, Shadow Mode hekim onayını, on-prem yerel-ses yığınını ve KVKK saklama/silme işakışını içerir. BiGG'in ana hedefi, Temel 1'i kanıtlanabilir biçimde sertleştirmek ve Temel 2'yi (kalibre çekimser yönlendirici) araştırma olgunluğundan ürün ve patent olgunluğuna taşımaktır.</w:t>
      </w:r>
    </w:p>
    <w:p>
      <w:pPr>
        <w:pStyle w:val="Heading2"/>
      </w:pPr>
      <w:r>
        <w:t xml:space="preserve">B.4 Yenilikçi ve Özgün Yön — Savunulabilirlik</w:t>
      </w:r>
    </w:p>
    <w:p>
      <w:pPr>
        <w:spacing w:after="140" w:line="268"/>
        <w:jc w:val="both"/>
      </w:pPr>
      <w:r>
        <w:t xml:space="preserve">Ürünün özgünlüğü “bir AI sekreter” fikrinde değil, olasılıksal bir modeli regüle sağlık ortamında inşa gereği güvenli ve KVKK-uyumlu kılan deterministik yönetişim yönteminde ve bu yöntemin kalibre-çekimser Türkçe diş triyajıyla birleşmesindedir. Buluş adımı tersine-mühendisliğe dirençlidir çünkü kapasiteyi değil, kapasitenin sınırlandırılmasını ve denetlenebilirliğini korur. Savunulabilirlik tek bir patente değil, dört katmana yaslanır: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0"/>
        <w:gridCol w:w="6776"/>
      </w:tblGrid>
      <w:tr>
        <w:trPr>
          <w:tblHeader/>
        </w:trPr>
        <w:tc>
          <w:tcPr>
            <w:tcW w:type="dxa" w:w="2250"/>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Katman</w:t>
            </w:r>
          </w:p>
        </w:tc>
        <w:tc>
          <w:tcPr>
            <w:tcW w:type="dxa" w:w="6776"/>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Açıklama</w:t>
            </w:r>
          </w:p>
        </w:tc>
      </w:tr>
      <w:tr>
        <w:tc>
          <w:tcPr>
            <w:tcW w:type="dxa" w:w="225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pPr>
            <w:r>
              <w:rPr>
                <w:b/>
                <w:bCs/>
                <w:sz w:val="19"/>
                <w:szCs w:val="19"/>
              </w:rPr>
              <w:t xml:space="preserve">Yöntem patenti</w:t>
            </w:r>
          </w:p>
        </w:tc>
        <w:tc>
          <w:tcPr>
            <w:tcW w:type="dxa" w:w="6776"/>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Deterministik klinik-güvenlik ve veri-yerleşim zarfı. Teknik etki: güvensiz otomatik sağlık iletişiminin ve hukuksuz sınır-ötesi aktarımın önlenmesi. Soyut yöntem değil — yazılım-patenti eşiğini (teknik katkı) aşar.</w:t>
            </w:r>
          </w:p>
        </w:tc>
      </w:tr>
      <w:tr>
        <w:tc>
          <w:tcPr>
            <w:tcW w:type="dxa" w:w="225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pPr>
            <w:r>
              <w:rPr>
                <w:b/>
                <w:bCs/>
                <w:sz w:val="19"/>
                <w:szCs w:val="19"/>
              </w:rPr>
              <w:t xml:space="preserve">Veri hendeği</w:t>
            </w:r>
          </w:p>
        </w:tc>
        <w:tc>
          <w:tcPr>
            <w:tcW w:type="dxa" w:w="6776"/>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Eşi olmayan argo Türkçe diş şikâyeti korpusu + branş/aciliyet ontolojisi. Her klinik düzeltmesi modeli iyileştirir; 5 klinikte bile çalışan ağ etkisi.</w:t>
            </w:r>
          </w:p>
        </w:tc>
      </w:tr>
      <w:tr>
        <w:tc>
          <w:tcPr>
            <w:tcW w:type="dxa" w:w="225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pPr>
            <w:r>
              <w:rPr>
                <w:b/>
                <w:bCs/>
                <w:sz w:val="19"/>
                <w:szCs w:val="19"/>
              </w:rPr>
              <w:t xml:space="preserve">Regülasyon/mimari hendeği</w:t>
            </w:r>
          </w:p>
        </w:tc>
        <w:tc>
          <w:tcPr>
            <w:tcW w:type="dxa" w:w="6776"/>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On-prem KVKK yığını. ABD-bulutu rakipler özel-nitelikli veride bu mimariyi yapısal olarak kuramaz; kopyalamak tüm altyapıyı yeniden kurmak demektir.</w:t>
            </w:r>
          </w:p>
        </w:tc>
      </w:tr>
      <w:tr>
        <w:tc>
          <w:tcPr>
            <w:tcW w:type="dxa" w:w="225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pPr>
            <w:r>
              <w:rPr>
                <w:b/>
                <w:bCs/>
                <w:sz w:val="19"/>
                <w:szCs w:val="19"/>
              </w:rPr>
              <w:t xml:space="preserve">Geçiş maliyeti</w:t>
            </w:r>
          </w:p>
        </w:tc>
        <w:tc>
          <w:tcPr>
            <w:tcW w:type="dxa" w:w="6776"/>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Kliniğe özel öğrenilmiş yönlendirme, PMS/HBYS entegrasyonu ve denetlenebilir karar geçmişi, çıkışı pahalı kılar.</w:t>
            </w:r>
          </w:p>
        </w:tc>
      </w:tr>
    </w:tbl>
    <w:p>
      <w:pPr>
        <w:spacing w:after="30"/>
      </w:pPr>
      <w:r>
        <w:t xml:space="preserve"/>
      </w:r>
    </w:p>
    <w:p>
      <w:pPr>
        <w:spacing w:after="140" w:line="268"/>
        <w:jc w:val="both"/>
      </w:pPr>
      <w:r>
        <w:rPr>
          <w:b/>
          <w:bCs/>
        </w:rPr>
        <w:t xml:space="preserve">Dürüst prior-art duruşu. </w:t>
      </w:r>
      <w:r>
        <w:t xml:space="preserve">Federe öğrenme (Owkin Substra, NVIDIA Clara/FLARE, Rhino Health) ve genel symptom-checker/triyaj alanları yerleşiktir; bunları icat ettiğimizi iddia etmeyiz. Bizim dar ve yeni şeridimiz, KVKK-uyumlu deterministik yönetişim zarfı + Türkçe diş triyaj NLU + non-SaMD sınırının bütünleşik birlikteliğidir (bkz. E.1.7).</w:t>
      </w:r>
    </w:p>
    <w:p>
      <w:pPr>
        <w:pStyle w:val="Heading2"/>
      </w:pPr>
      <w:r>
        <w:t xml:space="preserve">B.5 Ticari Beklenti ve Sürdürülebilirlik</w:t>
      </w:r>
    </w:p>
    <w:p>
      <w:pPr>
        <w:spacing w:after="140" w:line="268"/>
        <w:jc w:val="both"/>
      </w:pPr>
      <w:r>
        <w:t xml:space="preserve">Gelir modeli abonelik (SaaS) + başarı-bazlı hibrittir: Starter ₺7.500/ay; Growth ₺18.500/ay + başarılı randevu başına ₺75; Enterprise özel fiyat. Klinik başına harmanlanmış yıllık gelir (ARPA) ≈ ₺285.000; tahmini CAC ≈ ₺16.000; muhafazakâr LTV/CAC ≈ 18×. İlk yıl 20 klinik hedefiyle ≈ ₺5,7M ARR; başabaş 16 klinikte (katkı payı ≈ %85). Sürdürülebilirlik doğrudan teknik çekirdekten gelir: veri hendeği ve kliniğe-özel modeller geçiş maliyetini yükseltir; on-prem mimari ölçekte birim çıkarım maliyetini düşürür; yöntem patenti ve KVKK-yapısal hendeği fiyat rekabetinden korur.</w:t>
      </w:r>
    </w:p>
    <w:p>
      <w:pPr>
        <w:pStyle w:val="Heading1"/>
        <w:pageBreakBefore/>
      </w:pPr>
      <w:r>
        <w:t xml:space="preserve">BÖLÜM C1 — PROJE PLANI, İŞ PAKETLERİ VE FAALİYETLER</w:t>
      </w:r>
    </w:p>
    <w:p>
      <w:pPr>
        <w:spacing w:after="140" w:line="268"/>
        <w:jc w:val="both"/>
      </w:pPr>
      <w:r>
        <w:t xml:space="preserve">Proje süresi 12 aydır (1 Ekim 2026 – 30 Eylül 2027). İş paketleri, yapılabilirlik (TÜBİTAK 1812'de ayrı puanlanan eksen) gözetilerek iki yoğun-YZ çekirdek iş paketi etrafında kurgulanmıştır: biri zaten çalışan güvenlik/KVKK çekirdeğini sertleştirir, biri kalibre-çekimser triyajın gerçek Ar-Ge belirsizliğini çözer. Federe öğrenme ve görsel-eskalasyon yıl-1 taahhüdü değil, fizibilitesi araştırılan Faz-2 başlıklarıdır.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0"/>
        <w:gridCol w:w="3520"/>
        <w:gridCol w:w="2640"/>
        <w:gridCol w:w="1226"/>
      </w:tblGrid>
      <w:tr>
        <w:trPr>
          <w:tblHeader/>
        </w:trPr>
        <w:tc>
          <w:tcPr>
            <w:tcW w:type="dxa" w:w="1640"/>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İş Paketi</w:t>
            </w:r>
          </w:p>
        </w:tc>
        <w:tc>
          <w:tcPr>
            <w:tcW w:type="dxa" w:w="3520"/>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Amaç ve Başlıca YZ Faaliyetleri / Yöntem</w:t>
            </w:r>
          </w:p>
        </w:tc>
        <w:tc>
          <w:tcPr>
            <w:tcW w:type="dxa" w:w="2640"/>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Başarı Ölçütü / Çıktı</w:t>
            </w:r>
          </w:p>
        </w:tc>
        <w:tc>
          <w:tcPr>
            <w:tcW w:type="dxa" w:w="1226"/>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Sorumlu / Ay</w:t>
            </w:r>
          </w:p>
        </w:tc>
      </w:tr>
      <w:tr>
        <w:tc>
          <w:tcPr>
            <w:tcW w:type="dxa" w:w="164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pPr>
            <w:r>
              <w:rPr>
                <w:b/>
                <w:bCs/>
                <w:sz w:val="18"/>
                <w:szCs w:val="18"/>
              </w:rPr>
              <w:t xml:space="preserve">İP-1 Türkçe Diş Triyaj NLU + Kalibre Çekimser Yönlendirici</w:t>
            </w:r>
          </w:p>
        </w:tc>
        <w:tc>
          <w:tcPr>
            <w:tcW w:type="dxa" w:w="352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8"/>
                <w:szCs w:val="18"/>
              </w:rPr>
              <w:t xml:space="preserve">Argo Türkçe normalizasyon; branş eşleme; selective/conformal prediction ile kalibre aciliyet/öncelik; düşük-güven ve tutarsızlıkta otomatik insan-yükseltme; özel korpus + ontoloji.</w:t>
            </w:r>
          </w:p>
        </w:tc>
        <w:tc>
          <w:tcPr>
            <w:tcW w:type="dxa" w:w="264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8"/>
                <w:szCs w:val="18"/>
              </w:rPr>
              <w:t xml:space="preserve">Branş eşlemede ≥%90; kalibrasyon ECE&lt;0,05; acil-recall ≈ %100 (kaçan acil ≈ 0); ≥500 anonim senaryo. Çıktı: yönlendirici + kalibrasyon raporu.</w:t>
            </w:r>
          </w:p>
        </w:tc>
        <w:tc>
          <w:tcPr>
            <w:tcW w:type="dxa" w:w="1226"/>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pPr>
            <w:r>
              <w:rPr>
                <w:sz w:val="18"/>
                <w:szCs w:val="18"/>
              </w:rPr>
              <w:t xml:space="preserve">Efe</w:t>
            </w:r>
          </w:p>
          <w:p>
            <w:pPr>
              <w:spacing w:after="0"/>
            </w:pPr>
            <w:r>
              <w:rPr>
                <w:sz w:val="18"/>
                <w:szCs w:val="18"/>
              </w:rPr>
              <w:t xml:space="preserve">Ay 1–7</w:t>
            </w:r>
          </w:p>
        </w:tc>
      </w:tr>
      <w:tr>
        <w:tc>
          <w:tcPr>
            <w:tcW w:type="dxa" w:w="164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pPr>
            <w:r>
              <w:rPr>
                <w:b/>
                <w:bCs/>
                <w:sz w:val="18"/>
                <w:szCs w:val="18"/>
              </w:rPr>
              <w:t xml:space="preserve">İP-2 Deterministik Yönetişim Zarfı'nın Sertleştirilmesi</w:t>
            </w:r>
          </w:p>
        </w:tc>
        <w:tc>
          <w:tcPr>
            <w:tcW w:type="dxa" w:w="352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8"/>
                <w:szCs w:val="18"/>
              </w:rPr>
              <w:t xml:space="preserve">Veri-sınıfı kapısı, residency modu, rıza kapıları, insan-yükseltme tetikleyicileri; adversarial + property-based test ile kapı ihlal-edilemezliğinin kanıtı; maskeli denetim izi.</w:t>
            </w:r>
          </w:p>
        </w:tc>
        <w:tc>
          <w:tcPr>
            <w:tcW w:type="dxa" w:w="264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8"/>
                <w:szCs w:val="18"/>
              </w:rPr>
              <w:t xml:space="preserve">150+ senaryoda %100 doğru kapı; kapı ihlali = 0 (adversarial test); teşhis/sınır-ötesi/kimlik sızıntısı = 0. Çıktı: zarf + test koşumu + denetim izi.</w:t>
            </w:r>
          </w:p>
        </w:tc>
        <w:tc>
          <w:tcPr>
            <w:tcW w:type="dxa" w:w="1226"/>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pPr>
            <w:r>
              <w:rPr>
                <w:sz w:val="18"/>
                <w:szCs w:val="18"/>
              </w:rPr>
              <w:t xml:space="preserve">Enes</w:t>
            </w:r>
          </w:p>
          <w:p>
            <w:pPr>
              <w:spacing w:after="0"/>
            </w:pPr>
            <w:r>
              <w:rPr>
                <w:sz w:val="18"/>
                <w:szCs w:val="18"/>
              </w:rPr>
              <w:t xml:space="preserve">Ay 1–8</w:t>
            </w:r>
          </w:p>
        </w:tc>
      </w:tr>
      <w:tr>
        <w:tc>
          <w:tcPr>
            <w:tcW w:type="dxa" w:w="164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pPr>
            <w:r>
              <w:rPr>
                <w:b/>
                <w:bCs/>
                <w:sz w:val="18"/>
                <w:szCs w:val="18"/>
              </w:rPr>
              <w:t xml:space="preserve">İP-3 On-prem Yerel Yığın Optimizasyonu</w:t>
            </w:r>
          </w:p>
        </w:tc>
        <w:tc>
          <w:tcPr>
            <w:tcW w:type="dxa" w:w="352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8"/>
                <w:szCs w:val="18"/>
              </w:rPr>
              <w:t xml:space="preserve">Küçük modelin damıtma/ince-ayarı (TR diş korpusu); gerçek-zamanlı ses (VAD, gürültü toleransı, kesinti yönetimi); maskeleme hattı.</w:t>
            </w:r>
          </w:p>
        </w:tc>
        <w:tc>
          <w:tcPr>
            <w:tcW w:type="dxa" w:w="264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8"/>
                <w:szCs w:val="18"/>
              </w:rPr>
              <w:t xml:space="preserve">On-prem yanıt gecikmesi hedefi karşılanır; modest donanımda klinik-yönlendirme kalitesi. Çıktı: optimize yerel yığın + gecikme raporu.</w:t>
            </w:r>
          </w:p>
        </w:tc>
        <w:tc>
          <w:tcPr>
            <w:tcW w:type="dxa" w:w="1226"/>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pPr>
            <w:r>
              <w:rPr>
                <w:sz w:val="18"/>
                <w:szCs w:val="18"/>
              </w:rPr>
              <w:t xml:space="preserve">Efe</w:t>
            </w:r>
          </w:p>
          <w:p>
            <w:pPr>
              <w:spacing w:after="0"/>
            </w:pPr>
            <w:r>
              <w:rPr>
                <w:sz w:val="18"/>
                <w:szCs w:val="18"/>
              </w:rPr>
              <w:t xml:space="preserve">Ay 3–9</w:t>
            </w:r>
          </w:p>
        </w:tc>
      </w:tr>
      <w:tr>
        <w:tc>
          <w:tcPr>
            <w:tcW w:type="dxa" w:w="164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pPr>
            <w:r>
              <w:rPr>
                <w:b/>
                <w:bCs/>
                <w:sz w:val="18"/>
                <w:szCs w:val="18"/>
              </w:rPr>
              <w:t xml:space="preserve">İP-4 Hekim-Döngülü İyileştirme + Öngörücü Süreklilik</w:t>
            </w:r>
          </w:p>
        </w:tc>
        <w:tc>
          <w:tcPr>
            <w:tcW w:type="dxa" w:w="352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8"/>
                <w:szCs w:val="18"/>
              </w:rPr>
              <w:t xml:space="preserve">Shadow Mode onay/düzeltmelerinden etiket; zarf-içinde politika eşiği iyileştirme; no-show/süreklilik risk modeli + dinamik slot + geri-çağırma.</w:t>
            </w:r>
          </w:p>
        </w:tc>
        <w:tc>
          <w:tcPr>
            <w:tcW w:type="dxa" w:w="264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8"/>
                <w:szCs w:val="18"/>
              </w:rPr>
              <w:t xml:space="preserve">Onay başına karar &lt;30 sn; no-show AUC≥0,75; pilotta iptal/kaçan-çağrı kurtarımı ≥%60. Çıktı: RLHF döngüsü + süreklilik servisi.</w:t>
            </w:r>
          </w:p>
        </w:tc>
        <w:tc>
          <w:tcPr>
            <w:tcW w:type="dxa" w:w="1226"/>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pPr>
            <w:r>
              <w:rPr>
                <w:sz w:val="18"/>
                <w:szCs w:val="18"/>
              </w:rPr>
              <w:t xml:space="preserve">Enes</w:t>
            </w:r>
          </w:p>
          <w:p>
            <w:pPr>
              <w:spacing w:after="0"/>
            </w:pPr>
            <w:r>
              <w:rPr>
                <w:sz w:val="18"/>
                <w:szCs w:val="18"/>
              </w:rPr>
              <w:t xml:space="preserve">Ay 5–10</w:t>
            </w:r>
          </w:p>
        </w:tc>
      </w:tr>
      <w:tr>
        <w:tc>
          <w:tcPr>
            <w:tcW w:type="dxa" w:w="164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pPr>
            <w:r>
              <w:rPr>
                <w:b/>
                <w:bCs/>
                <w:sz w:val="18"/>
                <w:szCs w:val="18"/>
              </w:rPr>
              <w:t xml:space="preserve">İP-5 Pilot Saha &amp; Klinik Doğrulama</w:t>
            </w:r>
          </w:p>
        </w:tc>
        <w:tc>
          <w:tcPr>
            <w:tcW w:type="dxa" w:w="352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8"/>
                <w:szCs w:val="18"/>
              </w:rPr>
              <w:t xml:space="preserve">3–5 klinikte canlı pilot; kalibrasyon ve güvenlik kapısının saha doğrulaması; kaçan çağrı kurtarma, dönüşüm, memnuniyet; haftalık iterasyon.</w:t>
            </w:r>
          </w:p>
        </w:tc>
        <w:tc>
          <w:tcPr>
            <w:tcW w:type="dxa" w:w="264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8"/>
                <w:szCs w:val="18"/>
              </w:rPr>
              <w:t xml:space="preserve">≥%85 memnuniyet; ≥3 referans; saha kalibrasyon raporu; sıfır güvenlik-kapısı ihlali. Çıktı: metrik panosu + saha raporu.</w:t>
            </w:r>
          </w:p>
        </w:tc>
        <w:tc>
          <w:tcPr>
            <w:tcW w:type="dxa" w:w="1226"/>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pPr>
            <w:r>
              <w:rPr>
                <w:sz w:val="18"/>
                <w:szCs w:val="18"/>
              </w:rPr>
              <w:t xml:space="preserve">Enes+Efe</w:t>
            </w:r>
          </w:p>
          <w:p>
            <w:pPr>
              <w:spacing w:after="0"/>
            </w:pPr>
            <w:r>
              <w:rPr>
                <w:sz w:val="18"/>
                <w:szCs w:val="18"/>
              </w:rPr>
              <w:t xml:space="preserve">Ay 7–12</w:t>
            </w:r>
          </w:p>
        </w:tc>
      </w:tr>
      <w:tr>
        <w:tc>
          <w:tcPr>
            <w:tcW w:type="dxa" w:w="164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pPr>
            <w:r>
              <w:rPr>
                <w:b/>
                <w:bCs/>
                <w:sz w:val="18"/>
                <w:szCs w:val="18"/>
              </w:rPr>
              <w:t xml:space="preserve">İP-6 Ticarileştirme &amp; Fikri Mülkiyet</w:t>
            </w:r>
          </w:p>
        </w:tc>
        <w:tc>
          <w:tcPr>
            <w:tcW w:type="dxa" w:w="352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8"/>
                <w:szCs w:val="18"/>
              </w:rPr>
              <w:t xml:space="preserve">Abonelik+başarı faturalama, çoklu-kiracı dağıtım; yöntem patenti novelty araştırması + istem taslakları (TÜRKPATENT EPATS); federe öğrenme Faz-2 fizibilitesi.</w:t>
            </w:r>
          </w:p>
        </w:tc>
        <w:tc>
          <w:tcPr>
            <w:tcW w:type="dxa" w:w="264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8"/>
                <w:szCs w:val="18"/>
              </w:rPr>
              <w:t xml:space="preserve">≥5 ücretli klinik; vekil-incelemeli patent başvuru paketi; onboarding &lt;1 gün. Çıktı: faturalama + patent dosyası + Faz-2 notu.</w:t>
            </w:r>
          </w:p>
        </w:tc>
        <w:tc>
          <w:tcPr>
            <w:tcW w:type="dxa" w:w="1226"/>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pPr>
            <w:r>
              <w:rPr>
                <w:sz w:val="18"/>
                <w:szCs w:val="18"/>
              </w:rPr>
              <w:t xml:space="preserve">Efe+Enes</w:t>
            </w:r>
          </w:p>
          <w:p>
            <w:pPr>
              <w:spacing w:after="0"/>
            </w:pPr>
            <w:r>
              <w:rPr>
                <w:sz w:val="18"/>
                <w:szCs w:val="18"/>
              </w:rPr>
              <w:t xml:space="preserve">Ay 9–12</w:t>
            </w:r>
          </w:p>
        </w:tc>
      </w:tr>
    </w:tbl>
    <w:p>
      <w:pPr>
        <w:spacing w:after="60"/>
      </w:pPr>
      <w:r>
        <w:t xml:space="preserve"/>
      </w:r>
    </w:p>
    <w:p>
      <w:pPr>
        <w:pStyle w:val="Heading3"/>
      </w:pPr>
      <w:r>
        <w:t xml:space="preserve">12 Aylık İş-Zaman (Gantt) Grafiği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2"/>
        <w:gridCol w:w="552"/>
        <w:gridCol w:w="552"/>
        <w:gridCol w:w="552"/>
        <w:gridCol w:w="552"/>
        <w:gridCol w:w="552"/>
        <w:gridCol w:w="552"/>
        <w:gridCol w:w="552"/>
        <w:gridCol w:w="552"/>
        <w:gridCol w:w="552"/>
        <w:gridCol w:w="552"/>
        <w:gridCol w:w="552"/>
        <w:gridCol w:w="552"/>
      </w:tblGrid>
      <w:tr>
        <w:trPr>
          <w:tblHeader/>
        </w:trPr>
        <w:tc>
          <w:tcPr>
            <w:tcW w:type="dxa" w:w="2402"/>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İş Paketi</w:t>
            </w:r>
          </w:p>
        </w:tc>
        <w:tc>
          <w:tcPr>
            <w:tcW w:type="dxa" w:w="552"/>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1</w:t>
            </w:r>
          </w:p>
        </w:tc>
        <w:tc>
          <w:tcPr>
            <w:tcW w:type="dxa" w:w="552"/>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2</w:t>
            </w:r>
          </w:p>
        </w:tc>
        <w:tc>
          <w:tcPr>
            <w:tcW w:type="dxa" w:w="552"/>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3</w:t>
            </w:r>
          </w:p>
        </w:tc>
        <w:tc>
          <w:tcPr>
            <w:tcW w:type="dxa" w:w="552"/>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4</w:t>
            </w:r>
          </w:p>
        </w:tc>
        <w:tc>
          <w:tcPr>
            <w:tcW w:type="dxa" w:w="552"/>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5</w:t>
            </w:r>
          </w:p>
        </w:tc>
        <w:tc>
          <w:tcPr>
            <w:tcW w:type="dxa" w:w="552"/>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6</w:t>
            </w:r>
          </w:p>
        </w:tc>
        <w:tc>
          <w:tcPr>
            <w:tcW w:type="dxa" w:w="552"/>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7</w:t>
            </w:r>
          </w:p>
        </w:tc>
        <w:tc>
          <w:tcPr>
            <w:tcW w:type="dxa" w:w="552"/>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8</w:t>
            </w:r>
          </w:p>
        </w:tc>
        <w:tc>
          <w:tcPr>
            <w:tcW w:type="dxa" w:w="552"/>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9</w:t>
            </w:r>
          </w:p>
        </w:tc>
        <w:tc>
          <w:tcPr>
            <w:tcW w:type="dxa" w:w="552"/>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10</w:t>
            </w:r>
          </w:p>
        </w:tc>
        <w:tc>
          <w:tcPr>
            <w:tcW w:type="dxa" w:w="552"/>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11</w:t>
            </w:r>
          </w:p>
        </w:tc>
        <w:tc>
          <w:tcPr>
            <w:tcW w:type="dxa" w:w="552"/>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12</w:t>
            </w:r>
          </w:p>
        </w:tc>
      </w:tr>
      <w:tr>
        <w:tc>
          <w:tcPr>
            <w:tcW w:type="dxa" w:w="2402"/>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0"/>
            </w:pPr>
            <w:r>
              <w:rPr>
                <w:b/>
                <w:bCs/>
                <w:sz w:val="18"/>
                <w:szCs w:val="18"/>
              </w:rPr>
              <w:t xml:space="preserve">İP-1 NLU + Kalibre Çekimser Yönlendirici</w:t>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r>
      <w:tr>
        <w:tc>
          <w:tcPr>
            <w:tcW w:type="dxa" w:w="2402"/>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0"/>
            </w:pPr>
            <w:r>
              <w:rPr>
                <w:b/>
                <w:bCs/>
                <w:sz w:val="18"/>
                <w:szCs w:val="18"/>
              </w:rPr>
              <w:t xml:space="preserve">İP-2 Yönetişim Zarfı (sertleştirme + kanıt)</w:t>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r>
      <w:tr>
        <w:tc>
          <w:tcPr>
            <w:tcW w:type="dxa" w:w="2402"/>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0"/>
            </w:pPr>
            <w:r>
              <w:rPr>
                <w:b/>
                <w:bCs/>
                <w:sz w:val="18"/>
                <w:szCs w:val="18"/>
              </w:rPr>
              <w:t xml:space="preserve">İP-3 On-prem Yerel Yığın Optimizasyonu</w:t>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r>
      <w:tr>
        <w:tc>
          <w:tcPr>
            <w:tcW w:type="dxa" w:w="2402"/>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0"/>
            </w:pPr>
            <w:r>
              <w:rPr>
                <w:b/>
                <w:bCs/>
                <w:sz w:val="18"/>
                <w:szCs w:val="18"/>
              </w:rPr>
              <w:t xml:space="preserve">İP-4 Hekim-Döngülü + Öngörücü Süreklilik</w:t>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r>
      <w:tr>
        <w:tc>
          <w:tcPr>
            <w:tcW w:type="dxa" w:w="2402"/>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0"/>
            </w:pPr>
            <w:r>
              <w:rPr>
                <w:b/>
                <w:bCs/>
                <w:sz w:val="18"/>
                <w:szCs w:val="18"/>
              </w:rPr>
              <w:t xml:space="preserve">İP-5 Pilot Saha &amp; Klinik Doğrulama</w:t>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r>
      <w:tr>
        <w:tc>
          <w:tcPr>
            <w:tcW w:type="dxa" w:w="2402"/>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0"/>
            </w:pPr>
            <w:r>
              <w:rPr>
                <w:b/>
                <w:bCs/>
                <w:sz w:val="18"/>
                <w:szCs w:val="18"/>
              </w:rPr>
              <w:t xml:space="preserve">İP-6 Ticarileştirme &amp; Fikri Mülkiyet</w:t>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c>
          <w:tcPr>
            <w:tcW w:type="dxa" w:w="552"/>
            <w:tcBorders>
              <w:top w:val="single" w:color="BFBFBF" w:sz="1"/>
              <w:left w:val="single" w:color="BFBFBF" w:sz="1"/>
              <w:bottom w:val="single" w:color="BFBFBF" w:sz="1"/>
              <w:right w:val="single" w:color="BFBFBF" w:sz="1"/>
            </w:tcBorders>
            <w:shd w:fill="595959" w:val="clear"/>
            <w:tcMar>
              <w:top w:type="dxa" w:w="40"/>
              <w:left w:type="dxa" w:w="20"/>
              <w:bottom w:type="dxa" w:w="40"/>
              <w:right w:type="dxa" w:w="20"/>
            </w:tcMar>
            <w:vAlign w:val="center"/>
          </w:tcPr>
          <w:p>
            <w:pPr>
              <w:spacing w:after="0"/>
              <w:jc w:val="center"/>
            </w:pPr>
            <w:r>
              <w:t xml:space="preserve"/>
            </w:r>
          </w:p>
        </w:tc>
      </w:tr>
    </w:tbl>
    <w:p>
      <w:pPr>
        <w:spacing w:after="60" w:before="80"/>
      </w:pPr>
      <w:r>
        <w:rPr>
          <w:i/>
          <w:iCs/>
          <w:color w:val="555555"/>
          <w:sz w:val="17"/>
          <w:szCs w:val="17"/>
        </w:rPr>
        <w:t xml:space="preserve">Ay 1 = Ekim 2026 … Ay 12 = Eylül 2027.</w:t>
      </w:r>
    </w:p>
    <w:p>
      <w:pPr>
        <w:spacing w:after="140" w:line="268"/>
        <w:jc w:val="both"/>
      </w:pPr>
      <w:r>
        <w:rPr>
          <w:b/>
          <w:bCs/>
        </w:rPr>
        <w:t xml:space="preserve">Kilometre taşları — </w:t>
      </w:r>
      <w:r>
        <w:t xml:space="preserve">Ay 6: kalibre çekimser yönlendirici (ECE&lt;0,05) MVP; Ay 8: adversarial-test ile ihlal-edilemezliği kanıtlanmış yönetişim zarfı; Ay 10: hekim-döngülü iyileştirme + öngörücü süreklilik pilotta; Ay 12: ≥5 ücretli klinik + vekil-incelemeli patent paketi (3 bağımsız istem).</w:t>
      </w:r>
    </w:p>
    <w:p>
      <w:pPr>
        <w:pStyle w:val="Heading1"/>
      </w:pPr>
      <w:r>
        <w:t xml:space="preserve">BÖLÜM D — PAZAR FIRSATI</w:t>
      </w:r>
    </w:p>
    <w:p>
      <w:pPr>
        <w:pStyle w:val="Heading2"/>
      </w:pPr>
      <w:r>
        <w:t xml:space="preserve">D.1 Problem ve Pazar</w:t>
      </w:r>
    </w:p>
    <w:p>
      <w:pPr>
        <w:spacing w:after="140" w:line="268"/>
        <w:jc w:val="both"/>
      </w:pPr>
      <w:r>
        <w:t xml:space="preserve">Diş klinikleri çağrıların büyük kısmını telefon/WhatsApp'ta karşılıksız bırakır; her kaçan çağrı kayıp randevudur. Mevcut çözümler ya genel chatbot'tur (argo Türkçe şikâyeti yanlış anlar, aciliyeti güvenle ölçemez) ya da ABD-bulut LLM kullanıp özel-nitelikli veriyi yurt dışına taşıyarak KVKK riski doğurur. CogniVault üç açığı birden kapatır: kalibre ve güvenli triyaj, verinin ülke içinde/yerinde işlenmesi ve denetlenebilir hekim-onaylı karar.</w:t>
      </w:r>
    </w:p>
    <w:p>
      <w:pPr>
        <w:pStyle w:val="Heading2"/>
      </w:pPr>
      <w:r>
        <w:t xml:space="preserve">D.2 TAM / SAM / SOM</w:t>
      </w:r>
    </w:p>
    <w:p>
      <w:pPr>
        <w:spacing w:after="140" w:line="268"/>
        <w:jc w:val="both"/>
      </w:pPr>
      <w:r>
        <w:t xml:space="preserve">Pazar, tabandan-yukarı tahmin edilmiştir. En savunulabilir katman, doğrudan hedeflediğimiz SAM ve SOM'dur; TAM bir üst-sınır göstergesidir ve pilotta doğrulanacaktır.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126"/>
        <w:gridCol w:w="2400"/>
      </w:tblGrid>
      <w:tr>
        <w:trPr>
          <w:tblHeader/>
        </w:trPr>
        <w:tc>
          <w:tcPr>
            <w:tcW w:type="dxa" w:w="1500"/>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Katman</w:t>
            </w:r>
          </w:p>
        </w:tc>
        <w:tc>
          <w:tcPr>
            <w:tcW w:type="dxa" w:w="5126"/>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Tanım</w:t>
            </w:r>
          </w:p>
        </w:tc>
        <w:tc>
          <w:tcPr>
            <w:tcW w:type="dxa" w:w="2400"/>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Tahmini Büyüklük</w:t>
            </w:r>
          </w:p>
        </w:tc>
      </w:tr>
      <w:tr>
        <w:tc>
          <w:tcPr>
            <w:tcW w:type="dxa" w:w="150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TAM</w:t>
            </w:r>
          </w:p>
        </w:tc>
        <w:tc>
          <w:tcPr>
            <w:tcW w:type="dxa" w:w="5126"/>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Türkiye sağlık ön-büro otomasyonu ve hasta etkileşim yazılımı (tüm branşlar, üst-sınır, top-down gösterge)</w:t>
            </w:r>
          </w:p>
        </w:tc>
        <w:tc>
          <w:tcPr>
            <w:tcW w:type="dxa" w:w="240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pPr>
            <w:r>
              <w:rPr>
                <w:sz w:val="19"/>
                <w:szCs w:val="19"/>
              </w:rPr>
              <w:t xml:space="preserve">≈ ₺35–40 Milyar</w:t>
            </w:r>
          </w:p>
        </w:tc>
      </w:tr>
      <w:tr>
        <w:tc>
          <w:tcPr>
            <w:tcW w:type="dxa" w:w="150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SAM</w:t>
            </w:r>
          </w:p>
        </w:tc>
        <w:tc>
          <w:tcPr>
            <w:tcW w:type="dxa" w:w="5126"/>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Türkiye özel diş klinikleri/zincirleri (≈ 13.000+ erişilebilir klinik × ARPA ≈ ₺285K, bottom-up)</w:t>
            </w:r>
          </w:p>
        </w:tc>
        <w:tc>
          <w:tcPr>
            <w:tcW w:type="dxa" w:w="240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pPr>
            <w:r>
              <w:rPr>
                <w:b/>
                <w:bCs/>
                <w:sz w:val="19"/>
                <w:szCs w:val="19"/>
              </w:rPr>
              <w:t xml:space="preserve">≈ ₺3,7 Milyar</w:t>
            </w:r>
          </w:p>
        </w:tc>
      </w:tr>
      <w:tr>
        <w:tc>
          <w:tcPr>
            <w:tcW w:type="dxa" w:w="150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SOM</w:t>
            </w:r>
          </w:p>
        </w:tc>
        <w:tc>
          <w:tcPr>
            <w:tcW w:type="dxa" w:w="5126"/>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İlk 3 yılda gerçekçi pay (öncelikli şehirler + pilot ağı)</w:t>
            </w:r>
          </w:p>
        </w:tc>
        <w:tc>
          <w:tcPr>
            <w:tcW w:type="dxa" w:w="240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pPr>
            <w:r>
              <w:rPr>
                <w:sz w:val="19"/>
                <w:szCs w:val="19"/>
              </w:rPr>
              <w:t xml:space="preserve">≈ ₺570 Milyon</w:t>
            </w:r>
          </w:p>
        </w:tc>
      </w:tr>
    </w:tbl>
    <w:p>
      <w:pPr>
        <w:spacing w:after="20"/>
      </w:pPr>
      <w:r>
        <w:t xml:space="preserve"/>
      </w:r>
    </w:p>
    <w:p>
      <w:pPr>
        <w:pStyle w:val="Heading2"/>
      </w:pPr>
      <w:r>
        <w:t xml:space="preserve">D.3 Eğilimler ve Hendek</w:t>
      </w:r>
    </w:p>
    <w:p>
      <w:pPr>
        <w:pStyle w:val="ListParagraph"/>
        <w:numPr>
          <w:ilvl w:val="0"/>
          <w:numId w:val="2"/>
        </w:numPr>
        <w:spacing w:after="80" w:line="262"/>
        <w:jc w:val="both"/>
      </w:pPr>
      <w:r>
        <w:t xml:space="preserve">Sağlıkta YZ benimsenmesi ve operasyonel otomasyon talebi hızla artıyor; KVKK-uyumlu, güvenli triyaj henüz boş bir niş.</w:t>
      </w:r>
    </w:p>
    <w:p>
      <w:pPr>
        <w:pStyle w:val="ListParagraph"/>
        <w:numPr>
          <w:ilvl w:val="0"/>
          <w:numId w:val="2"/>
        </w:numPr>
        <w:spacing w:after="80" w:line="262"/>
        <w:jc w:val="both"/>
      </w:pPr>
      <w:r>
        <w:t xml:space="preserve">KVKK denetimi sıkılaşıyor; yurt içi/yerinde işleme bir uyum yükünden rekabet avantajına dönüşüyor.</w:t>
      </w:r>
    </w:p>
    <w:p>
      <w:pPr>
        <w:pStyle w:val="ListParagraph"/>
        <w:numPr>
          <w:ilvl w:val="0"/>
          <w:numId w:val="2"/>
        </w:numPr>
        <w:spacing w:after="80" w:line="262"/>
        <w:jc w:val="both"/>
      </w:pPr>
      <w:r>
        <w:t xml:space="preserve">Birincil segment: 1–5 üniteli özel klinikler. İkincil: çok şubeli zincirler/poliklinikler.</w:t>
      </w:r>
    </w:p>
    <w:p>
      <w:pPr>
        <w:pStyle w:val="ListParagraph"/>
        <w:numPr>
          <w:ilvl w:val="0"/>
          <w:numId w:val="2"/>
        </w:numPr>
        <w:spacing w:after="80" w:line="262"/>
        <w:jc w:val="both"/>
      </w:pPr>
      <w:r>
        <w:rPr>
          <w:b/>
          <w:bCs/>
        </w:rPr>
        <w:t xml:space="preserve">Yapısal hendek: </w:t>
      </w:r>
      <w:r>
        <w:t xml:space="preserve">Veri hendeği ve on-prem KVKK mimarisi nedeniyle, en çok kliniği en erken bağlayan oyuncu, sonradan girecek rakiplerin veri ve uyum olmadan yakalayamayacağı bir avantaj biriktirir.</w:t>
      </w:r>
    </w:p>
    <w:p>
      <w:pPr>
        <w:pStyle w:val="Heading1"/>
        <w:pageBreakBefore/>
      </w:pPr>
      <w:r>
        <w:t xml:space="preserve">BÖLÜM E — ÜRÜN VE TEKNOLOJİ</w:t>
      </w:r>
    </w:p>
    <w:p>
      <w:pPr>
        <w:pStyle w:val="Heading2"/>
      </w:pPr>
      <w:r>
        <w:t xml:space="preserve">E.1.1 Değer Önerisi</w:t>
      </w:r>
    </w:p>
    <w:p>
      <w:pPr>
        <w:spacing w:after="140" w:line="268"/>
        <w:jc w:val="both"/>
      </w:pPr>
      <w:r>
        <w:t xml:space="preserve">7/24 çalışan; hastanın doğal Türkçe şikâyetini kalibre biçimde değerlendirerek doğru branş yönlendirmesi ve operasyonel öncelik üreten; her yanıtı deterministik bir güvenlik ve KVKK kapısından geçiren; acil/sigorta/kimlik/düşük-güven durumlarını her zaman hekime yükselten; ve tüm işlemeyi hasta verisi klinikten çıkmadan yerinde gerçekleştiren bir klinik-ön-büro karar-destek motoru. Farkı: teşhis yok, gereksiz veri toplama yok, veri ülke içinde/yerinde, her karar denetlenebilir.</w:t>
      </w:r>
    </w:p>
    <w:p>
      <w:pPr>
        <w:pStyle w:val="Heading2"/>
      </w:pPr>
      <w:r>
        <w:t xml:space="preserve">E.1.2 Teknolojik Rekabet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163"/>
        <w:gridCol w:w="3163"/>
      </w:tblGrid>
      <w:tr>
        <w:trPr>
          <w:tblHeader/>
        </w:trPr>
        <w:tc>
          <w:tcPr>
            <w:tcW w:type="dxa" w:w="2700"/>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Boyut</w:t>
            </w:r>
          </w:p>
        </w:tc>
        <w:tc>
          <w:tcPr>
            <w:tcW w:type="dxa" w:w="3163"/>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Genel AI / yurt dışı LLM</w:t>
            </w:r>
          </w:p>
        </w:tc>
        <w:tc>
          <w:tcPr>
            <w:tcW w:type="dxa" w:w="3163"/>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CogniVault</w:t>
            </w:r>
          </w:p>
        </w:tc>
      </w:tr>
      <w:tr>
        <w:tc>
          <w:tcPr>
            <w:tcW w:type="dxa" w:w="270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Veri yerleşimi</w:t>
            </w:r>
          </w:p>
        </w:tc>
        <w:tc>
          <w:tcPr>
            <w:tcW w:type="dxa" w:w="3163"/>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ABD sunucuları, yurt dışı aktarım</w:t>
            </w:r>
          </w:p>
        </w:tc>
        <w:tc>
          <w:tcPr>
            <w:tcW w:type="dxa" w:w="3163"/>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pPr>
            <w:r>
              <w:rPr>
                <w:b/>
                <w:bCs/>
                <w:sz w:val="19"/>
                <w:szCs w:val="19"/>
              </w:rPr>
              <w:t xml:space="preserve">Yurt içi / yerinde (on-prem)</w:t>
            </w:r>
          </w:p>
        </w:tc>
      </w:tr>
      <w:tr>
        <w:tc>
          <w:tcPr>
            <w:tcW w:type="dxa" w:w="270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Klinik güvenlik</w:t>
            </w:r>
          </w:p>
        </w:tc>
        <w:tc>
          <w:tcPr>
            <w:tcW w:type="dxa" w:w="3163"/>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Üretken metin, teşhis riski</w:t>
            </w:r>
          </w:p>
        </w:tc>
        <w:tc>
          <w:tcPr>
            <w:tcW w:type="dxa" w:w="3163"/>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pPr>
            <w:r>
              <w:rPr>
                <w:b/>
                <w:bCs/>
                <w:sz w:val="19"/>
                <w:szCs w:val="19"/>
              </w:rPr>
              <w:t xml:space="preserve">Deterministik güvenlik + KVKK zarfı</w:t>
            </w:r>
          </w:p>
        </w:tc>
      </w:tr>
      <w:tr>
        <w:tc>
          <w:tcPr>
            <w:tcW w:type="dxa" w:w="270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Regülasyon konumu</w:t>
            </w:r>
          </w:p>
        </w:tc>
        <w:tc>
          <w:tcPr>
            <w:tcW w:type="dxa" w:w="3163"/>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Belirsiz / tıbbi-cihaz riski</w:t>
            </w:r>
          </w:p>
        </w:tc>
        <w:tc>
          <w:tcPr>
            <w:tcW w:type="dxa" w:w="3163"/>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pPr>
            <w:r>
              <w:rPr>
                <w:b/>
                <w:bCs/>
                <w:sz w:val="19"/>
                <w:szCs w:val="19"/>
              </w:rPr>
              <w:t xml:space="preserve">Bilinçli tıbbi-cihaz-olmayan (non-SaMD)</w:t>
            </w:r>
          </w:p>
        </w:tc>
      </w:tr>
      <w:tr>
        <w:tc>
          <w:tcPr>
            <w:tcW w:type="dxa" w:w="270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Belirsizlik yönetimi</w:t>
            </w:r>
          </w:p>
        </w:tc>
        <w:tc>
          <w:tcPr>
            <w:tcW w:type="dxa" w:w="3163"/>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Aşırı-güven, çekimser değil</w:t>
            </w:r>
          </w:p>
        </w:tc>
        <w:tc>
          <w:tcPr>
            <w:tcW w:type="dxa" w:w="3163"/>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Kalibre + çekimser; düşük-güvende insana yükseltir</w:t>
            </w:r>
          </w:p>
        </w:tc>
      </w:tr>
      <w:tr>
        <w:tc>
          <w:tcPr>
            <w:tcW w:type="dxa" w:w="270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Türkçe diş NLU</w:t>
            </w:r>
          </w:p>
        </w:tc>
        <w:tc>
          <w:tcPr>
            <w:tcW w:type="dxa" w:w="3163"/>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Genel amaçlı</w:t>
            </w:r>
          </w:p>
        </w:tc>
        <w:tc>
          <w:tcPr>
            <w:tcW w:type="dxa" w:w="3163"/>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Argo şikâyet → branş + öncelik</w:t>
            </w:r>
          </w:p>
        </w:tc>
      </w:tr>
      <w:tr>
        <w:tc>
          <w:tcPr>
            <w:tcW w:type="dxa" w:w="270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Onay &amp; denetim</w:t>
            </w:r>
          </w:p>
        </w:tc>
        <w:tc>
          <w:tcPr>
            <w:tcW w:type="dxa" w:w="3163"/>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Sınırlı</w:t>
            </w:r>
          </w:p>
        </w:tc>
        <w:tc>
          <w:tcPr>
            <w:tcW w:type="dxa" w:w="3163"/>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Shadow Mode + tam denetim izi</w:t>
            </w:r>
          </w:p>
        </w:tc>
      </w:tr>
    </w:tbl>
    <w:p>
      <w:pPr>
        <w:pStyle w:val="Heading2"/>
      </w:pPr>
      <w:r>
        <w:t xml:space="preserve">E.1.3 Ürün Fiyatı</w:t>
      </w:r>
    </w:p>
    <w:p>
      <w:pPr>
        <w:pStyle w:val="ListParagraph"/>
        <w:numPr>
          <w:ilvl w:val="0"/>
          <w:numId w:val="2"/>
        </w:numPr>
        <w:spacing w:after="80" w:line="262"/>
        <w:jc w:val="both"/>
      </w:pPr>
      <w:r>
        <w:rPr>
          <w:b/>
          <w:bCs/>
        </w:rPr>
        <w:t xml:space="preserve">Starter ₺7.500/ay </w:t>
      </w:r>
      <w:r>
        <w:t xml:space="preserve">— tek üniteli klinik, temel çok kanallı asistan.</w:t>
      </w:r>
    </w:p>
    <w:p>
      <w:pPr>
        <w:pStyle w:val="ListParagraph"/>
        <w:numPr>
          <w:ilvl w:val="0"/>
          <w:numId w:val="2"/>
        </w:numPr>
        <w:spacing w:after="80" w:line="262"/>
        <w:jc w:val="both"/>
      </w:pPr>
      <w:r>
        <w:rPr>
          <w:b/>
          <w:bCs/>
        </w:rPr>
        <w:t xml:space="preserve">Growth ₺18.500/ay + başarılı randevu başına ₺75 </w:t>
      </w:r>
      <w:r>
        <w:t xml:space="preserve">— PMS entegrasyonu + Shadow Mode + kalibre triyaj.</w:t>
      </w:r>
    </w:p>
    <w:p>
      <w:pPr>
        <w:pStyle w:val="ListParagraph"/>
        <w:numPr>
          <w:ilvl w:val="0"/>
          <w:numId w:val="2"/>
        </w:numPr>
        <w:spacing w:after="80" w:line="262"/>
        <w:jc w:val="both"/>
      </w:pPr>
      <w:r>
        <w:rPr>
          <w:b/>
          <w:bCs/>
        </w:rPr>
        <w:t xml:space="preserve">Enterprise </w:t>
      </w:r>
      <w:r>
        <w:t xml:space="preserve">— özel fiyat; çok şubeli zincirler, gelişmiş denetim/raporlama. ARPA ≈ ₺285.000/yıl.</w:t>
      </w:r>
    </w:p>
    <w:p>
      <w:pPr>
        <w:pStyle w:val="Heading2"/>
      </w:pPr>
      <w:r>
        <w:t xml:space="preserve">E.1.4 Ürün Maliyeti</w:t>
      </w:r>
    </w:p>
    <w:p>
      <w:pPr>
        <w:spacing w:after="140" w:line="268"/>
        <w:jc w:val="both"/>
      </w:pPr>
      <w:r>
        <w:t xml:space="preserve">Ana kalemler: yerel LLM/GPU sunucu (büyük ölçüde sabit, on-prem/kolokasyon), telefon/WhatsApp mesajlaşma (değişken), birim destek ve operatör onay zamanı. Klinik başına aylık değişken maliyet ≈ ₺3.500; katkı payı ≈ %85. Yerinde model, ölçekte birim çıkarım maliyetini düşürür.</w:t>
      </w:r>
    </w:p>
    <w:p>
      <w:pPr>
        <w:pStyle w:val="Heading2"/>
      </w:pPr>
      <w:r>
        <w:t xml:space="preserve">E.1.5 Fikri Mülkiyet — Patentlenebilir İstemler</w:t>
      </w:r>
    </w:p>
    <w:p>
      <w:pPr>
        <w:spacing w:after="140" w:line="268"/>
        <w:jc w:val="both"/>
      </w:pPr>
      <w:r>
        <w:rPr>
          <w:b/>
          <w:bCs/>
        </w:rPr>
        <w:t xml:space="preserve">Buluş başlığı: </w:t>
      </w:r>
      <w:r>
        <w:t xml:space="preserve">“Mahremiyeti koruyan diş hekimliği klinik-ön-büro karar-destek motoru: olasılıksal bir dil/ses modelini deterministik bir klinik-güvenlik ve veri-yerleşim zarfı içinde sınırlandırarak güvensiz otomatik sağlık iletişimini ve hukuksuz sınır-ötesi veri aktarımını önleyen bilgisayarla uygulanan yöntem.” İstemler, çekirdek yöntemi önce ve dar koruyacak biçimde sıralanmıştır; federe öğrenme yalnızca bağımlı istem olarak yer alır (bağımsız novelty iddiası değildir).</w:t>
      </w:r>
    </w:p>
    <w:p>
      <w:pPr>
        <w:spacing w:after="140" w:line="268"/>
        <w:jc w:val="both"/>
      </w:pPr>
      <w:r>
        <w:rPr>
          <w:b/>
          <w:bCs/>
        </w:rPr>
        <w:t xml:space="preserve">İstem 1 (Bağımsız — Deterministik yönetişim zarfı). </w:t>
      </w:r>
      <w:r>
        <w:t xml:space="preserve">Bir dil/ses modelinin ürettiği aday yanıtı, otomatik iletimden önce; veri sınıfını (özel-nitelikli sağlık, finansal, kimlik, ses metadata) sınıflandıran, belirli koşulları (acil, sigorta, kimlik, düşük-güven) her zaman insana yükselten, teşhis/tedavi talimatını ve rızasız sınır-ötesi işlemeyi bloklayan ve kararı maskeli denetim izine yazan deterministik bir kısıt katmanından geçirerek; güvensiz otomatik sağlık iletişimini ve hukuksuz veri aktarımını önleyen bilgisayarla uygulanan yöntem.</w:t>
      </w:r>
    </w:p>
    <w:p>
      <w:pPr>
        <w:spacing w:after="140" w:line="268"/>
        <w:jc w:val="both"/>
      </w:pPr>
      <w:r>
        <w:rPr>
          <w:b/>
          <w:bCs/>
        </w:rPr>
        <w:t xml:space="preserve">İstem 2 (Bağımsız — Kalibre çekimser triyaj). </w:t>
      </w:r>
      <w:r>
        <w:t xml:space="preserve">Argo Türkçe diş şikâyetini alana özgü normalizasyonla işleyip branş yönlendirmesi ve kalibre öncelik üreten; güven kalibrasyonu eşiğin altındayken veya çok-kaynaklı kanıtlar tutarsızken kararı otomatik olarak insana yükselten (selective prediction) çekimser triyaj yöntemi.</w:t>
      </w:r>
    </w:p>
    <w:p>
      <w:pPr>
        <w:spacing w:after="140" w:line="268"/>
        <w:jc w:val="both"/>
      </w:pPr>
      <w:r>
        <w:rPr>
          <w:b/>
          <w:bCs/>
        </w:rPr>
        <w:t xml:space="preserve">İstem 3 (Bağımsız — Hekim onay paketi). </w:t>
      </w:r>
      <w:r>
        <w:t xml:space="preserve">Bir hasta etkileşiminden; niyet, güven, branş gerekçesi, veri sınıfı, izin verilen sonraki eylem, maskeli transkript önizlemesi ve denetim metadata'sını içeren bir hekim onay paketi üreten ve PMS/HBYS write-back'i yalnızca branş, slot, rıza ve insan-onay kısıtları geçtikten sonra yetkilendiren klinik orkestrasyon aygıtı.</w:t>
      </w:r>
    </w:p>
    <w:p>
      <w:pPr>
        <w:spacing w:after="140" w:line="268"/>
        <w:jc w:val="both"/>
      </w:pPr>
      <w:r>
        <w:rPr>
          <w:b/>
          <w:bCs/>
        </w:rPr>
        <w:t xml:space="preserve">Örnek bağımlı istemler: </w:t>
      </w:r>
    </w:p>
    <w:p>
      <w:pPr>
        <w:pStyle w:val="ListParagraph"/>
        <w:numPr>
          <w:ilvl w:val="0"/>
          <w:numId w:val="2"/>
        </w:numPr>
        <w:spacing w:after="80" w:line="262"/>
        <w:jc w:val="both"/>
      </w:pPr>
      <w:r>
        <w:t xml:space="preserve">İstem 1'e bağlı: deterministik kısıtların adversarial ve property-based testlerle ihlal-edilemezliğinin kanıtlanması.</w:t>
      </w:r>
    </w:p>
    <w:p>
      <w:pPr>
        <w:pStyle w:val="ListParagraph"/>
        <w:numPr>
          <w:ilvl w:val="0"/>
          <w:numId w:val="2"/>
        </w:numPr>
        <w:spacing w:after="80" w:line="262"/>
        <w:jc w:val="both"/>
      </w:pPr>
      <w:r>
        <w:t xml:space="preserve">İstem 1'e bağlı: yerel-öncelikli dağıtım modunun sınır-ötesi işleyicileri varsayılan engellemesi ve seçilen işleme modunun denetim izine yazılması.</w:t>
      </w:r>
    </w:p>
    <w:p>
      <w:pPr>
        <w:pStyle w:val="ListParagraph"/>
        <w:numPr>
          <w:ilvl w:val="0"/>
          <w:numId w:val="2"/>
        </w:numPr>
        <w:spacing w:after="80" w:line="262"/>
        <w:jc w:val="both"/>
      </w:pPr>
      <w:r>
        <w:t xml:space="preserve">İstem 2'ye bağlı: hasta görselinin yalnızca bir insan-yükseltme sinyali olarak kullanılması ve hiçbir koşulda otomatik klinik bulgu/teşhis üretmemesi.</w:t>
      </w:r>
    </w:p>
    <w:p>
      <w:pPr>
        <w:pStyle w:val="ListParagraph"/>
        <w:numPr>
          <w:ilvl w:val="0"/>
          <w:numId w:val="2"/>
        </w:numPr>
        <w:spacing w:after="80" w:line="262"/>
        <w:jc w:val="both"/>
      </w:pPr>
      <w:r>
        <w:t xml:space="preserve">İstem 1–2–3'e bağlı: model güncellemelerinin, ölçekte, gizlilik-korumalı federe toplulaştırma (secure aggregation) ile birleştirilmesi (Faz-2 yetkinliği).</w:t>
      </w:r>
    </w:p>
    <w:p>
      <w:pPr>
        <w:pStyle w:val="Heading2"/>
      </w:pPr>
      <w:r>
        <w:t xml:space="preserve">E.1.6 Regülasyon, KVKK ve Tıbbi-Cihaz Konumlandırması</w:t>
      </w:r>
    </w:p>
    <w:p>
      <w:pPr>
        <w:spacing w:after="140" w:line="268"/>
        <w:jc w:val="both"/>
      </w:pPr>
      <w:r>
        <w:rPr>
          <w:b/>
          <w:bCs/>
        </w:rPr>
        <w:t xml:space="preserve">Non-SaMD tasarım ilkesi. </w:t>
      </w:r>
      <w:r>
        <w:t xml:space="preserve">Sistem bilinçli olarak tıbbi-cihaz-olmayan bir idari/karar-destek katmanı olarak tasarlanır. Teşhis ve tedavi talimatı inşa gereği bloklanır; aciliyet bir klinik şiddet değerlendirmesi değil, hekime yükseltme ve randevu önceliklendirme için operasyonel bir sinyaldir; belirsizlik daima insana yükseltilir. Bu sınır, AB MDR (triyaj/öneri yazılımının Class IIa+ sayılması), AB Yapay Zekâ Yasası (yüksek-riskli YZ) ve Türkiye'de TİTCK tıbbi-cihaz mevzuatı karşısında ürünü düşük-riskli tarafta tutar; bu konum hukuk danışmanıyla teyit edilir.</w:t>
      </w:r>
    </w:p>
    <w:p>
      <w:pPr>
        <w:spacing w:after="140" w:line="268"/>
        <w:jc w:val="both"/>
      </w:pPr>
      <w:r>
        <w:rPr>
          <w:b/>
          <w:bCs/>
        </w:rPr>
        <w:t xml:space="preserve">KVKK varsayılanları. </w:t>
      </w:r>
      <w:r>
        <w:t xml:space="preserve">Sağlık şikâyetleri özel-nitelikli veridir. Üretim verisi Türkiye'de/yerinde işlenir; açık rıza + sicil + hukuki inceleme olmadan sınır-ötesi işleyici yoktur; harici LLM/STT/TTS klinik veride kapalıdır; maskeli önizleme kullanılır; TCKN/kart/sigorta otomatik istenmez; teşhis verilmez; acil/sigorta/kimlik/düşük-güven/memnuniyetsizlikte insan onayı zorunludur. Saklama: hasta verisi T.C. Sağlık Bakanlığı Kişisel Sağlık Verileri Yönetmeliği uyarınca tutulur ve süre dolduğunda otomatik anonimleştirilir; hasta-başlatımlı silme uç noktası mevcuttur. Referanslar: KVKK Özel Nitelikli Veri Rehberi, KVKK yurt dışı aktarım duyurusu, TÜRKPATENT başvuru kılavuzları.</w:t>
      </w:r>
    </w:p>
    <w:p>
      <w:pPr>
        <w:pStyle w:val="Heading2"/>
      </w:pPr>
      <w:r>
        <w:t xml:space="preserve">E.1.7 Tekniğin Bilinen Durumu (Prior-Art)</w:t>
      </w:r>
    </w:p>
    <w:p>
      <w:pPr>
        <w:spacing w:after="140" w:line="268"/>
        <w:jc w:val="both"/>
      </w:pPr>
      <w:r>
        <w:t xml:space="preserve">Rakip manzarayı açıkça kabul ederiz; novelty iddiamız dar ve bütünleşiktir.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50"/>
        <w:gridCol w:w="2400"/>
        <w:gridCol w:w="3676"/>
      </w:tblGrid>
      <w:tr>
        <w:trPr>
          <w:tblHeader/>
        </w:trPr>
        <w:tc>
          <w:tcPr>
            <w:tcW w:type="dxa" w:w="2950"/>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Bilinen çözüm</w:t>
            </w:r>
          </w:p>
        </w:tc>
        <w:tc>
          <w:tcPr>
            <w:tcW w:type="dxa" w:w="2400"/>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Örnek</w:t>
            </w:r>
          </w:p>
        </w:tc>
        <w:tc>
          <w:tcPr>
            <w:tcW w:type="dxa" w:w="3676"/>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CogniVault'un ayrıştığı dar şerit</w:t>
            </w:r>
          </w:p>
        </w:tc>
      </w:tr>
      <w:tr>
        <w:tc>
          <w:tcPr>
            <w:tcW w:type="dxa" w:w="295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AI resepsiyon/çağrı botları</w:t>
            </w:r>
          </w:p>
        </w:tc>
        <w:tc>
          <w:tcPr>
            <w:tcW w:type="dxa" w:w="240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Genel sektör</w:t>
            </w:r>
          </w:p>
        </w:tc>
        <w:tc>
          <w:tcPr>
            <w:tcW w:type="dxa" w:w="3676"/>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Deterministik klinik-güvenlik + KVKK veri-yerleşim zarfı ve non-SaMD sınırı yok</w:t>
            </w:r>
          </w:p>
        </w:tc>
      </w:tr>
      <w:tr>
        <w:tc>
          <w:tcPr>
            <w:tcW w:type="dxa" w:w="295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Diş PMS/HBYS</w:t>
            </w:r>
          </w:p>
        </w:tc>
        <w:tc>
          <w:tcPr>
            <w:tcW w:type="dxa" w:w="240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Klinik yönetim</w:t>
            </w:r>
          </w:p>
        </w:tc>
        <w:tc>
          <w:tcPr>
            <w:tcW w:type="dxa" w:w="3676"/>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Kalibre-çekimser Türkçe triyaj + güvenli karar katmanı yok</w:t>
            </w:r>
          </w:p>
        </w:tc>
      </w:tr>
      <w:tr>
        <w:tc>
          <w:tcPr>
            <w:tcW w:type="dxa" w:w="295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Genel LLM asistanları</w:t>
            </w:r>
          </w:p>
        </w:tc>
        <w:tc>
          <w:tcPr>
            <w:tcW w:type="dxa" w:w="240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Yatay sohbet</w:t>
            </w:r>
          </w:p>
        </w:tc>
        <w:tc>
          <w:tcPr>
            <w:tcW w:type="dxa" w:w="3676"/>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Olasılıksal çıktıyı sınırlayan deterministik klinik zarf yok</w:t>
            </w:r>
          </w:p>
        </w:tc>
      </w:tr>
      <w:tr>
        <w:tc>
          <w:tcPr>
            <w:tcW w:type="dxa" w:w="295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Federe öğrenme platformları</w:t>
            </w:r>
          </w:p>
        </w:tc>
        <w:tc>
          <w:tcPr>
            <w:tcW w:type="dxa" w:w="240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Owkin Substra, NVIDIA Clara/FLARE, Rhino Health</w:t>
            </w:r>
          </w:p>
        </w:tc>
        <w:tc>
          <w:tcPr>
            <w:tcW w:type="dxa" w:w="3676"/>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Yatay FL altyapısı; bizde Faz-2 olarak uygulanır, novelty değil</w:t>
            </w:r>
          </w:p>
        </w:tc>
      </w:tr>
      <w:tr>
        <w:tc>
          <w:tcPr>
            <w:tcW w:type="dxa" w:w="295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Bulut tele-triyaj / symptom checker</w:t>
            </w:r>
          </w:p>
        </w:tc>
        <w:tc>
          <w:tcPr>
            <w:tcW w:type="dxa" w:w="240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Sağlık triyajı</w:t>
            </w:r>
          </w:p>
        </w:tc>
        <w:tc>
          <w:tcPr>
            <w:tcW w:type="dxa" w:w="3676"/>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Ham veriyi yerinde tutan on-prem KVKK mimarisi + non-SaMD tasarım yok</w:t>
            </w:r>
          </w:p>
        </w:tc>
      </w:tr>
    </w:tbl>
    <w:p>
      <w:pPr>
        <w:pStyle w:val="Heading1"/>
      </w:pPr>
      <w:r>
        <w:t xml:space="preserve">BÖLÜM F — PERSONEL VE EKİP</w:t>
      </w:r>
    </w:p>
    <w:p>
      <w:pPr>
        <w:pStyle w:val="Heading2"/>
      </w:pPr>
      <w:r>
        <w:t xml:space="preserve">F.1 Ekip ve Deneyim</w:t>
      </w:r>
    </w:p>
    <w:p>
      <w:pPr>
        <w:spacing w:after="140" w:line="268"/>
        <w:jc w:val="both"/>
      </w:pPr>
      <w:r>
        <w:rPr>
          <w:b/>
          <w:bCs/>
        </w:rPr>
        <w:t xml:space="preserve">Efe Kağan Ürersoy </w:t>
      </w:r>
      <w:r>
        <w:t xml:space="preserve">— Kurucu Ortak / Teknik Lider. Sabancı Üniversitesi Bilgisayar Bilimi. Yapı Kredi Teknoloji (banka-grade altyapı), geçmişte Akbank. Yerel LLM mimarisi ve MVP'yi geliştirdi; Türkçe diş NLU, kalibre-çekimser yönlendirici ve on-prem yığının teknik lideri.</w:t>
      </w:r>
    </w:p>
    <w:p>
      <w:pPr>
        <w:spacing w:after="140" w:line="268"/>
        <w:jc w:val="both"/>
      </w:pPr>
      <w:r>
        <w:rPr>
          <w:b/>
          <w:bCs/>
        </w:rPr>
        <w:t xml:space="preserve">Enes Coşkun </w:t>
      </w:r>
      <w:r>
        <w:t xml:space="preserve">— Kurucu Ortak / Ürün &amp; Yazılım. Sabancı Üniversitesi Bilgisayar Bilimi. Turkcell deneyimi, TÜBİTAK ekosistemiyle yakın çalışma. Deterministik yönetişim zarfı, hekim-döngülü iyileştirme, öngörücü süreklilik ve ticarileştirme. Her iki kurucu tam zamanlı (%100).</w:t>
      </w:r>
    </w:p>
    <w:p>
      <w:pPr>
        <w:pStyle w:val="Heading2"/>
      </w:pPr>
      <w:r>
        <w:t xml:space="preserve">F.2 Ortaklık Yapısı</w:t>
      </w:r>
    </w:p>
    <w:p>
      <w:pPr>
        <w:spacing w:after="140" w:line="268"/>
        <w:jc w:val="both"/>
      </w:pPr>
      <w:r>
        <w:t xml:space="preserve">İki kurucu ortağın eşit ve aktif katılımı. BiGG 1812 kapsamında ₺1.350.000 destek; ana kontrol kuruculardadır.</w:t>
      </w:r>
    </w:p>
    <w:p>
      <w:pPr>
        <w:pStyle w:val="Heading2"/>
      </w:pPr>
      <w:r>
        <w:t xml:space="preserve">F.3 İş Paylaşımı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3526"/>
      </w:tblGrid>
      <w:tr>
        <w:trPr>
          <w:tblHeader/>
        </w:trPr>
        <w:tc>
          <w:tcPr>
            <w:tcW w:type="dxa" w:w="3200"/>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Alan</w:t>
            </w:r>
          </w:p>
        </w:tc>
        <w:tc>
          <w:tcPr>
            <w:tcW w:type="dxa" w:w="2300"/>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Sorumlu</w:t>
            </w:r>
          </w:p>
        </w:tc>
        <w:tc>
          <w:tcPr>
            <w:tcW w:type="dxa" w:w="3526"/>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Kapsam</w:t>
            </w:r>
          </w:p>
        </w:tc>
      </w:tr>
      <w:tr>
        <w:tc>
          <w:tcPr>
            <w:tcW w:type="dxa" w:w="320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NLU + kalibre yönlendirici + on-prem yığın</w:t>
            </w:r>
          </w:p>
        </w:tc>
        <w:tc>
          <w:tcPr>
            <w:tcW w:type="dxa" w:w="230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Efe Kağan Ürersoy</w:t>
            </w:r>
          </w:p>
        </w:tc>
        <w:tc>
          <w:tcPr>
            <w:tcW w:type="dxa" w:w="3526"/>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ASR/normalizasyon, çekimser model, damıtma/ince-ayar</w:t>
            </w:r>
          </w:p>
        </w:tc>
      </w:tr>
      <w:tr>
        <w:tc>
          <w:tcPr>
            <w:tcW w:type="dxa" w:w="320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Yönetişim zarfı, süreklilik, ürün</w:t>
            </w:r>
          </w:p>
        </w:tc>
        <w:tc>
          <w:tcPr>
            <w:tcW w:type="dxa" w:w="230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Enes Coşkun</w:t>
            </w:r>
          </w:p>
        </w:tc>
        <w:tc>
          <w:tcPr>
            <w:tcW w:type="dxa" w:w="3526"/>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Deterministik kapı + test kanıtı, RLHF döngüsü, no-show motoru, satış</w:t>
            </w:r>
          </w:p>
        </w:tc>
      </w:tr>
      <w:tr>
        <w:tc>
          <w:tcPr>
            <w:tcW w:type="dxa" w:w="320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Klinik doğrulama</w:t>
            </w:r>
          </w:p>
        </w:tc>
        <w:tc>
          <w:tcPr>
            <w:tcW w:type="dxa" w:w="230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Danışma kurulu (hekimler)</w:t>
            </w:r>
          </w:p>
        </w:tc>
        <w:tc>
          <w:tcPr>
            <w:tcW w:type="dxa" w:w="3526"/>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Branş taksonomisi, acil senaryolar, kalibrasyon denetimi</w:t>
            </w:r>
          </w:p>
        </w:tc>
      </w:tr>
      <w:tr>
        <w:tc>
          <w:tcPr>
            <w:tcW w:type="dxa" w:w="320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KVKK/hukuk &amp; patent</w:t>
            </w:r>
          </w:p>
        </w:tc>
        <w:tc>
          <w:tcPr>
            <w:tcW w:type="dxa" w:w="230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Dış danışmanlık</w:t>
            </w:r>
          </w:p>
        </w:tc>
        <w:tc>
          <w:tcPr>
            <w:tcW w:type="dxa" w:w="3526"/>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Uyum + non-SaMD incelemesi, novelty, istem başvurusu</w:t>
            </w:r>
          </w:p>
        </w:tc>
      </w:tr>
    </w:tbl>
    <w:p>
      <w:pPr>
        <w:pStyle w:val="Heading1"/>
        <w:pageBreakBefore/>
      </w:pPr>
      <w:r>
        <w:t xml:space="preserve">EK — FİNANSAL TABLOLAR (ÖZET)</w:t>
      </w:r>
    </w:p>
    <w:p>
      <w:pPr>
        <w:pStyle w:val="Heading2"/>
      </w:pPr>
      <w:r>
        <w:t xml:space="preserve">Tahmini Proje Bütçesi (12 Ay) — Toplam ₺1.350.000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826"/>
        <w:gridCol w:w="1450"/>
        <w:gridCol w:w="850"/>
      </w:tblGrid>
      <w:tr>
        <w:trPr>
          <w:tblHeader/>
        </w:trPr>
        <w:tc>
          <w:tcPr>
            <w:tcW w:type="dxa" w:w="2900"/>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Gider Kalemi</w:t>
            </w:r>
          </w:p>
        </w:tc>
        <w:tc>
          <w:tcPr>
            <w:tcW w:type="dxa" w:w="3826"/>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Açıklama</w:t>
            </w:r>
          </w:p>
        </w:tc>
        <w:tc>
          <w:tcPr>
            <w:tcW w:type="dxa" w:w="1450"/>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Tutar (₺)</w:t>
            </w:r>
          </w:p>
        </w:tc>
        <w:tc>
          <w:tcPr>
            <w:tcW w:type="dxa" w:w="850"/>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Pay</w:t>
            </w:r>
          </w:p>
        </w:tc>
      </w:tr>
      <w:tr>
        <w:tc>
          <w:tcPr>
            <w:tcW w:type="dxa" w:w="290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Personel</w:t>
            </w:r>
          </w:p>
        </w:tc>
        <w:tc>
          <w:tcPr>
            <w:tcW w:type="dxa" w:w="3826"/>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2 kurucu tam zamanlı, 12 ay</w:t>
            </w:r>
          </w:p>
        </w:tc>
        <w:tc>
          <w:tcPr>
            <w:tcW w:type="dxa" w:w="145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900.000</w:t>
            </w:r>
          </w:p>
        </w:tc>
        <w:tc>
          <w:tcPr>
            <w:tcW w:type="dxa" w:w="85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%66,7</w:t>
            </w:r>
          </w:p>
        </w:tc>
      </w:tr>
      <w:tr>
        <w:tc>
          <w:tcPr>
            <w:tcW w:type="dxa" w:w="290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Yazılım/Donanım</w:t>
            </w:r>
          </w:p>
        </w:tc>
        <w:tc>
          <w:tcPr>
            <w:tcW w:type="dxa" w:w="3826"/>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GPU sunucu (yerel LLM), on-prem yığın, test altyapısı</w:t>
            </w:r>
          </w:p>
        </w:tc>
        <w:tc>
          <w:tcPr>
            <w:tcW w:type="dxa" w:w="145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220.000</w:t>
            </w:r>
          </w:p>
        </w:tc>
        <w:tc>
          <w:tcPr>
            <w:tcW w:type="dxa" w:w="85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%16,3</w:t>
            </w:r>
          </w:p>
        </w:tc>
      </w:tr>
      <w:tr>
        <w:tc>
          <w:tcPr>
            <w:tcW w:type="dxa" w:w="290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Hizmet/Danışmanlık</w:t>
            </w:r>
          </w:p>
        </w:tc>
        <w:tc>
          <w:tcPr>
            <w:tcW w:type="dxa" w:w="3826"/>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KVKK + non-SaMD hukuk, klinik danışma, sızma testi, patent</w:t>
            </w:r>
          </w:p>
        </w:tc>
        <w:tc>
          <w:tcPr>
            <w:tcW w:type="dxa" w:w="145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130.000</w:t>
            </w:r>
          </w:p>
        </w:tc>
        <w:tc>
          <w:tcPr>
            <w:tcW w:type="dxa" w:w="85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%9,6</w:t>
            </w:r>
          </w:p>
        </w:tc>
      </w:tr>
      <w:tr>
        <w:tc>
          <w:tcPr>
            <w:tcW w:type="dxa" w:w="290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Seyahat</w:t>
            </w:r>
          </w:p>
        </w:tc>
        <w:tc>
          <w:tcPr>
            <w:tcW w:type="dxa" w:w="3826"/>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Pilot ziyaret, kurulum, demo</w:t>
            </w:r>
          </w:p>
        </w:tc>
        <w:tc>
          <w:tcPr>
            <w:tcW w:type="dxa" w:w="145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40.000</w:t>
            </w:r>
          </w:p>
        </w:tc>
        <w:tc>
          <w:tcPr>
            <w:tcW w:type="dxa" w:w="85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%3,0</w:t>
            </w:r>
          </w:p>
        </w:tc>
      </w:tr>
      <w:tr>
        <w:tc>
          <w:tcPr>
            <w:tcW w:type="dxa" w:w="290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Genel gider/sarf</w:t>
            </w:r>
          </w:p>
        </w:tc>
        <w:tc>
          <w:tcPr>
            <w:tcW w:type="dxa" w:w="3826"/>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İletişim hatları, sarf, idari</w:t>
            </w:r>
          </w:p>
        </w:tc>
        <w:tc>
          <w:tcPr>
            <w:tcW w:type="dxa" w:w="145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60.000</w:t>
            </w:r>
          </w:p>
        </w:tc>
        <w:tc>
          <w:tcPr>
            <w:tcW w:type="dxa" w:w="85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%4,4</w:t>
            </w:r>
          </w:p>
        </w:tc>
      </w:tr>
      <w:tr>
        <w:tc>
          <w:tcPr>
            <w:tcW w:type="dxa" w:w="290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pPr>
            <w:r>
              <w:rPr>
                <w:b/>
                <w:bCs/>
                <w:sz w:val="19"/>
                <w:szCs w:val="19"/>
              </w:rPr>
              <w:t xml:space="preserve">TOPLAM</w:t>
            </w:r>
          </w:p>
        </w:tc>
        <w:tc>
          <w:tcPr>
            <w:tcW w:type="dxa" w:w="3826"/>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
            </w:r>
          </w:p>
        </w:tc>
        <w:tc>
          <w:tcPr>
            <w:tcW w:type="dxa" w:w="145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pPr>
            <w:r>
              <w:rPr>
                <w:b/>
                <w:bCs/>
                <w:sz w:val="19"/>
                <w:szCs w:val="19"/>
              </w:rPr>
              <w:t xml:space="preserve">1.350.000</w:t>
            </w:r>
          </w:p>
        </w:tc>
        <w:tc>
          <w:tcPr>
            <w:tcW w:type="dxa" w:w="85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pPr>
            <w:r>
              <w:rPr>
                <w:b/>
                <w:bCs/>
                <w:sz w:val="19"/>
                <w:szCs w:val="19"/>
              </w:rPr>
              <w:t xml:space="preserve">%100</w:t>
            </w:r>
          </w:p>
        </w:tc>
      </w:tr>
    </w:tbl>
    <w:p>
      <w:pPr>
        <w:spacing w:after="40"/>
      </w:pPr>
      <w:r>
        <w:t xml:space="preserve"/>
      </w:r>
    </w:p>
    <w:p>
      <w:pPr>
        <w:pStyle w:val="Heading2"/>
      </w:pPr>
      <w:r>
        <w:t xml:space="preserve">Başabaş Analizi (Aylık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426"/>
      </w:tblGrid>
      <w:tr>
        <w:trPr>
          <w:tblHeader/>
        </w:trPr>
        <w:tc>
          <w:tcPr>
            <w:tcW w:type="dxa" w:w="3400"/>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Kalem</w:t>
            </w:r>
          </w:p>
        </w:tc>
        <w:tc>
          <w:tcPr>
            <w:tcW w:type="dxa" w:w="2200"/>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Değer</w:t>
            </w:r>
          </w:p>
        </w:tc>
        <w:tc>
          <w:tcPr>
            <w:tcW w:type="dxa" w:w="3426"/>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Açıklama</w:t>
            </w:r>
          </w:p>
        </w:tc>
      </w:tr>
      <w:tr>
        <w:tc>
          <w:tcPr>
            <w:tcW w:type="dxa" w:w="340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Klinik başına aylık gelir (harmanlanmış)</w:t>
            </w:r>
          </w:p>
        </w:tc>
        <w:tc>
          <w:tcPr>
            <w:tcW w:type="dxa" w:w="220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₺23.750</w:t>
            </w:r>
          </w:p>
        </w:tc>
        <w:tc>
          <w:tcPr>
            <w:tcW w:type="dxa" w:w="3426"/>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ARPA ₺285.000 / 12</w:t>
            </w:r>
          </w:p>
        </w:tc>
      </w:tr>
      <w:tr>
        <w:tc>
          <w:tcPr>
            <w:tcW w:type="dxa" w:w="340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Klinik başına değişken maliyet</w:t>
            </w:r>
          </w:p>
        </w:tc>
        <w:tc>
          <w:tcPr>
            <w:tcW w:type="dxa" w:w="220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₺3.500</w:t>
            </w:r>
          </w:p>
        </w:tc>
        <w:tc>
          <w:tcPr>
            <w:tcW w:type="dxa" w:w="3426"/>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Telefon/WhatsApp, kanal, destek</w:t>
            </w:r>
          </w:p>
        </w:tc>
      </w:tr>
      <w:tr>
        <w:tc>
          <w:tcPr>
            <w:tcW w:type="dxa" w:w="340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Birim katkı payı</w:t>
            </w:r>
          </w:p>
        </w:tc>
        <w:tc>
          <w:tcPr>
            <w:tcW w:type="dxa" w:w="220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₺20.250</w:t>
            </w:r>
          </w:p>
        </w:tc>
        <w:tc>
          <w:tcPr>
            <w:tcW w:type="dxa" w:w="3426"/>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%85 katkı payı oranı</w:t>
            </w:r>
          </w:p>
        </w:tc>
      </w:tr>
      <w:tr>
        <w:tc>
          <w:tcPr>
            <w:tcW w:type="dxa" w:w="340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Aylık sabit maliyet</w:t>
            </w:r>
          </w:p>
        </w:tc>
        <w:tc>
          <w:tcPr>
            <w:tcW w:type="dxa" w:w="220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₺320.000</w:t>
            </w:r>
          </w:p>
        </w:tc>
        <w:tc>
          <w:tcPr>
            <w:tcW w:type="dxa" w:w="3426"/>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Ekip, GPU/kolokasyon, araçlar</w:t>
            </w:r>
          </w:p>
        </w:tc>
      </w:tr>
      <w:tr>
        <w:tc>
          <w:tcPr>
            <w:tcW w:type="dxa" w:w="340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pPr>
            <w:r>
              <w:rPr>
                <w:b/>
                <w:bCs/>
                <w:sz w:val="19"/>
                <w:szCs w:val="19"/>
              </w:rPr>
              <w:t xml:space="preserve">Başabaş klinik sayısı</w:t>
            </w:r>
          </w:p>
        </w:tc>
        <w:tc>
          <w:tcPr>
            <w:tcW w:type="dxa" w:w="220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pPr>
            <w:r>
              <w:rPr>
                <w:b/>
                <w:bCs/>
                <w:sz w:val="19"/>
                <w:szCs w:val="19"/>
              </w:rPr>
              <w:t xml:space="preserve">16 klinik</w:t>
            </w:r>
          </w:p>
        </w:tc>
        <w:tc>
          <w:tcPr>
            <w:tcW w:type="dxa" w:w="3426"/>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Sabit maliyet / birim katkı payı</w:t>
            </w:r>
          </w:p>
        </w:tc>
      </w:tr>
      <w:tr>
        <w:tc>
          <w:tcPr>
            <w:tcW w:type="dxa" w:w="340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Hedef: 20 klinikte yıllık ciro (ARR)</w:t>
            </w:r>
          </w:p>
        </w:tc>
        <w:tc>
          <w:tcPr>
            <w:tcW w:type="dxa" w:w="220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₺5.700.000</w:t>
            </w:r>
          </w:p>
        </w:tc>
        <w:tc>
          <w:tcPr>
            <w:tcW w:type="dxa" w:w="3426"/>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Deck hedefiyle tutarlı</w:t>
            </w:r>
          </w:p>
        </w:tc>
      </w:tr>
      <w:tr>
        <w:tc>
          <w:tcPr>
            <w:tcW w:type="dxa" w:w="340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LTV/CAC (muhafazakâr)</w:t>
            </w:r>
          </w:p>
        </w:tc>
        <w:tc>
          <w:tcPr>
            <w:tcW w:type="dxa" w:w="220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 18×</w:t>
            </w:r>
          </w:p>
        </w:tc>
        <w:tc>
          <w:tcPr>
            <w:tcW w:type="dxa" w:w="3426"/>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CAC ₺16.000, 14 ay muhafazakâr ömür</w:t>
            </w:r>
          </w:p>
        </w:tc>
      </w:tr>
    </w:tbl>
    <w:sectPr>
      <w:headerReference w:type="default" r:id="rId7"/>
      <w:footerReference w:type="default" r:id="rId8"/>
      <w:pgSz w:w="11906" w:h="16838" w:orient="portrait"/>
      <w:pgMar w:top="1380" w:right="1300" w:bottom="12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spacing w:before="60"/>
      <w:jc w:val="center"/>
    </w:pPr>
    <w:r>
      <w:rPr>
        <w:color w:val="555555"/>
        <w:sz w:val="15"/>
        <w:szCs w:val="15"/>
      </w:rPr>
      <w:t xml:space="preserve">CogniVault Medical AI  ·  TÜBİTAK BiGG 1812  ·  </w:t>
    </w:r>
    <w:r>
      <w:rPr>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spacing w:after="0"/>
      <w:jc w:val="right"/>
    </w:pPr>
    <w:r>
      <w:rPr>
        <w:color w:val="555555"/>
        <w:sz w:val="15"/>
        <w:szCs w:val="15"/>
      </w:rPr>
      <w:t xml:space="preserve">CogniVault Medical AI — BiGG İş Planı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6" w:space="4"/>
      </w:pBdr>
      <w:spacing w:after="140" w:before="320"/>
      <w:outlineLvl w:val="0"/>
    </w:pPr>
    <w:rPr>
      <w:rFonts w:ascii="Arial" w:cs="Arial" w:eastAsia="Arial" w:hAnsi="Arial"/>
      <w:b/>
      <w:bCs/>
      <w:color w:val="000000"/>
      <w:sz w:val="27"/>
      <w:szCs w:val="27"/>
    </w:rPr>
  </w:style>
  <w:style w:type="paragraph" w:styleId="Heading2">
    <w:name w:val="Heading 2"/>
    <w:basedOn w:val="Normal"/>
    <w:next w:val="Normal"/>
    <w:qFormat/>
    <w:pPr>
      <w:spacing w:after="90" w:before="240"/>
      <w:outlineLvl w:val="1"/>
    </w:pPr>
    <w:rPr>
      <w:rFonts w:ascii="Arial" w:cs="Arial" w:eastAsia="Arial" w:hAnsi="Arial"/>
      <w:b/>
      <w:bCs/>
      <w:color w:val="000000"/>
      <w:sz w:val="23"/>
      <w:szCs w:val="23"/>
    </w:rPr>
  </w:style>
  <w:style w:type="paragraph" w:styleId="Heading3">
    <w:name w:val="Heading 3"/>
    <w:basedOn w:val="Normal"/>
    <w:next w:val="Normal"/>
    <w:qFormat/>
    <w:pPr>
      <w:spacing w:after="70" w:before="170"/>
      <w:outlineLvl w:val="2"/>
    </w:pPr>
    <w:rPr>
      <w:rFonts w:ascii="Arial" w:cs="Arial" w:eastAsia="Arial" w:hAnsi="Arial"/>
      <w:b/>
      <w:bCs/>
      <w:color w:val="0000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2026-06-19T07:39:44.841Z</dcterms:created>
  <dcterms:modified xsi:type="dcterms:W3CDTF">2026-06-19T07:39:44.841Z</dcterms:modified>
</cp:coreProperties>
</file>

<file path=docProps/custom.xml><?xml version="1.0" encoding="utf-8"?>
<Properties xmlns="http://schemas.openxmlformats.org/officeDocument/2006/custom-properties" xmlns:vt="http://schemas.openxmlformats.org/officeDocument/2006/docPropsVTypes"/>
</file>