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EFDA" w14:textId="77777777" w:rsidR="007800B5" w:rsidRPr="007800B5" w:rsidRDefault="007800B5" w:rsidP="007800B5">
      <w:pPr>
        <w:shd w:val="clear" w:color="auto" w:fill="CDE8EF"/>
        <w:spacing w:after="0" w:line="240" w:lineRule="auto"/>
        <w:ind w:left="-150" w:right="-150"/>
        <w:jc w:val="center"/>
        <w:outlineLvl w:val="0"/>
        <w:rPr>
          <w:rFonts w:ascii="Helvetica" w:eastAsia="Times New Roman" w:hAnsi="Helvetica" w:cs="Helvetica"/>
          <w:b/>
          <w:bCs/>
          <w:noProof w:val="0"/>
          <w:color w:val="1D1F22"/>
          <w:kern w:val="36"/>
          <w:sz w:val="41"/>
          <w:szCs w:val="41"/>
          <w:lang w:val="tr-TR" w:eastAsia="tr-TR"/>
        </w:rPr>
      </w:pPr>
      <w:r w:rsidRPr="007800B5">
        <w:rPr>
          <w:rFonts w:ascii="Helvetica" w:eastAsia="Times New Roman" w:hAnsi="Helvetica" w:cs="Helvetica"/>
          <w:b/>
          <w:bCs/>
          <w:noProof w:val="0"/>
          <w:color w:val="1D1F22"/>
          <w:kern w:val="36"/>
          <w:sz w:val="41"/>
          <w:szCs w:val="41"/>
          <w:lang w:val="tr-TR" w:eastAsia="tr-TR"/>
        </w:rPr>
        <w:t>1.3. Kernel ridge regression</w:t>
      </w:r>
    </w:p>
    <w:p w14:paraId="3567782E" w14:textId="77777777" w:rsidR="007800B5" w:rsidRPr="007800B5" w:rsidRDefault="007800B5" w:rsidP="007800B5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noProof w:val="0"/>
          <w:color w:val="1D1F22"/>
          <w:lang w:val="tr-TR" w:eastAsia="tr-TR"/>
        </w:rPr>
      </w:pP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Kernel ridge regression (KRR) </w:t>
      </w:r>
      <w:hyperlink r:id="rId4" w:anchor="m2012" w:history="1">
        <w:r w:rsidRPr="007800B5">
          <w:rPr>
            <w:rFonts w:ascii="Helvetica" w:eastAsia="Times New Roman" w:hAnsi="Helvetica" w:cs="Helvetica"/>
            <w:noProof w:val="0"/>
            <w:color w:val="2878A2"/>
            <w:u w:val="single"/>
            <w:lang w:val="tr-TR" w:eastAsia="tr-TR"/>
          </w:rPr>
          <w:t>[M2012]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combines </w:t>
      </w:r>
      <w:hyperlink r:id="rId5" w:anchor="ridge-regression" w:history="1">
        <w:r w:rsidRPr="007800B5">
          <w:rPr>
            <w:rFonts w:ascii="Helvetica" w:eastAsia="Times New Roman" w:hAnsi="Helvetica" w:cs="Helvetica"/>
            <w:noProof w:val="0"/>
            <w:color w:val="2878A2"/>
            <w:lang w:val="tr-TR" w:eastAsia="tr-TR"/>
          </w:rPr>
          <w:t>Ridge Regression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(linear least squares with l2-norm regularization) with the kernel trick. It thus learns a linear function in the space induced by the respective kernel and the data. For non-linear kernels, this corresponds to a non-linear function in the original space.</w:t>
      </w:r>
    </w:p>
    <w:p w14:paraId="5D7A4B76" w14:textId="5A1729BE" w:rsidR="007800B5" w:rsidRPr="007800B5" w:rsidRDefault="007800B5" w:rsidP="007800B5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noProof w:val="0"/>
          <w:color w:val="1D1F22"/>
          <w:lang w:val="tr-TR" w:eastAsia="tr-TR"/>
        </w:rPr>
      </w:pP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The form of the model learned by </w:t>
      </w:r>
      <w:hyperlink r:id="rId6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is identical to support vector regression (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). However, different loss functions are used: KRR uses squared error loss while support vector regression uses </w:t>
      </w:r>
      <w:r w:rsidRPr="007800B5">
        <w:rPr>
          <w:rFonts w:ascii="Helvetica" w:eastAsia="Times New Roman" w:hAnsi="Helvetica" w:cs="Helvetica"/>
          <w:color w:val="1D1F22"/>
          <w:lang w:val="tr-TR" w:eastAsia="tr-TR"/>
        </w:rPr>
        <w:drawing>
          <wp:inline distT="0" distB="0" distL="0" distR="0" wp14:anchorId="1FD2DDC2" wp14:editId="2219FD4D">
            <wp:extent cx="68580" cy="76200"/>
            <wp:effectExtent l="0" t="0" r="7620" b="0"/>
            <wp:docPr id="7" name="Resim 7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epsil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-insensitive loss, both combined with l2 regularization. In contrast to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, fitting </w:t>
      </w:r>
      <w:hyperlink r:id="rId8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can be done in closed-form and is typically faster for medium-sized datasets. On the other hand, the learned model is non-sparse and thus slower than SVR, which learns a sparse model for </w:t>
      </w:r>
      <w:r w:rsidRPr="007800B5">
        <w:rPr>
          <w:rFonts w:ascii="Helvetica" w:eastAsia="Times New Roman" w:hAnsi="Helvetica" w:cs="Helvetica"/>
          <w:color w:val="1D1F22"/>
          <w:lang w:val="tr-TR" w:eastAsia="tr-TR"/>
        </w:rPr>
        <w:drawing>
          <wp:inline distT="0" distB="0" distL="0" distR="0" wp14:anchorId="77921BC3" wp14:editId="7BA9D810">
            <wp:extent cx="381000" cy="114300"/>
            <wp:effectExtent l="0" t="0" r="0" b="0"/>
            <wp:docPr id="6" name="Resim 6" descr="\epsilon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epsilon &gt; 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, at prediction-time.</w:t>
      </w:r>
    </w:p>
    <w:p w14:paraId="37ADC409" w14:textId="77777777" w:rsidR="007800B5" w:rsidRPr="007800B5" w:rsidRDefault="007800B5" w:rsidP="007800B5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noProof w:val="0"/>
          <w:color w:val="1D1F22"/>
          <w:lang w:val="tr-TR" w:eastAsia="tr-TR"/>
        </w:rPr>
      </w:pP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The following figure compares </w:t>
      </w:r>
      <w:hyperlink r:id="rId10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and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on an artificial dataset, which consists of a sinusoidal target function and strong noise added to every fifth datapoint. The learned model of </w:t>
      </w:r>
      <w:hyperlink r:id="rId11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and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is plotted, where both complexity/regularization and bandwidth of the RBF kernel have been optimized using grid-search. The learned functions are very similar; however, fitting </w:t>
      </w:r>
      <w:hyperlink r:id="rId12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is approx. seven times faster than fitting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(both with grid-search). However, prediction of 100000 target values is more than three times faster with SVR since it has learned a sparse model using only approx. 1/3 of the 100 training datapoints as support vectors.</w:t>
      </w:r>
    </w:p>
    <w:p w14:paraId="204662C4" w14:textId="4292236F" w:rsidR="007800B5" w:rsidRPr="007800B5" w:rsidRDefault="007800B5" w:rsidP="007800B5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noProof w:val="0"/>
          <w:color w:val="1D1F22"/>
          <w:lang w:val="tr-TR" w:eastAsia="tr-TR"/>
        </w:rPr>
      </w:pPr>
      <w:r w:rsidRPr="007800B5">
        <w:rPr>
          <w:rFonts w:ascii="Helvetica" w:eastAsia="Times New Roman" w:hAnsi="Helvetica" w:cs="Helvetica"/>
          <w:color w:val="2878A2"/>
          <w:lang w:val="tr-TR" w:eastAsia="tr-TR"/>
        </w:rPr>
        <w:lastRenderedPageBreak/>
        <w:drawing>
          <wp:inline distT="0" distB="0" distL="0" distR="0" wp14:anchorId="3B400233" wp14:editId="6EEE2F1B">
            <wp:extent cx="6096000" cy="4572000"/>
            <wp:effectExtent l="0" t="0" r="0" b="0"/>
            <wp:docPr id="5" name="Resim 5" descr="../_images/sphx_glr_plot_kernel_ridge_regression_001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phx_glr_plot_kernel_ridge_regression_001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B658" w14:textId="302BC1CA" w:rsidR="007800B5" w:rsidRPr="007800B5" w:rsidRDefault="007800B5" w:rsidP="007800B5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noProof w:val="0"/>
          <w:color w:val="1D1F22"/>
          <w:lang w:val="tr-TR" w:eastAsia="tr-TR"/>
        </w:rPr>
      </w:pP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The next figure compares the time for fitting and prediction of </w:t>
      </w:r>
      <w:hyperlink r:id="rId15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and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for different sizes of the training set. Fitting </w:t>
      </w:r>
      <w:hyperlink r:id="rId16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is faster than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for medium-sized training sets (less than 1000 samples); however, for larger training sets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scales better. With regard to prediction time,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is faster than </w:t>
      </w:r>
      <w:hyperlink r:id="rId17" w:anchor="sklearn.kernel_ridge.KernelRidge" w:tooltip="sklearn.kernel_ridge.KernelRidge" w:history="1">
        <w:r w:rsidRPr="007800B5">
          <w:rPr>
            <w:rFonts w:ascii="Courier New" w:eastAsia="Times New Roman" w:hAnsi="Courier New" w:cs="Courier New"/>
            <w:b/>
            <w:bCs/>
            <w:noProof w:val="0"/>
            <w:color w:val="2878A2"/>
            <w:sz w:val="24"/>
            <w:szCs w:val="24"/>
            <w:bdr w:val="none" w:sz="0" w:space="0" w:color="auto" w:frame="1"/>
            <w:lang w:val="tr-TR" w:eastAsia="tr-TR"/>
          </w:rPr>
          <w:t>KernelRidge</w:t>
        </w:r>
      </w:hyperlink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for all sizes of the training set because of the learned sparse solution. Note that the degree of sparsity and thus the prediction time depends on the parameters </w:t>
      </w:r>
      <w:r w:rsidRPr="007800B5">
        <w:rPr>
          <w:rFonts w:ascii="Helvetica" w:eastAsia="Times New Roman" w:hAnsi="Helvetica" w:cs="Helvetica"/>
          <w:color w:val="1D1F22"/>
          <w:lang w:val="tr-TR" w:eastAsia="tr-TR"/>
        </w:rPr>
        <w:drawing>
          <wp:inline distT="0" distB="0" distL="0" distR="0" wp14:anchorId="21A129D5" wp14:editId="43E12A97">
            <wp:extent cx="68580" cy="76200"/>
            <wp:effectExtent l="0" t="0" r="7620" b="0"/>
            <wp:docPr id="4" name="Resim 4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epsil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and </w:t>
      </w:r>
      <w:r w:rsidRPr="007800B5">
        <w:rPr>
          <w:rFonts w:ascii="Helvetica" w:eastAsia="Times New Roman" w:hAnsi="Helvetica" w:cs="Helvetica"/>
          <w:color w:val="1D1F22"/>
          <w:lang w:val="tr-TR" w:eastAsia="tr-TR"/>
        </w:rPr>
        <w:drawing>
          <wp:inline distT="0" distB="0" distL="0" distR="0" wp14:anchorId="3ECE98E9" wp14:editId="39EE9E22">
            <wp:extent cx="137160" cy="114300"/>
            <wp:effectExtent l="0" t="0" r="0" b="0"/>
            <wp:docPr id="3" name="Resim 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of the </w:t>
      </w:r>
      <w:r w:rsidRPr="007800B5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bdr w:val="none" w:sz="0" w:space="0" w:color="auto" w:frame="1"/>
          <w:lang w:val="tr-TR" w:eastAsia="tr-TR"/>
        </w:rPr>
        <w:t>SVR</w:t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; </w:t>
      </w:r>
      <w:r w:rsidRPr="007800B5">
        <w:rPr>
          <w:rFonts w:ascii="Helvetica" w:eastAsia="Times New Roman" w:hAnsi="Helvetica" w:cs="Helvetica"/>
          <w:color w:val="1D1F22"/>
          <w:lang w:val="tr-TR" w:eastAsia="tr-TR"/>
        </w:rPr>
        <w:drawing>
          <wp:inline distT="0" distB="0" distL="0" distR="0" wp14:anchorId="16CCF5E5" wp14:editId="4C2221FF">
            <wp:extent cx="381000" cy="114300"/>
            <wp:effectExtent l="0" t="0" r="0" b="0"/>
            <wp:docPr id="2" name="Resim 2" descr="\epsilon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epsilon = 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0B5">
        <w:rPr>
          <w:rFonts w:ascii="Helvetica" w:eastAsia="Times New Roman" w:hAnsi="Helvetica" w:cs="Helvetica"/>
          <w:noProof w:val="0"/>
          <w:color w:val="1D1F22"/>
          <w:lang w:val="tr-TR" w:eastAsia="tr-TR"/>
        </w:rPr>
        <w:t> would correspond to a dense model.</w:t>
      </w:r>
    </w:p>
    <w:p w14:paraId="252B3034" w14:textId="41FB192A" w:rsidR="007800B5" w:rsidRPr="007800B5" w:rsidRDefault="007800B5" w:rsidP="007800B5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noProof w:val="0"/>
          <w:color w:val="1D1F22"/>
          <w:lang w:val="tr-TR" w:eastAsia="tr-TR"/>
        </w:rPr>
      </w:pPr>
      <w:r w:rsidRPr="007800B5">
        <w:rPr>
          <w:rFonts w:ascii="Helvetica" w:eastAsia="Times New Roman" w:hAnsi="Helvetica" w:cs="Helvetica"/>
          <w:color w:val="055781"/>
          <w:lang w:val="tr-TR" w:eastAsia="tr-TR"/>
        </w:rPr>
        <w:lastRenderedPageBreak/>
        <w:drawing>
          <wp:inline distT="0" distB="0" distL="0" distR="0" wp14:anchorId="5001FE19" wp14:editId="05525106">
            <wp:extent cx="6096000" cy="4572000"/>
            <wp:effectExtent l="0" t="0" r="0" b="0"/>
            <wp:docPr id="1" name="Resim 1" descr="../_images/sphx_glr_plot_kernel_ridge_regression_002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sphx_glr_plot_kernel_ridge_regression_002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3600" w14:textId="77777777" w:rsidR="00946B68" w:rsidRDefault="00946B68">
      <w:bookmarkStart w:id="0" w:name="_GoBack"/>
      <w:bookmarkEnd w:id="0"/>
    </w:p>
    <w:sectPr w:rsidR="0094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CB"/>
    <w:rsid w:val="007800B5"/>
    <w:rsid w:val="00946B68"/>
    <w:rsid w:val="009704CB"/>
    <w:rsid w:val="00D0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DAA10-9815-48EB-B729-FC2CF179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Balk1">
    <w:name w:val="heading 1"/>
    <w:basedOn w:val="Normal"/>
    <w:link w:val="Balk1Char"/>
    <w:uiPriority w:val="9"/>
    <w:qFormat/>
    <w:rsid w:val="00780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00B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800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  <w:style w:type="character" w:customStyle="1" w:styleId="std">
    <w:name w:val="std"/>
    <w:basedOn w:val="VarsaylanParagrafYazTipi"/>
    <w:rsid w:val="007800B5"/>
  </w:style>
  <w:style w:type="character" w:customStyle="1" w:styleId="pre">
    <w:name w:val="pre"/>
    <w:basedOn w:val="VarsaylanParagrafYazTipi"/>
    <w:rsid w:val="0078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kernel_ridge.KernelRidge.html" TargetMode="External"/><Relationship Id="rId13" Type="http://schemas.openxmlformats.org/officeDocument/2006/relationships/hyperlink" Target="http://scikit-learn.org/stable/auto_examples/plot_kernel_ridge_regression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scikit-learn.org/stable/modules/generated/sklearn.kernel_ridge.KernelRidge.html" TargetMode="External"/><Relationship Id="rId17" Type="http://schemas.openxmlformats.org/officeDocument/2006/relationships/hyperlink" Target="http://scikit-learn.org/stable/modules/generated/sklearn.kernel_ridge.KernelRidg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ikit-learn.org/stable/modules/generated/sklearn.kernel_ridge.KernelRidge.html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kernel_ridge.KernelRidge.html" TargetMode="External"/><Relationship Id="rId11" Type="http://schemas.openxmlformats.org/officeDocument/2006/relationships/hyperlink" Target="http://scikit-learn.org/stable/modules/generated/sklearn.kernel_ridge.KernelRidge.html" TargetMode="External"/><Relationship Id="rId5" Type="http://schemas.openxmlformats.org/officeDocument/2006/relationships/hyperlink" Target="http://scikit-learn.org/stable/modules/linear_model.html" TargetMode="External"/><Relationship Id="rId15" Type="http://schemas.openxmlformats.org/officeDocument/2006/relationships/hyperlink" Target="http://scikit-learn.org/stable/modules/generated/sklearn.kernel_ridge.KernelRidge.html" TargetMode="External"/><Relationship Id="rId10" Type="http://schemas.openxmlformats.org/officeDocument/2006/relationships/hyperlink" Target="http://scikit-learn.org/stable/modules/generated/sklearn.kernel_ridge.KernelRidge.html" TargetMode="External"/><Relationship Id="rId19" Type="http://schemas.openxmlformats.org/officeDocument/2006/relationships/image" Target="media/image5.png"/><Relationship Id="rId4" Type="http://schemas.openxmlformats.org/officeDocument/2006/relationships/hyperlink" Target="http://scikit-learn.org/stable/modules/kernel_ridge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endoruk123@gmail.com</dc:creator>
  <cp:keywords/>
  <dc:description/>
  <cp:lastModifiedBy>endoruk123@gmail.com</cp:lastModifiedBy>
  <cp:revision>2</cp:revision>
  <dcterms:created xsi:type="dcterms:W3CDTF">2018-09-02T15:20:00Z</dcterms:created>
  <dcterms:modified xsi:type="dcterms:W3CDTF">2018-09-02T15:20:00Z</dcterms:modified>
</cp:coreProperties>
</file>