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№51 -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Виктор Добрянин (Торговый агент),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988d6380eeaa2e415355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