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707EB" w14:textId="77777777" w:rsidR="00302C3E" w:rsidRPr="00376618" w:rsidRDefault="00000000">
      <w:pPr>
        <w:spacing w:after="100" w:line="252" w:lineRule="auto"/>
        <w:jc w:val="center"/>
        <w:rPr>
          <w:sz w:val="32"/>
          <w:szCs w:val="32"/>
        </w:rPr>
      </w:pPr>
      <w:r w:rsidRPr="00376618">
        <w:rPr>
          <w:b/>
          <w:sz w:val="32"/>
          <w:szCs w:val="32"/>
        </w:rPr>
        <w:t>Turkey Treasury / ALM &amp; Liquidity Risk Dashboard</w:t>
      </w:r>
    </w:p>
    <w:p w14:paraId="2F27C1C0" w14:textId="77777777" w:rsidR="00302C3E" w:rsidRPr="00376618" w:rsidRDefault="00000000">
      <w:pPr>
        <w:spacing w:after="100" w:line="252" w:lineRule="auto"/>
        <w:jc w:val="center"/>
        <w:rPr>
          <w:sz w:val="28"/>
          <w:szCs w:val="28"/>
        </w:rPr>
      </w:pPr>
      <w:r w:rsidRPr="00376618">
        <w:rPr>
          <w:b/>
          <w:sz w:val="28"/>
          <w:szCs w:val="28"/>
        </w:rPr>
        <w:t>A Public-Data Market and Banking-Sector Monitoring Case with Garanti BBVA ALM Proxy Extension</w:t>
      </w:r>
    </w:p>
    <w:p w14:paraId="2340B480" w14:textId="77777777" w:rsidR="00302C3E" w:rsidRDefault="00000000">
      <w:pPr>
        <w:spacing w:after="100" w:line="252" w:lineRule="auto"/>
        <w:jc w:val="center"/>
      </w:pPr>
      <w:r>
        <w:rPr>
          <w:i/>
        </w:rPr>
        <w:t>Treasury / ALM &amp; Liquidity Risk Portfolio Case</w:t>
      </w:r>
    </w:p>
    <w:p w14:paraId="04594C80" w14:textId="77777777" w:rsidR="00302C3E" w:rsidRDefault="00000000">
      <w:pPr>
        <w:spacing w:after="100" w:line="252" w:lineRule="auto"/>
        <w:jc w:val="center"/>
      </w:pPr>
      <w:r>
        <w:rPr>
          <w:i/>
        </w:rPr>
        <w:t>Enes Sarı</w:t>
      </w:r>
    </w:p>
    <w:p w14:paraId="70D86E3D" w14:textId="77777777" w:rsidR="00302C3E" w:rsidRPr="00376618" w:rsidRDefault="00000000">
      <w:pPr>
        <w:spacing w:after="100" w:line="252" w:lineRule="auto"/>
        <w:jc w:val="center"/>
        <w:rPr>
          <w:sz w:val="20"/>
          <w:szCs w:val="20"/>
        </w:rPr>
      </w:pPr>
      <w:r w:rsidRPr="00376618">
        <w:rPr>
          <w:sz w:val="20"/>
          <w:szCs w:val="20"/>
        </w:rPr>
        <w:t>Data through: 15 May 2026 | Final revision date: 18 May 2026</w:t>
      </w:r>
    </w:p>
    <w:tbl>
      <w:tblPr>
        <w:tblStyle w:val="TabloKlavuzu"/>
        <w:tblW w:w="5000" w:type="pct"/>
        <w:jc w:val="center"/>
        <w:tblLook w:val="04A0" w:firstRow="1" w:lastRow="0" w:firstColumn="1" w:lastColumn="0" w:noHBand="0" w:noVBand="1"/>
      </w:tblPr>
      <w:tblGrid>
        <w:gridCol w:w="2881"/>
        <w:gridCol w:w="2822"/>
        <w:gridCol w:w="4431"/>
      </w:tblGrid>
      <w:tr w:rsidR="00302C3E" w:rsidRPr="00376618" w14:paraId="18121250" w14:textId="77777777" w:rsidTr="00376618">
        <w:trPr>
          <w:tblHeader/>
          <w:jc w:val="center"/>
        </w:trPr>
        <w:tc>
          <w:tcPr>
            <w:tcW w:w="1421" w:type="pct"/>
            <w:shd w:val="clear" w:color="auto" w:fill="D9EAF7"/>
            <w:tcMar>
              <w:top w:w="50" w:type="dxa"/>
              <w:left w:w="70" w:type="dxa"/>
              <w:bottom w:w="50" w:type="dxa"/>
              <w:right w:w="70" w:type="dxa"/>
            </w:tcMar>
            <w:vAlign w:val="center"/>
          </w:tcPr>
          <w:p w14:paraId="3A0A0CA7" w14:textId="77777777" w:rsidR="00302C3E" w:rsidRPr="00376618" w:rsidRDefault="00000000">
            <w:pPr>
              <w:rPr>
                <w:sz w:val="17"/>
                <w:szCs w:val="17"/>
              </w:rPr>
            </w:pPr>
            <w:r w:rsidRPr="00376618">
              <w:rPr>
                <w:b/>
                <w:color w:val="000000"/>
                <w:sz w:val="17"/>
                <w:szCs w:val="17"/>
              </w:rPr>
              <w:t>Metric</w:t>
            </w:r>
          </w:p>
        </w:tc>
        <w:tc>
          <w:tcPr>
            <w:tcW w:w="1392" w:type="pct"/>
            <w:shd w:val="clear" w:color="auto" w:fill="D9EAF7"/>
            <w:tcMar>
              <w:top w:w="50" w:type="dxa"/>
              <w:left w:w="70" w:type="dxa"/>
              <w:bottom w:w="50" w:type="dxa"/>
              <w:right w:w="70" w:type="dxa"/>
            </w:tcMar>
            <w:vAlign w:val="center"/>
          </w:tcPr>
          <w:p w14:paraId="2E942B20" w14:textId="77777777" w:rsidR="00302C3E" w:rsidRPr="00376618" w:rsidRDefault="00000000">
            <w:pPr>
              <w:rPr>
                <w:sz w:val="17"/>
                <w:szCs w:val="17"/>
              </w:rPr>
            </w:pPr>
            <w:r w:rsidRPr="00376618">
              <w:rPr>
                <w:b/>
                <w:color w:val="000000"/>
                <w:sz w:val="17"/>
                <w:szCs w:val="17"/>
              </w:rPr>
              <w:t>Latest reading</w:t>
            </w:r>
          </w:p>
        </w:tc>
        <w:tc>
          <w:tcPr>
            <w:tcW w:w="2186" w:type="pct"/>
            <w:shd w:val="clear" w:color="auto" w:fill="D9EAF7"/>
            <w:tcMar>
              <w:top w:w="50" w:type="dxa"/>
              <w:left w:w="70" w:type="dxa"/>
              <w:bottom w:w="50" w:type="dxa"/>
              <w:right w:w="70" w:type="dxa"/>
            </w:tcMar>
            <w:vAlign w:val="center"/>
          </w:tcPr>
          <w:p w14:paraId="054736E8" w14:textId="77777777" w:rsidR="00302C3E" w:rsidRPr="00376618" w:rsidRDefault="00000000">
            <w:pPr>
              <w:rPr>
                <w:sz w:val="17"/>
                <w:szCs w:val="17"/>
              </w:rPr>
            </w:pPr>
            <w:r w:rsidRPr="00376618">
              <w:rPr>
                <w:b/>
                <w:color w:val="000000"/>
                <w:sz w:val="17"/>
                <w:szCs w:val="17"/>
              </w:rPr>
              <w:t>Interpretation</w:t>
            </w:r>
          </w:p>
        </w:tc>
      </w:tr>
      <w:tr w:rsidR="00302C3E" w:rsidRPr="00376618" w14:paraId="26326D1C" w14:textId="77777777" w:rsidTr="00376618">
        <w:trPr>
          <w:jc w:val="center"/>
        </w:trPr>
        <w:tc>
          <w:tcPr>
            <w:tcW w:w="1421" w:type="pct"/>
            <w:tcMar>
              <w:top w:w="50" w:type="dxa"/>
              <w:left w:w="70" w:type="dxa"/>
              <w:bottom w:w="50" w:type="dxa"/>
              <w:right w:w="70" w:type="dxa"/>
            </w:tcMar>
            <w:vAlign w:val="center"/>
          </w:tcPr>
          <w:p w14:paraId="08554B1A" w14:textId="77777777" w:rsidR="00302C3E" w:rsidRPr="00376618" w:rsidRDefault="00000000">
            <w:pPr>
              <w:rPr>
                <w:sz w:val="17"/>
                <w:szCs w:val="17"/>
              </w:rPr>
            </w:pPr>
            <w:r w:rsidRPr="00376618">
              <w:rPr>
                <w:sz w:val="17"/>
                <w:szCs w:val="17"/>
              </w:rPr>
              <w:t>Policy rate</w:t>
            </w:r>
          </w:p>
        </w:tc>
        <w:tc>
          <w:tcPr>
            <w:tcW w:w="1392" w:type="pct"/>
            <w:tcMar>
              <w:top w:w="50" w:type="dxa"/>
              <w:left w:w="70" w:type="dxa"/>
              <w:bottom w:w="50" w:type="dxa"/>
              <w:right w:w="70" w:type="dxa"/>
            </w:tcMar>
            <w:vAlign w:val="center"/>
          </w:tcPr>
          <w:p w14:paraId="4B2ED539" w14:textId="77777777" w:rsidR="00302C3E" w:rsidRPr="00376618" w:rsidRDefault="00000000">
            <w:pPr>
              <w:rPr>
                <w:sz w:val="17"/>
                <w:szCs w:val="17"/>
              </w:rPr>
            </w:pPr>
            <w:r w:rsidRPr="00376618">
              <w:rPr>
                <w:sz w:val="17"/>
                <w:szCs w:val="17"/>
              </w:rPr>
              <w:t>37.0%</w:t>
            </w:r>
          </w:p>
        </w:tc>
        <w:tc>
          <w:tcPr>
            <w:tcW w:w="2186" w:type="pct"/>
            <w:tcMar>
              <w:top w:w="50" w:type="dxa"/>
              <w:left w:w="70" w:type="dxa"/>
              <w:bottom w:w="50" w:type="dxa"/>
              <w:right w:w="70" w:type="dxa"/>
            </w:tcMar>
            <w:vAlign w:val="center"/>
          </w:tcPr>
          <w:p w14:paraId="5EB6CF0F" w14:textId="77777777" w:rsidR="00302C3E" w:rsidRPr="00376618" w:rsidRDefault="00000000">
            <w:pPr>
              <w:rPr>
                <w:sz w:val="17"/>
                <w:szCs w:val="17"/>
              </w:rPr>
            </w:pPr>
            <w:r w:rsidRPr="00376618">
              <w:rPr>
                <w:sz w:val="17"/>
                <w:szCs w:val="17"/>
              </w:rPr>
              <w:t>Monetary policy anchor</w:t>
            </w:r>
          </w:p>
        </w:tc>
      </w:tr>
      <w:tr w:rsidR="00302C3E" w:rsidRPr="00376618" w14:paraId="0189B8AF" w14:textId="77777777" w:rsidTr="00376618">
        <w:trPr>
          <w:jc w:val="center"/>
        </w:trPr>
        <w:tc>
          <w:tcPr>
            <w:tcW w:w="1421" w:type="pct"/>
            <w:tcMar>
              <w:top w:w="50" w:type="dxa"/>
              <w:left w:w="70" w:type="dxa"/>
              <w:bottom w:w="50" w:type="dxa"/>
              <w:right w:w="70" w:type="dxa"/>
            </w:tcMar>
            <w:vAlign w:val="center"/>
          </w:tcPr>
          <w:p w14:paraId="77908BE8" w14:textId="77777777" w:rsidR="00302C3E" w:rsidRPr="00376618" w:rsidRDefault="00000000">
            <w:pPr>
              <w:rPr>
                <w:sz w:val="17"/>
                <w:szCs w:val="17"/>
              </w:rPr>
            </w:pPr>
            <w:r w:rsidRPr="00376618">
              <w:rPr>
                <w:sz w:val="17"/>
                <w:szCs w:val="17"/>
              </w:rPr>
              <w:t>TLREF</w:t>
            </w:r>
          </w:p>
        </w:tc>
        <w:tc>
          <w:tcPr>
            <w:tcW w:w="1392" w:type="pct"/>
            <w:tcMar>
              <w:top w:w="50" w:type="dxa"/>
              <w:left w:w="70" w:type="dxa"/>
              <w:bottom w:w="50" w:type="dxa"/>
              <w:right w:w="70" w:type="dxa"/>
            </w:tcMar>
            <w:vAlign w:val="center"/>
          </w:tcPr>
          <w:p w14:paraId="7F544115" w14:textId="77777777" w:rsidR="00302C3E" w:rsidRPr="00376618" w:rsidRDefault="00000000">
            <w:pPr>
              <w:rPr>
                <w:sz w:val="17"/>
                <w:szCs w:val="17"/>
              </w:rPr>
            </w:pPr>
            <w:r w:rsidRPr="00376618">
              <w:rPr>
                <w:sz w:val="17"/>
                <w:szCs w:val="17"/>
              </w:rPr>
              <w:t>40.0%</w:t>
            </w:r>
          </w:p>
        </w:tc>
        <w:tc>
          <w:tcPr>
            <w:tcW w:w="2186" w:type="pct"/>
            <w:tcMar>
              <w:top w:w="50" w:type="dxa"/>
              <w:left w:w="70" w:type="dxa"/>
              <w:bottom w:w="50" w:type="dxa"/>
              <w:right w:w="70" w:type="dxa"/>
            </w:tcMar>
            <w:vAlign w:val="center"/>
          </w:tcPr>
          <w:p w14:paraId="5E51C1EE" w14:textId="77777777" w:rsidR="00302C3E" w:rsidRPr="00376618" w:rsidRDefault="00000000">
            <w:pPr>
              <w:rPr>
                <w:sz w:val="17"/>
                <w:szCs w:val="17"/>
              </w:rPr>
            </w:pPr>
            <w:r w:rsidRPr="00376618">
              <w:rPr>
                <w:sz w:val="17"/>
                <w:szCs w:val="17"/>
              </w:rPr>
              <w:t>Overnight TL funding proxy</w:t>
            </w:r>
          </w:p>
        </w:tc>
      </w:tr>
      <w:tr w:rsidR="00302C3E" w:rsidRPr="00376618" w14:paraId="5F76B0DF" w14:textId="77777777" w:rsidTr="00376618">
        <w:trPr>
          <w:jc w:val="center"/>
        </w:trPr>
        <w:tc>
          <w:tcPr>
            <w:tcW w:w="1421" w:type="pct"/>
            <w:tcMar>
              <w:top w:w="50" w:type="dxa"/>
              <w:left w:w="70" w:type="dxa"/>
              <w:bottom w:w="50" w:type="dxa"/>
              <w:right w:w="70" w:type="dxa"/>
            </w:tcMar>
            <w:vAlign w:val="center"/>
          </w:tcPr>
          <w:p w14:paraId="1B7EB04C" w14:textId="77777777" w:rsidR="00302C3E" w:rsidRPr="00376618" w:rsidRDefault="00000000">
            <w:pPr>
              <w:rPr>
                <w:sz w:val="17"/>
                <w:szCs w:val="17"/>
              </w:rPr>
            </w:pPr>
            <w:r w:rsidRPr="00376618">
              <w:rPr>
                <w:sz w:val="17"/>
                <w:szCs w:val="17"/>
              </w:rPr>
              <w:t>TLREF-policy spread</w:t>
            </w:r>
          </w:p>
        </w:tc>
        <w:tc>
          <w:tcPr>
            <w:tcW w:w="1392" w:type="pct"/>
            <w:tcMar>
              <w:top w:w="50" w:type="dxa"/>
              <w:left w:w="70" w:type="dxa"/>
              <w:bottom w:w="50" w:type="dxa"/>
              <w:right w:w="70" w:type="dxa"/>
            </w:tcMar>
            <w:vAlign w:val="center"/>
          </w:tcPr>
          <w:p w14:paraId="663E1938" w14:textId="77777777" w:rsidR="00302C3E" w:rsidRPr="00376618" w:rsidRDefault="00000000">
            <w:pPr>
              <w:rPr>
                <w:sz w:val="17"/>
                <w:szCs w:val="17"/>
              </w:rPr>
            </w:pPr>
            <w:r w:rsidRPr="00376618">
              <w:rPr>
                <w:sz w:val="17"/>
                <w:szCs w:val="17"/>
              </w:rPr>
              <w:t>3.0 pp</w:t>
            </w:r>
          </w:p>
        </w:tc>
        <w:tc>
          <w:tcPr>
            <w:tcW w:w="2186" w:type="pct"/>
            <w:tcMar>
              <w:top w:w="50" w:type="dxa"/>
              <w:left w:w="70" w:type="dxa"/>
              <w:bottom w:w="50" w:type="dxa"/>
              <w:right w:w="70" w:type="dxa"/>
            </w:tcMar>
            <w:vAlign w:val="center"/>
          </w:tcPr>
          <w:p w14:paraId="775A54DE" w14:textId="77777777" w:rsidR="00302C3E" w:rsidRPr="00376618" w:rsidRDefault="00000000">
            <w:pPr>
              <w:rPr>
                <w:sz w:val="17"/>
                <w:szCs w:val="17"/>
              </w:rPr>
            </w:pPr>
            <w:r w:rsidRPr="00376618">
              <w:rPr>
                <w:sz w:val="17"/>
                <w:szCs w:val="17"/>
              </w:rPr>
              <w:t>Short-term funding pressure signal</w:t>
            </w:r>
          </w:p>
        </w:tc>
      </w:tr>
      <w:tr w:rsidR="00302C3E" w:rsidRPr="00376618" w14:paraId="0D9D18CD" w14:textId="77777777" w:rsidTr="00376618">
        <w:trPr>
          <w:jc w:val="center"/>
        </w:trPr>
        <w:tc>
          <w:tcPr>
            <w:tcW w:w="1421" w:type="pct"/>
            <w:tcMar>
              <w:top w:w="50" w:type="dxa"/>
              <w:left w:w="70" w:type="dxa"/>
              <w:bottom w:w="50" w:type="dxa"/>
              <w:right w:w="70" w:type="dxa"/>
            </w:tcMar>
            <w:vAlign w:val="center"/>
          </w:tcPr>
          <w:p w14:paraId="676C4E53" w14:textId="77777777" w:rsidR="00302C3E" w:rsidRPr="00376618" w:rsidRDefault="00000000">
            <w:pPr>
              <w:rPr>
                <w:sz w:val="17"/>
                <w:szCs w:val="17"/>
              </w:rPr>
            </w:pPr>
            <w:r w:rsidRPr="00376618">
              <w:rPr>
                <w:sz w:val="17"/>
                <w:szCs w:val="17"/>
              </w:rPr>
              <w:t>USD/TRY</w:t>
            </w:r>
          </w:p>
        </w:tc>
        <w:tc>
          <w:tcPr>
            <w:tcW w:w="1392" w:type="pct"/>
            <w:tcMar>
              <w:top w:w="50" w:type="dxa"/>
              <w:left w:w="70" w:type="dxa"/>
              <w:bottom w:w="50" w:type="dxa"/>
              <w:right w:w="70" w:type="dxa"/>
            </w:tcMar>
            <w:vAlign w:val="center"/>
          </w:tcPr>
          <w:p w14:paraId="4105B4E6" w14:textId="77777777" w:rsidR="00302C3E" w:rsidRPr="00376618" w:rsidRDefault="00000000">
            <w:pPr>
              <w:rPr>
                <w:sz w:val="17"/>
                <w:szCs w:val="17"/>
              </w:rPr>
            </w:pPr>
            <w:r w:rsidRPr="00376618">
              <w:rPr>
                <w:sz w:val="17"/>
                <w:szCs w:val="17"/>
              </w:rPr>
              <w:t>45.50</w:t>
            </w:r>
          </w:p>
        </w:tc>
        <w:tc>
          <w:tcPr>
            <w:tcW w:w="2186" w:type="pct"/>
            <w:tcMar>
              <w:top w:w="50" w:type="dxa"/>
              <w:left w:w="70" w:type="dxa"/>
              <w:bottom w:w="50" w:type="dxa"/>
              <w:right w:w="70" w:type="dxa"/>
            </w:tcMar>
            <w:vAlign w:val="center"/>
          </w:tcPr>
          <w:p w14:paraId="12F9A0DE" w14:textId="77777777" w:rsidR="00302C3E" w:rsidRPr="00376618" w:rsidRDefault="00000000">
            <w:pPr>
              <w:rPr>
                <w:sz w:val="17"/>
                <w:szCs w:val="17"/>
              </w:rPr>
            </w:pPr>
            <w:r w:rsidRPr="00376618">
              <w:rPr>
                <w:sz w:val="17"/>
                <w:szCs w:val="17"/>
              </w:rPr>
              <w:t>FX pressure monitor</w:t>
            </w:r>
          </w:p>
        </w:tc>
      </w:tr>
      <w:tr w:rsidR="00302C3E" w:rsidRPr="00376618" w14:paraId="41F17325" w14:textId="77777777" w:rsidTr="00376618">
        <w:trPr>
          <w:jc w:val="center"/>
        </w:trPr>
        <w:tc>
          <w:tcPr>
            <w:tcW w:w="1421" w:type="pct"/>
            <w:tcMar>
              <w:top w:w="50" w:type="dxa"/>
              <w:left w:w="70" w:type="dxa"/>
              <w:bottom w:w="50" w:type="dxa"/>
              <w:right w:w="70" w:type="dxa"/>
            </w:tcMar>
            <w:vAlign w:val="center"/>
          </w:tcPr>
          <w:p w14:paraId="5ECD3422" w14:textId="77777777" w:rsidR="00302C3E" w:rsidRPr="00376618" w:rsidRDefault="00000000">
            <w:pPr>
              <w:rPr>
                <w:sz w:val="17"/>
                <w:szCs w:val="17"/>
              </w:rPr>
            </w:pPr>
            <w:r w:rsidRPr="00376618">
              <w:rPr>
                <w:sz w:val="17"/>
                <w:szCs w:val="17"/>
              </w:rPr>
              <w:t>Gram gold</w:t>
            </w:r>
          </w:p>
        </w:tc>
        <w:tc>
          <w:tcPr>
            <w:tcW w:w="1392" w:type="pct"/>
            <w:tcMar>
              <w:top w:w="50" w:type="dxa"/>
              <w:left w:w="70" w:type="dxa"/>
              <w:bottom w:w="50" w:type="dxa"/>
              <w:right w:w="70" w:type="dxa"/>
            </w:tcMar>
            <w:vAlign w:val="center"/>
          </w:tcPr>
          <w:p w14:paraId="0155D705" w14:textId="77777777" w:rsidR="00302C3E" w:rsidRPr="00376618" w:rsidRDefault="00000000">
            <w:pPr>
              <w:rPr>
                <w:sz w:val="17"/>
                <w:szCs w:val="17"/>
              </w:rPr>
            </w:pPr>
            <w:r w:rsidRPr="00376618">
              <w:rPr>
                <w:sz w:val="17"/>
                <w:szCs w:val="17"/>
              </w:rPr>
              <w:t>TRY 6,651</w:t>
            </w:r>
          </w:p>
        </w:tc>
        <w:tc>
          <w:tcPr>
            <w:tcW w:w="2186" w:type="pct"/>
            <w:tcMar>
              <w:top w:w="50" w:type="dxa"/>
              <w:left w:w="70" w:type="dxa"/>
              <w:bottom w:w="50" w:type="dxa"/>
              <w:right w:w="70" w:type="dxa"/>
            </w:tcMar>
            <w:vAlign w:val="center"/>
          </w:tcPr>
          <w:p w14:paraId="5526860D" w14:textId="77777777" w:rsidR="00302C3E" w:rsidRPr="00376618" w:rsidRDefault="00000000">
            <w:pPr>
              <w:rPr>
                <w:sz w:val="17"/>
                <w:szCs w:val="17"/>
              </w:rPr>
            </w:pPr>
            <w:r w:rsidRPr="00376618">
              <w:rPr>
                <w:sz w:val="17"/>
                <w:szCs w:val="17"/>
              </w:rPr>
              <w:t>FX/gold liquidity watch</w:t>
            </w:r>
          </w:p>
        </w:tc>
      </w:tr>
      <w:tr w:rsidR="00302C3E" w:rsidRPr="00376618" w14:paraId="2131F3C2" w14:textId="77777777" w:rsidTr="00376618">
        <w:trPr>
          <w:jc w:val="center"/>
        </w:trPr>
        <w:tc>
          <w:tcPr>
            <w:tcW w:w="1421" w:type="pct"/>
            <w:tcMar>
              <w:top w:w="50" w:type="dxa"/>
              <w:left w:w="70" w:type="dxa"/>
              <w:bottom w:w="50" w:type="dxa"/>
              <w:right w:w="70" w:type="dxa"/>
            </w:tcMar>
            <w:vAlign w:val="center"/>
          </w:tcPr>
          <w:p w14:paraId="66DB3040" w14:textId="77777777" w:rsidR="00302C3E" w:rsidRPr="00376618" w:rsidRDefault="00000000">
            <w:pPr>
              <w:rPr>
                <w:sz w:val="17"/>
                <w:szCs w:val="17"/>
              </w:rPr>
            </w:pPr>
            <w:r w:rsidRPr="00376618">
              <w:rPr>
                <w:sz w:val="17"/>
                <w:szCs w:val="17"/>
              </w:rPr>
              <w:t>CPI YoY</w:t>
            </w:r>
          </w:p>
        </w:tc>
        <w:tc>
          <w:tcPr>
            <w:tcW w:w="1392" w:type="pct"/>
            <w:tcMar>
              <w:top w:w="50" w:type="dxa"/>
              <w:left w:w="70" w:type="dxa"/>
              <w:bottom w:w="50" w:type="dxa"/>
              <w:right w:w="70" w:type="dxa"/>
            </w:tcMar>
            <w:vAlign w:val="center"/>
          </w:tcPr>
          <w:p w14:paraId="01D6F0FA" w14:textId="77777777" w:rsidR="00302C3E" w:rsidRPr="00376618" w:rsidRDefault="00000000">
            <w:pPr>
              <w:rPr>
                <w:sz w:val="17"/>
                <w:szCs w:val="17"/>
              </w:rPr>
            </w:pPr>
            <w:r w:rsidRPr="00376618">
              <w:rPr>
                <w:sz w:val="17"/>
                <w:szCs w:val="17"/>
              </w:rPr>
              <w:t>32.4%</w:t>
            </w:r>
          </w:p>
        </w:tc>
        <w:tc>
          <w:tcPr>
            <w:tcW w:w="2186" w:type="pct"/>
            <w:tcMar>
              <w:top w:w="50" w:type="dxa"/>
              <w:left w:w="70" w:type="dxa"/>
              <w:bottom w:w="50" w:type="dxa"/>
              <w:right w:w="70" w:type="dxa"/>
            </w:tcMar>
            <w:vAlign w:val="center"/>
          </w:tcPr>
          <w:p w14:paraId="2DE7659D" w14:textId="77777777" w:rsidR="00302C3E" w:rsidRPr="00376618" w:rsidRDefault="00000000">
            <w:pPr>
              <w:rPr>
                <w:sz w:val="17"/>
                <w:szCs w:val="17"/>
              </w:rPr>
            </w:pPr>
            <w:r w:rsidRPr="00376618">
              <w:rPr>
                <w:sz w:val="17"/>
                <w:szCs w:val="17"/>
              </w:rPr>
              <w:t>Inflation context</w:t>
            </w:r>
          </w:p>
        </w:tc>
      </w:tr>
      <w:tr w:rsidR="00302C3E" w:rsidRPr="00376618" w14:paraId="17580290" w14:textId="77777777" w:rsidTr="00376618">
        <w:trPr>
          <w:jc w:val="center"/>
        </w:trPr>
        <w:tc>
          <w:tcPr>
            <w:tcW w:w="1421" w:type="pct"/>
            <w:tcMar>
              <w:top w:w="50" w:type="dxa"/>
              <w:left w:w="70" w:type="dxa"/>
              <w:bottom w:w="50" w:type="dxa"/>
              <w:right w:w="70" w:type="dxa"/>
            </w:tcMar>
            <w:vAlign w:val="center"/>
          </w:tcPr>
          <w:p w14:paraId="14611B0B" w14:textId="77777777" w:rsidR="00302C3E" w:rsidRPr="00376618" w:rsidRDefault="00000000">
            <w:pPr>
              <w:rPr>
                <w:sz w:val="17"/>
                <w:szCs w:val="17"/>
              </w:rPr>
            </w:pPr>
            <w:r w:rsidRPr="00376618">
              <w:rPr>
                <w:sz w:val="17"/>
                <w:szCs w:val="17"/>
              </w:rPr>
              <w:t>Real policy rate proxy</w:t>
            </w:r>
          </w:p>
        </w:tc>
        <w:tc>
          <w:tcPr>
            <w:tcW w:w="1392" w:type="pct"/>
            <w:tcMar>
              <w:top w:w="50" w:type="dxa"/>
              <w:left w:w="70" w:type="dxa"/>
              <w:bottom w:w="50" w:type="dxa"/>
              <w:right w:w="70" w:type="dxa"/>
            </w:tcMar>
            <w:vAlign w:val="center"/>
          </w:tcPr>
          <w:p w14:paraId="6C5725FF" w14:textId="77777777" w:rsidR="00302C3E" w:rsidRPr="00376618" w:rsidRDefault="00000000">
            <w:pPr>
              <w:rPr>
                <w:sz w:val="17"/>
                <w:szCs w:val="17"/>
              </w:rPr>
            </w:pPr>
            <w:r w:rsidRPr="00376618">
              <w:rPr>
                <w:sz w:val="17"/>
                <w:szCs w:val="17"/>
              </w:rPr>
              <w:t>4.6 pp</w:t>
            </w:r>
          </w:p>
        </w:tc>
        <w:tc>
          <w:tcPr>
            <w:tcW w:w="2186" w:type="pct"/>
            <w:tcMar>
              <w:top w:w="50" w:type="dxa"/>
              <w:left w:w="70" w:type="dxa"/>
              <w:bottom w:w="50" w:type="dxa"/>
              <w:right w:w="70" w:type="dxa"/>
            </w:tcMar>
            <w:vAlign w:val="center"/>
          </w:tcPr>
          <w:p w14:paraId="66599FE5" w14:textId="77777777" w:rsidR="00302C3E" w:rsidRPr="00376618" w:rsidRDefault="00000000">
            <w:pPr>
              <w:rPr>
                <w:sz w:val="17"/>
                <w:szCs w:val="17"/>
              </w:rPr>
            </w:pPr>
            <w:r w:rsidRPr="00376618">
              <w:rPr>
                <w:sz w:val="17"/>
                <w:szCs w:val="17"/>
              </w:rPr>
              <w:t xml:space="preserve">Policy </w:t>
            </w:r>
            <w:proofErr w:type="gramStart"/>
            <w:r w:rsidRPr="00376618">
              <w:rPr>
                <w:sz w:val="17"/>
                <w:szCs w:val="17"/>
              </w:rPr>
              <w:t>rate</w:t>
            </w:r>
            <w:proofErr w:type="gramEnd"/>
            <w:r w:rsidRPr="00376618">
              <w:rPr>
                <w:sz w:val="17"/>
                <w:szCs w:val="17"/>
              </w:rPr>
              <w:t xml:space="preserve"> less CPI YoY</w:t>
            </w:r>
          </w:p>
        </w:tc>
      </w:tr>
      <w:tr w:rsidR="00302C3E" w:rsidRPr="00376618" w14:paraId="2D095E56" w14:textId="77777777" w:rsidTr="00376618">
        <w:trPr>
          <w:jc w:val="center"/>
        </w:trPr>
        <w:tc>
          <w:tcPr>
            <w:tcW w:w="1421" w:type="pct"/>
            <w:tcMar>
              <w:top w:w="50" w:type="dxa"/>
              <w:left w:w="70" w:type="dxa"/>
              <w:bottom w:w="50" w:type="dxa"/>
              <w:right w:w="70" w:type="dxa"/>
            </w:tcMar>
            <w:vAlign w:val="center"/>
          </w:tcPr>
          <w:p w14:paraId="26671725" w14:textId="77777777" w:rsidR="00302C3E" w:rsidRPr="00376618" w:rsidRDefault="00000000">
            <w:pPr>
              <w:rPr>
                <w:sz w:val="17"/>
                <w:szCs w:val="17"/>
              </w:rPr>
            </w:pPr>
            <w:r w:rsidRPr="00376618">
              <w:rPr>
                <w:sz w:val="17"/>
                <w:szCs w:val="17"/>
              </w:rPr>
              <w:t>10Y-2Y slope</w:t>
            </w:r>
          </w:p>
        </w:tc>
        <w:tc>
          <w:tcPr>
            <w:tcW w:w="1392" w:type="pct"/>
            <w:tcMar>
              <w:top w:w="50" w:type="dxa"/>
              <w:left w:w="70" w:type="dxa"/>
              <w:bottom w:w="50" w:type="dxa"/>
              <w:right w:w="70" w:type="dxa"/>
            </w:tcMar>
            <w:vAlign w:val="center"/>
          </w:tcPr>
          <w:p w14:paraId="5BEFAF32" w14:textId="77777777" w:rsidR="00302C3E" w:rsidRPr="00376618" w:rsidRDefault="00000000">
            <w:pPr>
              <w:rPr>
                <w:sz w:val="17"/>
                <w:szCs w:val="17"/>
              </w:rPr>
            </w:pPr>
            <w:r w:rsidRPr="00376618">
              <w:rPr>
                <w:sz w:val="17"/>
                <w:szCs w:val="17"/>
              </w:rPr>
              <w:t>-6.7 pp</w:t>
            </w:r>
          </w:p>
        </w:tc>
        <w:tc>
          <w:tcPr>
            <w:tcW w:w="2186" w:type="pct"/>
            <w:tcMar>
              <w:top w:w="50" w:type="dxa"/>
              <w:left w:w="70" w:type="dxa"/>
              <w:bottom w:w="50" w:type="dxa"/>
              <w:right w:w="70" w:type="dxa"/>
            </w:tcMar>
            <w:vAlign w:val="center"/>
          </w:tcPr>
          <w:p w14:paraId="1520F951" w14:textId="77777777" w:rsidR="00302C3E" w:rsidRPr="00376618" w:rsidRDefault="00000000">
            <w:pPr>
              <w:rPr>
                <w:sz w:val="17"/>
                <w:szCs w:val="17"/>
              </w:rPr>
            </w:pPr>
            <w:r w:rsidRPr="00376618">
              <w:rPr>
                <w:sz w:val="17"/>
                <w:szCs w:val="17"/>
              </w:rPr>
              <w:t>Curve shape / rate-risk signal</w:t>
            </w:r>
          </w:p>
        </w:tc>
      </w:tr>
      <w:tr w:rsidR="00302C3E" w:rsidRPr="00376618" w14:paraId="19642C10" w14:textId="77777777" w:rsidTr="00376618">
        <w:trPr>
          <w:jc w:val="center"/>
        </w:trPr>
        <w:tc>
          <w:tcPr>
            <w:tcW w:w="1421" w:type="pct"/>
            <w:tcMar>
              <w:top w:w="50" w:type="dxa"/>
              <w:left w:w="70" w:type="dxa"/>
              <w:bottom w:w="50" w:type="dxa"/>
              <w:right w:w="70" w:type="dxa"/>
            </w:tcMar>
            <w:vAlign w:val="center"/>
          </w:tcPr>
          <w:p w14:paraId="5B74CEC6" w14:textId="77777777" w:rsidR="00302C3E" w:rsidRPr="00376618" w:rsidRDefault="00000000">
            <w:pPr>
              <w:rPr>
                <w:sz w:val="17"/>
                <w:szCs w:val="17"/>
              </w:rPr>
            </w:pPr>
            <w:r w:rsidRPr="00376618">
              <w:rPr>
                <w:sz w:val="17"/>
                <w:szCs w:val="17"/>
              </w:rPr>
              <w:t>Loan/deposit ratio</w:t>
            </w:r>
          </w:p>
        </w:tc>
        <w:tc>
          <w:tcPr>
            <w:tcW w:w="1392" w:type="pct"/>
            <w:tcMar>
              <w:top w:w="50" w:type="dxa"/>
              <w:left w:w="70" w:type="dxa"/>
              <w:bottom w:w="50" w:type="dxa"/>
              <w:right w:w="70" w:type="dxa"/>
            </w:tcMar>
            <w:vAlign w:val="center"/>
          </w:tcPr>
          <w:p w14:paraId="2B2D715A" w14:textId="77777777" w:rsidR="00302C3E" w:rsidRPr="00376618" w:rsidRDefault="00000000">
            <w:pPr>
              <w:rPr>
                <w:sz w:val="17"/>
                <w:szCs w:val="17"/>
              </w:rPr>
            </w:pPr>
            <w:r w:rsidRPr="00376618">
              <w:rPr>
                <w:sz w:val="17"/>
                <w:szCs w:val="17"/>
              </w:rPr>
              <w:t>88.1%</w:t>
            </w:r>
          </w:p>
        </w:tc>
        <w:tc>
          <w:tcPr>
            <w:tcW w:w="2186" w:type="pct"/>
            <w:tcMar>
              <w:top w:w="50" w:type="dxa"/>
              <w:left w:w="70" w:type="dxa"/>
              <w:bottom w:w="50" w:type="dxa"/>
              <w:right w:w="70" w:type="dxa"/>
            </w:tcMar>
            <w:vAlign w:val="center"/>
          </w:tcPr>
          <w:p w14:paraId="096240FF" w14:textId="77777777" w:rsidR="00302C3E" w:rsidRPr="00376618" w:rsidRDefault="00000000">
            <w:pPr>
              <w:rPr>
                <w:sz w:val="17"/>
                <w:szCs w:val="17"/>
              </w:rPr>
            </w:pPr>
            <w:r w:rsidRPr="00376618">
              <w:rPr>
                <w:sz w:val="17"/>
                <w:szCs w:val="17"/>
              </w:rPr>
              <w:t>Sector funding balance</w:t>
            </w:r>
          </w:p>
        </w:tc>
      </w:tr>
      <w:tr w:rsidR="00302C3E" w:rsidRPr="00376618" w14:paraId="5E823AF7" w14:textId="77777777" w:rsidTr="00376618">
        <w:trPr>
          <w:jc w:val="center"/>
        </w:trPr>
        <w:tc>
          <w:tcPr>
            <w:tcW w:w="1421" w:type="pct"/>
            <w:tcMar>
              <w:top w:w="50" w:type="dxa"/>
              <w:left w:w="70" w:type="dxa"/>
              <w:bottom w:w="50" w:type="dxa"/>
              <w:right w:w="70" w:type="dxa"/>
            </w:tcMar>
            <w:vAlign w:val="center"/>
          </w:tcPr>
          <w:p w14:paraId="32FB28D8" w14:textId="77777777" w:rsidR="00302C3E" w:rsidRPr="00376618" w:rsidRDefault="00000000">
            <w:pPr>
              <w:rPr>
                <w:sz w:val="17"/>
                <w:szCs w:val="17"/>
              </w:rPr>
            </w:pPr>
            <w:r w:rsidRPr="00376618">
              <w:rPr>
                <w:sz w:val="17"/>
                <w:szCs w:val="17"/>
              </w:rPr>
              <w:t>FX deposit share</w:t>
            </w:r>
          </w:p>
        </w:tc>
        <w:tc>
          <w:tcPr>
            <w:tcW w:w="1392" w:type="pct"/>
            <w:tcMar>
              <w:top w:w="50" w:type="dxa"/>
              <w:left w:w="70" w:type="dxa"/>
              <w:bottom w:w="50" w:type="dxa"/>
              <w:right w:w="70" w:type="dxa"/>
            </w:tcMar>
            <w:vAlign w:val="center"/>
          </w:tcPr>
          <w:p w14:paraId="685AC7CC" w14:textId="77777777" w:rsidR="00302C3E" w:rsidRPr="00376618" w:rsidRDefault="00000000">
            <w:pPr>
              <w:rPr>
                <w:sz w:val="17"/>
                <w:szCs w:val="17"/>
              </w:rPr>
            </w:pPr>
            <w:r w:rsidRPr="00376618">
              <w:rPr>
                <w:sz w:val="17"/>
                <w:szCs w:val="17"/>
              </w:rPr>
              <w:t>40.5%</w:t>
            </w:r>
          </w:p>
        </w:tc>
        <w:tc>
          <w:tcPr>
            <w:tcW w:w="2186" w:type="pct"/>
            <w:tcMar>
              <w:top w:w="50" w:type="dxa"/>
              <w:left w:w="70" w:type="dxa"/>
              <w:bottom w:w="50" w:type="dxa"/>
              <w:right w:w="70" w:type="dxa"/>
            </w:tcMar>
            <w:vAlign w:val="center"/>
          </w:tcPr>
          <w:p w14:paraId="7DAFDB6F" w14:textId="77777777" w:rsidR="00302C3E" w:rsidRPr="00376618" w:rsidRDefault="00000000">
            <w:pPr>
              <w:rPr>
                <w:sz w:val="17"/>
                <w:szCs w:val="17"/>
              </w:rPr>
            </w:pPr>
            <w:r w:rsidRPr="00376618">
              <w:rPr>
                <w:sz w:val="17"/>
                <w:szCs w:val="17"/>
              </w:rPr>
              <w:t>Dollarization / deposit mix</w:t>
            </w:r>
          </w:p>
        </w:tc>
      </w:tr>
      <w:tr w:rsidR="00302C3E" w:rsidRPr="00376618" w14:paraId="0D625F9D" w14:textId="77777777" w:rsidTr="00376618">
        <w:trPr>
          <w:jc w:val="center"/>
        </w:trPr>
        <w:tc>
          <w:tcPr>
            <w:tcW w:w="1421" w:type="pct"/>
            <w:tcMar>
              <w:top w:w="50" w:type="dxa"/>
              <w:left w:w="70" w:type="dxa"/>
              <w:bottom w:w="50" w:type="dxa"/>
              <w:right w:w="70" w:type="dxa"/>
            </w:tcMar>
            <w:vAlign w:val="center"/>
          </w:tcPr>
          <w:p w14:paraId="451D097F" w14:textId="77777777" w:rsidR="00302C3E" w:rsidRPr="00376618" w:rsidRDefault="00000000">
            <w:pPr>
              <w:rPr>
                <w:sz w:val="17"/>
                <w:szCs w:val="17"/>
              </w:rPr>
            </w:pPr>
            <w:r w:rsidRPr="00376618">
              <w:rPr>
                <w:sz w:val="17"/>
                <w:szCs w:val="17"/>
              </w:rPr>
              <w:t>Total reserves</w:t>
            </w:r>
          </w:p>
        </w:tc>
        <w:tc>
          <w:tcPr>
            <w:tcW w:w="1392" w:type="pct"/>
            <w:tcMar>
              <w:top w:w="50" w:type="dxa"/>
              <w:left w:w="70" w:type="dxa"/>
              <w:bottom w:w="50" w:type="dxa"/>
              <w:right w:w="70" w:type="dxa"/>
            </w:tcMar>
            <w:vAlign w:val="center"/>
          </w:tcPr>
          <w:p w14:paraId="060218F8" w14:textId="77777777" w:rsidR="00302C3E" w:rsidRPr="00376618" w:rsidRDefault="00000000">
            <w:pPr>
              <w:rPr>
                <w:sz w:val="17"/>
                <w:szCs w:val="17"/>
              </w:rPr>
            </w:pPr>
            <w:r w:rsidRPr="00376618">
              <w:rPr>
                <w:sz w:val="17"/>
                <w:szCs w:val="17"/>
              </w:rPr>
              <w:t>USD 171,529mn</w:t>
            </w:r>
          </w:p>
        </w:tc>
        <w:tc>
          <w:tcPr>
            <w:tcW w:w="2186" w:type="pct"/>
            <w:tcMar>
              <w:top w:w="50" w:type="dxa"/>
              <w:left w:w="70" w:type="dxa"/>
              <w:bottom w:w="50" w:type="dxa"/>
              <w:right w:w="70" w:type="dxa"/>
            </w:tcMar>
            <w:vAlign w:val="center"/>
          </w:tcPr>
          <w:p w14:paraId="19848EAE" w14:textId="77777777" w:rsidR="00302C3E" w:rsidRPr="00376618" w:rsidRDefault="00000000">
            <w:pPr>
              <w:rPr>
                <w:sz w:val="17"/>
                <w:szCs w:val="17"/>
              </w:rPr>
            </w:pPr>
            <w:r w:rsidRPr="00376618">
              <w:rPr>
                <w:sz w:val="17"/>
                <w:szCs w:val="17"/>
              </w:rPr>
              <w:t>FX-gold buffer proxy</w:t>
            </w:r>
          </w:p>
        </w:tc>
      </w:tr>
      <w:tr w:rsidR="00302C3E" w:rsidRPr="00376618" w14:paraId="116D99C8" w14:textId="77777777" w:rsidTr="00376618">
        <w:trPr>
          <w:jc w:val="center"/>
        </w:trPr>
        <w:tc>
          <w:tcPr>
            <w:tcW w:w="1421" w:type="pct"/>
            <w:tcMar>
              <w:top w:w="50" w:type="dxa"/>
              <w:left w:w="70" w:type="dxa"/>
              <w:bottom w:w="50" w:type="dxa"/>
              <w:right w:w="70" w:type="dxa"/>
            </w:tcMar>
            <w:vAlign w:val="center"/>
          </w:tcPr>
          <w:p w14:paraId="11FAB892" w14:textId="77777777" w:rsidR="00302C3E" w:rsidRPr="00376618" w:rsidRDefault="00000000">
            <w:pPr>
              <w:rPr>
                <w:sz w:val="17"/>
                <w:szCs w:val="17"/>
              </w:rPr>
            </w:pPr>
            <w:r w:rsidRPr="00376618">
              <w:rPr>
                <w:sz w:val="17"/>
                <w:szCs w:val="17"/>
              </w:rPr>
              <w:t>Liquidity stress score</w:t>
            </w:r>
          </w:p>
        </w:tc>
        <w:tc>
          <w:tcPr>
            <w:tcW w:w="1392" w:type="pct"/>
            <w:tcMar>
              <w:top w:w="50" w:type="dxa"/>
              <w:left w:w="70" w:type="dxa"/>
              <w:bottom w:w="50" w:type="dxa"/>
              <w:right w:w="70" w:type="dxa"/>
            </w:tcMar>
            <w:vAlign w:val="center"/>
          </w:tcPr>
          <w:p w14:paraId="5A8764CC" w14:textId="77777777" w:rsidR="00302C3E" w:rsidRPr="00376618" w:rsidRDefault="00000000">
            <w:pPr>
              <w:rPr>
                <w:sz w:val="17"/>
                <w:szCs w:val="17"/>
              </w:rPr>
            </w:pPr>
            <w:r w:rsidRPr="00376618">
              <w:rPr>
                <w:sz w:val="17"/>
                <w:szCs w:val="17"/>
              </w:rPr>
              <w:t>57.0 / 100 (Elevated)</w:t>
            </w:r>
          </w:p>
        </w:tc>
        <w:tc>
          <w:tcPr>
            <w:tcW w:w="2186" w:type="pct"/>
            <w:tcMar>
              <w:top w:w="50" w:type="dxa"/>
              <w:left w:w="70" w:type="dxa"/>
              <w:bottom w:w="50" w:type="dxa"/>
              <w:right w:w="70" w:type="dxa"/>
            </w:tcMar>
            <w:vAlign w:val="center"/>
          </w:tcPr>
          <w:p w14:paraId="1732C2F3" w14:textId="77777777" w:rsidR="00302C3E" w:rsidRPr="00376618" w:rsidRDefault="00000000">
            <w:pPr>
              <w:rPr>
                <w:sz w:val="17"/>
                <w:szCs w:val="17"/>
              </w:rPr>
            </w:pPr>
            <w:r w:rsidRPr="00376618">
              <w:rPr>
                <w:sz w:val="17"/>
                <w:szCs w:val="17"/>
              </w:rPr>
              <w:t>Composite dashboard signal</w:t>
            </w:r>
          </w:p>
        </w:tc>
      </w:tr>
    </w:tbl>
    <w:p w14:paraId="34B1354B" w14:textId="5317BBFA" w:rsidR="00302C3E" w:rsidRPr="00376618" w:rsidRDefault="00376618">
      <w:pPr>
        <w:spacing w:after="100" w:line="252" w:lineRule="auto"/>
        <w:jc w:val="center"/>
        <w:rPr>
          <w:sz w:val="18"/>
          <w:szCs w:val="18"/>
        </w:rPr>
      </w:pPr>
      <w:r w:rsidRPr="00376618">
        <w:rPr>
          <w:b/>
          <w:sz w:val="18"/>
          <w:szCs w:val="18"/>
        </w:rPr>
        <w:t>Table</w:t>
      </w:r>
      <w:r w:rsidR="00000000" w:rsidRPr="00376618">
        <w:rPr>
          <w:b/>
          <w:sz w:val="18"/>
          <w:szCs w:val="18"/>
        </w:rPr>
        <w:t xml:space="preserve"> 1. Executive treasury dashboard snapshot.</w:t>
      </w:r>
    </w:p>
    <w:p w14:paraId="0D565B76" w14:textId="78BABC6A" w:rsidR="00302C3E" w:rsidRDefault="00000000">
      <w:pPr>
        <w:spacing w:after="100" w:line="252" w:lineRule="auto"/>
        <w:jc w:val="center"/>
      </w:pPr>
      <w:r>
        <w:rPr>
          <w:i/>
        </w:rPr>
        <w:t>Scope note: This memo is a portfolio case study. It uses public market, banking</w:t>
      </w:r>
      <w:r w:rsidR="00787AF0">
        <w:rPr>
          <w:i/>
        </w:rPr>
        <w:t xml:space="preserve"> </w:t>
      </w:r>
      <w:r>
        <w:rPr>
          <w:i/>
        </w:rPr>
        <w:t>sector, and Garanti BBVA financial statement data to construct treasury-oriented monitoring indicators and proxy ALM metrics.</w:t>
      </w:r>
    </w:p>
    <w:p w14:paraId="44FF6FD8" w14:textId="77777777" w:rsidR="00302C3E" w:rsidRPr="00376618" w:rsidRDefault="00000000" w:rsidP="00787AF0">
      <w:pPr>
        <w:pStyle w:val="Balk1"/>
        <w:spacing w:before="0"/>
        <w:rPr>
          <w:sz w:val="24"/>
          <w:szCs w:val="24"/>
        </w:rPr>
      </w:pPr>
      <w:r w:rsidRPr="00376618">
        <w:rPr>
          <w:rFonts w:ascii="Garamond" w:eastAsia="Garamond" w:hAnsi="Garamond"/>
          <w:sz w:val="24"/>
          <w:szCs w:val="24"/>
        </w:rPr>
        <w:t>1. Executive Summary</w:t>
      </w:r>
    </w:p>
    <w:p w14:paraId="1672913B" w14:textId="35DCA20E" w:rsidR="00302C3E" w:rsidRPr="00787AF0" w:rsidRDefault="00000000">
      <w:pPr>
        <w:spacing w:after="100" w:line="252" w:lineRule="auto"/>
        <w:rPr>
          <w:sz w:val="20"/>
          <w:szCs w:val="20"/>
        </w:rPr>
      </w:pPr>
      <w:r w:rsidRPr="00787AF0">
        <w:rPr>
          <w:sz w:val="20"/>
          <w:szCs w:val="20"/>
        </w:rPr>
        <w:t>This case study builds a Turkey-focused treasury and ALM monitoring dashboard using publicly available market, macro-financial, banking-sector, and selected bank financial statement data. The dashboard tracks TL funding conditions, FX and gold liquidity pressure</w:t>
      </w:r>
      <w:r w:rsidR="00787AF0">
        <w:rPr>
          <w:sz w:val="20"/>
          <w:szCs w:val="20"/>
        </w:rPr>
        <w:t xml:space="preserve">s, inflation-adjusted rates, yield </w:t>
      </w:r>
      <w:r w:rsidRPr="00787AF0">
        <w:rPr>
          <w:sz w:val="20"/>
          <w:szCs w:val="20"/>
        </w:rPr>
        <w:t>curve movements, deposit and loan dynamics, reserves, and a composite liquidity stress score.</w:t>
      </w:r>
    </w:p>
    <w:p w14:paraId="443A3D28" w14:textId="6C41D65D" w:rsidR="00302C3E" w:rsidRPr="00787AF0" w:rsidRDefault="00000000">
      <w:pPr>
        <w:spacing w:after="100" w:line="252" w:lineRule="auto"/>
        <w:rPr>
          <w:sz w:val="20"/>
          <w:szCs w:val="20"/>
        </w:rPr>
      </w:pPr>
      <w:r w:rsidRPr="00787AF0">
        <w:rPr>
          <w:sz w:val="20"/>
          <w:szCs w:val="20"/>
        </w:rPr>
        <w:t>The core finding is that the latest dashboard reading points to an elevated but not extreme treasury stress environment: TLREF remains above the policy rate, the yield curve is inverted, FX and gold prices remain structurally higher than the 2021 base, and the banking sector loan/deposit ratio is below 100%</w:t>
      </w:r>
      <w:r w:rsidR="00787AF0">
        <w:rPr>
          <w:sz w:val="20"/>
          <w:szCs w:val="20"/>
        </w:rPr>
        <w:t>,</w:t>
      </w:r>
      <w:r w:rsidRPr="00787AF0">
        <w:rPr>
          <w:sz w:val="20"/>
          <w:szCs w:val="20"/>
        </w:rPr>
        <w:t xml:space="preserve"> but funding conditions remain rate-sensitive.</w:t>
      </w:r>
    </w:p>
    <w:p w14:paraId="0948EE44" w14:textId="77777777" w:rsidR="00302C3E" w:rsidRPr="00787AF0" w:rsidRDefault="00000000">
      <w:pPr>
        <w:spacing w:after="100" w:line="252" w:lineRule="auto"/>
        <w:rPr>
          <w:sz w:val="20"/>
          <w:szCs w:val="20"/>
        </w:rPr>
      </w:pPr>
      <w:r w:rsidRPr="00787AF0">
        <w:rPr>
          <w:sz w:val="20"/>
          <w:szCs w:val="20"/>
        </w:rPr>
        <w:t>The Garanti BBVA extension is not presented as an internal ALM model. Instead, it uses unconsolidated financial statement line items to construct public-data-based proxies for asset/funding mix, liquidity buffer, foreign-currency (FC) balance-sheet gap, funding-cost sensitivity, and repricing-gap sensitivity.</w:t>
      </w:r>
    </w:p>
    <w:p w14:paraId="4DE96C29" w14:textId="77777777" w:rsidR="00302C3E" w:rsidRPr="00787AF0" w:rsidRDefault="00000000">
      <w:pPr>
        <w:spacing w:after="100" w:line="252" w:lineRule="auto"/>
        <w:rPr>
          <w:sz w:val="20"/>
          <w:szCs w:val="20"/>
        </w:rPr>
      </w:pPr>
      <w:r w:rsidRPr="00787AF0">
        <w:rPr>
          <w:sz w:val="20"/>
          <w:szCs w:val="20"/>
        </w:rPr>
        <w:t>The practical objective is to show how a treasury, ALM, or liquidity risk team could translate observable market and sector conditions into a concise management dashboard and risk memo.</w:t>
      </w:r>
    </w:p>
    <w:p w14:paraId="0EE74959" w14:textId="77777777" w:rsidR="00302C3E" w:rsidRPr="00376618" w:rsidRDefault="00000000" w:rsidP="00787AF0">
      <w:pPr>
        <w:pStyle w:val="Balk1"/>
        <w:spacing w:before="0"/>
        <w:rPr>
          <w:sz w:val="24"/>
          <w:szCs w:val="24"/>
        </w:rPr>
      </w:pPr>
      <w:r w:rsidRPr="00376618">
        <w:rPr>
          <w:rFonts w:ascii="Garamond" w:eastAsia="Garamond" w:hAnsi="Garamond"/>
          <w:sz w:val="24"/>
          <w:szCs w:val="24"/>
        </w:rPr>
        <w:t>2. Data and Methodology</w:t>
      </w:r>
    </w:p>
    <w:p w14:paraId="59F596C0" w14:textId="77777777" w:rsidR="00302C3E" w:rsidRPr="00787AF0" w:rsidRDefault="00000000">
      <w:pPr>
        <w:spacing w:after="100" w:line="252" w:lineRule="auto"/>
        <w:rPr>
          <w:sz w:val="20"/>
          <w:szCs w:val="20"/>
        </w:rPr>
      </w:pPr>
      <w:r w:rsidRPr="00787AF0">
        <w:rPr>
          <w:sz w:val="20"/>
          <w:szCs w:val="20"/>
        </w:rPr>
        <w:t>The main dashboard is built at weekly frequency. Daily market variables are mapped to weekly observations, monthly inflation is forward-filled, and bank/sector variables are aligned to the same weekly frame where available. This allows market, macro, and balance-sheet indicators to be viewed together without claiming daily precision for slower-moving banking data.</w:t>
      </w:r>
    </w:p>
    <w:tbl>
      <w:tblPr>
        <w:tblStyle w:val="TabloKlavuzu"/>
        <w:tblW w:w="5000" w:type="pct"/>
        <w:jc w:val="center"/>
        <w:tblLook w:val="04A0" w:firstRow="1" w:lastRow="0" w:firstColumn="1" w:lastColumn="0" w:noHBand="0" w:noVBand="1"/>
      </w:tblPr>
      <w:tblGrid>
        <w:gridCol w:w="1637"/>
        <w:gridCol w:w="4445"/>
        <w:gridCol w:w="4052"/>
      </w:tblGrid>
      <w:tr w:rsidR="00302C3E" w:rsidRPr="00376618" w14:paraId="463C5BCF" w14:textId="77777777" w:rsidTr="00376618">
        <w:trPr>
          <w:tblHeader/>
          <w:jc w:val="center"/>
        </w:trPr>
        <w:tc>
          <w:tcPr>
            <w:tcW w:w="808" w:type="pct"/>
            <w:shd w:val="clear" w:color="auto" w:fill="D9EAF7"/>
            <w:tcMar>
              <w:top w:w="50" w:type="dxa"/>
              <w:left w:w="70" w:type="dxa"/>
              <w:bottom w:w="50" w:type="dxa"/>
              <w:right w:w="70" w:type="dxa"/>
            </w:tcMar>
            <w:vAlign w:val="center"/>
          </w:tcPr>
          <w:p w14:paraId="3DA51F2A" w14:textId="77777777" w:rsidR="00302C3E" w:rsidRPr="00376618" w:rsidRDefault="00000000">
            <w:pPr>
              <w:rPr>
                <w:sz w:val="17"/>
                <w:szCs w:val="17"/>
              </w:rPr>
            </w:pPr>
            <w:r w:rsidRPr="00376618">
              <w:rPr>
                <w:b/>
                <w:color w:val="000000"/>
                <w:sz w:val="17"/>
                <w:szCs w:val="17"/>
              </w:rPr>
              <w:t>Data block</w:t>
            </w:r>
          </w:p>
        </w:tc>
        <w:tc>
          <w:tcPr>
            <w:tcW w:w="2193" w:type="pct"/>
            <w:shd w:val="clear" w:color="auto" w:fill="D9EAF7"/>
            <w:tcMar>
              <w:top w:w="50" w:type="dxa"/>
              <w:left w:w="70" w:type="dxa"/>
              <w:bottom w:w="50" w:type="dxa"/>
              <w:right w:w="70" w:type="dxa"/>
            </w:tcMar>
            <w:vAlign w:val="center"/>
          </w:tcPr>
          <w:p w14:paraId="02A958D1" w14:textId="77777777" w:rsidR="00302C3E" w:rsidRPr="00376618" w:rsidRDefault="00000000">
            <w:pPr>
              <w:rPr>
                <w:sz w:val="17"/>
                <w:szCs w:val="17"/>
              </w:rPr>
            </w:pPr>
            <w:r w:rsidRPr="00376618">
              <w:rPr>
                <w:b/>
                <w:color w:val="000000"/>
                <w:sz w:val="17"/>
                <w:szCs w:val="17"/>
              </w:rPr>
              <w:t>Primary variables</w:t>
            </w:r>
          </w:p>
        </w:tc>
        <w:tc>
          <w:tcPr>
            <w:tcW w:w="1999" w:type="pct"/>
            <w:shd w:val="clear" w:color="auto" w:fill="D9EAF7"/>
            <w:tcMar>
              <w:top w:w="50" w:type="dxa"/>
              <w:left w:w="70" w:type="dxa"/>
              <w:bottom w:w="50" w:type="dxa"/>
              <w:right w:w="70" w:type="dxa"/>
            </w:tcMar>
            <w:vAlign w:val="center"/>
          </w:tcPr>
          <w:p w14:paraId="35C0F323" w14:textId="77777777" w:rsidR="00302C3E" w:rsidRPr="00376618" w:rsidRDefault="00000000">
            <w:pPr>
              <w:rPr>
                <w:sz w:val="17"/>
                <w:szCs w:val="17"/>
              </w:rPr>
            </w:pPr>
            <w:r w:rsidRPr="00376618">
              <w:rPr>
                <w:b/>
                <w:color w:val="000000"/>
                <w:sz w:val="17"/>
                <w:szCs w:val="17"/>
              </w:rPr>
              <w:t>Use in memo</w:t>
            </w:r>
          </w:p>
        </w:tc>
      </w:tr>
      <w:tr w:rsidR="00302C3E" w:rsidRPr="00376618" w14:paraId="73EA916D" w14:textId="77777777" w:rsidTr="00376618">
        <w:trPr>
          <w:jc w:val="center"/>
        </w:trPr>
        <w:tc>
          <w:tcPr>
            <w:tcW w:w="808" w:type="pct"/>
            <w:tcMar>
              <w:top w:w="50" w:type="dxa"/>
              <w:left w:w="70" w:type="dxa"/>
              <w:bottom w:w="50" w:type="dxa"/>
              <w:right w:w="70" w:type="dxa"/>
            </w:tcMar>
            <w:vAlign w:val="center"/>
          </w:tcPr>
          <w:p w14:paraId="149AF9BB" w14:textId="77777777" w:rsidR="00302C3E" w:rsidRPr="00376618" w:rsidRDefault="00000000">
            <w:pPr>
              <w:rPr>
                <w:sz w:val="17"/>
                <w:szCs w:val="17"/>
              </w:rPr>
            </w:pPr>
            <w:r w:rsidRPr="00376618">
              <w:rPr>
                <w:sz w:val="17"/>
                <w:szCs w:val="17"/>
              </w:rPr>
              <w:t>Market funding</w:t>
            </w:r>
          </w:p>
        </w:tc>
        <w:tc>
          <w:tcPr>
            <w:tcW w:w="2193" w:type="pct"/>
            <w:tcMar>
              <w:top w:w="50" w:type="dxa"/>
              <w:left w:w="70" w:type="dxa"/>
              <w:bottom w:w="50" w:type="dxa"/>
              <w:right w:w="70" w:type="dxa"/>
            </w:tcMar>
            <w:vAlign w:val="center"/>
          </w:tcPr>
          <w:p w14:paraId="186B3322" w14:textId="77777777" w:rsidR="00302C3E" w:rsidRPr="00376618" w:rsidRDefault="00000000">
            <w:pPr>
              <w:rPr>
                <w:sz w:val="17"/>
                <w:szCs w:val="17"/>
              </w:rPr>
            </w:pPr>
            <w:r w:rsidRPr="00376618">
              <w:rPr>
                <w:sz w:val="17"/>
                <w:szCs w:val="17"/>
              </w:rPr>
              <w:t>Policy rate, TLREF, deposit rate proxy, loan rate proxy</w:t>
            </w:r>
          </w:p>
        </w:tc>
        <w:tc>
          <w:tcPr>
            <w:tcW w:w="1999" w:type="pct"/>
            <w:tcMar>
              <w:top w:w="50" w:type="dxa"/>
              <w:left w:w="70" w:type="dxa"/>
              <w:bottom w:w="50" w:type="dxa"/>
              <w:right w:w="70" w:type="dxa"/>
            </w:tcMar>
            <w:vAlign w:val="center"/>
          </w:tcPr>
          <w:p w14:paraId="63955BAB" w14:textId="77777777" w:rsidR="00302C3E" w:rsidRPr="00376618" w:rsidRDefault="00000000">
            <w:pPr>
              <w:rPr>
                <w:sz w:val="17"/>
                <w:szCs w:val="17"/>
              </w:rPr>
            </w:pPr>
            <w:r w:rsidRPr="00376618">
              <w:rPr>
                <w:sz w:val="17"/>
                <w:szCs w:val="17"/>
              </w:rPr>
              <w:t>TL funding and margin-pressure monitoring</w:t>
            </w:r>
          </w:p>
        </w:tc>
      </w:tr>
      <w:tr w:rsidR="00302C3E" w:rsidRPr="00376618" w14:paraId="24EE941F" w14:textId="77777777" w:rsidTr="00376618">
        <w:trPr>
          <w:jc w:val="center"/>
        </w:trPr>
        <w:tc>
          <w:tcPr>
            <w:tcW w:w="808" w:type="pct"/>
            <w:tcMar>
              <w:top w:w="50" w:type="dxa"/>
              <w:left w:w="70" w:type="dxa"/>
              <w:bottom w:w="50" w:type="dxa"/>
              <w:right w:w="70" w:type="dxa"/>
            </w:tcMar>
            <w:vAlign w:val="center"/>
          </w:tcPr>
          <w:p w14:paraId="08D9E86E" w14:textId="77777777" w:rsidR="00302C3E" w:rsidRPr="00376618" w:rsidRDefault="00000000">
            <w:pPr>
              <w:rPr>
                <w:sz w:val="17"/>
                <w:szCs w:val="17"/>
              </w:rPr>
            </w:pPr>
            <w:r w:rsidRPr="00376618">
              <w:rPr>
                <w:sz w:val="17"/>
                <w:szCs w:val="17"/>
              </w:rPr>
              <w:t>FX and gold</w:t>
            </w:r>
          </w:p>
        </w:tc>
        <w:tc>
          <w:tcPr>
            <w:tcW w:w="2193" w:type="pct"/>
            <w:tcMar>
              <w:top w:w="50" w:type="dxa"/>
              <w:left w:w="70" w:type="dxa"/>
              <w:bottom w:w="50" w:type="dxa"/>
              <w:right w:w="70" w:type="dxa"/>
            </w:tcMar>
            <w:vAlign w:val="center"/>
          </w:tcPr>
          <w:p w14:paraId="2AB671BE" w14:textId="77777777" w:rsidR="00302C3E" w:rsidRPr="00376618" w:rsidRDefault="00000000">
            <w:pPr>
              <w:rPr>
                <w:sz w:val="17"/>
                <w:szCs w:val="17"/>
              </w:rPr>
            </w:pPr>
            <w:r w:rsidRPr="00376618">
              <w:rPr>
                <w:sz w:val="17"/>
                <w:szCs w:val="17"/>
              </w:rPr>
              <w:t>USD/TRY, EUR/TRY, gram gold, rolling volatility</w:t>
            </w:r>
          </w:p>
        </w:tc>
        <w:tc>
          <w:tcPr>
            <w:tcW w:w="1999" w:type="pct"/>
            <w:tcMar>
              <w:top w:w="50" w:type="dxa"/>
              <w:left w:w="70" w:type="dxa"/>
              <w:bottom w:w="50" w:type="dxa"/>
              <w:right w:w="70" w:type="dxa"/>
            </w:tcMar>
            <w:vAlign w:val="center"/>
          </w:tcPr>
          <w:p w14:paraId="34365F30" w14:textId="77777777" w:rsidR="00302C3E" w:rsidRPr="00376618" w:rsidRDefault="00000000">
            <w:pPr>
              <w:rPr>
                <w:sz w:val="17"/>
                <w:szCs w:val="17"/>
              </w:rPr>
            </w:pPr>
            <w:r w:rsidRPr="00376618">
              <w:rPr>
                <w:sz w:val="17"/>
                <w:szCs w:val="17"/>
              </w:rPr>
              <w:t>FX-gold liquidity watch</w:t>
            </w:r>
          </w:p>
        </w:tc>
      </w:tr>
      <w:tr w:rsidR="00302C3E" w:rsidRPr="00376618" w14:paraId="5BB98650" w14:textId="77777777" w:rsidTr="00376618">
        <w:trPr>
          <w:jc w:val="center"/>
        </w:trPr>
        <w:tc>
          <w:tcPr>
            <w:tcW w:w="808" w:type="pct"/>
            <w:tcMar>
              <w:top w:w="50" w:type="dxa"/>
              <w:left w:w="70" w:type="dxa"/>
              <w:bottom w:w="50" w:type="dxa"/>
              <w:right w:w="70" w:type="dxa"/>
            </w:tcMar>
            <w:vAlign w:val="center"/>
          </w:tcPr>
          <w:p w14:paraId="6FB54160" w14:textId="77777777" w:rsidR="00302C3E" w:rsidRPr="00376618" w:rsidRDefault="00000000">
            <w:pPr>
              <w:rPr>
                <w:sz w:val="17"/>
                <w:szCs w:val="17"/>
              </w:rPr>
            </w:pPr>
            <w:r w:rsidRPr="00376618">
              <w:rPr>
                <w:sz w:val="17"/>
                <w:szCs w:val="17"/>
              </w:rPr>
              <w:t>Inflation and curve</w:t>
            </w:r>
          </w:p>
        </w:tc>
        <w:tc>
          <w:tcPr>
            <w:tcW w:w="2193" w:type="pct"/>
            <w:tcMar>
              <w:top w:w="50" w:type="dxa"/>
              <w:left w:w="70" w:type="dxa"/>
              <w:bottom w:w="50" w:type="dxa"/>
              <w:right w:w="70" w:type="dxa"/>
            </w:tcMar>
            <w:vAlign w:val="center"/>
          </w:tcPr>
          <w:p w14:paraId="1799F118" w14:textId="77777777" w:rsidR="00302C3E" w:rsidRPr="00376618" w:rsidRDefault="00000000">
            <w:pPr>
              <w:rPr>
                <w:sz w:val="17"/>
                <w:szCs w:val="17"/>
              </w:rPr>
            </w:pPr>
            <w:r w:rsidRPr="00376618">
              <w:rPr>
                <w:sz w:val="17"/>
                <w:szCs w:val="17"/>
              </w:rPr>
              <w:t>CPI YoY, 2Y/5Y/10Y yields, 10Y-2Y spread</w:t>
            </w:r>
          </w:p>
        </w:tc>
        <w:tc>
          <w:tcPr>
            <w:tcW w:w="1999" w:type="pct"/>
            <w:tcMar>
              <w:top w:w="50" w:type="dxa"/>
              <w:left w:w="70" w:type="dxa"/>
              <w:bottom w:w="50" w:type="dxa"/>
              <w:right w:w="70" w:type="dxa"/>
            </w:tcMar>
            <w:vAlign w:val="center"/>
          </w:tcPr>
          <w:p w14:paraId="07C2EAE2" w14:textId="77777777" w:rsidR="00302C3E" w:rsidRPr="00376618" w:rsidRDefault="00000000">
            <w:pPr>
              <w:rPr>
                <w:sz w:val="17"/>
                <w:szCs w:val="17"/>
              </w:rPr>
            </w:pPr>
            <w:r w:rsidRPr="00376618">
              <w:rPr>
                <w:sz w:val="17"/>
                <w:szCs w:val="17"/>
              </w:rPr>
              <w:t>Real-rate and interest-rate risk context</w:t>
            </w:r>
          </w:p>
        </w:tc>
      </w:tr>
      <w:tr w:rsidR="00302C3E" w:rsidRPr="00376618" w14:paraId="34816E37" w14:textId="77777777" w:rsidTr="00376618">
        <w:trPr>
          <w:jc w:val="center"/>
        </w:trPr>
        <w:tc>
          <w:tcPr>
            <w:tcW w:w="808" w:type="pct"/>
            <w:tcMar>
              <w:top w:w="50" w:type="dxa"/>
              <w:left w:w="70" w:type="dxa"/>
              <w:bottom w:w="50" w:type="dxa"/>
              <w:right w:w="70" w:type="dxa"/>
            </w:tcMar>
            <w:vAlign w:val="center"/>
          </w:tcPr>
          <w:p w14:paraId="77629D53" w14:textId="77777777" w:rsidR="00302C3E" w:rsidRPr="00376618" w:rsidRDefault="00000000">
            <w:pPr>
              <w:rPr>
                <w:sz w:val="17"/>
                <w:szCs w:val="17"/>
              </w:rPr>
            </w:pPr>
            <w:r w:rsidRPr="00376618">
              <w:rPr>
                <w:sz w:val="17"/>
                <w:szCs w:val="17"/>
              </w:rPr>
              <w:t>Banking sector</w:t>
            </w:r>
          </w:p>
        </w:tc>
        <w:tc>
          <w:tcPr>
            <w:tcW w:w="2193" w:type="pct"/>
            <w:tcMar>
              <w:top w:w="50" w:type="dxa"/>
              <w:left w:w="70" w:type="dxa"/>
              <w:bottom w:w="50" w:type="dxa"/>
              <w:right w:w="70" w:type="dxa"/>
            </w:tcMar>
            <w:vAlign w:val="center"/>
          </w:tcPr>
          <w:p w14:paraId="1D3A796F" w14:textId="77777777" w:rsidR="00302C3E" w:rsidRPr="00376618" w:rsidRDefault="00000000">
            <w:pPr>
              <w:rPr>
                <w:sz w:val="17"/>
                <w:szCs w:val="17"/>
              </w:rPr>
            </w:pPr>
            <w:r w:rsidRPr="00376618">
              <w:rPr>
                <w:sz w:val="17"/>
                <w:szCs w:val="17"/>
              </w:rPr>
              <w:t>Loans, deposits, FX deposits, KKM, securities, FX position, reserves</w:t>
            </w:r>
          </w:p>
        </w:tc>
        <w:tc>
          <w:tcPr>
            <w:tcW w:w="1999" w:type="pct"/>
            <w:tcMar>
              <w:top w:w="50" w:type="dxa"/>
              <w:left w:w="70" w:type="dxa"/>
              <w:bottom w:w="50" w:type="dxa"/>
              <w:right w:w="70" w:type="dxa"/>
            </w:tcMar>
            <w:vAlign w:val="center"/>
          </w:tcPr>
          <w:p w14:paraId="67514999" w14:textId="77777777" w:rsidR="00302C3E" w:rsidRPr="00376618" w:rsidRDefault="00000000">
            <w:pPr>
              <w:rPr>
                <w:sz w:val="17"/>
                <w:szCs w:val="17"/>
              </w:rPr>
            </w:pPr>
            <w:r w:rsidRPr="00376618">
              <w:rPr>
                <w:sz w:val="17"/>
                <w:szCs w:val="17"/>
              </w:rPr>
              <w:t>Liquidity, dollarization, collateral, and reserve-buffer indicators</w:t>
            </w:r>
          </w:p>
        </w:tc>
      </w:tr>
      <w:tr w:rsidR="00302C3E" w:rsidRPr="00376618" w14:paraId="147E925D" w14:textId="77777777" w:rsidTr="00376618">
        <w:trPr>
          <w:jc w:val="center"/>
        </w:trPr>
        <w:tc>
          <w:tcPr>
            <w:tcW w:w="808" w:type="pct"/>
            <w:tcMar>
              <w:top w:w="50" w:type="dxa"/>
              <w:left w:w="70" w:type="dxa"/>
              <w:bottom w:w="50" w:type="dxa"/>
              <w:right w:w="70" w:type="dxa"/>
            </w:tcMar>
            <w:vAlign w:val="center"/>
          </w:tcPr>
          <w:p w14:paraId="646E0294" w14:textId="77777777" w:rsidR="00302C3E" w:rsidRPr="00376618" w:rsidRDefault="00000000">
            <w:pPr>
              <w:rPr>
                <w:sz w:val="17"/>
                <w:szCs w:val="17"/>
              </w:rPr>
            </w:pPr>
            <w:r w:rsidRPr="00376618">
              <w:rPr>
                <w:sz w:val="17"/>
                <w:szCs w:val="17"/>
              </w:rPr>
              <w:lastRenderedPageBreak/>
              <w:t>Bank-specific extension</w:t>
            </w:r>
          </w:p>
        </w:tc>
        <w:tc>
          <w:tcPr>
            <w:tcW w:w="2193" w:type="pct"/>
            <w:tcMar>
              <w:top w:w="50" w:type="dxa"/>
              <w:left w:w="70" w:type="dxa"/>
              <w:bottom w:w="50" w:type="dxa"/>
              <w:right w:w="70" w:type="dxa"/>
            </w:tcMar>
            <w:vAlign w:val="center"/>
          </w:tcPr>
          <w:p w14:paraId="6B65D65C" w14:textId="77777777" w:rsidR="00302C3E" w:rsidRPr="00376618" w:rsidRDefault="00000000">
            <w:pPr>
              <w:rPr>
                <w:sz w:val="17"/>
                <w:szCs w:val="17"/>
              </w:rPr>
            </w:pPr>
            <w:r w:rsidRPr="00376618">
              <w:rPr>
                <w:sz w:val="17"/>
                <w:szCs w:val="17"/>
              </w:rPr>
              <w:t>Garanti BBVA unconsolidated financial statements, 1Q25-1Q26</w:t>
            </w:r>
          </w:p>
        </w:tc>
        <w:tc>
          <w:tcPr>
            <w:tcW w:w="1999" w:type="pct"/>
            <w:tcMar>
              <w:top w:w="50" w:type="dxa"/>
              <w:left w:w="70" w:type="dxa"/>
              <w:bottom w:w="50" w:type="dxa"/>
              <w:right w:w="70" w:type="dxa"/>
            </w:tcMar>
            <w:vAlign w:val="center"/>
          </w:tcPr>
          <w:p w14:paraId="3CDD6528" w14:textId="77777777" w:rsidR="00302C3E" w:rsidRPr="00376618" w:rsidRDefault="00000000">
            <w:pPr>
              <w:rPr>
                <w:sz w:val="17"/>
                <w:szCs w:val="17"/>
              </w:rPr>
            </w:pPr>
            <w:r w:rsidRPr="00376618">
              <w:rPr>
                <w:sz w:val="17"/>
                <w:szCs w:val="17"/>
              </w:rPr>
              <w:t>Public-data-calibrated ALM proxy analysis</w:t>
            </w:r>
          </w:p>
        </w:tc>
      </w:tr>
    </w:tbl>
    <w:p w14:paraId="56C1C3AA" w14:textId="77777777" w:rsidR="00302C3E" w:rsidRPr="00376618" w:rsidRDefault="00000000" w:rsidP="00787AF0">
      <w:pPr>
        <w:pStyle w:val="Balk1"/>
        <w:rPr>
          <w:sz w:val="24"/>
          <w:szCs w:val="24"/>
        </w:rPr>
      </w:pPr>
      <w:r w:rsidRPr="00376618">
        <w:rPr>
          <w:rFonts w:ascii="Garamond" w:eastAsia="Garamond" w:hAnsi="Garamond"/>
          <w:sz w:val="24"/>
          <w:szCs w:val="24"/>
        </w:rPr>
        <w:t>3. TL Funding Conditions</w:t>
      </w:r>
    </w:p>
    <w:p w14:paraId="627C2E57" w14:textId="77777777" w:rsidR="00302C3E" w:rsidRPr="00787AF0" w:rsidRDefault="00000000">
      <w:pPr>
        <w:spacing w:after="100" w:line="252" w:lineRule="auto"/>
        <w:rPr>
          <w:sz w:val="20"/>
          <w:szCs w:val="20"/>
        </w:rPr>
      </w:pPr>
      <w:r w:rsidRPr="00787AF0">
        <w:rPr>
          <w:sz w:val="20"/>
          <w:szCs w:val="20"/>
        </w:rPr>
        <w:t>The first treasury question is whether short-term market funding is aligned with the policy anchor. TLREF above the policy rate signals tighter overnight funding conditions and can pressure banks and corporates that rely on short-dated TL liquidity.</w:t>
      </w:r>
    </w:p>
    <w:p w14:paraId="510ABAC9" w14:textId="77777777" w:rsidR="00302C3E" w:rsidRDefault="00000000">
      <w:pPr>
        <w:spacing w:after="100" w:line="252" w:lineRule="auto"/>
        <w:jc w:val="center"/>
      </w:pPr>
      <w:r>
        <w:rPr>
          <w:noProof/>
        </w:rPr>
        <w:drawing>
          <wp:inline distT="0" distB="0" distL="0" distR="0" wp14:anchorId="2A8645D5" wp14:editId="332D3D9B">
            <wp:extent cx="3985617" cy="26460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olicy_tlref_spread.png"/>
                    <pic:cNvPicPr/>
                  </pic:nvPicPr>
                  <pic:blipFill>
                    <a:blip r:embed="rId8"/>
                    <a:stretch>
                      <a:fillRect/>
                    </a:stretch>
                  </pic:blipFill>
                  <pic:spPr>
                    <a:xfrm>
                      <a:off x="0" y="0"/>
                      <a:ext cx="3985617" cy="2646000"/>
                    </a:xfrm>
                    <a:prstGeom prst="rect">
                      <a:avLst/>
                    </a:prstGeom>
                  </pic:spPr>
                </pic:pic>
              </a:graphicData>
            </a:graphic>
          </wp:inline>
        </w:drawing>
      </w:r>
    </w:p>
    <w:p w14:paraId="23ACA28A" w14:textId="5B2EA2CB" w:rsidR="00302C3E" w:rsidRPr="00376618" w:rsidRDefault="00000000">
      <w:pPr>
        <w:spacing w:after="100" w:line="252" w:lineRule="auto"/>
        <w:jc w:val="center"/>
        <w:rPr>
          <w:sz w:val="18"/>
          <w:szCs w:val="18"/>
        </w:rPr>
      </w:pPr>
      <w:r w:rsidRPr="00376618">
        <w:rPr>
          <w:b/>
          <w:sz w:val="18"/>
          <w:szCs w:val="18"/>
        </w:rPr>
        <w:t xml:space="preserve">Figure </w:t>
      </w:r>
      <w:r w:rsidR="00376618">
        <w:rPr>
          <w:b/>
          <w:sz w:val="18"/>
          <w:szCs w:val="18"/>
        </w:rPr>
        <w:t>1</w:t>
      </w:r>
      <w:r w:rsidRPr="00376618">
        <w:rPr>
          <w:b/>
          <w:sz w:val="18"/>
          <w:szCs w:val="18"/>
        </w:rPr>
        <w:t>. TL funding conditions: policy rate, TLREF, and spread.</w:t>
      </w:r>
    </w:p>
    <w:p w14:paraId="30E442BA" w14:textId="77777777" w:rsidR="00302C3E" w:rsidRPr="00787AF0" w:rsidRDefault="00000000">
      <w:pPr>
        <w:spacing w:after="100" w:line="252" w:lineRule="auto"/>
        <w:rPr>
          <w:sz w:val="20"/>
          <w:szCs w:val="20"/>
        </w:rPr>
      </w:pPr>
      <w:r w:rsidRPr="00787AF0">
        <w:rPr>
          <w:sz w:val="20"/>
          <w:szCs w:val="20"/>
        </w:rPr>
        <w:t>As of 15 May 2026, TLREF stood at 39.99%, compared with a policy rate of 37.00%, implying a 2.99 percentage-point spread. For treasury monitoring, this spread is more informative than the policy rate alone because it captures the actual short-term funding environment.</w:t>
      </w:r>
    </w:p>
    <w:p w14:paraId="3FE0B50F" w14:textId="77777777" w:rsidR="00302C3E" w:rsidRPr="00376618" w:rsidRDefault="00000000" w:rsidP="00787AF0">
      <w:pPr>
        <w:pStyle w:val="Balk1"/>
        <w:spacing w:before="0"/>
        <w:rPr>
          <w:sz w:val="24"/>
          <w:szCs w:val="24"/>
        </w:rPr>
      </w:pPr>
      <w:r w:rsidRPr="00376618">
        <w:rPr>
          <w:rFonts w:ascii="Garamond" w:eastAsia="Garamond" w:hAnsi="Garamond"/>
          <w:sz w:val="24"/>
          <w:szCs w:val="24"/>
        </w:rPr>
        <w:t>4. FX and Gold Liquidity Watch</w:t>
      </w:r>
    </w:p>
    <w:p w14:paraId="2A8ED1F9" w14:textId="77777777" w:rsidR="00302C3E" w:rsidRPr="00787AF0" w:rsidRDefault="00000000">
      <w:pPr>
        <w:spacing w:after="100" w:line="252" w:lineRule="auto"/>
        <w:rPr>
          <w:sz w:val="20"/>
          <w:szCs w:val="20"/>
        </w:rPr>
      </w:pPr>
      <w:r w:rsidRPr="00787AF0">
        <w:rPr>
          <w:sz w:val="20"/>
          <w:szCs w:val="20"/>
        </w:rPr>
        <w:t>FX and gold indicators matter for Turkish treasury teams because they affect collateral values, customer dollarization behavior, foreign-currency (FC) liquidity planning, precious-metal liquidity, and hedge requirements. The indexed chart is designed to show direction and relative pressure rather than forecast exchange rates.</w:t>
      </w:r>
    </w:p>
    <w:p w14:paraId="441A08E9" w14:textId="77777777" w:rsidR="00302C3E" w:rsidRDefault="00000000">
      <w:pPr>
        <w:spacing w:after="100" w:line="252" w:lineRule="auto"/>
        <w:jc w:val="center"/>
      </w:pPr>
      <w:r>
        <w:rPr>
          <w:noProof/>
        </w:rPr>
        <w:drawing>
          <wp:inline distT="0" distB="0" distL="0" distR="0" wp14:anchorId="1C1CB4BD" wp14:editId="02D1C194">
            <wp:extent cx="3994101" cy="208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fx_gold_indexed.png"/>
                    <pic:cNvPicPr/>
                  </pic:nvPicPr>
                  <pic:blipFill>
                    <a:blip r:embed="rId9"/>
                    <a:stretch>
                      <a:fillRect/>
                    </a:stretch>
                  </pic:blipFill>
                  <pic:spPr>
                    <a:xfrm>
                      <a:off x="0" y="0"/>
                      <a:ext cx="3994101" cy="2088000"/>
                    </a:xfrm>
                    <a:prstGeom prst="rect">
                      <a:avLst/>
                    </a:prstGeom>
                  </pic:spPr>
                </pic:pic>
              </a:graphicData>
            </a:graphic>
          </wp:inline>
        </w:drawing>
      </w:r>
    </w:p>
    <w:p w14:paraId="35D4A91D" w14:textId="4CB4A81B" w:rsidR="00302C3E" w:rsidRPr="00376618" w:rsidRDefault="00000000">
      <w:pPr>
        <w:spacing w:after="100" w:line="252" w:lineRule="auto"/>
        <w:jc w:val="center"/>
        <w:rPr>
          <w:sz w:val="18"/>
          <w:szCs w:val="18"/>
        </w:rPr>
      </w:pPr>
      <w:r w:rsidRPr="00376618">
        <w:rPr>
          <w:b/>
          <w:sz w:val="18"/>
          <w:szCs w:val="18"/>
        </w:rPr>
        <w:t xml:space="preserve">Figure </w:t>
      </w:r>
      <w:r w:rsidR="00376618">
        <w:rPr>
          <w:b/>
          <w:sz w:val="18"/>
          <w:szCs w:val="18"/>
        </w:rPr>
        <w:t>2</w:t>
      </w:r>
      <w:r w:rsidRPr="00376618">
        <w:rPr>
          <w:b/>
          <w:sz w:val="18"/>
          <w:szCs w:val="18"/>
        </w:rPr>
        <w:t>. FX and gold liquidity watch: indexed USD/TRY, EUR/TRY, and gram gold.</w:t>
      </w:r>
    </w:p>
    <w:p w14:paraId="3A68888A" w14:textId="77777777" w:rsidR="00302C3E" w:rsidRPr="00376618" w:rsidRDefault="00000000" w:rsidP="00787AF0">
      <w:pPr>
        <w:pStyle w:val="Balk1"/>
        <w:spacing w:before="0"/>
        <w:rPr>
          <w:sz w:val="24"/>
          <w:szCs w:val="24"/>
        </w:rPr>
      </w:pPr>
      <w:r w:rsidRPr="00376618">
        <w:rPr>
          <w:rFonts w:ascii="Garamond" w:eastAsia="Garamond" w:hAnsi="Garamond"/>
          <w:sz w:val="24"/>
          <w:szCs w:val="24"/>
        </w:rPr>
        <w:t>5. Inflation, Real Rates, and Yield Curve</w:t>
      </w:r>
    </w:p>
    <w:p w14:paraId="574AE927" w14:textId="0EF70615" w:rsidR="00302C3E" w:rsidRPr="00787AF0" w:rsidRDefault="00000000">
      <w:pPr>
        <w:spacing w:after="100" w:line="252" w:lineRule="auto"/>
        <w:rPr>
          <w:sz w:val="20"/>
          <w:szCs w:val="20"/>
        </w:rPr>
      </w:pPr>
      <w:r w:rsidRPr="00787AF0">
        <w:rPr>
          <w:sz w:val="20"/>
          <w:szCs w:val="20"/>
        </w:rPr>
        <w:t xml:space="preserve">Nominal funding costs should be interpreted </w:t>
      </w:r>
      <w:proofErr w:type="gramStart"/>
      <w:r w:rsidR="00787AF0">
        <w:rPr>
          <w:sz w:val="20"/>
          <w:szCs w:val="20"/>
        </w:rPr>
        <w:t>in light of</w:t>
      </w:r>
      <w:proofErr w:type="gramEnd"/>
      <w:r w:rsidRPr="00787AF0">
        <w:rPr>
          <w:sz w:val="20"/>
          <w:szCs w:val="20"/>
        </w:rPr>
        <w:t xml:space="preserve"> inflation. A positive real policy-rate proxy supports </w:t>
      </w:r>
      <w:r w:rsidR="00787AF0">
        <w:rPr>
          <w:sz w:val="20"/>
          <w:szCs w:val="20"/>
        </w:rPr>
        <w:t>the attractiveness of TL asset</w:t>
      </w:r>
      <w:r w:rsidRPr="00787AF0">
        <w:rPr>
          <w:sz w:val="20"/>
          <w:szCs w:val="20"/>
        </w:rPr>
        <w:t>s and deposit li</w:t>
      </w:r>
      <w:r w:rsidR="00787AF0">
        <w:rPr>
          <w:sz w:val="20"/>
          <w:szCs w:val="20"/>
        </w:rPr>
        <w:t>beral</w:t>
      </w:r>
      <w:r w:rsidRPr="00787AF0">
        <w:rPr>
          <w:sz w:val="20"/>
          <w:szCs w:val="20"/>
        </w:rPr>
        <w:t>ization, while a negative or declining proxy can weaken the TL funding base.</w:t>
      </w:r>
    </w:p>
    <w:p w14:paraId="6FDF60E5" w14:textId="77777777" w:rsidR="00302C3E" w:rsidRDefault="00000000">
      <w:pPr>
        <w:spacing w:after="100" w:line="252" w:lineRule="auto"/>
        <w:jc w:val="center"/>
      </w:pPr>
      <w:r>
        <w:rPr>
          <w:noProof/>
        </w:rPr>
        <w:lastRenderedPageBreak/>
        <w:drawing>
          <wp:inline distT="0" distB="0" distL="0" distR="0" wp14:anchorId="2041C744" wp14:editId="118D5BD6">
            <wp:extent cx="3985617" cy="26460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inflation_real_rate.png"/>
                    <pic:cNvPicPr/>
                  </pic:nvPicPr>
                  <pic:blipFill>
                    <a:blip r:embed="rId10"/>
                    <a:stretch>
                      <a:fillRect/>
                    </a:stretch>
                  </pic:blipFill>
                  <pic:spPr>
                    <a:xfrm>
                      <a:off x="0" y="0"/>
                      <a:ext cx="3985617" cy="2646000"/>
                    </a:xfrm>
                    <a:prstGeom prst="rect">
                      <a:avLst/>
                    </a:prstGeom>
                  </pic:spPr>
                </pic:pic>
              </a:graphicData>
            </a:graphic>
          </wp:inline>
        </w:drawing>
      </w:r>
    </w:p>
    <w:p w14:paraId="67952853" w14:textId="674BA6C3" w:rsidR="00302C3E" w:rsidRPr="00376618" w:rsidRDefault="00000000">
      <w:pPr>
        <w:spacing w:after="100" w:line="252" w:lineRule="auto"/>
        <w:jc w:val="center"/>
        <w:rPr>
          <w:sz w:val="18"/>
          <w:szCs w:val="18"/>
        </w:rPr>
      </w:pPr>
      <w:r w:rsidRPr="00376618">
        <w:rPr>
          <w:b/>
          <w:sz w:val="18"/>
          <w:szCs w:val="18"/>
        </w:rPr>
        <w:t xml:space="preserve">Figure </w:t>
      </w:r>
      <w:r w:rsidR="00376618">
        <w:rPr>
          <w:b/>
          <w:sz w:val="18"/>
          <w:szCs w:val="18"/>
        </w:rPr>
        <w:t>3</w:t>
      </w:r>
      <w:r w:rsidRPr="00376618">
        <w:rPr>
          <w:b/>
          <w:sz w:val="18"/>
          <w:szCs w:val="18"/>
        </w:rPr>
        <w:t>. Inflation and real rate conditions.</w:t>
      </w:r>
    </w:p>
    <w:p w14:paraId="6038F103" w14:textId="77777777" w:rsidR="00302C3E" w:rsidRPr="00787AF0" w:rsidRDefault="00000000">
      <w:pPr>
        <w:spacing w:after="100" w:line="252" w:lineRule="auto"/>
        <w:rPr>
          <w:sz w:val="20"/>
          <w:szCs w:val="20"/>
        </w:rPr>
      </w:pPr>
      <w:r w:rsidRPr="00787AF0">
        <w:rPr>
          <w:sz w:val="20"/>
          <w:szCs w:val="20"/>
        </w:rPr>
        <w:t>The yield-curve panel adds the market-rate dimension to the policy-rate story. Inverted curves and high short-end yields are relevant for securities valuation, duration management, reinvestment decisions, and the funding cost of longer-tenor liabilities.</w:t>
      </w:r>
    </w:p>
    <w:p w14:paraId="0382D969" w14:textId="77777777" w:rsidR="00302C3E" w:rsidRDefault="00000000">
      <w:pPr>
        <w:spacing w:after="100" w:line="252" w:lineRule="auto"/>
        <w:jc w:val="center"/>
      </w:pPr>
      <w:r>
        <w:rPr>
          <w:noProof/>
        </w:rPr>
        <w:drawing>
          <wp:inline distT="0" distB="0" distL="0" distR="0" wp14:anchorId="391C97B9" wp14:editId="734E1D97">
            <wp:extent cx="3985617" cy="26460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yield_curve_slope.png"/>
                    <pic:cNvPicPr/>
                  </pic:nvPicPr>
                  <pic:blipFill>
                    <a:blip r:embed="rId11"/>
                    <a:stretch>
                      <a:fillRect/>
                    </a:stretch>
                  </pic:blipFill>
                  <pic:spPr>
                    <a:xfrm>
                      <a:off x="0" y="0"/>
                      <a:ext cx="3985617" cy="2646000"/>
                    </a:xfrm>
                    <a:prstGeom prst="rect">
                      <a:avLst/>
                    </a:prstGeom>
                  </pic:spPr>
                </pic:pic>
              </a:graphicData>
            </a:graphic>
          </wp:inline>
        </w:drawing>
      </w:r>
    </w:p>
    <w:p w14:paraId="4DDB320A" w14:textId="0B4A489F" w:rsidR="00302C3E" w:rsidRPr="00376618" w:rsidRDefault="00000000">
      <w:pPr>
        <w:spacing w:after="100" w:line="252" w:lineRule="auto"/>
        <w:jc w:val="center"/>
        <w:rPr>
          <w:sz w:val="18"/>
          <w:szCs w:val="18"/>
        </w:rPr>
      </w:pPr>
      <w:r w:rsidRPr="00376618">
        <w:rPr>
          <w:b/>
          <w:sz w:val="18"/>
          <w:szCs w:val="18"/>
        </w:rPr>
        <w:t xml:space="preserve">Figure </w:t>
      </w:r>
      <w:r w:rsidR="00376618">
        <w:rPr>
          <w:b/>
          <w:sz w:val="18"/>
          <w:szCs w:val="18"/>
        </w:rPr>
        <w:t>4</w:t>
      </w:r>
      <w:r w:rsidRPr="00376618">
        <w:rPr>
          <w:b/>
          <w:sz w:val="18"/>
          <w:szCs w:val="18"/>
        </w:rPr>
        <w:t>. Yield curve and interest-rate risk: 2Y/5Y/10Y yields and 10Y-2Y slope.</w:t>
      </w:r>
    </w:p>
    <w:p w14:paraId="6D1B7981" w14:textId="77777777" w:rsidR="00302C3E" w:rsidRPr="00376618" w:rsidRDefault="00000000" w:rsidP="00787AF0">
      <w:pPr>
        <w:pStyle w:val="Balk1"/>
        <w:spacing w:before="0"/>
        <w:rPr>
          <w:sz w:val="24"/>
          <w:szCs w:val="24"/>
        </w:rPr>
      </w:pPr>
      <w:r w:rsidRPr="00376618">
        <w:rPr>
          <w:rFonts w:ascii="Garamond" w:eastAsia="Garamond" w:hAnsi="Garamond"/>
          <w:sz w:val="24"/>
          <w:szCs w:val="24"/>
        </w:rPr>
        <w:t>6. Banking-Sector Liquidity Conditions</w:t>
      </w:r>
    </w:p>
    <w:p w14:paraId="52113BD4" w14:textId="7D70BC0C" w:rsidR="00302C3E" w:rsidRPr="00787AF0" w:rsidRDefault="00000000">
      <w:pPr>
        <w:spacing w:after="100" w:line="252" w:lineRule="auto"/>
        <w:rPr>
          <w:sz w:val="20"/>
          <w:szCs w:val="20"/>
        </w:rPr>
      </w:pPr>
      <w:r w:rsidRPr="00787AF0">
        <w:rPr>
          <w:sz w:val="20"/>
          <w:szCs w:val="20"/>
        </w:rPr>
        <w:t xml:space="preserve">The banking-sector block connects market rates to balance-sheet behavior. The loan/deposit ratio is a simple but useful </w:t>
      </w:r>
      <w:r w:rsidR="00787AF0">
        <w:rPr>
          <w:sz w:val="20"/>
          <w:szCs w:val="20"/>
        </w:rPr>
        <w:t>proxy for funding balance: a rising ratio may indicate stronger credit extension relative to deposit funding, while a lower ratio suggests greater</w:t>
      </w:r>
      <w:r w:rsidRPr="00787AF0">
        <w:rPr>
          <w:sz w:val="20"/>
          <w:szCs w:val="20"/>
        </w:rPr>
        <w:t xml:space="preserve"> deposit-funded balance-sheet capacity.</w:t>
      </w:r>
    </w:p>
    <w:p w14:paraId="7A31187E" w14:textId="77777777" w:rsidR="00302C3E" w:rsidRDefault="00000000">
      <w:pPr>
        <w:spacing w:after="100" w:line="252" w:lineRule="auto"/>
        <w:jc w:val="center"/>
      </w:pPr>
      <w:r>
        <w:rPr>
          <w:noProof/>
        </w:rPr>
        <w:lastRenderedPageBreak/>
        <w:drawing>
          <wp:inline distT="0" distB="0" distL="0" distR="0" wp14:anchorId="190A655D" wp14:editId="5D4B2688">
            <wp:extent cx="3985617" cy="26460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loans_deposits_ratio.png"/>
                    <pic:cNvPicPr/>
                  </pic:nvPicPr>
                  <pic:blipFill>
                    <a:blip r:embed="rId12"/>
                    <a:stretch>
                      <a:fillRect/>
                    </a:stretch>
                  </pic:blipFill>
                  <pic:spPr>
                    <a:xfrm>
                      <a:off x="0" y="0"/>
                      <a:ext cx="3985617" cy="2646000"/>
                    </a:xfrm>
                    <a:prstGeom prst="rect">
                      <a:avLst/>
                    </a:prstGeom>
                  </pic:spPr>
                </pic:pic>
              </a:graphicData>
            </a:graphic>
          </wp:inline>
        </w:drawing>
      </w:r>
    </w:p>
    <w:p w14:paraId="488589DE" w14:textId="4F780D7D" w:rsidR="00302C3E" w:rsidRPr="00376618" w:rsidRDefault="00000000">
      <w:pPr>
        <w:spacing w:after="100" w:line="252" w:lineRule="auto"/>
        <w:jc w:val="center"/>
        <w:rPr>
          <w:sz w:val="18"/>
          <w:szCs w:val="18"/>
        </w:rPr>
      </w:pPr>
      <w:r w:rsidRPr="00376618">
        <w:rPr>
          <w:b/>
          <w:sz w:val="18"/>
          <w:szCs w:val="18"/>
        </w:rPr>
        <w:t xml:space="preserve">Figure </w:t>
      </w:r>
      <w:r w:rsidR="00376618">
        <w:rPr>
          <w:b/>
          <w:sz w:val="18"/>
          <w:szCs w:val="18"/>
        </w:rPr>
        <w:t>5</w:t>
      </w:r>
      <w:r w:rsidRPr="00376618">
        <w:rPr>
          <w:b/>
          <w:sz w:val="18"/>
          <w:szCs w:val="18"/>
        </w:rPr>
        <w:t>. Banking-sector liquidity: loans, deposits, and loan/deposit ratio.</w:t>
      </w:r>
    </w:p>
    <w:p w14:paraId="4606D94C" w14:textId="77777777" w:rsidR="00302C3E" w:rsidRPr="00787AF0" w:rsidRDefault="00000000">
      <w:pPr>
        <w:spacing w:after="100" w:line="252" w:lineRule="auto"/>
        <w:rPr>
          <w:sz w:val="20"/>
          <w:szCs w:val="20"/>
        </w:rPr>
      </w:pPr>
      <w:r w:rsidRPr="00787AF0">
        <w:rPr>
          <w:sz w:val="20"/>
          <w:szCs w:val="20"/>
        </w:rPr>
        <w:t>Deposit composition is equally important. FX deposit share captures dollarization and FC funding behavior, while KKM share tracks the legacy stock of FX-protected TL deposits and the transition toward standard TL deposits.</w:t>
      </w:r>
    </w:p>
    <w:p w14:paraId="0FCB15AC" w14:textId="77777777" w:rsidR="00302C3E" w:rsidRDefault="00000000">
      <w:pPr>
        <w:spacing w:after="100" w:line="252" w:lineRule="auto"/>
        <w:jc w:val="center"/>
      </w:pPr>
      <w:r>
        <w:rPr>
          <w:noProof/>
        </w:rPr>
        <w:drawing>
          <wp:inline distT="0" distB="0" distL="0" distR="0" wp14:anchorId="1AE3C6AB" wp14:editId="3FC119CC">
            <wp:extent cx="3994101" cy="208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fxdep_kkm.png"/>
                    <pic:cNvPicPr/>
                  </pic:nvPicPr>
                  <pic:blipFill>
                    <a:blip r:embed="rId13"/>
                    <a:stretch>
                      <a:fillRect/>
                    </a:stretch>
                  </pic:blipFill>
                  <pic:spPr>
                    <a:xfrm>
                      <a:off x="0" y="0"/>
                      <a:ext cx="3994101" cy="2088000"/>
                    </a:xfrm>
                    <a:prstGeom prst="rect">
                      <a:avLst/>
                    </a:prstGeom>
                  </pic:spPr>
                </pic:pic>
              </a:graphicData>
            </a:graphic>
          </wp:inline>
        </w:drawing>
      </w:r>
    </w:p>
    <w:p w14:paraId="7D0B31E3" w14:textId="5EB4087E" w:rsidR="00302C3E" w:rsidRPr="00376618" w:rsidRDefault="00000000">
      <w:pPr>
        <w:spacing w:after="100" w:line="252" w:lineRule="auto"/>
        <w:jc w:val="center"/>
        <w:rPr>
          <w:sz w:val="18"/>
          <w:szCs w:val="18"/>
        </w:rPr>
      </w:pPr>
      <w:r w:rsidRPr="00376618">
        <w:rPr>
          <w:b/>
          <w:sz w:val="18"/>
          <w:szCs w:val="18"/>
        </w:rPr>
        <w:t xml:space="preserve">Figure </w:t>
      </w:r>
      <w:r w:rsidR="00376618">
        <w:rPr>
          <w:b/>
          <w:sz w:val="18"/>
          <w:szCs w:val="18"/>
        </w:rPr>
        <w:t>6</w:t>
      </w:r>
      <w:r w:rsidRPr="00376618">
        <w:rPr>
          <w:b/>
          <w:sz w:val="18"/>
          <w:szCs w:val="18"/>
        </w:rPr>
        <w:t>. Deposit structure: FX deposit share and KKM share.</w:t>
      </w:r>
    </w:p>
    <w:p w14:paraId="3185B977" w14:textId="77777777" w:rsidR="00302C3E" w:rsidRPr="00376618" w:rsidRDefault="00000000" w:rsidP="00787AF0">
      <w:pPr>
        <w:pStyle w:val="Balk1"/>
        <w:spacing w:before="0"/>
        <w:rPr>
          <w:sz w:val="24"/>
          <w:szCs w:val="24"/>
        </w:rPr>
      </w:pPr>
      <w:r w:rsidRPr="00376618">
        <w:rPr>
          <w:rFonts w:ascii="Garamond" w:eastAsia="Garamond" w:hAnsi="Garamond"/>
          <w:sz w:val="24"/>
          <w:szCs w:val="24"/>
        </w:rPr>
        <w:t>7. Composite Treasury Liquidity Stress Score</w:t>
      </w:r>
    </w:p>
    <w:p w14:paraId="7228E890" w14:textId="77777777" w:rsidR="00302C3E" w:rsidRPr="00787AF0" w:rsidRDefault="00000000">
      <w:pPr>
        <w:spacing w:after="100" w:line="252" w:lineRule="auto"/>
        <w:rPr>
          <w:sz w:val="20"/>
          <w:szCs w:val="20"/>
        </w:rPr>
      </w:pPr>
      <w:r w:rsidRPr="00787AF0">
        <w:rPr>
          <w:sz w:val="20"/>
          <w:szCs w:val="20"/>
        </w:rPr>
        <w:t>To turn the dashboard into a management signal, the project builds a composite liquidity stress score. The score combines funding pressure, FX/gold volatility, curve inversion pressure, banking liquidity dynamics, FX deposit behavior, and reserve-buffer changes. The score is normalized to a 0-100 scale and labelled as Low, Moderate, Elevated, or High.</w:t>
      </w:r>
    </w:p>
    <w:p w14:paraId="266ED074" w14:textId="77777777" w:rsidR="00302C3E" w:rsidRDefault="00000000">
      <w:pPr>
        <w:spacing w:after="100" w:line="252" w:lineRule="auto"/>
        <w:jc w:val="center"/>
      </w:pPr>
      <w:r>
        <w:rPr>
          <w:noProof/>
        </w:rPr>
        <w:drawing>
          <wp:inline distT="0" distB="0" distL="0" distR="0" wp14:anchorId="2804A0A7" wp14:editId="21F612E4">
            <wp:extent cx="3994101" cy="208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stress_score.png"/>
                    <pic:cNvPicPr/>
                  </pic:nvPicPr>
                  <pic:blipFill>
                    <a:blip r:embed="rId14"/>
                    <a:stretch>
                      <a:fillRect/>
                    </a:stretch>
                  </pic:blipFill>
                  <pic:spPr>
                    <a:xfrm>
                      <a:off x="0" y="0"/>
                      <a:ext cx="3994101" cy="2088000"/>
                    </a:xfrm>
                    <a:prstGeom prst="rect">
                      <a:avLst/>
                    </a:prstGeom>
                  </pic:spPr>
                </pic:pic>
              </a:graphicData>
            </a:graphic>
          </wp:inline>
        </w:drawing>
      </w:r>
    </w:p>
    <w:p w14:paraId="1BE08C1F" w14:textId="0A208FDF" w:rsidR="00302C3E" w:rsidRPr="00376618" w:rsidRDefault="00000000" w:rsidP="00376618">
      <w:pPr>
        <w:spacing w:after="100" w:line="252" w:lineRule="auto"/>
        <w:jc w:val="center"/>
        <w:rPr>
          <w:sz w:val="18"/>
          <w:szCs w:val="18"/>
        </w:rPr>
      </w:pPr>
      <w:r w:rsidRPr="00376618">
        <w:rPr>
          <w:b/>
          <w:sz w:val="18"/>
          <w:szCs w:val="18"/>
        </w:rPr>
        <w:t xml:space="preserve">Figure </w:t>
      </w:r>
      <w:r w:rsidR="00376618">
        <w:rPr>
          <w:b/>
          <w:sz w:val="18"/>
          <w:szCs w:val="18"/>
        </w:rPr>
        <w:t>7</w:t>
      </w:r>
      <w:r w:rsidRPr="00376618">
        <w:rPr>
          <w:b/>
          <w:sz w:val="18"/>
          <w:szCs w:val="18"/>
        </w:rPr>
        <w:t>. Composite treasury liquidity stress score.</w:t>
      </w:r>
    </w:p>
    <w:tbl>
      <w:tblPr>
        <w:tblStyle w:val="TabloKlavuzu"/>
        <w:tblW w:w="5000" w:type="pct"/>
        <w:jc w:val="center"/>
        <w:tblLook w:val="04A0" w:firstRow="1" w:lastRow="0" w:firstColumn="1" w:lastColumn="0" w:noHBand="0" w:noVBand="1"/>
      </w:tblPr>
      <w:tblGrid>
        <w:gridCol w:w="2276"/>
        <w:gridCol w:w="1446"/>
        <w:gridCol w:w="2179"/>
        <w:gridCol w:w="4309"/>
      </w:tblGrid>
      <w:tr w:rsidR="00302C3E" w14:paraId="68393F9D" w14:textId="77777777" w:rsidTr="00376618">
        <w:trPr>
          <w:jc w:val="center"/>
        </w:trPr>
        <w:tc>
          <w:tcPr>
            <w:tcW w:w="1115" w:type="pct"/>
            <w:shd w:val="clear" w:color="auto" w:fill="D9EAF7"/>
            <w:vAlign w:val="center"/>
          </w:tcPr>
          <w:p w14:paraId="106C3989" w14:textId="77777777" w:rsidR="00302C3E" w:rsidRDefault="00000000">
            <w:r>
              <w:rPr>
                <w:b/>
                <w:color w:val="000000"/>
                <w:sz w:val="17"/>
              </w:rPr>
              <w:lastRenderedPageBreak/>
              <w:t>Component</w:t>
            </w:r>
          </w:p>
        </w:tc>
        <w:tc>
          <w:tcPr>
            <w:tcW w:w="708" w:type="pct"/>
            <w:shd w:val="clear" w:color="auto" w:fill="D9EAF7"/>
            <w:vAlign w:val="center"/>
          </w:tcPr>
          <w:p w14:paraId="22E8000F" w14:textId="77777777" w:rsidR="00302C3E" w:rsidRDefault="00000000">
            <w:r>
              <w:rPr>
                <w:b/>
                <w:color w:val="000000"/>
                <w:sz w:val="17"/>
              </w:rPr>
              <w:t>Latest raw input</w:t>
            </w:r>
          </w:p>
        </w:tc>
        <w:tc>
          <w:tcPr>
            <w:tcW w:w="1067" w:type="pct"/>
            <w:shd w:val="clear" w:color="auto" w:fill="D9EAF7"/>
            <w:vAlign w:val="center"/>
          </w:tcPr>
          <w:p w14:paraId="3956F746" w14:textId="77777777" w:rsidR="00302C3E" w:rsidRDefault="00000000">
            <w:r>
              <w:rPr>
                <w:b/>
                <w:color w:val="000000"/>
                <w:sz w:val="17"/>
              </w:rPr>
              <w:t>Standardized contribution</w:t>
            </w:r>
          </w:p>
        </w:tc>
        <w:tc>
          <w:tcPr>
            <w:tcW w:w="2110" w:type="pct"/>
            <w:shd w:val="clear" w:color="auto" w:fill="D9EAF7"/>
            <w:vAlign w:val="center"/>
          </w:tcPr>
          <w:p w14:paraId="5858F844" w14:textId="77777777" w:rsidR="00302C3E" w:rsidRDefault="00000000">
            <w:r>
              <w:rPr>
                <w:b/>
                <w:color w:val="000000"/>
                <w:sz w:val="17"/>
              </w:rPr>
              <w:t>Stress direction</w:t>
            </w:r>
          </w:p>
        </w:tc>
      </w:tr>
      <w:tr w:rsidR="00302C3E" w14:paraId="3E5FB539" w14:textId="77777777" w:rsidTr="00376618">
        <w:trPr>
          <w:jc w:val="center"/>
        </w:trPr>
        <w:tc>
          <w:tcPr>
            <w:tcW w:w="1115" w:type="pct"/>
            <w:vAlign w:val="center"/>
          </w:tcPr>
          <w:p w14:paraId="774A4DFD" w14:textId="77777777" w:rsidR="00302C3E" w:rsidRDefault="00000000">
            <w:r>
              <w:rPr>
                <w:sz w:val="17"/>
              </w:rPr>
              <w:t>TLREF-policy spread</w:t>
            </w:r>
          </w:p>
        </w:tc>
        <w:tc>
          <w:tcPr>
            <w:tcW w:w="708" w:type="pct"/>
            <w:vAlign w:val="center"/>
          </w:tcPr>
          <w:p w14:paraId="789EC896" w14:textId="77777777" w:rsidR="00302C3E" w:rsidRDefault="00000000">
            <w:r>
              <w:rPr>
                <w:sz w:val="17"/>
              </w:rPr>
              <w:t>2.99 pp</w:t>
            </w:r>
          </w:p>
        </w:tc>
        <w:tc>
          <w:tcPr>
            <w:tcW w:w="1067" w:type="pct"/>
            <w:vAlign w:val="center"/>
          </w:tcPr>
          <w:p w14:paraId="7E820F0F" w14:textId="77777777" w:rsidR="00302C3E" w:rsidRDefault="00000000">
            <w:r>
              <w:rPr>
                <w:sz w:val="17"/>
              </w:rPr>
              <w:t>2.16</w:t>
            </w:r>
          </w:p>
        </w:tc>
        <w:tc>
          <w:tcPr>
            <w:tcW w:w="2110" w:type="pct"/>
            <w:vAlign w:val="center"/>
          </w:tcPr>
          <w:p w14:paraId="5E88BA4B" w14:textId="77777777" w:rsidR="00302C3E" w:rsidRDefault="00000000">
            <w:r>
              <w:rPr>
                <w:sz w:val="17"/>
              </w:rPr>
              <w:t>Higher spread increases funding stress</w:t>
            </w:r>
          </w:p>
        </w:tc>
      </w:tr>
      <w:tr w:rsidR="00302C3E" w14:paraId="1E08671C" w14:textId="77777777" w:rsidTr="00376618">
        <w:trPr>
          <w:jc w:val="center"/>
        </w:trPr>
        <w:tc>
          <w:tcPr>
            <w:tcW w:w="1115" w:type="pct"/>
            <w:vAlign w:val="center"/>
          </w:tcPr>
          <w:p w14:paraId="78B82DB6" w14:textId="77777777" w:rsidR="00302C3E" w:rsidRDefault="00000000">
            <w:r>
              <w:rPr>
                <w:sz w:val="17"/>
              </w:rPr>
              <w:t>USD/TRY 12-week volatility</w:t>
            </w:r>
          </w:p>
        </w:tc>
        <w:tc>
          <w:tcPr>
            <w:tcW w:w="708" w:type="pct"/>
            <w:vAlign w:val="center"/>
          </w:tcPr>
          <w:p w14:paraId="4CBE8F6F" w14:textId="77777777" w:rsidR="00302C3E" w:rsidRDefault="00000000">
            <w:r>
              <w:rPr>
                <w:sz w:val="17"/>
              </w:rPr>
              <w:t>0.82%</w:t>
            </w:r>
          </w:p>
        </w:tc>
        <w:tc>
          <w:tcPr>
            <w:tcW w:w="1067" w:type="pct"/>
            <w:vAlign w:val="center"/>
          </w:tcPr>
          <w:p w14:paraId="459179F4" w14:textId="77777777" w:rsidR="00302C3E" w:rsidRDefault="00000000">
            <w:r>
              <w:rPr>
                <w:sz w:val="17"/>
              </w:rPr>
              <w:t>-0.54</w:t>
            </w:r>
          </w:p>
        </w:tc>
        <w:tc>
          <w:tcPr>
            <w:tcW w:w="2110" w:type="pct"/>
            <w:vAlign w:val="center"/>
          </w:tcPr>
          <w:p w14:paraId="79005D4E" w14:textId="77777777" w:rsidR="00302C3E" w:rsidRDefault="00000000">
            <w:r>
              <w:rPr>
                <w:sz w:val="17"/>
              </w:rPr>
              <w:t>Higher volatility increases FX stress</w:t>
            </w:r>
          </w:p>
        </w:tc>
      </w:tr>
      <w:tr w:rsidR="00302C3E" w14:paraId="7E9E5E25" w14:textId="77777777" w:rsidTr="00376618">
        <w:trPr>
          <w:jc w:val="center"/>
        </w:trPr>
        <w:tc>
          <w:tcPr>
            <w:tcW w:w="1115" w:type="pct"/>
            <w:vAlign w:val="center"/>
          </w:tcPr>
          <w:p w14:paraId="436854B2" w14:textId="77777777" w:rsidR="00302C3E" w:rsidRDefault="00000000">
            <w:r>
              <w:rPr>
                <w:sz w:val="17"/>
              </w:rPr>
              <w:t>Gold 12-week volatility</w:t>
            </w:r>
          </w:p>
        </w:tc>
        <w:tc>
          <w:tcPr>
            <w:tcW w:w="708" w:type="pct"/>
            <w:vAlign w:val="center"/>
          </w:tcPr>
          <w:p w14:paraId="1485FAFF" w14:textId="77777777" w:rsidR="00302C3E" w:rsidRDefault="00000000">
            <w:r>
              <w:rPr>
                <w:sz w:val="17"/>
              </w:rPr>
              <w:t>28.77%</w:t>
            </w:r>
          </w:p>
        </w:tc>
        <w:tc>
          <w:tcPr>
            <w:tcW w:w="1067" w:type="pct"/>
            <w:vAlign w:val="center"/>
          </w:tcPr>
          <w:p w14:paraId="72FAC34E" w14:textId="77777777" w:rsidR="00302C3E" w:rsidRDefault="00000000">
            <w:r>
              <w:rPr>
                <w:sz w:val="17"/>
              </w:rPr>
              <w:t>0.42</w:t>
            </w:r>
          </w:p>
        </w:tc>
        <w:tc>
          <w:tcPr>
            <w:tcW w:w="2110" w:type="pct"/>
            <w:vAlign w:val="center"/>
          </w:tcPr>
          <w:p w14:paraId="192369CB" w14:textId="77777777" w:rsidR="00302C3E" w:rsidRDefault="00000000">
            <w:r>
              <w:rPr>
                <w:sz w:val="17"/>
              </w:rPr>
              <w:t>Higher volatility increases gold/precious-metal stress</w:t>
            </w:r>
          </w:p>
        </w:tc>
      </w:tr>
      <w:tr w:rsidR="00302C3E" w14:paraId="01EF6768" w14:textId="77777777" w:rsidTr="00376618">
        <w:trPr>
          <w:jc w:val="center"/>
        </w:trPr>
        <w:tc>
          <w:tcPr>
            <w:tcW w:w="1115" w:type="pct"/>
            <w:vAlign w:val="center"/>
          </w:tcPr>
          <w:p w14:paraId="1C8EA3A2" w14:textId="77777777" w:rsidR="00302C3E" w:rsidRDefault="00000000">
            <w:r>
              <w:rPr>
                <w:sz w:val="17"/>
              </w:rPr>
              <w:t>Curve inversion pressure</w:t>
            </w:r>
          </w:p>
        </w:tc>
        <w:tc>
          <w:tcPr>
            <w:tcW w:w="708" w:type="pct"/>
            <w:vAlign w:val="center"/>
          </w:tcPr>
          <w:p w14:paraId="272850CD" w14:textId="77777777" w:rsidR="00302C3E" w:rsidRDefault="00000000">
            <w:r>
              <w:rPr>
                <w:sz w:val="17"/>
              </w:rPr>
              <w:t>6.69 pp</w:t>
            </w:r>
          </w:p>
        </w:tc>
        <w:tc>
          <w:tcPr>
            <w:tcW w:w="1067" w:type="pct"/>
            <w:vAlign w:val="center"/>
          </w:tcPr>
          <w:p w14:paraId="50B07EDF" w14:textId="77777777" w:rsidR="00302C3E" w:rsidRDefault="00000000">
            <w:r>
              <w:rPr>
                <w:sz w:val="17"/>
              </w:rPr>
              <w:t>0.27</w:t>
            </w:r>
          </w:p>
        </w:tc>
        <w:tc>
          <w:tcPr>
            <w:tcW w:w="2110" w:type="pct"/>
            <w:vAlign w:val="center"/>
          </w:tcPr>
          <w:p w14:paraId="1E0005E8" w14:textId="77777777" w:rsidR="00302C3E" w:rsidRDefault="00000000">
            <w:r>
              <w:rPr>
                <w:sz w:val="17"/>
              </w:rPr>
              <w:t>Deeper inversion increases rate-risk stress</w:t>
            </w:r>
          </w:p>
        </w:tc>
      </w:tr>
      <w:tr w:rsidR="00302C3E" w14:paraId="00FEA9C7" w14:textId="77777777" w:rsidTr="00376618">
        <w:trPr>
          <w:jc w:val="center"/>
        </w:trPr>
        <w:tc>
          <w:tcPr>
            <w:tcW w:w="1115" w:type="pct"/>
            <w:vAlign w:val="center"/>
          </w:tcPr>
          <w:p w14:paraId="585EB741" w14:textId="77777777" w:rsidR="00302C3E" w:rsidRDefault="00000000">
            <w:r>
              <w:rPr>
                <w:sz w:val="17"/>
              </w:rPr>
              <w:t>Loan-deposit growth gap</w:t>
            </w:r>
          </w:p>
        </w:tc>
        <w:tc>
          <w:tcPr>
            <w:tcW w:w="708" w:type="pct"/>
            <w:vAlign w:val="center"/>
          </w:tcPr>
          <w:p w14:paraId="44A9147A" w14:textId="77777777" w:rsidR="00302C3E" w:rsidRDefault="00000000">
            <w:r>
              <w:rPr>
                <w:sz w:val="17"/>
              </w:rPr>
              <w:t>0.00 pp</w:t>
            </w:r>
          </w:p>
        </w:tc>
        <w:tc>
          <w:tcPr>
            <w:tcW w:w="1067" w:type="pct"/>
            <w:vAlign w:val="center"/>
          </w:tcPr>
          <w:p w14:paraId="25837153" w14:textId="77777777" w:rsidR="00302C3E" w:rsidRDefault="00000000">
            <w:r>
              <w:rPr>
                <w:sz w:val="17"/>
              </w:rPr>
              <w:t>0.04</w:t>
            </w:r>
          </w:p>
        </w:tc>
        <w:tc>
          <w:tcPr>
            <w:tcW w:w="2110" w:type="pct"/>
            <w:vAlign w:val="center"/>
          </w:tcPr>
          <w:p w14:paraId="3E9F514C" w14:textId="77777777" w:rsidR="00302C3E" w:rsidRDefault="00000000">
            <w:r>
              <w:rPr>
                <w:sz w:val="17"/>
              </w:rPr>
              <w:t>Loan growth above deposit growth increases liquidity stress</w:t>
            </w:r>
          </w:p>
        </w:tc>
      </w:tr>
      <w:tr w:rsidR="00302C3E" w14:paraId="37F32495" w14:textId="77777777" w:rsidTr="00376618">
        <w:trPr>
          <w:jc w:val="center"/>
        </w:trPr>
        <w:tc>
          <w:tcPr>
            <w:tcW w:w="1115" w:type="pct"/>
            <w:vAlign w:val="center"/>
          </w:tcPr>
          <w:p w14:paraId="44C3F09D" w14:textId="77777777" w:rsidR="00302C3E" w:rsidRDefault="00000000">
            <w:r>
              <w:rPr>
                <w:sz w:val="17"/>
              </w:rPr>
              <w:t>FX deposit share change</w:t>
            </w:r>
          </w:p>
        </w:tc>
        <w:tc>
          <w:tcPr>
            <w:tcW w:w="708" w:type="pct"/>
            <w:vAlign w:val="center"/>
          </w:tcPr>
          <w:p w14:paraId="2BF28F27" w14:textId="77777777" w:rsidR="00302C3E" w:rsidRDefault="00000000">
            <w:r>
              <w:rPr>
                <w:sz w:val="17"/>
              </w:rPr>
              <w:t>0.00 pp</w:t>
            </w:r>
          </w:p>
        </w:tc>
        <w:tc>
          <w:tcPr>
            <w:tcW w:w="1067" w:type="pct"/>
            <w:vAlign w:val="center"/>
          </w:tcPr>
          <w:p w14:paraId="136AA17D" w14:textId="77777777" w:rsidR="00302C3E" w:rsidRDefault="00000000">
            <w:r>
              <w:rPr>
                <w:sz w:val="17"/>
              </w:rPr>
              <w:t>0.06</w:t>
            </w:r>
          </w:p>
        </w:tc>
        <w:tc>
          <w:tcPr>
            <w:tcW w:w="2110" w:type="pct"/>
            <w:vAlign w:val="center"/>
          </w:tcPr>
          <w:p w14:paraId="7CC1F579" w14:textId="77777777" w:rsidR="00302C3E" w:rsidRDefault="00000000">
            <w:r>
              <w:rPr>
                <w:sz w:val="17"/>
              </w:rPr>
              <w:t>Rising FX deposit share increases dollarization stress</w:t>
            </w:r>
          </w:p>
        </w:tc>
      </w:tr>
      <w:tr w:rsidR="00302C3E" w14:paraId="65BD750E" w14:textId="77777777" w:rsidTr="00376618">
        <w:trPr>
          <w:jc w:val="center"/>
        </w:trPr>
        <w:tc>
          <w:tcPr>
            <w:tcW w:w="1115" w:type="pct"/>
            <w:vAlign w:val="center"/>
          </w:tcPr>
          <w:p w14:paraId="05CF4B1D" w14:textId="77777777" w:rsidR="00302C3E" w:rsidRDefault="00000000">
            <w:r>
              <w:rPr>
                <w:sz w:val="17"/>
              </w:rPr>
              <w:t>Reserve decline pressure</w:t>
            </w:r>
          </w:p>
        </w:tc>
        <w:tc>
          <w:tcPr>
            <w:tcW w:w="708" w:type="pct"/>
            <w:vAlign w:val="center"/>
          </w:tcPr>
          <w:p w14:paraId="7C8148FC" w14:textId="77777777" w:rsidR="00302C3E" w:rsidRDefault="00000000">
            <w:r>
              <w:rPr>
                <w:sz w:val="17"/>
              </w:rPr>
              <w:t>0.00 pp</w:t>
            </w:r>
          </w:p>
        </w:tc>
        <w:tc>
          <w:tcPr>
            <w:tcW w:w="1067" w:type="pct"/>
            <w:vAlign w:val="center"/>
          </w:tcPr>
          <w:p w14:paraId="06D9E742" w14:textId="77777777" w:rsidR="00302C3E" w:rsidRDefault="00000000">
            <w:r>
              <w:rPr>
                <w:sz w:val="17"/>
              </w:rPr>
              <w:t>0.10</w:t>
            </w:r>
          </w:p>
        </w:tc>
        <w:tc>
          <w:tcPr>
            <w:tcW w:w="2110" w:type="pct"/>
            <w:vAlign w:val="center"/>
          </w:tcPr>
          <w:p w14:paraId="70897E41" w14:textId="77777777" w:rsidR="00302C3E" w:rsidRDefault="00000000">
            <w:r>
              <w:rPr>
                <w:sz w:val="17"/>
              </w:rPr>
              <w:t>Reserve declines increase FX liquidity stress</w:t>
            </w:r>
          </w:p>
        </w:tc>
      </w:tr>
      <w:tr w:rsidR="00302C3E" w14:paraId="2CF8FCED" w14:textId="77777777" w:rsidTr="00376618">
        <w:trPr>
          <w:jc w:val="center"/>
        </w:trPr>
        <w:tc>
          <w:tcPr>
            <w:tcW w:w="1115" w:type="pct"/>
            <w:vAlign w:val="center"/>
          </w:tcPr>
          <w:p w14:paraId="30407413" w14:textId="77777777" w:rsidR="00302C3E" w:rsidRDefault="00000000">
            <w:r>
              <w:rPr>
                <w:sz w:val="17"/>
              </w:rPr>
              <w:t>Raw score / normalized score</w:t>
            </w:r>
          </w:p>
        </w:tc>
        <w:tc>
          <w:tcPr>
            <w:tcW w:w="708" w:type="pct"/>
            <w:vAlign w:val="center"/>
          </w:tcPr>
          <w:p w14:paraId="33B1DC83" w14:textId="77777777" w:rsidR="00302C3E" w:rsidRDefault="00000000">
            <w:r>
              <w:rPr>
                <w:sz w:val="17"/>
              </w:rPr>
              <w:t>2.52 raw</w:t>
            </w:r>
          </w:p>
        </w:tc>
        <w:tc>
          <w:tcPr>
            <w:tcW w:w="1067" w:type="pct"/>
            <w:vAlign w:val="center"/>
          </w:tcPr>
          <w:p w14:paraId="49655EBD" w14:textId="77777777" w:rsidR="00302C3E" w:rsidRDefault="00000000">
            <w:r>
              <w:rPr>
                <w:sz w:val="17"/>
              </w:rPr>
              <w:t>57.0 / 100</w:t>
            </w:r>
          </w:p>
        </w:tc>
        <w:tc>
          <w:tcPr>
            <w:tcW w:w="2110" w:type="pct"/>
            <w:vAlign w:val="center"/>
          </w:tcPr>
          <w:p w14:paraId="50F047A2" w14:textId="77777777" w:rsidR="00302C3E" w:rsidRDefault="00000000">
            <w:r>
              <w:rPr>
                <w:sz w:val="17"/>
              </w:rPr>
              <w:t>Elevated dashboard signal</w:t>
            </w:r>
          </w:p>
        </w:tc>
      </w:tr>
    </w:tbl>
    <w:p w14:paraId="1C39EFA4" w14:textId="75AB3121" w:rsidR="00376618" w:rsidRPr="00376618" w:rsidRDefault="00376618" w:rsidP="00376618">
      <w:pPr>
        <w:jc w:val="center"/>
        <w:rPr>
          <w:b/>
          <w:bCs/>
          <w:sz w:val="18"/>
          <w:szCs w:val="18"/>
        </w:rPr>
      </w:pPr>
      <w:r w:rsidRPr="00376618">
        <w:rPr>
          <w:b/>
          <w:bCs/>
          <w:sz w:val="18"/>
          <w:szCs w:val="18"/>
        </w:rPr>
        <w:t>Table 2. Composite liquidity stress score calculation and latest component readings.</w:t>
      </w:r>
    </w:p>
    <w:p w14:paraId="670BD93A" w14:textId="53496CE6" w:rsidR="00302C3E" w:rsidRPr="00787AF0" w:rsidRDefault="00000000">
      <w:pPr>
        <w:rPr>
          <w:sz w:val="20"/>
          <w:szCs w:val="20"/>
        </w:rPr>
      </w:pPr>
      <w:r w:rsidRPr="00787AF0">
        <w:rPr>
          <w:sz w:val="20"/>
          <w:szCs w:val="20"/>
        </w:rPr>
        <w:t>Calculation note: each component is standardized against the available dashboard history</w:t>
      </w:r>
      <w:r w:rsidR="00787AF0">
        <w:rPr>
          <w:sz w:val="20"/>
          <w:szCs w:val="20"/>
        </w:rPr>
        <w:t>, then summed to produce</w:t>
      </w:r>
      <w:r w:rsidRPr="00787AF0">
        <w:rPr>
          <w:sz w:val="20"/>
          <w:szCs w:val="20"/>
        </w:rPr>
        <w:t xml:space="preserve"> a raw score. The raw score is normalized to a 0-100 monitoring scale; it is a management dashboard signal, not a regulatory liquidity metric.</w:t>
      </w:r>
    </w:p>
    <w:p w14:paraId="4C996AB3" w14:textId="316BCE11" w:rsidR="00302C3E" w:rsidRPr="00787AF0" w:rsidRDefault="00000000">
      <w:pPr>
        <w:spacing w:after="100" w:line="252" w:lineRule="auto"/>
        <w:rPr>
          <w:sz w:val="20"/>
          <w:szCs w:val="20"/>
        </w:rPr>
      </w:pPr>
      <w:r w:rsidRPr="00787AF0">
        <w:rPr>
          <w:sz w:val="20"/>
          <w:szCs w:val="20"/>
        </w:rPr>
        <w:t>The latest score is 57.0/100</w:t>
      </w:r>
      <w:r w:rsidR="00787AF0">
        <w:rPr>
          <w:sz w:val="20"/>
          <w:szCs w:val="20"/>
        </w:rPr>
        <w:t>,</w:t>
      </w:r>
      <w:r w:rsidRPr="00787AF0">
        <w:rPr>
          <w:sz w:val="20"/>
          <w:szCs w:val="20"/>
        </w:rPr>
        <w:t xml:space="preserve"> classified as Elevated. The score should not be interpreted as a regulatory metric; it is a dashboard signal designed to prioritize monitoring and scenario discussion.</w:t>
      </w:r>
    </w:p>
    <w:p w14:paraId="349F2CB2" w14:textId="77777777" w:rsidR="00302C3E" w:rsidRPr="00376618" w:rsidRDefault="00000000" w:rsidP="00787AF0">
      <w:pPr>
        <w:pStyle w:val="Balk1"/>
        <w:spacing w:before="0"/>
        <w:rPr>
          <w:sz w:val="24"/>
          <w:szCs w:val="24"/>
        </w:rPr>
      </w:pPr>
      <w:r w:rsidRPr="00376618">
        <w:rPr>
          <w:rFonts w:ascii="Garamond" w:eastAsia="Garamond" w:hAnsi="Garamond"/>
          <w:sz w:val="24"/>
          <w:szCs w:val="24"/>
        </w:rPr>
        <w:t>8. Garanti BBVA Bank-Specific ALM Proxy Extension</w:t>
      </w:r>
    </w:p>
    <w:p w14:paraId="59827012" w14:textId="77777777" w:rsidR="00302C3E" w:rsidRPr="00787AF0" w:rsidRDefault="00000000">
      <w:pPr>
        <w:spacing w:after="100" w:line="252" w:lineRule="auto"/>
        <w:rPr>
          <w:sz w:val="20"/>
          <w:szCs w:val="20"/>
        </w:rPr>
      </w:pPr>
      <w:r w:rsidRPr="00787AF0">
        <w:rPr>
          <w:sz w:val="20"/>
          <w:szCs w:val="20"/>
        </w:rPr>
        <w:t>The preceding sections use public market and banking-sector data. Institution-level ALM metrics such as contractual cash-flow ladders, regulatory LCR, internal FTP curves, and true internal net interest income (NII) sensitivity require confidential internal bank data. To avoid overstating precision, this section uses Garanti BBVA unconsolidated financial statements to build a public-data-calibrated ALM proxy extension.</w:t>
      </w:r>
    </w:p>
    <w:p w14:paraId="7C124059" w14:textId="77777777" w:rsidR="00302C3E" w:rsidRDefault="00000000">
      <w:pPr>
        <w:spacing w:after="100" w:line="252" w:lineRule="auto"/>
        <w:jc w:val="center"/>
      </w:pPr>
      <w:r>
        <w:rPr>
          <w:noProof/>
        </w:rPr>
        <w:drawing>
          <wp:inline distT="0" distB="0" distL="0" distR="0" wp14:anchorId="4AD364B2" wp14:editId="2AAF9093">
            <wp:extent cx="4162434" cy="1609200"/>
            <wp:effectExtent l="0" t="0" r="317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bank_alm_snapshot.png"/>
                    <pic:cNvPicPr/>
                  </pic:nvPicPr>
                  <pic:blipFill>
                    <a:blip r:embed="rId15"/>
                    <a:stretch>
                      <a:fillRect/>
                    </a:stretch>
                  </pic:blipFill>
                  <pic:spPr>
                    <a:xfrm>
                      <a:off x="0" y="0"/>
                      <a:ext cx="4162434" cy="1609200"/>
                    </a:xfrm>
                    <a:prstGeom prst="rect">
                      <a:avLst/>
                    </a:prstGeom>
                  </pic:spPr>
                </pic:pic>
              </a:graphicData>
            </a:graphic>
          </wp:inline>
        </w:drawing>
      </w:r>
    </w:p>
    <w:p w14:paraId="633B800E" w14:textId="0437FA67" w:rsidR="00302C3E" w:rsidRPr="00376618" w:rsidRDefault="00000000">
      <w:pPr>
        <w:spacing w:after="100" w:line="252" w:lineRule="auto"/>
        <w:jc w:val="center"/>
        <w:rPr>
          <w:sz w:val="18"/>
          <w:szCs w:val="18"/>
        </w:rPr>
      </w:pPr>
      <w:r w:rsidRPr="00376618">
        <w:rPr>
          <w:b/>
          <w:sz w:val="18"/>
          <w:szCs w:val="18"/>
        </w:rPr>
        <w:t xml:space="preserve">Figure </w:t>
      </w:r>
      <w:r w:rsidR="00376618">
        <w:rPr>
          <w:b/>
          <w:sz w:val="18"/>
          <w:szCs w:val="18"/>
        </w:rPr>
        <w:t>8</w:t>
      </w:r>
      <w:r w:rsidRPr="00376618">
        <w:rPr>
          <w:b/>
          <w:sz w:val="18"/>
          <w:szCs w:val="18"/>
        </w:rPr>
        <w:t>. Garanti BBVA ALM proxy snapshot based on public financial statement inputs.</w:t>
      </w:r>
    </w:p>
    <w:tbl>
      <w:tblPr>
        <w:tblStyle w:val="TabloKlavuzu"/>
        <w:tblW w:w="5000" w:type="pct"/>
        <w:jc w:val="center"/>
        <w:tblLook w:val="04A0" w:firstRow="1" w:lastRow="0" w:firstColumn="1" w:lastColumn="0" w:noHBand="0" w:noVBand="1"/>
      </w:tblPr>
      <w:tblGrid>
        <w:gridCol w:w="2937"/>
        <w:gridCol w:w="2791"/>
        <w:gridCol w:w="4406"/>
      </w:tblGrid>
      <w:tr w:rsidR="00302C3E" w:rsidRPr="00376618" w14:paraId="49FB410D" w14:textId="77777777" w:rsidTr="00376618">
        <w:trPr>
          <w:tblHeader/>
          <w:jc w:val="center"/>
        </w:trPr>
        <w:tc>
          <w:tcPr>
            <w:tcW w:w="1449" w:type="pct"/>
            <w:shd w:val="clear" w:color="auto" w:fill="D9EAF7"/>
            <w:tcMar>
              <w:top w:w="50" w:type="dxa"/>
              <w:left w:w="70" w:type="dxa"/>
              <w:bottom w:w="50" w:type="dxa"/>
              <w:right w:w="70" w:type="dxa"/>
            </w:tcMar>
            <w:vAlign w:val="center"/>
          </w:tcPr>
          <w:p w14:paraId="7CAC7E50" w14:textId="77777777" w:rsidR="00302C3E" w:rsidRPr="00376618" w:rsidRDefault="00000000">
            <w:pPr>
              <w:rPr>
                <w:sz w:val="17"/>
                <w:szCs w:val="17"/>
              </w:rPr>
            </w:pPr>
            <w:r w:rsidRPr="00376618">
              <w:rPr>
                <w:b/>
                <w:color w:val="000000"/>
                <w:sz w:val="17"/>
                <w:szCs w:val="17"/>
              </w:rPr>
              <w:t>Metric</w:t>
            </w:r>
          </w:p>
        </w:tc>
        <w:tc>
          <w:tcPr>
            <w:tcW w:w="1377" w:type="pct"/>
            <w:shd w:val="clear" w:color="auto" w:fill="D9EAF7"/>
            <w:tcMar>
              <w:top w:w="50" w:type="dxa"/>
              <w:left w:w="70" w:type="dxa"/>
              <w:bottom w:w="50" w:type="dxa"/>
              <w:right w:w="70" w:type="dxa"/>
            </w:tcMar>
            <w:vAlign w:val="center"/>
          </w:tcPr>
          <w:p w14:paraId="0076AC1E" w14:textId="77777777" w:rsidR="00302C3E" w:rsidRPr="00376618" w:rsidRDefault="00000000">
            <w:pPr>
              <w:rPr>
                <w:sz w:val="17"/>
                <w:szCs w:val="17"/>
              </w:rPr>
            </w:pPr>
            <w:r w:rsidRPr="00376618">
              <w:rPr>
                <w:b/>
                <w:color w:val="000000"/>
                <w:sz w:val="17"/>
                <w:szCs w:val="17"/>
              </w:rPr>
              <w:t>Latest bank proxy reading</w:t>
            </w:r>
          </w:p>
        </w:tc>
        <w:tc>
          <w:tcPr>
            <w:tcW w:w="2174" w:type="pct"/>
            <w:shd w:val="clear" w:color="auto" w:fill="D9EAF7"/>
            <w:tcMar>
              <w:top w:w="50" w:type="dxa"/>
              <w:left w:w="70" w:type="dxa"/>
              <w:bottom w:w="50" w:type="dxa"/>
              <w:right w:w="70" w:type="dxa"/>
            </w:tcMar>
            <w:vAlign w:val="center"/>
          </w:tcPr>
          <w:p w14:paraId="63B5A156" w14:textId="77777777" w:rsidR="00302C3E" w:rsidRPr="00376618" w:rsidRDefault="00000000">
            <w:pPr>
              <w:rPr>
                <w:sz w:val="17"/>
                <w:szCs w:val="17"/>
              </w:rPr>
            </w:pPr>
            <w:r w:rsidRPr="00376618">
              <w:rPr>
                <w:b/>
                <w:color w:val="000000"/>
                <w:sz w:val="17"/>
                <w:szCs w:val="17"/>
              </w:rPr>
              <w:t>Interpretation</w:t>
            </w:r>
          </w:p>
        </w:tc>
      </w:tr>
      <w:tr w:rsidR="00302C3E" w:rsidRPr="00376618" w14:paraId="40F7592F" w14:textId="77777777" w:rsidTr="00376618">
        <w:trPr>
          <w:jc w:val="center"/>
        </w:trPr>
        <w:tc>
          <w:tcPr>
            <w:tcW w:w="1449" w:type="pct"/>
            <w:tcMar>
              <w:top w:w="50" w:type="dxa"/>
              <w:left w:w="70" w:type="dxa"/>
              <w:bottom w:w="50" w:type="dxa"/>
              <w:right w:w="70" w:type="dxa"/>
            </w:tcMar>
            <w:vAlign w:val="center"/>
          </w:tcPr>
          <w:p w14:paraId="46FB68BD" w14:textId="77777777" w:rsidR="00302C3E" w:rsidRPr="00376618" w:rsidRDefault="00000000">
            <w:pPr>
              <w:rPr>
                <w:sz w:val="17"/>
                <w:szCs w:val="17"/>
              </w:rPr>
            </w:pPr>
            <w:r w:rsidRPr="00376618">
              <w:rPr>
                <w:sz w:val="17"/>
                <w:szCs w:val="17"/>
              </w:rPr>
              <w:t>Total assets</w:t>
            </w:r>
          </w:p>
        </w:tc>
        <w:tc>
          <w:tcPr>
            <w:tcW w:w="1377" w:type="pct"/>
            <w:tcMar>
              <w:top w:w="50" w:type="dxa"/>
              <w:left w:w="70" w:type="dxa"/>
              <w:bottom w:w="50" w:type="dxa"/>
              <w:right w:w="70" w:type="dxa"/>
            </w:tcMar>
            <w:vAlign w:val="center"/>
          </w:tcPr>
          <w:p w14:paraId="35EDEC68" w14:textId="77777777" w:rsidR="00302C3E" w:rsidRPr="00376618" w:rsidRDefault="00000000">
            <w:pPr>
              <w:rPr>
                <w:sz w:val="17"/>
                <w:szCs w:val="17"/>
              </w:rPr>
            </w:pPr>
            <w:r w:rsidRPr="00376618">
              <w:rPr>
                <w:sz w:val="17"/>
                <w:szCs w:val="17"/>
              </w:rPr>
              <w:t>TL 4,016.8bn</w:t>
            </w:r>
          </w:p>
        </w:tc>
        <w:tc>
          <w:tcPr>
            <w:tcW w:w="2174" w:type="pct"/>
            <w:tcMar>
              <w:top w:w="50" w:type="dxa"/>
              <w:left w:w="70" w:type="dxa"/>
              <w:bottom w:w="50" w:type="dxa"/>
              <w:right w:w="70" w:type="dxa"/>
            </w:tcMar>
            <w:vAlign w:val="center"/>
          </w:tcPr>
          <w:p w14:paraId="03933225" w14:textId="77777777" w:rsidR="00302C3E" w:rsidRPr="00376618" w:rsidRDefault="00000000">
            <w:pPr>
              <w:rPr>
                <w:sz w:val="17"/>
                <w:szCs w:val="17"/>
              </w:rPr>
            </w:pPr>
            <w:r w:rsidRPr="00376618">
              <w:rPr>
                <w:sz w:val="17"/>
                <w:szCs w:val="17"/>
              </w:rPr>
              <w:t>Balance-sheet scale used for proxy extension</w:t>
            </w:r>
          </w:p>
        </w:tc>
      </w:tr>
      <w:tr w:rsidR="00302C3E" w:rsidRPr="00376618" w14:paraId="6079B7EF" w14:textId="77777777" w:rsidTr="00376618">
        <w:trPr>
          <w:jc w:val="center"/>
        </w:trPr>
        <w:tc>
          <w:tcPr>
            <w:tcW w:w="1449" w:type="pct"/>
            <w:tcMar>
              <w:top w:w="50" w:type="dxa"/>
              <w:left w:w="70" w:type="dxa"/>
              <w:bottom w:w="50" w:type="dxa"/>
              <w:right w:w="70" w:type="dxa"/>
            </w:tcMar>
            <w:vAlign w:val="center"/>
          </w:tcPr>
          <w:p w14:paraId="6C252C33" w14:textId="77777777" w:rsidR="00302C3E" w:rsidRPr="00376618" w:rsidRDefault="00000000">
            <w:pPr>
              <w:rPr>
                <w:sz w:val="17"/>
                <w:szCs w:val="17"/>
              </w:rPr>
            </w:pPr>
            <w:r w:rsidRPr="00376618">
              <w:rPr>
                <w:sz w:val="17"/>
                <w:szCs w:val="17"/>
              </w:rPr>
              <w:t>Loans / assets</w:t>
            </w:r>
          </w:p>
        </w:tc>
        <w:tc>
          <w:tcPr>
            <w:tcW w:w="1377" w:type="pct"/>
            <w:tcMar>
              <w:top w:w="50" w:type="dxa"/>
              <w:left w:w="70" w:type="dxa"/>
              <w:bottom w:w="50" w:type="dxa"/>
              <w:right w:w="70" w:type="dxa"/>
            </w:tcMar>
            <w:vAlign w:val="center"/>
          </w:tcPr>
          <w:p w14:paraId="691D8F58" w14:textId="77777777" w:rsidR="00302C3E" w:rsidRPr="00376618" w:rsidRDefault="00000000">
            <w:pPr>
              <w:rPr>
                <w:sz w:val="17"/>
                <w:szCs w:val="17"/>
              </w:rPr>
            </w:pPr>
            <w:r w:rsidRPr="00376618">
              <w:rPr>
                <w:sz w:val="17"/>
                <w:szCs w:val="17"/>
              </w:rPr>
              <w:t>60.7%</w:t>
            </w:r>
          </w:p>
        </w:tc>
        <w:tc>
          <w:tcPr>
            <w:tcW w:w="2174" w:type="pct"/>
            <w:tcMar>
              <w:top w:w="50" w:type="dxa"/>
              <w:left w:w="70" w:type="dxa"/>
              <w:bottom w:w="50" w:type="dxa"/>
              <w:right w:w="70" w:type="dxa"/>
            </w:tcMar>
            <w:vAlign w:val="center"/>
          </w:tcPr>
          <w:p w14:paraId="2E1115AF" w14:textId="77777777" w:rsidR="00302C3E" w:rsidRPr="00376618" w:rsidRDefault="00000000">
            <w:pPr>
              <w:rPr>
                <w:sz w:val="17"/>
                <w:szCs w:val="17"/>
              </w:rPr>
            </w:pPr>
            <w:r w:rsidRPr="00376618">
              <w:rPr>
                <w:sz w:val="17"/>
                <w:szCs w:val="17"/>
              </w:rPr>
              <w:t>Earning asset concentration</w:t>
            </w:r>
          </w:p>
        </w:tc>
      </w:tr>
      <w:tr w:rsidR="00302C3E" w:rsidRPr="00376618" w14:paraId="450EC994" w14:textId="77777777" w:rsidTr="00376618">
        <w:trPr>
          <w:jc w:val="center"/>
        </w:trPr>
        <w:tc>
          <w:tcPr>
            <w:tcW w:w="1449" w:type="pct"/>
            <w:tcMar>
              <w:top w:w="50" w:type="dxa"/>
              <w:left w:w="70" w:type="dxa"/>
              <w:bottom w:w="50" w:type="dxa"/>
              <w:right w:w="70" w:type="dxa"/>
            </w:tcMar>
            <w:vAlign w:val="center"/>
          </w:tcPr>
          <w:p w14:paraId="3892321A" w14:textId="77777777" w:rsidR="00302C3E" w:rsidRPr="00376618" w:rsidRDefault="00000000">
            <w:pPr>
              <w:rPr>
                <w:sz w:val="17"/>
                <w:szCs w:val="17"/>
              </w:rPr>
            </w:pPr>
            <w:r w:rsidRPr="00376618">
              <w:rPr>
                <w:sz w:val="17"/>
                <w:szCs w:val="17"/>
              </w:rPr>
              <w:t>Liquid assets / assets</w:t>
            </w:r>
          </w:p>
        </w:tc>
        <w:tc>
          <w:tcPr>
            <w:tcW w:w="1377" w:type="pct"/>
            <w:tcMar>
              <w:top w:w="50" w:type="dxa"/>
              <w:left w:w="70" w:type="dxa"/>
              <w:bottom w:w="50" w:type="dxa"/>
              <w:right w:w="70" w:type="dxa"/>
            </w:tcMar>
            <w:vAlign w:val="center"/>
          </w:tcPr>
          <w:p w14:paraId="5B98E6F6" w14:textId="77777777" w:rsidR="00302C3E" w:rsidRPr="00376618" w:rsidRDefault="00000000">
            <w:pPr>
              <w:rPr>
                <w:sz w:val="17"/>
                <w:szCs w:val="17"/>
              </w:rPr>
            </w:pPr>
            <w:r w:rsidRPr="00376618">
              <w:rPr>
                <w:sz w:val="17"/>
                <w:szCs w:val="17"/>
              </w:rPr>
              <w:t>31.5%</w:t>
            </w:r>
          </w:p>
        </w:tc>
        <w:tc>
          <w:tcPr>
            <w:tcW w:w="2174" w:type="pct"/>
            <w:tcMar>
              <w:top w:w="50" w:type="dxa"/>
              <w:left w:w="70" w:type="dxa"/>
              <w:bottom w:w="50" w:type="dxa"/>
              <w:right w:w="70" w:type="dxa"/>
            </w:tcMar>
            <w:vAlign w:val="center"/>
          </w:tcPr>
          <w:p w14:paraId="13E14B34" w14:textId="77777777" w:rsidR="00302C3E" w:rsidRPr="00376618" w:rsidRDefault="00000000">
            <w:pPr>
              <w:rPr>
                <w:sz w:val="17"/>
                <w:szCs w:val="17"/>
              </w:rPr>
            </w:pPr>
            <w:r w:rsidRPr="00376618">
              <w:rPr>
                <w:sz w:val="17"/>
                <w:szCs w:val="17"/>
              </w:rPr>
              <w:t>Cash and securities liquidity buffer proxy</w:t>
            </w:r>
          </w:p>
        </w:tc>
      </w:tr>
      <w:tr w:rsidR="00302C3E" w:rsidRPr="00376618" w14:paraId="52B6DB96" w14:textId="77777777" w:rsidTr="00376618">
        <w:trPr>
          <w:jc w:val="center"/>
        </w:trPr>
        <w:tc>
          <w:tcPr>
            <w:tcW w:w="1449" w:type="pct"/>
            <w:tcMar>
              <w:top w:w="50" w:type="dxa"/>
              <w:left w:w="70" w:type="dxa"/>
              <w:bottom w:w="50" w:type="dxa"/>
              <w:right w:w="70" w:type="dxa"/>
            </w:tcMar>
            <w:vAlign w:val="center"/>
          </w:tcPr>
          <w:p w14:paraId="63581BBD" w14:textId="77777777" w:rsidR="00302C3E" w:rsidRPr="00376618" w:rsidRDefault="00000000">
            <w:pPr>
              <w:rPr>
                <w:sz w:val="17"/>
                <w:szCs w:val="17"/>
              </w:rPr>
            </w:pPr>
            <w:r w:rsidRPr="00376618">
              <w:rPr>
                <w:sz w:val="17"/>
                <w:szCs w:val="17"/>
              </w:rPr>
              <w:t>Loan / deposit ratio</w:t>
            </w:r>
          </w:p>
        </w:tc>
        <w:tc>
          <w:tcPr>
            <w:tcW w:w="1377" w:type="pct"/>
            <w:tcMar>
              <w:top w:w="50" w:type="dxa"/>
              <w:left w:w="70" w:type="dxa"/>
              <w:bottom w:w="50" w:type="dxa"/>
              <w:right w:w="70" w:type="dxa"/>
            </w:tcMar>
            <w:vAlign w:val="center"/>
          </w:tcPr>
          <w:p w14:paraId="462D0DDB" w14:textId="77777777" w:rsidR="00302C3E" w:rsidRPr="00376618" w:rsidRDefault="00000000">
            <w:pPr>
              <w:rPr>
                <w:sz w:val="17"/>
                <w:szCs w:val="17"/>
              </w:rPr>
            </w:pPr>
            <w:r w:rsidRPr="00376618">
              <w:rPr>
                <w:sz w:val="17"/>
                <w:szCs w:val="17"/>
              </w:rPr>
              <w:t>89.9%</w:t>
            </w:r>
          </w:p>
        </w:tc>
        <w:tc>
          <w:tcPr>
            <w:tcW w:w="2174" w:type="pct"/>
            <w:tcMar>
              <w:top w:w="50" w:type="dxa"/>
              <w:left w:w="70" w:type="dxa"/>
              <w:bottom w:w="50" w:type="dxa"/>
              <w:right w:w="70" w:type="dxa"/>
            </w:tcMar>
            <w:vAlign w:val="center"/>
          </w:tcPr>
          <w:p w14:paraId="49796F7D" w14:textId="77777777" w:rsidR="00302C3E" w:rsidRPr="00376618" w:rsidRDefault="00000000">
            <w:pPr>
              <w:rPr>
                <w:sz w:val="17"/>
                <w:szCs w:val="17"/>
              </w:rPr>
            </w:pPr>
            <w:r w:rsidRPr="00376618">
              <w:rPr>
                <w:sz w:val="17"/>
                <w:szCs w:val="17"/>
              </w:rPr>
              <w:t>Bank-level funding balance proxy</w:t>
            </w:r>
          </w:p>
        </w:tc>
      </w:tr>
      <w:tr w:rsidR="00302C3E" w:rsidRPr="00376618" w14:paraId="06EB7D97" w14:textId="77777777" w:rsidTr="00376618">
        <w:trPr>
          <w:jc w:val="center"/>
        </w:trPr>
        <w:tc>
          <w:tcPr>
            <w:tcW w:w="1449" w:type="pct"/>
            <w:tcMar>
              <w:top w:w="50" w:type="dxa"/>
              <w:left w:w="70" w:type="dxa"/>
              <w:bottom w:w="50" w:type="dxa"/>
              <w:right w:w="70" w:type="dxa"/>
            </w:tcMar>
            <w:vAlign w:val="center"/>
          </w:tcPr>
          <w:p w14:paraId="4C12E6C7" w14:textId="77777777" w:rsidR="00302C3E" w:rsidRPr="00376618" w:rsidRDefault="00000000">
            <w:pPr>
              <w:rPr>
                <w:sz w:val="17"/>
                <w:szCs w:val="17"/>
              </w:rPr>
            </w:pPr>
            <w:r w:rsidRPr="00376618">
              <w:rPr>
                <w:sz w:val="17"/>
                <w:szCs w:val="17"/>
              </w:rPr>
              <w:t>Liquid assets / deposits</w:t>
            </w:r>
          </w:p>
        </w:tc>
        <w:tc>
          <w:tcPr>
            <w:tcW w:w="1377" w:type="pct"/>
            <w:tcMar>
              <w:top w:w="50" w:type="dxa"/>
              <w:left w:w="70" w:type="dxa"/>
              <w:bottom w:w="50" w:type="dxa"/>
              <w:right w:w="70" w:type="dxa"/>
            </w:tcMar>
            <w:vAlign w:val="center"/>
          </w:tcPr>
          <w:p w14:paraId="0C2C3F9B" w14:textId="77777777" w:rsidR="00302C3E" w:rsidRPr="00376618" w:rsidRDefault="00000000">
            <w:pPr>
              <w:rPr>
                <w:sz w:val="17"/>
                <w:szCs w:val="17"/>
              </w:rPr>
            </w:pPr>
            <w:r w:rsidRPr="00376618">
              <w:rPr>
                <w:sz w:val="17"/>
                <w:szCs w:val="17"/>
              </w:rPr>
              <w:t>46.6%</w:t>
            </w:r>
          </w:p>
        </w:tc>
        <w:tc>
          <w:tcPr>
            <w:tcW w:w="2174" w:type="pct"/>
            <w:tcMar>
              <w:top w:w="50" w:type="dxa"/>
              <w:left w:w="70" w:type="dxa"/>
              <w:bottom w:w="50" w:type="dxa"/>
              <w:right w:w="70" w:type="dxa"/>
            </w:tcMar>
            <w:vAlign w:val="center"/>
          </w:tcPr>
          <w:p w14:paraId="1890D296" w14:textId="77777777" w:rsidR="00302C3E" w:rsidRPr="00376618" w:rsidRDefault="00000000">
            <w:pPr>
              <w:rPr>
                <w:sz w:val="17"/>
                <w:szCs w:val="17"/>
              </w:rPr>
            </w:pPr>
            <w:r w:rsidRPr="00376618">
              <w:rPr>
                <w:sz w:val="17"/>
                <w:szCs w:val="17"/>
              </w:rPr>
              <w:t>Simple liquidity buffer relative to deposits</w:t>
            </w:r>
          </w:p>
        </w:tc>
      </w:tr>
      <w:tr w:rsidR="00302C3E" w:rsidRPr="00376618" w14:paraId="2FF520D8" w14:textId="77777777" w:rsidTr="00376618">
        <w:trPr>
          <w:jc w:val="center"/>
        </w:trPr>
        <w:tc>
          <w:tcPr>
            <w:tcW w:w="1449" w:type="pct"/>
            <w:tcMar>
              <w:top w:w="50" w:type="dxa"/>
              <w:left w:w="70" w:type="dxa"/>
              <w:bottom w:w="50" w:type="dxa"/>
              <w:right w:w="70" w:type="dxa"/>
            </w:tcMar>
            <w:vAlign w:val="center"/>
          </w:tcPr>
          <w:p w14:paraId="133DCD12" w14:textId="77777777" w:rsidR="00302C3E" w:rsidRPr="00376618" w:rsidRDefault="00000000">
            <w:pPr>
              <w:rPr>
                <w:sz w:val="17"/>
                <w:szCs w:val="17"/>
              </w:rPr>
            </w:pPr>
            <w:r w:rsidRPr="00376618">
              <w:rPr>
                <w:sz w:val="17"/>
                <w:szCs w:val="17"/>
              </w:rPr>
              <w:t>FC deposits / deposits</w:t>
            </w:r>
          </w:p>
        </w:tc>
        <w:tc>
          <w:tcPr>
            <w:tcW w:w="1377" w:type="pct"/>
            <w:tcMar>
              <w:top w:w="50" w:type="dxa"/>
              <w:left w:w="70" w:type="dxa"/>
              <w:bottom w:w="50" w:type="dxa"/>
              <w:right w:w="70" w:type="dxa"/>
            </w:tcMar>
            <w:vAlign w:val="center"/>
          </w:tcPr>
          <w:p w14:paraId="44F0DC64" w14:textId="77777777" w:rsidR="00302C3E" w:rsidRPr="00376618" w:rsidRDefault="00000000">
            <w:pPr>
              <w:rPr>
                <w:sz w:val="17"/>
                <w:szCs w:val="17"/>
              </w:rPr>
            </w:pPr>
            <w:r w:rsidRPr="00376618">
              <w:rPr>
                <w:sz w:val="17"/>
                <w:szCs w:val="17"/>
              </w:rPr>
              <w:t>37.1%</w:t>
            </w:r>
          </w:p>
        </w:tc>
        <w:tc>
          <w:tcPr>
            <w:tcW w:w="2174" w:type="pct"/>
            <w:tcMar>
              <w:top w:w="50" w:type="dxa"/>
              <w:left w:w="70" w:type="dxa"/>
              <w:bottom w:w="50" w:type="dxa"/>
              <w:right w:w="70" w:type="dxa"/>
            </w:tcMar>
            <w:vAlign w:val="center"/>
          </w:tcPr>
          <w:p w14:paraId="6743D2A6" w14:textId="77777777" w:rsidR="00302C3E" w:rsidRPr="00376618" w:rsidRDefault="00000000">
            <w:pPr>
              <w:rPr>
                <w:sz w:val="17"/>
                <w:szCs w:val="17"/>
              </w:rPr>
            </w:pPr>
            <w:r w:rsidRPr="00376618">
              <w:rPr>
                <w:sz w:val="17"/>
                <w:szCs w:val="17"/>
              </w:rPr>
              <w:t>Bank-specific dollarization/funding mix proxy</w:t>
            </w:r>
          </w:p>
        </w:tc>
      </w:tr>
      <w:tr w:rsidR="00302C3E" w:rsidRPr="00376618" w14:paraId="55C9CA3B" w14:textId="77777777" w:rsidTr="00376618">
        <w:trPr>
          <w:jc w:val="center"/>
        </w:trPr>
        <w:tc>
          <w:tcPr>
            <w:tcW w:w="1449" w:type="pct"/>
            <w:tcMar>
              <w:top w:w="50" w:type="dxa"/>
              <w:left w:w="70" w:type="dxa"/>
              <w:bottom w:w="50" w:type="dxa"/>
              <w:right w:w="70" w:type="dxa"/>
            </w:tcMar>
            <w:vAlign w:val="center"/>
          </w:tcPr>
          <w:p w14:paraId="69F9BF94" w14:textId="77777777" w:rsidR="00302C3E" w:rsidRPr="00376618" w:rsidRDefault="00000000">
            <w:pPr>
              <w:rPr>
                <w:sz w:val="17"/>
                <w:szCs w:val="17"/>
              </w:rPr>
            </w:pPr>
            <w:r w:rsidRPr="00376618">
              <w:rPr>
                <w:sz w:val="17"/>
                <w:szCs w:val="17"/>
              </w:rPr>
              <w:t>Balance-sheet FC gap / equity</w:t>
            </w:r>
          </w:p>
        </w:tc>
        <w:tc>
          <w:tcPr>
            <w:tcW w:w="1377" w:type="pct"/>
            <w:tcMar>
              <w:top w:w="50" w:type="dxa"/>
              <w:left w:w="70" w:type="dxa"/>
              <w:bottom w:w="50" w:type="dxa"/>
              <w:right w:w="70" w:type="dxa"/>
            </w:tcMar>
            <w:vAlign w:val="center"/>
          </w:tcPr>
          <w:p w14:paraId="2D378B0D" w14:textId="77777777" w:rsidR="00302C3E" w:rsidRPr="00376618" w:rsidRDefault="00000000">
            <w:pPr>
              <w:rPr>
                <w:sz w:val="17"/>
                <w:szCs w:val="17"/>
              </w:rPr>
            </w:pPr>
            <w:r w:rsidRPr="00376618">
              <w:rPr>
                <w:sz w:val="17"/>
                <w:szCs w:val="17"/>
              </w:rPr>
              <w:t>-33.0%</w:t>
            </w:r>
          </w:p>
        </w:tc>
        <w:tc>
          <w:tcPr>
            <w:tcW w:w="2174" w:type="pct"/>
            <w:tcMar>
              <w:top w:w="50" w:type="dxa"/>
              <w:left w:w="70" w:type="dxa"/>
              <w:bottom w:w="50" w:type="dxa"/>
              <w:right w:w="70" w:type="dxa"/>
            </w:tcMar>
            <w:vAlign w:val="center"/>
          </w:tcPr>
          <w:p w14:paraId="46DE35FB" w14:textId="77777777" w:rsidR="00302C3E" w:rsidRPr="00376618" w:rsidRDefault="00000000">
            <w:pPr>
              <w:rPr>
                <w:sz w:val="17"/>
                <w:szCs w:val="17"/>
              </w:rPr>
            </w:pPr>
            <w:r w:rsidRPr="00376618">
              <w:rPr>
                <w:sz w:val="17"/>
                <w:szCs w:val="17"/>
              </w:rPr>
              <w:t>Balance-sheet currency mismatch proxy</w:t>
            </w:r>
          </w:p>
        </w:tc>
      </w:tr>
    </w:tbl>
    <w:p w14:paraId="3960106D" w14:textId="77777777" w:rsidR="00302C3E" w:rsidRPr="00376618" w:rsidRDefault="00000000" w:rsidP="00787AF0">
      <w:pPr>
        <w:pStyle w:val="Balk1"/>
        <w:rPr>
          <w:sz w:val="24"/>
          <w:szCs w:val="24"/>
        </w:rPr>
      </w:pPr>
      <w:r w:rsidRPr="00376618">
        <w:rPr>
          <w:rFonts w:ascii="Garamond" w:eastAsia="Garamond" w:hAnsi="Garamond"/>
          <w:sz w:val="24"/>
          <w:szCs w:val="24"/>
        </w:rPr>
        <w:t>9. Maturity Ladder and Scenario Sensitivity</w:t>
      </w:r>
    </w:p>
    <w:p w14:paraId="3144A4FE" w14:textId="5BDC3B8E" w:rsidR="00302C3E" w:rsidRPr="00787AF0" w:rsidRDefault="00000000" w:rsidP="00787AF0">
      <w:pPr>
        <w:spacing w:after="100" w:line="252" w:lineRule="auto"/>
        <w:rPr>
          <w:sz w:val="20"/>
          <w:szCs w:val="20"/>
        </w:rPr>
      </w:pPr>
      <w:r w:rsidRPr="00787AF0">
        <w:rPr>
          <w:sz w:val="20"/>
          <w:szCs w:val="20"/>
        </w:rPr>
        <w:t>The maturity ladder is stylized, but it is calibrated from the latest bank financial statement line items. It is not a behavioral internal ALM cash-flow ladder. Its purpose is to demonstrate the mechanics of translating liquid assets, securities, loans, deposits, and wholesale funding into a maturity-bucket view.</w:t>
      </w:r>
    </w:p>
    <w:tbl>
      <w:tblPr>
        <w:tblStyle w:val="TabloKlavuzu"/>
        <w:tblW w:w="5000" w:type="pct"/>
        <w:jc w:val="center"/>
        <w:tblLook w:val="04A0" w:firstRow="1" w:lastRow="0" w:firstColumn="1" w:lastColumn="0" w:noHBand="0" w:noVBand="1"/>
      </w:tblPr>
      <w:tblGrid>
        <w:gridCol w:w="974"/>
        <w:gridCol w:w="4513"/>
        <w:gridCol w:w="4723"/>
      </w:tblGrid>
      <w:tr w:rsidR="00302C3E" w:rsidRPr="00376618" w14:paraId="5C274436" w14:textId="77777777" w:rsidTr="00376618">
        <w:trPr>
          <w:jc w:val="center"/>
        </w:trPr>
        <w:tc>
          <w:tcPr>
            <w:tcW w:w="477" w:type="pct"/>
            <w:shd w:val="clear" w:color="auto" w:fill="D9EAF7"/>
            <w:vAlign w:val="center"/>
          </w:tcPr>
          <w:p w14:paraId="317A6443" w14:textId="77777777" w:rsidR="00302C3E" w:rsidRPr="00376618" w:rsidRDefault="00000000">
            <w:pPr>
              <w:rPr>
                <w:sz w:val="17"/>
                <w:szCs w:val="17"/>
              </w:rPr>
            </w:pPr>
            <w:r w:rsidRPr="00376618">
              <w:rPr>
                <w:b/>
                <w:color w:val="000000"/>
                <w:sz w:val="17"/>
                <w:szCs w:val="17"/>
              </w:rPr>
              <w:t>Bucket</w:t>
            </w:r>
          </w:p>
        </w:tc>
        <w:tc>
          <w:tcPr>
            <w:tcW w:w="2210" w:type="pct"/>
            <w:shd w:val="clear" w:color="auto" w:fill="D9EAF7"/>
            <w:vAlign w:val="center"/>
          </w:tcPr>
          <w:p w14:paraId="3F653CD3" w14:textId="77777777" w:rsidR="00302C3E" w:rsidRPr="00376618" w:rsidRDefault="00000000">
            <w:pPr>
              <w:rPr>
                <w:sz w:val="17"/>
                <w:szCs w:val="17"/>
              </w:rPr>
            </w:pPr>
            <w:r w:rsidRPr="00376618">
              <w:rPr>
                <w:b/>
                <w:color w:val="000000"/>
                <w:sz w:val="17"/>
                <w:szCs w:val="17"/>
              </w:rPr>
              <w:t>Asset inflow allocation</w:t>
            </w:r>
          </w:p>
        </w:tc>
        <w:tc>
          <w:tcPr>
            <w:tcW w:w="2313" w:type="pct"/>
            <w:shd w:val="clear" w:color="auto" w:fill="D9EAF7"/>
            <w:vAlign w:val="center"/>
          </w:tcPr>
          <w:p w14:paraId="29DB465E" w14:textId="77777777" w:rsidR="00302C3E" w:rsidRPr="00376618" w:rsidRDefault="00000000">
            <w:pPr>
              <w:rPr>
                <w:sz w:val="17"/>
                <w:szCs w:val="17"/>
              </w:rPr>
            </w:pPr>
            <w:r w:rsidRPr="00376618">
              <w:rPr>
                <w:b/>
                <w:color w:val="000000"/>
                <w:sz w:val="17"/>
                <w:szCs w:val="17"/>
              </w:rPr>
              <w:t>Liability outflow allocation</w:t>
            </w:r>
          </w:p>
        </w:tc>
      </w:tr>
      <w:tr w:rsidR="00302C3E" w:rsidRPr="00376618" w14:paraId="41476E50" w14:textId="77777777" w:rsidTr="00376618">
        <w:trPr>
          <w:jc w:val="center"/>
        </w:trPr>
        <w:tc>
          <w:tcPr>
            <w:tcW w:w="477" w:type="pct"/>
            <w:vAlign w:val="center"/>
          </w:tcPr>
          <w:p w14:paraId="6970B111" w14:textId="77777777" w:rsidR="00302C3E" w:rsidRPr="00376618" w:rsidRDefault="00000000">
            <w:pPr>
              <w:rPr>
                <w:sz w:val="17"/>
                <w:szCs w:val="17"/>
              </w:rPr>
            </w:pPr>
            <w:r w:rsidRPr="00376618">
              <w:rPr>
                <w:sz w:val="17"/>
                <w:szCs w:val="17"/>
              </w:rPr>
              <w:t>0-1M</w:t>
            </w:r>
          </w:p>
        </w:tc>
        <w:tc>
          <w:tcPr>
            <w:tcW w:w="2210" w:type="pct"/>
            <w:vAlign w:val="center"/>
          </w:tcPr>
          <w:p w14:paraId="2345D722" w14:textId="77777777" w:rsidR="00302C3E" w:rsidRPr="00376618" w:rsidRDefault="00000000">
            <w:pPr>
              <w:rPr>
                <w:sz w:val="17"/>
                <w:szCs w:val="17"/>
              </w:rPr>
            </w:pPr>
            <w:r w:rsidRPr="00376618">
              <w:rPr>
                <w:sz w:val="17"/>
                <w:szCs w:val="17"/>
              </w:rPr>
              <w:t>Cash 60%; securities 25%; loans 18%</w:t>
            </w:r>
          </w:p>
        </w:tc>
        <w:tc>
          <w:tcPr>
            <w:tcW w:w="2313" w:type="pct"/>
            <w:vAlign w:val="center"/>
          </w:tcPr>
          <w:p w14:paraId="495AF3CA" w14:textId="77777777" w:rsidR="00302C3E" w:rsidRPr="00376618" w:rsidRDefault="00000000">
            <w:pPr>
              <w:rPr>
                <w:sz w:val="17"/>
                <w:szCs w:val="17"/>
              </w:rPr>
            </w:pPr>
            <w:r w:rsidRPr="00376618">
              <w:rPr>
                <w:sz w:val="17"/>
                <w:szCs w:val="17"/>
              </w:rPr>
              <w:t>Deposits 25%; wholesale funding 25%</w:t>
            </w:r>
          </w:p>
        </w:tc>
      </w:tr>
      <w:tr w:rsidR="00302C3E" w:rsidRPr="00376618" w14:paraId="2D3D6DF5" w14:textId="77777777" w:rsidTr="00376618">
        <w:trPr>
          <w:jc w:val="center"/>
        </w:trPr>
        <w:tc>
          <w:tcPr>
            <w:tcW w:w="477" w:type="pct"/>
            <w:vAlign w:val="center"/>
          </w:tcPr>
          <w:p w14:paraId="6C5FDC69" w14:textId="77777777" w:rsidR="00302C3E" w:rsidRPr="00376618" w:rsidRDefault="00000000">
            <w:pPr>
              <w:rPr>
                <w:sz w:val="17"/>
                <w:szCs w:val="17"/>
              </w:rPr>
            </w:pPr>
            <w:r w:rsidRPr="00376618">
              <w:rPr>
                <w:sz w:val="17"/>
                <w:szCs w:val="17"/>
              </w:rPr>
              <w:t>1-3M</w:t>
            </w:r>
          </w:p>
        </w:tc>
        <w:tc>
          <w:tcPr>
            <w:tcW w:w="2210" w:type="pct"/>
            <w:vAlign w:val="center"/>
          </w:tcPr>
          <w:p w14:paraId="349790D2" w14:textId="77777777" w:rsidR="00302C3E" w:rsidRPr="00376618" w:rsidRDefault="00000000">
            <w:pPr>
              <w:rPr>
                <w:sz w:val="17"/>
                <w:szCs w:val="17"/>
              </w:rPr>
            </w:pPr>
            <w:r w:rsidRPr="00376618">
              <w:rPr>
                <w:sz w:val="17"/>
                <w:szCs w:val="17"/>
              </w:rPr>
              <w:t>Cash 20%; securities 20%; loans 20%</w:t>
            </w:r>
          </w:p>
        </w:tc>
        <w:tc>
          <w:tcPr>
            <w:tcW w:w="2313" w:type="pct"/>
            <w:vAlign w:val="center"/>
          </w:tcPr>
          <w:p w14:paraId="359B98B0" w14:textId="77777777" w:rsidR="00302C3E" w:rsidRPr="00376618" w:rsidRDefault="00000000">
            <w:pPr>
              <w:rPr>
                <w:sz w:val="17"/>
                <w:szCs w:val="17"/>
              </w:rPr>
            </w:pPr>
            <w:r w:rsidRPr="00376618">
              <w:rPr>
                <w:sz w:val="17"/>
                <w:szCs w:val="17"/>
              </w:rPr>
              <w:t>Deposits 25%; wholesale funding 25%</w:t>
            </w:r>
          </w:p>
        </w:tc>
      </w:tr>
      <w:tr w:rsidR="00302C3E" w:rsidRPr="00376618" w14:paraId="3A9A5B58" w14:textId="77777777" w:rsidTr="00376618">
        <w:trPr>
          <w:jc w:val="center"/>
        </w:trPr>
        <w:tc>
          <w:tcPr>
            <w:tcW w:w="477" w:type="pct"/>
            <w:vAlign w:val="center"/>
          </w:tcPr>
          <w:p w14:paraId="28B01790" w14:textId="77777777" w:rsidR="00302C3E" w:rsidRPr="00376618" w:rsidRDefault="00000000">
            <w:pPr>
              <w:rPr>
                <w:sz w:val="17"/>
                <w:szCs w:val="17"/>
              </w:rPr>
            </w:pPr>
            <w:r w:rsidRPr="00376618">
              <w:rPr>
                <w:sz w:val="17"/>
                <w:szCs w:val="17"/>
              </w:rPr>
              <w:t>3-6M</w:t>
            </w:r>
          </w:p>
        </w:tc>
        <w:tc>
          <w:tcPr>
            <w:tcW w:w="2210" w:type="pct"/>
            <w:vAlign w:val="center"/>
          </w:tcPr>
          <w:p w14:paraId="0684B4B3" w14:textId="77777777" w:rsidR="00302C3E" w:rsidRPr="00376618" w:rsidRDefault="00000000">
            <w:pPr>
              <w:rPr>
                <w:sz w:val="17"/>
                <w:szCs w:val="17"/>
              </w:rPr>
            </w:pPr>
            <w:r w:rsidRPr="00376618">
              <w:rPr>
                <w:sz w:val="17"/>
                <w:szCs w:val="17"/>
              </w:rPr>
              <w:t>Cash 10%; securities 20%; loans 22%</w:t>
            </w:r>
          </w:p>
        </w:tc>
        <w:tc>
          <w:tcPr>
            <w:tcW w:w="2313" w:type="pct"/>
            <w:vAlign w:val="center"/>
          </w:tcPr>
          <w:p w14:paraId="2C14F226" w14:textId="77777777" w:rsidR="00302C3E" w:rsidRPr="00376618" w:rsidRDefault="00000000">
            <w:pPr>
              <w:rPr>
                <w:sz w:val="17"/>
                <w:szCs w:val="17"/>
              </w:rPr>
            </w:pPr>
            <w:r w:rsidRPr="00376618">
              <w:rPr>
                <w:sz w:val="17"/>
                <w:szCs w:val="17"/>
              </w:rPr>
              <w:t>Deposits 20%; wholesale funding 20%</w:t>
            </w:r>
          </w:p>
        </w:tc>
      </w:tr>
      <w:tr w:rsidR="00302C3E" w:rsidRPr="00376618" w14:paraId="065C72E4" w14:textId="77777777" w:rsidTr="00376618">
        <w:trPr>
          <w:jc w:val="center"/>
        </w:trPr>
        <w:tc>
          <w:tcPr>
            <w:tcW w:w="477" w:type="pct"/>
            <w:vAlign w:val="center"/>
          </w:tcPr>
          <w:p w14:paraId="4EAF1A02" w14:textId="77777777" w:rsidR="00302C3E" w:rsidRPr="00376618" w:rsidRDefault="00000000">
            <w:pPr>
              <w:rPr>
                <w:sz w:val="17"/>
                <w:szCs w:val="17"/>
              </w:rPr>
            </w:pPr>
            <w:r w:rsidRPr="00376618">
              <w:rPr>
                <w:sz w:val="17"/>
                <w:szCs w:val="17"/>
              </w:rPr>
              <w:t>6-12M</w:t>
            </w:r>
          </w:p>
        </w:tc>
        <w:tc>
          <w:tcPr>
            <w:tcW w:w="2210" w:type="pct"/>
            <w:vAlign w:val="center"/>
          </w:tcPr>
          <w:p w14:paraId="2E858CCE" w14:textId="77777777" w:rsidR="00302C3E" w:rsidRPr="00376618" w:rsidRDefault="00000000">
            <w:pPr>
              <w:rPr>
                <w:sz w:val="17"/>
                <w:szCs w:val="17"/>
              </w:rPr>
            </w:pPr>
            <w:r w:rsidRPr="00376618">
              <w:rPr>
                <w:sz w:val="17"/>
                <w:szCs w:val="17"/>
              </w:rPr>
              <w:t>Cash 5%; securities 15%; loans 20%</w:t>
            </w:r>
          </w:p>
        </w:tc>
        <w:tc>
          <w:tcPr>
            <w:tcW w:w="2313" w:type="pct"/>
            <w:vAlign w:val="center"/>
          </w:tcPr>
          <w:p w14:paraId="547778A7" w14:textId="77777777" w:rsidR="00302C3E" w:rsidRPr="00376618" w:rsidRDefault="00000000">
            <w:pPr>
              <w:rPr>
                <w:sz w:val="17"/>
                <w:szCs w:val="17"/>
              </w:rPr>
            </w:pPr>
            <w:r w:rsidRPr="00376618">
              <w:rPr>
                <w:sz w:val="17"/>
                <w:szCs w:val="17"/>
              </w:rPr>
              <w:t>Deposits 15%; wholesale funding 15%</w:t>
            </w:r>
          </w:p>
        </w:tc>
      </w:tr>
      <w:tr w:rsidR="00302C3E" w:rsidRPr="00376618" w14:paraId="166FE629" w14:textId="77777777" w:rsidTr="00376618">
        <w:trPr>
          <w:jc w:val="center"/>
        </w:trPr>
        <w:tc>
          <w:tcPr>
            <w:tcW w:w="477" w:type="pct"/>
            <w:vAlign w:val="center"/>
          </w:tcPr>
          <w:p w14:paraId="23B04E9A" w14:textId="77777777" w:rsidR="00302C3E" w:rsidRPr="00376618" w:rsidRDefault="00000000">
            <w:pPr>
              <w:rPr>
                <w:sz w:val="17"/>
                <w:szCs w:val="17"/>
              </w:rPr>
            </w:pPr>
            <w:r w:rsidRPr="00376618">
              <w:rPr>
                <w:sz w:val="17"/>
                <w:szCs w:val="17"/>
              </w:rPr>
              <w:t>1Y+</w:t>
            </w:r>
          </w:p>
        </w:tc>
        <w:tc>
          <w:tcPr>
            <w:tcW w:w="2210" w:type="pct"/>
            <w:vAlign w:val="center"/>
          </w:tcPr>
          <w:p w14:paraId="3DC41F25" w14:textId="77777777" w:rsidR="00302C3E" w:rsidRPr="00376618" w:rsidRDefault="00000000">
            <w:pPr>
              <w:rPr>
                <w:sz w:val="17"/>
                <w:szCs w:val="17"/>
              </w:rPr>
            </w:pPr>
            <w:r w:rsidRPr="00376618">
              <w:rPr>
                <w:sz w:val="17"/>
                <w:szCs w:val="17"/>
              </w:rPr>
              <w:t>Cash 5%; securities 20%; loans 20%</w:t>
            </w:r>
          </w:p>
        </w:tc>
        <w:tc>
          <w:tcPr>
            <w:tcW w:w="2313" w:type="pct"/>
            <w:vAlign w:val="center"/>
          </w:tcPr>
          <w:p w14:paraId="27EBA6EF" w14:textId="77777777" w:rsidR="00302C3E" w:rsidRPr="00376618" w:rsidRDefault="00000000">
            <w:pPr>
              <w:rPr>
                <w:sz w:val="17"/>
                <w:szCs w:val="17"/>
              </w:rPr>
            </w:pPr>
            <w:r w:rsidRPr="00376618">
              <w:rPr>
                <w:sz w:val="17"/>
                <w:szCs w:val="17"/>
              </w:rPr>
              <w:t>Deposits 15%; wholesale funding 15%</w:t>
            </w:r>
          </w:p>
        </w:tc>
      </w:tr>
      <w:tr w:rsidR="00302C3E" w:rsidRPr="00376618" w14:paraId="73DAEB58" w14:textId="77777777" w:rsidTr="00376618">
        <w:trPr>
          <w:jc w:val="center"/>
        </w:trPr>
        <w:tc>
          <w:tcPr>
            <w:tcW w:w="477" w:type="pct"/>
            <w:vAlign w:val="center"/>
          </w:tcPr>
          <w:p w14:paraId="5DDD635F" w14:textId="77777777" w:rsidR="00302C3E" w:rsidRPr="00376618" w:rsidRDefault="00000000">
            <w:pPr>
              <w:rPr>
                <w:sz w:val="17"/>
                <w:szCs w:val="17"/>
              </w:rPr>
            </w:pPr>
            <w:r w:rsidRPr="00376618">
              <w:rPr>
                <w:sz w:val="17"/>
                <w:szCs w:val="17"/>
              </w:rPr>
              <w:t>Check</w:t>
            </w:r>
          </w:p>
        </w:tc>
        <w:tc>
          <w:tcPr>
            <w:tcW w:w="2210" w:type="pct"/>
            <w:vAlign w:val="center"/>
          </w:tcPr>
          <w:p w14:paraId="113A215C" w14:textId="77777777" w:rsidR="00302C3E" w:rsidRPr="00376618" w:rsidRDefault="00000000">
            <w:pPr>
              <w:rPr>
                <w:sz w:val="17"/>
                <w:szCs w:val="17"/>
              </w:rPr>
            </w:pPr>
            <w:r w:rsidRPr="00376618">
              <w:rPr>
                <w:sz w:val="17"/>
                <w:szCs w:val="17"/>
              </w:rPr>
              <w:t>Allocations sum to 100% within each asset class</w:t>
            </w:r>
          </w:p>
        </w:tc>
        <w:tc>
          <w:tcPr>
            <w:tcW w:w="2313" w:type="pct"/>
            <w:vAlign w:val="center"/>
          </w:tcPr>
          <w:p w14:paraId="7E1E84D5" w14:textId="77777777" w:rsidR="00302C3E" w:rsidRPr="00376618" w:rsidRDefault="00000000">
            <w:pPr>
              <w:rPr>
                <w:sz w:val="17"/>
                <w:szCs w:val="17"/>
              </w:rPr>
            </w:pPr>
            <w:r w:rsidRPr="00376618">
              <w:rPr>
                <w:sz w:val="17"/>
                <w:szCs w:val="17"/>
              </w:rPr>
              <w:t>Allocations sum to 100% within each liability class</w:t>
            </w:r>
          </w:p>
        </w:tc>
      </w:tr>
    </w:tbl>
    <w:p w14:paraId="06ECFE7E" w14:textId="4CFB32E4" w:rsidR="00787AF0" w:rsidRPr="00787AF0" w:rsidRDefault="00787AF0" w:rsidP="00787AF0">
      <w:pPr>
        <w:jc w:val="center"/>
        <w:rPr>
          <w:b/>
          <w:bCs/>
          <w:sz w:val="18"/>
          <w:szCs w:val="18"/>
        </w:rPr>
      </w:pPr>
      <w:r w:rsidRPr="00787AF0">
        <w:rPr>
          <w:b/>
          <w:bCs/>
          <w:sz w:val="18"/>
          <w:szCs w:val="18"/>
        </w:rPr>
        <w:t>Table 3. Maturity ladder proxy allocation assumptions.</w:t>
      </w:r>
    </w:p>
    <w:p w14:paraId="3083747F" w14:textId="78C05E42" w:rsidR="00302C3E" w:rsidRPr="00787AF0" w:rsidRDefault="00000000">
      <w:pPr>
        <w:rPr>
          <w:sz w:val="20"/>
          <w:szCs w:val="20"/>
        </w:rPr>
      </w:pPr>
      <w:r w:rsidRPr="00787AF0">
        <w:rPr>
          <w:sz w:val="20"/>
          <w:szCs w:val="20"/>
        </w:rPr>
        <w:lastRenderedPageBreak/>
        <w:t xml:space="preserve">Assumption </w:t>
      </w:r>
      <w:proofErr w:type="gramStart"/>
      <w:r w:rsidRPr="00787AF0">
        <w:rPr>
          <w:sz w:val="20"/>
          <w:szCs w:val="20"/>
        </w:rPr>
        <w:t>note</w:t>
      </w:r>
      <w:proofErr w:type="gramEnd"/>
      <w:r w:rsidRPr="00787AF0">
        <w:rPr>
          <w:sz w:val="20"/>
          <w:szCs w:val="20"/>
        </w:rPr>
        <w:t>: the allocation is deliberately simple and transparent. It approximates how cash, securities, loans, deposits and wholesale funding could be distributed across maturity buckets for a public-data proxy; it does not model behavioral deposit stickiness, loan prepayments or internal rollover assumptions.</w:t>
      </w:r>
    </w:p>
    <w:p w14:paraId="3E190AC6" w14:textId="77777777" w:rsidR="00302C3E" w:rsidRDefault="00000000">
      <w:pPr>
        <w:spacing w:after="100" w:line="252" w:lineRule="auto"/>
        <w:jc w:val="center"/>
      </w:pPr>
      <w:r>
        <w:rPr>
          <w:noProof/>
        </w:rPr>
        <w:drawing>
          <wp:inline distT="0" distB="0" distL="0" distR="0" wp14:anchorId="41C328D5" wp14:editId="4F262C56">
            <wp:extent cx="4166544" cy="1818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maturity_funding.png"/>
                    <pic:cNvPicPr/>
                  </pic:nvPicPr>
                  <pic:blipFill>
                    <a:blip r:embed="rId16"/>
                    <a:stretch>
                      <a:fillRect/>
                    </a:stretch>
                  </pic:blipFill>
                  <pic:spPr>
                    <a:xfrm>
                      <a:off x="0" y="0"/>
                      <a:ext cx="4166544" cy="1818000"/>
                    </a:xfrm>
                    <a:prstGeom prst="rect">
                      <a:avLst/>
                    </a:prstGeom>
                  </pic:spPr>
                </pic:pic>
              </a:graphicData>
            </a:graphic>
          </wp:inline>
        </w:drawing>
      </w:r>
    </w:p>
    <w:p w14:paraId="7A04492A" w14:textId="2CEA3387" w:rsidR="00302C3E" w:rsidRDefault="00000000" w:rsidP="00787AF0">
      <w:pPr>
        <w:spacing w:after="100" w:line="252" w:lineRule="auto"/>
        <w:jc w:val="center"/>
      </w:pPr>
      <w:r w:rsidRPr="00376618">
        <w:rPr>
          <w:b/>
          <w:sz w:val="18"/>
          <w:szCs w:val="18"/>
        </w:rPr>
        <w:t xml:space="preserve">Figure </w:t>
      </w:r>
      <w:r w:rsidR="00376618">
        <w:rPr>
          <w:b/>
          <w:sz w:val="18"/>
          <w:szCs w:val="18"/>
        </w:rPr>
        <w:t>9</w:t>
      </w:r>
      <w:r w:rsidRPr="00376618">
        <w:rPr>
          <w:b/>
          <w:sz w:val="18"/>
          <w:szCs w:val="18"/>
        </w:rPr>
        <w:t>. Garanti BBVA maturity</w:t>
      </w:r>
      <w:r w:rsidR="00376618">
        <w:rPr>
          <w:b/>
          <w:sz w:val="18"/>
          <w:szCs w:val="18"/>
        </w:rPr>
        <w:t>-ladder proxy and weighted funding-</w:t>
      </w:r>
      <w:r w:rsidRPr="00376618">
        <w:rPr>
          <w:b/>
          <w:sz w:val="18"/>
          <w:szCs w:val="18"/>
        </w:rPr>
        <w:t>cost scenario.</w:t>
      </w:r>
    </w:p>
    <w:tbl>
      <w:tblPr>
        <w:tblStyle w:val="TabloKlavuzu"/>
        <w:tblW w:w="0" w:type="auto"/>
        <w:jc w:val="center"/>
        <w:tblLook w:val="04A0" w:firstRow="1" w:lastRow="0" w:firstColumn="1" w:lastColumn="0" w:noHBand="0" w:noVBand="1"/>
      </w:tblPr>
      <w:tblGrid>
        <w:gridCol w:w="1818"/>
        <w:gridCol w:w="2500"/>
        <w:gridCol w:w="2905"/>
        <w:gridCol w:w="2911"/>
      </w:tblGrid>
      <w:tr w:rsidR="00302C3E" w14:paraId="75C10BFD" w14:textId="77777777" w:rsidTr="00376618">
        <w:trPr>
          <w:tblHeader/>
          <w:jc w:val="center"/>
        </w:trPr>
        <w:tc>
          <w:tcPr>
            <w:tcW w:w="1818" w:type="dxa"/>
            <w:shd w:val="clear" w:color="auto" w:fill="D9EAF7"/>
            <w:tcMar>
              <w:top w:w="50" w:type="dxa"/>
              <w:left w:w="70" w:type="dxa"/>
              <w:bottom w:w="50" w:type="dxa"/>
              <w:right w:w="70" w:type="dxa"/>
            </w:tcMar>
            <w:vAlign w:val="center"/>
          </w:tcPr>
          <w:p w14:paraId="1177B677" w14:textId="77777777" w:rsidR="00302C3E" w:rsidRDefault="00000000">
            <w:r>
              <w:rPr>
                <w:b/>
                <w:color w:val="000000"/>
                <w:sz w:val="17"/>
              </w:rPr>
              <w:t>Scenario</w:t>
            </w:r>
          </w:p>
        </w:tc>
        <w:tc>
          <w:tcPr>
            <w:tcW w:w="2500" w:type="dxa"/>
            <w:shd w:val="clear" w:color="auto" w:fill="D9EAF7"/>
            <w:tcMar>
              <w:top w:w="50" w:type="dxa"/>
              <w:left w:w="70" w:type="dxa"/>
              <w:bottom w:w="50" w:type="dxa"/>
              <w:right w:w="70" w:type="dxa"/>
            </w:tcMar>
            <w:vAlign w:val="center"/>
          </w:tcPr>
          <w:p w14:paraId="389F9D6A" w14:textId="77777777" w:rsidR="00302C3E" w:rsidRDefault="00000000">
            <w:r>
              <w:rPr>
                <w:b/>
                <w:color w:val="000000"/>
                <w:sz w:val="17"/>
              </w:rPr>
              <w:t>Assumption</w:t>
            </w:r>
          </w:p>
        </w:tc>
        <w:tc>
          <w:tcPr>
            <w:tcW w:w="2905" w:type="dxa"/>
            <w:shd w:val="clear" w:color="auto" w:fill="D9EAF7"/>
            <w:tcMar>
              <w:top w:w="50" w:type="dxa"/>
              <w:left w:w="70" w:type="dxa"/>
              <w:bottom w:w="50" w:type="dxa"/>
              <w:right w:w="70" w:type="dxa"/>
            </w:tcMar>
            <w:vAlign w:val="center"/>
          </w:tcPr>
          <w:p w14:paraId="5E66CF76" w14:textId="77777777" w:rsidR="00302C3E" w:rsidRDefault="00000000">
            <w:r>
              <w:rPr>
                <w:b/>
                <w:color w:val="000000"/>
                <w:sz w:val="17"/>
              </w:rPr>
              <w:t>Expected treasury impact</w:t>
            </w:r>
          </w:p>
        </w:tc>
        <w:tc>
          <w:tcPr>
            <w:tcW w:w="2911" w:type="dxa"/>
            <w:shd w:val="clear" w:color="auto" w:fill="D9EAF7"/>
            <w:tcMar>
              <w:top w:w="50" w:type="dxa"/>
              <w:left w:w="70" w:type="dxa"/>
              <w:bottom w:w="50" w:type="dxa"/>
              <w:right w:w="70" w:type="dxa"/>
            </w:tcMar>
            <w:vAlign w:val="center"/>
          </w:tcPr>
          <w:p w14:paraId="2931C78C" w14:textId="77777777" w:rsidR="00302C3E" w:rsidRDefault="00000000">
            <w:r>
              <w:rPr>
                <w:b/>
                <w:color w:val="000000"/>
                <w:sz w:val="17"/>
              </w:rPr>
              <w:t>Management monitoring point</w:t>
            </w:r>
          </w:p>
        </w:tc>
      </w:tr>
      <w:tr w:rsidR="00302C3E" w14:paraId="55555587" w14:textId="77777777" w:rsidTr="00376618">
        <w:trPr>
          <w:jc w:val="center"/>
        </w:trPr>
        <w:tc>
          <w:tcPr>
            <w:tcW w:w="1818" w:type="dxa"/>
            <w:tcMar>
              <w:top w:w="50" w:type="dxa"/>
              <w:left w:w="70" w:type="dxa"/>
              <w:bottom w:w="50" w:type="dxa"/>
              <w:right w:w="70" w:type="dxa"/>
            </w:tcMar>
            <w:vAlign w:val="center"/>
          </w:tcPr>
          <w:p w14:paraId="09F5E9B7" w14:textId="77777777" w:rsidR="00302C3E" w:rsidRDefault="00000000">
            <w:r>
              <w:rPr>
                <w:sz w:val="17"/>
              </w:rPr>
              <w:t>Base case</w:t>
            </w:r>
          </w:p>
        </w:tc>
        <w:tc>
          <w:tcPr>
            <w:tcW w:w="2500" w:type="dxa"/>
            <w:tcMar>
              <w:top w:w="50" w:type="dxa"/>
              <w:left w:w="70" w:type="dxa"/>
              <w:bottom w:w="50" w:type="dxa"/>
              <w:right w:w="70" w:type="dxa"/>
            </w:tcMar>
            <w:vAlign w:val="center"/>
          </w:tcPr>
          <w:p w14:paraId="3A13CE3F" w14:textId="77777777" w:rsidR="00302C3E" w:rsidRDefault="00000000">
            <w:r>
              <w:rPr>
                <w:sz w:val="17"/>
              </w:rPr>
              <w:t>Current market rates and current balance-sheet structure</w:t>
            </w:r>
          </w:p>
        </w:tc>
        <w:tc>
          <w:tcPr>
            <w:tcW w:w="2905" w:type="dxa"/>
            <w:tcMar>
              <w:top w:w="50" w:type="dxa"/>
              <w:left w:w="70" w:type="dxa"/>
              <w:bottom w:w="50" w:type="dxa"/>
              <w:right w:w="70" w:type="dxa"/>
            </w:tcMar>
            <w:vAlign w:val="center"/>
          </w:tcPr>
          <w:p w14:paraId="24DC2CA4" w14:textId="77777777" w:rsidR="00302C3E" w:rsidRDefault="00000000">
            <w:r>
              <w:rPr>
                <w:sz w:val="17"/>
              </w:rPr>
              <w:t>Normal monitoring; elevated rate sensitivity remains</w:t>
            </w:r>
          </w:p>
        </w:tc>
        <w:tc>
          <w:tcPr>
            <w:tcW w:w="2911" w:type="dxa"/>
            <w:tcMar>
              <w:top w:w="50" w:type="dxa"/>
              <w:left w:w="70" w:type="dxa"/>
              <w:bottom w:w="50" w:type="dxa"/>
              <w:right w:w="70" w:type="dxa"/>
            </w:tcMar>
            <w:vAlign w:val="center"/>
          </w:tcPr>
          <w:p w14:paraId="2DA95CAE" w14:textId="77777777" w:rsidR="00302C3E" w:rsidRDefault="00000000">
            <w:r>
              <w:rPr>
                <w:sz w:val="17"/>
              </w:rPr>
              <w:t>Track TLREF-policy spread, deposit costs, and reserve buffer</w:t>
            </w:r>
          </w:p>
        </w:tc>
      </w:tr>
      <w:tr w:rsidR="00302C3E" w14:paraId="13D4A971" w14:textId="77777777" w:rsidTr="00376618">
        <w:trPr>
          <w:jc w:val="center"/>
        </w:trPr>
        <w:tc>
          <w:tcPr>
            <w:tcW w:w="1818" w:type="dxa"/>
            <w:tcMar>
              <w:top w:w="50" w:type="dxa"/>
              <w:left w:w="70" w:type="dxa"/>
              <w:bottom w:w="50" w:type="dxa"/>
              <w:right w:w="70" w:type="dxa"/>
            </w:tcMar>
            <w:vAlign w:val="center"/>
          </w:tcPr>
          <w:p w14:paraId="45BEFF79" w14:textId="77777777" w:rsidR="00302C3E" w:rsidRDefault="00000000">
            <w:r>
              <w:rPr>
                <w:sz w:val="17"/>
              </w:rPr>
              <w:t>FX depreciation stress</w:t>
            </w:r>
          </w:p>
        </w:tc>
        <w:tc>
          <w:tcPr>
            <w:tcW w:w="2500" w:type="dxa"/>
            <w:tcMar>
              <w:top w:w="50" w:type="dxa"/>
              <w:left w:w="70" w:type="dxa"/>
              <w:bottom w:w="50" w:type="dxa"/>
              <w:right w:w="70" w:type="dxa"/>
            </w:tcMar>
            <w:vAlign w:val="center"/>
          </w:tcPr>
          <w:p w14:paraId="4B5BA038" w14:textId="77777777" w:rsidR="00302C3E" w:rsidRDefault="00000000">
            <w:r>
              <w:rPr>
                <w:sz w:val="17"/>
              </w:rPr>
              <w:t>USD/TRY +10%; FX/gold volatility rises</w:t>
            </w:r>
          </w:p>
        </w:tc>
        <w:tc>
          <w:tcPr>
            <w:tcW w:w="2905" w:type="dxa"/>
            <w:tcMar>
              <w:top w:w="50" w:type="dxa"/>
              <w:left w:w="70" w:type="dxa"/>
              <w:bottom w:w="50" w:type="dxa"/>
              <w:right w:w="70" w:type="dxa"/>
            </w:tcMar>
            <w:vAlign w:val="center"/>
          </w:tcPr>
          <w:p w14:paraId="151E6754" w14:textId="77777777" w:rsidR="00302C3E" w:rsidRDefault="00000000">
            <w:r>
              <w:rPr>
                <w:sz w:val="17"/>
              </w:rPr>
              <w:t>Potential dollarization pressure and FC liquidity focus</w:t>
            </w:r>
          </w:p>
        </w:tc>
        <w:tc>
          <w:tcPr>
            <w:tcW w:w="2911" w:type="dxa"/>
            <w:tcMar>
              <w:top w:w="50" w:type="dxa"/>
              <w:left w:w="70" w:type="dxa"/>
              <w:bottom w:w="50" w:type="dxa"/>
              <w:right w:w="70" w:type="dxa"/>
            </w:tcMar>
            <w:vAlign w:val="center"/>
          </w:tcPr>
          <w:p w14:paraId="4A6EB2F8" w14:textId="77777777" w:rsidR="00302C3E" w:rsidRDefault="00000000">
            <w:r>
              <w:rPr>
                <w:sz w:val="17"/>
              </w:rPr>
              <w:t>Monitor FC deposits, FC position, reserve buffer, and hedge needs</w:t>
            </w:r>
          </w:p>
        </w:tc>
      </w:tr>
      <w:tr w:rsidR="00302C3E" w14:paraId="5876D0E1" w14:textId="77777777" w:rsidTr="00376618">
        <w:trPr>
          <w:jc w:val="center"/>
        </w:trPr>
        <w:tc>
          <w:tcPr>
            <w:tcW w:w="1818" w:type="dxa"/>
            <w:tcMar>
              <w:top w:w="50" w:type="dxa"/>
              <w:left w:w="70" w:type="dxa"/>
              <w:bottom w:w="50" w:type="dxa"/>
              <w:right w:w="70" w:type="dxa"/>
            </w:tcMar>
            <w:vAlign w:val="center"/>
          </w:tcPr>
          <w:p w14:paraId="60750341" w14:textId="77777777" w:rsidR="00302C3E" w:rsidRDefault="00000000">
            <w:r>
              <w:rPr>
                <w:sz w:val="17"/>
              </w:rPr>
              <w:t>Rate volatility stress</w:t>
            </w:r>
          </w:p>
        </w:tc>
        <w:tc>
          <w:tcPr>
            <w:tcW w:w="2500" w:type="dxa"/>
            <w:tcMar>
              <w:top w:w="50" w:type="dxa"/>
              <w:left w:w="70" w:type="dxa"/>
              <w:bottom w:w="50" w:type="dxa"/>
              <w:right w:w="70" w:type="dxa"/>
            </w:tcMar>
            <w:vAlign w:val="center"/>
          </w:tcPr>
          <w:p w14:paraId="040ABF17" w14:textId="77777777" w:rsidR="00302C3E" w:rsidRDefault="00000000">
            <w:r>
              <w:rPr>
                <w:sz w:val="17"/>
              </w:rPr>
              <w:t>TLREF +300 bps; short-end yields stay elevated</w:t>
            </w:r>
          </w:p>
        </w:tc>
        <w:tc>
          <w:tcPr>
            <w:tcW w:w="2905" w:type="dxa"/>
            <w:tcMar>
              <w:top w:w="50" w:type="dxa"/>
              <w:left w:w="70" w:type="dxa"/>
              <w:bottom w:w="50" w:type="dxa"/>
              <w:right w:w="70" w:type="dxa"/>
            </w:tcMar>
            <w:vAlign w:val="center"/>
          </w:tcPr>
          <w:p w14:paraId="2B518D1B" w14:textId="77777777" w:rsidR="00302C3E" w:rsidRDefault="00000000">
            <w:r>
              <w:rPr>
                <w:sz w:val="17"/>
              </w:rPr>
              <w:t>Higher funding cost and potential NII pressure if liabilities reprice faster</w:t>
            </w:r>
          </w:p>
        </w:tc>
        <w:tc>
          <w:tcPr>
            <w:tcW w:w="2911" w:type="dxa"/>
            <w:tcMar>
              <w:top w:w="50" w:type="dxa"/>
              <w:left w:w="70" w:type="dxa"/>
              <w:bottom w:w="50" w:type="dxa"/>
              <w:right w:w="70" w:type="dxa"/>
            </w:tcMar>
            <w:vAlign w:val="center"/>
          </w:tcPr>
          <w:p w14:paraId="729EFDAD" w14:textId="77777777" w:rsidR="00302C3E" w:rsidRDefault="00000000">
            <w:r>
              <w:rPr>
                <w:sz w:val="17"/>
              </w:rPr>
              <w:t>Repricing gap, deposit beta, securities duration, wholesale rollover</w:t>
            </w:r>
          </w:p>
        </w:tc>
      </w:tr>
      <w:tr w:rsidR="00302C3E" w14:paraId="4ED7A27F" w14:textId="77777777" w:rsidTr="00376618">
        <w:trPr>
          <w:jc w:val="center"/>
        </w:trPr>
        <w:tc>
          <w:tcPr>
            <w:tcW w:w="1818" w:type="dxa"/>
            <w:tcMar>
              <w:top w:w="50" w:type="dxa"/>
              <w:left w:w="70" w:type="dxa"/>
              <w:bottom w:w="50" w:type="dxa"/>
              <w:right w:w="70" w:type="dxa"/>
            </w:tcMar>
            <w:vAlign w:val="center"/>
          </w:tcPr>
          <w:p w14:paraId="61382B51" w14:textId="77777777" w:rsidR="00302C3E" w:rsidRDefault="00000000">
            <w:r>
              <w:rPr>
                <w:sz w:val="17"/>
              </w:rPr>
              <w:t>Liquidity tightening</w:t>
            </w:r>
          </w:p>
        </w:tc>
        <w:tc>
          <w:tcPr>
            <w:tcW w:w="2500" w:type="dxa"/>
            <w:tcMar>
              <w:top w:w="50" w:type="dxa"/>
              <w:left w:w="70" w:type="dxa"/>
              <w:bottom w:w="50" w:type="dxa"/>
              <w:right w:w="70" w:type="dxa"/>
            </w:tcMar>
            <w:vAlign w:val="center"/>
          </w:tcPr>
          <w:p w14:paraId="42E2ABA0" w14:textId="77777777" w:rsidR="00302C3E" w:rsidRDefault="00000000">
            <w:r>
              <w:rPr>
                <w:sz w:val="17"/>
              </w:rPr>
              <w:t>Deposit outflows increase; wholesale rollover becomes costlier</w:t>
            </w:r>
          </w:p>
        </w:tc>
        <w:tc>
          <w:tcPr>
            <w:tcW w:w="2905" w:type="dxa"/>
            <w:tcMar>
              <w:top w:w="50" w:type="dxa"/>
              <w:left w:w="70" w:type="dxa"/>
              <w:bottom w:w="50" w:type="dxa"/>
              <w:right w:w="70" w:type="dxa"/>
            </w:tcMar>
            <w:vAlign w:val="center"/>
          </w:tcPr>
          <w:p w14:paraId="0CDEF3DE" w14:textId="77777777" w:rsidR="00302C3E" w:rsidRDefault="00000000">
            <w:r>
              <w:rPr>
                <w:sz w:val="17"/>
              </w:rPr>
              <w:t>Liquidity buffer requirement rises; coverage proxy weakens</w:t>
            </w:r>
          </w:p>
        </w:tc>
        <w:tc>
          <w:tcPr>
            <w:tcW w:w="2911" w:type="dxa"/>
            <w:tcMar>
              <w:top w:w="50" w:type="dxa"/>
              <w:left w:w="70" w:type="dxa"/>
              <w:bottom w:w="50" w:type="dxa"/>
              <w:right w:w="70" w:type="dxa"/>
            </w:tcMar>
            <w:vAlign w:val="center"/>
          </w:tcPr>
          <w:p w14:paraId="603E3DD9" w14:textId="77777777" w:rsidR="00302C3E" w:rsidRDefault="00000000">
            <w:r>
              <w:rPr>
                <w:sz w:val="17"/>
              </w:rPr>
              <w:t>Short-term cash-flow ladder, collateral availability, repo capacity</w:t>
            </w:r>
          </w:p>
        </w:tc>
      </w:tr>
      <w:tr w:rsidR="00302C3E" w14:paraId="44706FBF" w14:textId="77777777" w:rsidTr="00376618">
        <w:trPr>
          <w:jc w:val="center"/>
        </w:trPr>
        <w:tc>
          <w:tcPr>
            <w:tcW w:w="1818" w:type="dxa"/>
            <w:tcMar>
              <w:top w:w="50" w:type="dxa"/>
              <w:left w:w="70" w:type="dxa"/>
              <w:bottom w:w="50" w:type="dxa"/>
              <w:right w:w="70" w:type="dxa"/>
            </w:tcMar>
            <w:vAlign w:val="center"/>
          </w:tcPr>
          <w:p w14:paraId="4181B4DC" w14:textId="77777777" w:rsidR="00302C3E" w:rsidRDefault="00000000">
            <w:r>
              <w:rPr>
                <w:sz w:val="17"/>
              </w:rPr>
              <w:t>Rate-cut scenario</w:t>
            </w:r>
          </w:p>
        </w:tc>
        <w:tc>
          <w:tcPr>
            <w:tcW w:w="2500" w:type="dxa"/>
            <w:tcMar>
              <w:top w:w="50" w:type="dxa"/>
              <w:left w:w="70" w:type="dxa"/>
              <w:bottom w:w="50" w:type="dxa"/>
              <w:right w:w="70" w:type="dxa"/>
            </w:tcMar>
            <w:vAlign w:val="center"/>
          </w:tcPr>
          <w:p w14:paraId="280423C8" w14:textId="77777777" w:rsidR="00302C3E" w:rsidRDefault="00000000">
            <w:r>
              <w:rPr>
                <w:sz w:val="17"/>
              </w:rPr>
              <w:t>Policy and market rates decline by 200 bps</w:t>
            </w:r>
          </w:p>
        </w:tc>
        <w:tc>
          <w:tcPr>
            <w:tcW w:w="2905" w:type="dxa"/>
            <w:tcMar>
              <w:top w:w="50" w:type="dxa"/>
              <w:left w:w="70" w:type="dxa"/>
              <w:bottom w:w="50" w:type="dxa"/>
              <w:right w:w="70" w:type="dxa"/>
            </w:tcMar>
            <w:vAlign w:val="center"/>
          </w:tcPr>
          <w:p w14:paraId="41DD6A8D" w14:textId="77777777" w:rsidR="00302C3E" w:rsidRDefault="00000000">
            <w:r>
              <w:rPr>
                <w:sz w:val="17"/>
              </w:rPr>
              <w:t>Funding cost relief but possible compression depending on asset repricing</w:t>
            </w:r>
          </w:p>
        </w:tc>
        <w:tc>
          <w:tcPr>
            <w:tcW w:w="2911" w:type="dxa"/>
            <w:tcMar>
              <w:top w:w="50" w:type="dxa"/>
              <w:left w:w="70" w:type="dxa"/>
              <w:bottom w:w="50" w:type="dxa"/>
              <w:right w:w="70" w:type="dxa"/>
            </w:tcMar>
            <w:vAlign w:val="center"/>
          </w:tcPr>
          <w:p w14:paraId="664D7438" w14:textId="77777777" w:rsidR="00302C3E" w:rsidRDefault="00000000">
            <w:r>
              <w:rPr>
                <w:sz w:val="17"/>
              </w:rPr>
              <w:t>Deposit repricing speed, asset yield reset, customer behavior</w:t>
            </w:r>
          </w:p>
        </w:tc>
      </w:tr>
    </w:tbl>
    <w:p w14:paraId="287BBF57" w14:textId="63B8A32C" w:rsidR="00302C3E" w:rsidRPr="00376618" w:rsidRDefault="00376618" w:rsidP="00376618">
      <w:pPr>
        <w:jc w:val="center"/>
        <w:rPr>
          <w:b/>
          <w:bCs/>
          <w:sz w:val="18"/>
          <w:szCs w:val="18"/>
        </w:rPr>
      </w:pPr>
      <w:r w:rsidRPr="00376618">
        <w:rPr>
          <w:b/>
          <w:bCs/>
          <w:sz w:val="18"/>
          <w:szCs w:val="18"/>
        </w:rPr>
        <w:t>Table 4. Scenario monitoring table.</w:t>
      </w:r>
    </w:p>
    <w:tbl>
      <w:tblPr>
        <w:tblStyle w:val="TabloKlavuzu"/>
        <w:tblW w:w="0" w:type="auto"/>
        <w:jc w:val="center"/>
        <w:tblLook w:val="04A0" w:firstRow="1" w:lastRow="0" w:firstColumn="1" w:lastColumn="0" w:noHBand="0" w:noVBand="1"/>
      </w:tblPr>
      <w:tblGrid>
        <w:gridCol w:w="2532"/>
        <w:gridCol w:w="1689"/>
        <w:gridCol w:w="2535"/>
        <w:gridCol w:w="3378"/>
      </w:tblGrid>
      <w:tr w:rsidR="00302C3E" w14:paraId="26A9AACB" w14:textId="77777777" w:rsidTr="00376618">
        <w:trPr>
          <w:tblHeader/>
          <w:jc w:val="center"/>
        </w:trPr>
        <w:tc>
          <w:tcPr>
            <w:tcW w:w="2532" w:type="dxa"/>
            <w:shd w:val="clear" w:color="auto" w:fill="D9EAF7"/>
            <w:tcMar>
              <w:top w:w="50" w:type="dxa"/>
              <w:left w:w="70" w:type="dxa"/>
              <w:bottom w:w="50" w:type="dxa"/>
              <w:right w:w="70" w:type="dxa"/>
            </w:tcMar>
            <w:vAlign w:val="center"/>
          </w:tcPr>
          <w:p w14:paraId="2E6834FD" w14:textId="77777777" w:rsidR="00302C3E" w:rsidRDefault="00000000">
            <w:r>
              <w:rPr>
                <w:b/>
                <w:color w:val="000000"/>
                <w:sz w:val="17"/>
              </w:rPr>
              <w:t>Scenario</w:t>
            </w:r>
          </w:p>
        </w:tc>
        <w:tc>
          <w:tcPr>
            <w:tcW w:w="1689" w:type="dxa"/>
            <w:shd w:val="clear" w:color="auto" w:fill="D9EAF7"/>
            <w:tcMar>
              <w:top w:w="50" w:type="dxa"/>
              <w:left w:w="70" w:type="dxa"/>
              <w:bottom w:w="50" w:type="dxa"/>
              <w:right w:w="70" w:type="dxa"/>
            </w:tcMar>
            <w:vAlign w:val="center"/>
          </w:tcPr>
          <w:p w14:paraId="6EC59337" w14:textId="77777777" w:rsidR="00302C3E" w:rsidRDefault="00000000">
            <w:r>
              <w:rPr>
                <w:b/>
                <w:color w:val="000000"/>
                <w:sz w:val="17"/>
              </w:rPr>
              <w:t>Rate shock</w:t>
            </w:r>
          </w:p>
        </w:tc>
        <w:tc>
          <w:tcPr>
            <w:tcW w:w="2535" w:type="dxa"/>
            <w:shd w:val="clear" w:color="auto" w:fill="D9EAF7"/>
            <w:tcMar>
              <w:top w:w="50" w:type="dxa"/>
              <w:left w:w="70" w:type="dxa"/>
              <w:bottom w:w="50" w:type="dxa"/>
              <w:right w:w="70" w:type="dxa"/>
            </w:tcMar>
            <w:vAlign w:val="center"/>
          </w:tcPr>
          <w:p w14:paraId="2CADA5DC" w14:textId="77777777" w:rsidR="00302C3E" w:rsidRDefault="00000000">
            <w:r>
              <w:rPr>
                <w:b/>
                <w:color w:val="000000"/>
                <w:sz w:val="17"/>
              </w:rPr>
              <w:t>Estimated annual repricing-gap impact</w:t>
            </w:r>
          </w:p>
        </w:tc>
        <w:tc>
          <w:tcPr>
            <w:tcW w:w="3378" w:type="dxa"/>
            <w:shd w:val="clear" w:color="auto" w:fill="D9EAF7"/>
            <w:tcMar>
              <w:top w:w="50" w:type="dxa"/>
              <w:left w:w="70" w:type="dxa"/>
              <w:bottom w:w="50" w:type="dxa"/>
              <w:right w:w="70" w:type="dxa"/>
            </w:tcMar>
            <w:vAlign w:val="center"/>
          </w:tcPr>
          <w:p w14:paraId="1CC0AC96" w14:textId="77777777" w:rsidR="00302C3E" w:rsidRDefault="00000000">
            <w:r>
              <w:rPr>
                <w:b/>
                <w:color w:val="000000"/>
                <w:sz w:val="17"/>
              </w:rPr>
              <w:t>Interpretation</w:t>
            </w:r>
          </w:p>
        </w:tc>
      </w:tr>
      <w:tr w:rsidR="00302C3E" w14:paraId="5C354F91" w14:textId="77777777" w:rsidTr="00376618">
        <w:trPr>
          <w:jc w:val="center"/>
        </w:trPr>
        <w:tc>
          <w:tcPr>
            <w:tcW w:w="2532" w:type="dxa"/>
            <w:tcMar>
              <w:top w:w="50" w:type="dxa"/>
              <w:left w:w="70" w:type="dxa"/>
              <w:bottom w:w="50" w:type="dxa"/>
              <w:right w:w="70" w:type="dxa"/>
            </w:tcMar>
            <w:vAlign w:val="center"/>
          </w:tcPr>
          <w:p w14:paraId="5609FF58" w14:textId="77777777" w:rsidR="00302C3E" w:rsidRDefault="00000000">
            <w:r>
              <w:rPr>
                <w:sz w:val="17"/>
              </w:rPr>
              <w:t>Rate cut -200 bps</w:t>
            </w:r>
          </w:p>
        </w:tc>
        <w:tc>
          <w:tcPr>
            <w:tcW w:w="1689" w:type="dxa"/>
            <w:tcMar>
              <w:top w:w="50" w:type="dxa"/>
              <w:left w:w="70" w:type="dxa"/>
              <w:bottom w:w="50" w:type="dxa"/>
              <w:right w:w="70" w:type="dxa"/>
            </w:tcMar>
            <w:vAlign w:val="center"/>
          </w:tcPr>
          <w:p w14:paraId="5895A564" w14:textId="77777777" w:rsidR="00302C3E" w:rsidRDefault="00000000">
            <w:r>
              <w:rPr>
                <w:sz w:val="17"/>
              </w:rPr>
              <w:t>-2.0 pp</w:t>
            </w:r>
          </w:p>
        </w:tc>
        <w:tc>
          <w:tcPr>
            <w:tcW w:w="2535" w:type="dxa"/>
            <w:tcMar>
              <w:top w:w="50" w:type="dxa"/>
              <w:left w:w="70" w:type="dxa"/>
              <w:bottom w:w="50" w:type="dxa"/>
              <w:right w:w="70" w:type="dxa"/>
            </w:tcMar>
            <w:vAlign w:val="center"/>
          </w:tcPr>
          <w:p w14:paraId="7FF6BFAC" w14:textId="77777777" w:rsidR="00302C3E" w:rsidRDefault="00000000">
            <w:r>
              <w:rPr>
                <w:sz w:val="17"/>
              </w:rPr>
              <w:t>TL 15.0bn</w:t>
            </w:r>
          </w:p>
        </w:tc>
        <w:tc>
          <w:tcPr>
            <w:tcW w:w="3378" w:type="dxa"/>
            <w:tcMar>
              <w:top w:w="50" w:type="dxa"/>
              <w:left w:w="70" w:type="dxa"/>
              <w:bottom w:w="50" w:type="dxa"/>
              <w:right w:w="70" w:type="dxa"/>
            </w:tcMar>
            <w:vAlign w:val="center"/>
          </w:tcPr>
          <w:p w14:paraId="38241B3A" w14:textId="77777777" w:rsidR="00302C3E" w:rsidRDefault="00000000">
            <w:r>
              <w:rPr>
                <w:sz w:val="17"/>
              </w:rPr>
              <w:t>Positive in this proxy because liabilities are assumed to reprice faster</w:t>
            </w:r>
          </w:p>
        </w:tc>
      </w:tr>
      <w:tr w:rsidR="00302C3E" w14:paraId="27053CA0" w14:textId="77777777" w:rsidTr="00376618">
        <w:trPr>
          <w:jc w:val="center"/>
        </w:trPr>
        <w:tc>
          <w:tcPr>
            <w:tcW w:w="2532" w:type="dxa"/>
            <w:tcMar>
              <w:top w:w="50" w:type="dxa"/>
              <w:left w:w="70" w:type="dxa"/>
              <w:bottom w:w="50" w:type="dxa"/>
              <w:right w:w="70" w:type="dxa"/>
            </w:tcMar>
            <w:vAlign w:val="center"/>
          </w:tcPr>
          <w:p w14:paraId="043A632B" w14:textId="77777777" w:rsidR="00302C3E" w:rsidRDefault="00000000">
            <w:r>
              <w:rPr>
                <w:sz w:val="17"/>
              </w:rPr>
              <w:t>Rate shock +100 bps</w:t>
            </w:r>
          </w:p>
        </w:tc>
        <w:tc>
          <w:tcPr>
            <w:tcW w:w="1689" w:type="dxa"/>
            <w:tcMar>
              <w:top w:w="50" w:type="dxa"/>
              <w:left w:w="70" w:type="dxa"/>
              <w:bottom w:w="50" w:type="dxa"/>
              <w:right w:w="70" w:type="dxa"/>
            </w:tcMar>
            <w:vAlign w:val="center"/>
          </w:tcPr>
          <w:p w14:paraId="4EFB14E7" w14:textId="77777777" w:rsidR="00302C3E" w:rsidRDefault="00000000">
            <w:r>
              <w:rPr>
                <w:sz w:val="17"/>
              </w:rPr>
              <w:t>+1.0 pp</w:t>
            </w:r>
          </w:p>
        </w:tc>
        <w:tc>
          <w:tcPr>
            <w:tcW w:w="2535" w:type="dxa"/>
            <w:tcMar>
              <w:top w:w="50" w:type="dxa"/>
              <w:left w:w="70" w:type="dxa"/>
              <w:bottom w:w="50" w:type="dxa"/>
              <w:right w:w="70" w:type="dxa"/>
            </w:tcMar>
            <w:vAlign w:val="center"/>
          </w:tcPr>
          <w:p w14:paraId="115DC92C" w14:textId="77777777" w:rsidR="00302C3E" w:rsidRDefault="00000000">
            <w:r>
              <w:rPr>
                <w:sz w:val="17"/>
              </w:rPr>
              <w:t>TL -7.5bn</w:t>
            </w:r>
          </w:p>
        </w:tc>
        <w:tc>
          <w:tcPr>
            <w:tcW w:w="3378" w:type="dxa"/>
            <w:tcMar>
              <w:top w:w="50" w:type="dxa"/>
              <w:left w:w="70" w:type="dxa"/>
              <w:bottom w:w="50" w:type="dxa"/>
              <w:right w:w="70" w:type="dxa"/>
            </w:tcMar>
            <w:vAlign w:val="center"/>
          </w:tcPr>
          <w:p w14:paraId="55FB5C00" w14:textId="77777777" w:rsidR="00302C3E" w:rsidRDefault="00000000">
            <w:r>
              <w:rPr>
                <w:sz w:val="17"/>
              </w:rPr>
              <w:t>Negative repricing-gap impact</w:t>
            </w:r>
          </w:p>
        </w:tc>
      </w:tr>
      <w:tr w:rsidR="00302C3E" w14:paraId="22875B8F" w14:textId="77777777" w:rsidTr="00376618">
        <w:trPr>
          <w:jc w:val="center"/>
        </w:trPr>
        <w:tc>
          <w:tcPr>
            <w:tcW w:w="2532" w:type="dxa"/>
            <w:tcMar>
              <w:top w:w="50" w:type="dxa"/>
              <w:left w:w="70" w:type="dxa"/>
              <w:bottom w:w="50" w:type="dxa"/>
              <w:right w:w="70" w:type="dxa"/>
            </w:tcMar>
            <w:vAlign w:val="center"/>
          </w:tcPr>
          <w:p w14:paraId="0EF38AB0" w14:textId="77777777" w:rsidR="00302C3E" w:rsidRDefault="00000000">
            <w:r>
              <w:rPr>
                <w:sz w:val="17"/>
              </w:rPr>
              <w:t>Liquidity tightening +300 bps</w:t>
            </w:r>
          </w:p>
        </w:tc>
        <w:tc>
          <w:tcPr>
            <w:tcW w:w="1689" w:type="dxa"/>
            <w:tcMar>
              <w:top w:w="50" w:type="dxa"/>
              <w:left w:w="70" w:type="dxa"/>
              <w:bottom w:w="50" w:type="dxa"/>
              <w:right w:w="70" w:type="dxa"/>
            </w:tcMar>
            <w:vAlign w:val="center"/>
          </w:tcPr>
          <w:p w14:paraId="301C3D22" w14:textId="77777777" w:rsidR="00302C3E" w:rsidRDefault="00000000">
            <w:r>
              <w:rPr>
                <w:sz w:val="17"/>
              </w:rPr>
              <w:t>+3.0 pp</w:t>
            </w:r>
          </w:p>
        </w:tc>
        <w:tc>
          <w:tcPr>
            <w:tcW w:w="2535" w:type="dxa"/>
            <w:tcMar>
              <w:top w:w="50" w:type="dxa"/>
              <w:left w:w="70" w:type="dxa"/>
              <w:bottom w:w="50" w:type="dxa"/>
              <w:right w:w="70" w:type="dxa"/>
            </w:tcMar>
            <w:vAlign w:val="center"/>
          </w:tcPr>
          <w:p w14:paraId="466207DC" w14:textId="77777777" w:rsidR="00302C3E" w:rsidRDefault="00000000">
            <w:r>
              <w:rPr>
                <w:sz w:val="17"/>
              </w:rPr>
              <w:t>TL -22.6bn</w:t>
            </w:r>
          </w:p>
        </w:tc>
        <w:tc>
          <w:tcPr>
            <w:tcW w:w="3378" w:type="dxa"/>
            <w:tcMar>
              <w:top w:w="50" w:type="dxa"/>
              <w:left w:w="70" w:type="dxa"/>
              <w:bottom w:w="50" w:type="dxa"/>
              <w:right w:w="70" w:type="dxa"/>
            </w:tcMar>
            <w:vAlign w:val="center"/>
          </w:tcPr>
          <w:p w14:paraId="39D459D7" w14:textId="77777777" w:rsidR="00302C3E" w:rsidRDefault="00000000">
            <w:r>
              <w:rPr>
                <w:sz w:val="17"/>
              </w:rPr>
              <w:t>Amplifies funding and margin pressure</w:t>
            </w:r>
          </w:p>
        </w:tc>
      </w:tr>
    </w:tbl>
    <w:p w14:paraId="4E48AD57" w14:textId="552EC2E3" w:rsidR="00376618" w:rsidRPr="00376618" w:rsidRDefault="00376618" w:rsidP="00376618">
      <w:pPr>
        <w:jc w:val="center"/>
        <w:rPr>
          <w:b/>
          <w:bCs/>
          <w:sz w:val="18"/>
          <w:szCs w:val="18"/>
        </w:rPr>
      </w:pPr>
      <w:r w:rsidRPr="00376618">
        <w:rPr>
          <w:b/>
          <w:bCs/>
          <w:sz w:val="18"/>
          <w:szCs w:val="18"/>
        </w:rPr>
        <w:t>Table 5. Simplified repricing-gap sensitivity.</w:t>
      </w:r>
    </w:p>
    <w:p w14:paraId="3DD0373E" w14:textId="5A496F88" w:rsidR="00302C3E" w:rsidRPr="00376618" w:rsidRDefault="00000000" w:rsidP="00787AF0">
      <w:pPr>
        <w:pStyle w:val="Balk1"/>
        <w:spacing w:before="0"/>
        <w:rPr>
          <w:sz w:val="24"/>
          <w:szCs w:val="24"/>
        </w:rPr>
      </w:pPr>
      <w:r w:rsidRPr="00376618">
        <w:rPr>
          <w:rFonts w:ascii="Garamond" w:eastAsia="Garamond" w:hAnsi="Garamond"/>
          <w:sz w:val="24"/>
          <w:szCs w:val="24"/>
        </w:rPr>
        <w:t>10. Conclusion and Application Relevance</w:t>
      </w:r>
    </w:p>
    <w:p w14:paraId="77E42B7F" w14:textId="77777777" w:rsidR="00302C3E" w:rsidRPr="00787AF0" w:rsidRDefault="00000000">
      <w:pPr>
        <w:spacing w:after="100" w:line="252" w:lineRule="auto"/>
        <w:rPr>
          <w:sz w:val="20"/>
          <w:szCs w:val="20"/>
        </w:rPr>
      </w:pPr>
      <w:r w:rsidRPr="00787AF0">
        <w:rPr>
          <w:sz w:val="20"/>
          <w:szCs w:val="20"/>
        </w:rPr>
        <w:t>The case demonstrates a practical treasury workflow: collect public data, standardize frequencies, build core funding and liquidity metrics, translate market signals into risk labels, and connect sector-level indicators to a selected-bank ALM proxy. The main value of the project is not a single forecast or target value, but a structured monitoring system that can be adapted to bank treasury, corporate treasury, ALM, liquidity risk, money market operations, or treasury technology roles.</w:t>
      </w:r>
    </w:p>
    <w:p w14:paraId="0765AF83" w14:textId="77777777" w:rsidR="00302C3E" w:rsidRPr="00787AF0" w:rsidRDefault="00000000">
      <w:pPr>
        <w:spacing w:after="100" w:line="252" w:lineRule="auto"/>
        <w:rPr>
          <w:sz w:val="20"/>
          <w:szCs w:val="20"/>
        </w:rPr>
      </w:pPr>
      <w:r w:rsidRPr="00787AF0">
        <w:rPr>
          <w:sz w:val="20"/>
          <w:szCs w:val="20"/>
        </w:rPr>
        <w:t>The strongest application signal is the combination of public data, clean dashboard design, transparent proxy construction, and management-style interpretation. The analysis is deliberately conservative about what cannot be observed from public data: it does not claim to reproduce a bank’s internal LCR, FTP, behavioral cash-flow ladder, or true internal NII model.</w:t>
      </w:r>
    </w:p>
    <w:p w14:paraId="630AD82E" w14:textId="77777777" w:rsidR="00302C3E" w:rsidRPr="00376618" w:rsidRDefault="00000000" w:rsidP="00787AF0">
      <w:pPr>
        <w:pStyle w:val="Balk1"/>
        <w:pageBreakBefore/>
        <w:spacing w:before="0"/>
        <w:rPr>
          <w:sz w:val="24"/>
          <w:szCs w:val="24"/>
        </w:rPr>
      </w:pPr>
      <w:r w:rsidRPr="00376618">
        <w:rPr>
          <w:rFonts w:ascii="Garamond" w:eastAsia="Garamond" w:hAnsi="Garamond"/>
          <w:sz w:val="24"/>
          <w:szCs w:val="24"/>
        </w:rPr>
        <w:lastRenderedPageBreak/>
        <w:t>Appendix A - Supporting Charts and Method Notes</w:t>
      </w:r>
    </w:p>
    <w:tbl>
      <w:tblPr>
        <w:tblStyle w:val="TabloKlavuzu"/>
        <w:tblW w:w="5000" w:type="pct"/>
        <w:jc w:val="center"/>
        <w:tblLook w:val="04A0" w:firstRow="1" w:lastRow="0" w:firstColumn="1" w:lastColumn="0" w:noHBand="0" w:noVBand="1"/>
      </w:tblPr>
      <w:tblGrid>
        <w:gridCol w:w="1154"/>
        <w:gridCol w:w="3804"/>
        <w:gridCol w:w="2908"/>
        <w:gridCol w:w="2268"/>
      </w:tblGrid>
      <w:tr w:rsidR="00302C3E" w14:paraId="28BFE094" w14:textId="77777777" w:rsidTr="00376618">
        <w:trPr>
          <w:tblHeader/>
          <w:jc w:val="center"/>
        </w:trPr>
        <w:tc>
          <w:tcPr>
            <w:tcW w:w="569" w:type="pct"/>
            <w:shd w:val="clear" w:color="auto" w:fill="D9EAF7"/>
            <w:tcMar>
              <w:top w:w="50" w:type="dxa"/>
              <w:left w:w="70" w:type="dxa"/>
              <w:bottom w:w="50" w:type="dxa"/>
              <w:right w:w="70" w:type="dxa"/>
            </w:tcMar>
            <w:vAlign w:val="center"/>
          </w:tcPr>
          <w:p w14:paraId="32144144" w14:textId="77777777" w:rsidR="00302C3E" w:rsidRDefault="00000000">
            <w:r>
              <w:rPr>
                <w:b/>
                <w:color w:val="000000"/>
                <w:sz w:val="17"/>
              </w:rPr>
              <w:t>Data block</w:t>
            </w:r>
          </w:p>
        </w:tc>
        <w:tc>
          <w:tcPr>
            <w:tcW w:w="1877" w:type="pct"/>
            <w:shd w:val="clear" w:color="auto" w:fill="D9EAF7"/>
            <w:tcMar>
              <w:top w:w="50" w:type="dxa"/>
              <w:left w:w="70" w:type="dxa"/>
              <w:bottom w:w="50" w:type="dxa"/>
              <w:right w:w="70" w:type="dxa"/>
            </w:tcMar>
            <w:vAlign w:val="center"/>
          </w:tcPr>
          <w:p w14:paraId="4E189E66" w14:textId="77777777" w:rsidR="00302C3E" w:rsidRDefault="00000000">
            <w:r>
              <w:rPr>
                <w:b/>
                <w:color w:val="000000"/>
                <w:sz w:val="17"/>
              </w:rPr>
              <w:t>Source / file family</w:t>
            </w:r>
          </w:p>
        </w:tc>
        <w:tc>
          <w:tcPr>
            <w:tcW w:w="1435" w:type="pct"/>
            <w:shd w:val="clear" w:color="auto" w:fill="D9EAF7"/>
            <w:tcMar>
              <w:top w:w="50" w:type="dxa"/>
              <w:left w:w="70" w:type="dxa"/>
              <w:bottom w:w="50" w:type="dxa"/>
              <w:right w:w="70" w:type="dxa"/>
            </w:tcMar>
            <w:vAlign w:val="center"/>
          </w:tcPr>
          <w:p w14:paraId="2181A0F3" w14:textId="77777777" w:rsidR="00302C3E" w:rsidRDefault="00000000">
            <w:r>
              <w:rPr>
                <w:b/>
                <w:color w:val="000000"/>
                <w:sz w:val="17"/>
              </w:rPr>
              <w:t>Frequency treatment</w:t>
            </w:r>
          </w:p>
        </w:tc>
        <w:tc>
          <w:tcPr>
            <w:tcW w:w="1119" w:type="pct"/>
            <w:shd w:val="clear" w:color="auto" w:fill="D9EAF7"/>
            <w:tcMar>
              <w:top w:w="50" w:type="dxa"/>
              <w:left w:w="70" w:type="dxa"/>
              <w:bottom w:w="50" w:type="dxa"/>
              <w:right w:w="70" w:type="dxa"/>
            </w:tcMar>
            <w:vAlign w:val="center"/>
          </w:tcPr>
          <w:p w14:paraId="0508415B" w14:textId="77777777" w:rsidR="00302C3E" w:rsidRDefault="00000000">
            <w:r>
              <w:rPr>
                <w:b/>
                <w:color w:val="000000"/>
                <w:sz w:val="17"/>
              </w:rPr>
              <w:t>Main use</w:t>
            </w:r>
          </w:p>
        </w:tc>
      </w:tr>
      <w:tr w:rsidR="00302C3E" w14:paraId="50F9C774" w14:textId="77777777" w:rsidTr="00376618">
        <w:trPr>
          <w:jc w:val="center"/>
        </w:trPr>
        <w:tc>
          <w:tcPr>
            <w:tcW w:w="569" w:type="pct"/>
            <w:tcMar>
              <w:top w:w="50" w:type="dxa"/>
              <w:left w:w="70" w:type="dxa"/>
              <w:bottom w:w="50" w:type="dxa"/>
              <w:right w:w="70" w:type="dxa"/>
            </w:tcMar>
            <w:vAlign w:val="center"/>
          </w:tcPr>
          <w:p w14:paraId="64176129" w14:textId="77777777" w:rsidR="00302C3E" w:rsidRDefault="00000000">
            <w:r>
              <w:rPr>
                <w:sz w:val="17"/>
              </w:rPr>
              <w:t>Policy rate</w:t>
            </w:r>
          </w:p>
        </w:tc>
        <w:tc>
          <w:tcPr>
            <w:tcW w:w="1877" w:type="pct"/>
            <w:tcMar>
              <w:top w:w="50" w:type="dxa"/>
              <w:left w:w="70" w:type="dxa"/>
              <w:bottom w:w="50" w:type="dxa"/>
              <w:right w:w="70" w:type="dxa"/>
            </w:tcMar>
            <w:vAlign w:val="center"/>
          </w:tcPr>
          <w:p w14:paraId="6FF7421A" w14:textId="77777777" w:rsidR="00302C3E" w:rsidRDefault="00000000">
            <w:r>
              <w:rPr>
                <w:sz w:val="17"/>
              </w:rPr>
              <w:t>TCMB 1-week repo rate</w:t>
            </w:r>
          </w:p>
        </w:tc>
        <w:tc>
          <w:tcPr>
            <w:tcW w:w="1435" w:type="pct"/>
            <w:tcMar>
              <w:top w:w="50" w:type="dxa"/>
              <w:left w:w="70" w:type="dxa"/>
              <w:bottom w:w="50" w:type="dxa"/>
              <w:right w:w="70" w:type="dxa"/>
            </w:tcMar>
            <w:vAlign w:val="center"/>
          </w:tcPr>
          <w:p w14:paraId="7BAFC1F9" w14:textId="77777777" w:rsidR="00302C3E" w:rsidRDefault="00000000">
            <w:r>
              <w:rPr>
                <w:sz w:val="17"/>
              </w:rPr>
              <w:t>Decision dates carried forward to weekly</w:t>
            </w:r>
          </w:p>
        </w:tc>
        <w:tc>
          <w:tcPr>
            <w:tcW w:w="1119" w:type="pct"/>
            <w:tcMar>
              <w:top w:w="50" w:type="dxa"/>
              <w:left w:w="70" w:type="dxa"/>
              <w:bottom w:w="50" w:type="dxa"/>
              <w:right w:w="70" w:type="dxa"/>
            </w:tcMar>
            <w:vAlign w:val="center"/>
          </w:tcPr>
          <w:p w14:paraId="20B16844" w14:textId="77777777" w:rsidR="00302C3E" w:rsidRDefault="00000000">
            <w:r>
              <w:rPr>
                <w:sz w:val="17"/>
              </w:rPr>
              <w:t>Policy anchor</w:t>
            </w:r>
          </w:p>
        </w:tc>
      </w:tr>
      <w:tr w:rsidR="00302C3E" w14:paraId="559D4589" w14:textId="77777777" w:rsidTr="00376618">
        <w:trPr>
          <w:jc w:val="center"/>
        </w:trPr>
        <w:tc>
          <w:tcPr>
            <w:tcW w:w="569" w:type="pct"/>
            <w:tcMar>
              <w:top w:w="50" w:type="dxa"/>
              <w:left w:w="70" w:type="dxa"/>
              <w:bottom w:w="50" w:type="dxa"/>
              <w:right w:w="70" w:type="dxa"/>
            </w:tcMar>
            <w:vAlign w:val="center"/>
          </w:tcPr>
          <w:p w14:paraId="19658350" w14:textId="77777777" w:rsidR="00302C3E" w:rsidRDefault="00000000">
            <w:r>
              <w:rPr>
                <w:sz w:val="17"/>
              </w:rPr>
              <w:t>TLREF</w:t>
            </w:r>
          </w:p>
        </w:tc>
        <w:tc>
          <w:tcPr>
            <w:tcW w:w="1877" w:type="pct"/>
            <w:tcMar>
              <w:top w:w="50" w:type="dxa"/>
              <w:left w:w="70" w:type="dxa"/>
              <w:bottom w:w="50" w:type="dxa"/>
              <w:right w:w="70" w:type="dxa"/>
            </w:tcMar>
            <w:vAlign w:val="center"/>
          </w:tcPr>
          <w:p w14:paraId="666B4331" w14:textId="77777777" w:rsidR="00302C3E" w:rsidRDefault="00000000">
            <w:r>
              <w:rPr>
                <w:sz w:val="17"/>
              </w:rPr>
              <w:t>BIST TLREF historical data</w:t>
            </w:r>
          </w:p>
        </w:tc>
        <w:tc>
          <w:tcPr>
            <w:tcW w:w="1435" w:type="pct"/>
            <w:tcMar>
              <w:top w:w="50" w:type="dxa"/>
              <w:left w:w="70" w:type="dxa"/>
              <w:bottom w:w="50" w:type="dxa"/>
              <w:right w:w="70" w:type="dxa"/>
            </w:tcMar>
            <w:vAlign w:val="center"/>
          </w:tcPr>
          <w:p w14:paraId="3BFD924E" w14:textId="77777777" w:rsidR="00302C3E" w:rsidRDefault="00000000">
            <w:r>
              <w:rPr>
                <w:sz w:val="17"/>
              </w:rPr>
              <w:t>Daily to weekly observation</w:t>
            </w:r>
          </w:p>
        </w:tc>
        <w:tc>
          <w:tcPr>
            <w:tcW w:w="1119" w:type="pct"/>
            <w:tcMar>
              <w:top w:w="50" w:type="dxa"/>
              <w:left w:w="70" w:type="dxa"/>
              <w:bottom w:w="50" w:type="dxa"/>
              <w:right w:w="70" w:type="dxa"/>
            </w:tcMar>
            <w:vAlign w:val="center"/>
          </w:tcPr>
          <w:p w14:paraId="09E29C92" w14:textId="77777777" w:rsidR="00302C3E" w:rsidRDefault="00000000">
            <w:r>
              <w:rPr>
                <w:sz w:val="17"/>
              </w:rPr>
              <w:t>Overnight TL funding proxy</w:t>
            </w:r>
          </w:p>
        </w:tc>
      </w:tr>
      <w:tr w:rsidR="00302C3E" w14:paraId="6BCD21F0" w14:textId="77777777" w:rsidTr="00376618">
        <w:trPr>
          <w:jc w:val="center"/>
        </w:trPr>
        <w:tc>
          <w:tcPr>
            <w:tcW w:w="569" w:type="pct"/>
            <w:tcMar>
              <w:top w:w="50" w:type="dxa"/>
              <w:left w:w="70" w:type="dxa"/>
              <w:bottom w:w="50" w:type="dxa"/>
              <w:right w:w="70" w:type="dxa"/>
            </w:tcMar>
            <w:vAlign w:val="center"/>
          </w:tcPr>
          <w:p w14:paraId="0D8170F7" w14:textId="77777777" w:rsidR="00302C3E" w:rsidRDefault="00000000">
            <w:r>
              <w:rPr>
                <w:sz w:val="17"/>
              </w:rPr>
              <w:t>FX and gold</w:t>
            </w:r>
          </w:p>
        </w:tc>
        <w:tc>
          <w:tcPr>
            <w:tcW w:w="1877" w:type="pct"/>
            <w:tcMar>
              <w:top w:w="50" w:type="dxa"/>
              <w:left w:w="70" w:type="dxa"/>
              <w:bottom w:w="50" w:type="dxa"/>
              <w:right w:w="70" w:type="dxa"/>
            </w:tcMar>
            <w:vAlign w:val="center"/>
          </w:tcPr>
          <w:p w14:paraId="39D75F31" w14:textId="77777777" w:rsidR="00302C3E" w:rsidRDefault="00000000">
            <w:r>
              <w:rPr>
                <w:sz w:val="17"/>
              </w:rPr>
              <w:t>USD/TRY, EUR/TRY, GAU/TRY market data</w:t>
            </w:r>
          </w:p>
        </w:tc>
        <w:tc>
          <w:tcPr>
            <w:tcW w:w="1435" w:type="pct"/>
            <w:tcMar>
              <w:top w:w="50" w:type="dxa"/>
              <w:left w:w="70" w:type="dxa"/>
              <w:bottom w:w="50" w:type="dxa"/>
              <w:right w:w="70" w:type="dxa"/>
            </w:tcMar>
            <w:vAlign w:val="center"/>
          </w:tcPr>
          <w:p w14:paraId="166B9BC4" w14:textId="77777777" w:rsidR="00302C3E" w:rsidRDefault="00000000">
            <w:r>
              <w:rPr>
                <w:sz w:val="17"/>
              </w:rPr>
              <w:t>Daily to weekly observation</w:t>
            </w:r>
          </w:p>
        </w:tc>
        <w:tc>
          <w:tcPr>
            <w:tcW w:w="1119" w:type="pct"/>
            <w:tcMar>
              <w:top w:w="50" w:type="dxa"/>
              <w:left w:w="70" w:type="dxa"/>
              <w:bottom w:w="50" w:type="dxa"/>
              <w:right w:w="70" w:type="dxa"/>
            </w:tcMar>
            <w:vAlign w:val="center"/>
          </w:tcPr>
          <w:p w14:paraId="39437430" w14:textId="77777777" w:rsidR="00302C3E" w:rsidRDefault="00000000">
            <w:r>
              <w:rPr>
                <w:sz w:val="17"/>
              </w:rPr>
              <w:t>FX/gold liquidity watch</w:t>
            </w:r>
          </w:p>
        </w:tc>
      </w:tr>
      <w:tr w:rsidR="00302C3E" w14:paraId="2B305864" w14:textId="77777777" w:rsidTr="00376618">
        <w:trPr>
          <w:jc w:val="center"/>
        </w:trPr>
        <w:tc>
          <w:tcPr>
            <w:tcW w:w="569" w:type="pct"/>
            <w:tcMar>
              <w:top w:w="50" w:type="dxa"/>
              <w:left w:w="70" w:type="dxa"/>
              <w:bottom w:w="50" w:type="dxa"/>
              <w:right w:w="70" w:type="dxa"/>
            </w:tcMar>
            <w:vAlign w:val="center"/>
          </w:tcPr>
          <w:p w14:paraId="379BDF7C" w14:textId="77777777" w:rsidR="00302C3E" w:rsidRDefault="00000000">
            <w:r>
              <w:rPr>
                <w:sz w:val="17"/>
              </w:rPr>
              <w:t>Inflation</w:t>
            </w:r>
          </w:p>
        </w:tc>
        <w:tc>
          <w:tcPr>
            <w:tcW w:w="1877" w:type="pct"/>
            <w:tcMar>
              <w:top w:w="50" w:type="dxa"/>
              <w:left w:w="70" w:type="dxa"/>
              <w:bottom w:w="50" w:type="dxa"/>
              <w:right w:w="70" w:type="dxa"/>
            </w:tcMar>
            <w:vAlign w:val="center"/>
          </w:tcPr>
          <w:p w14:paraId="71D97614" w14:textId="77777777" w:rsidR="00302C3E" w:rsidRDefault="00000000">
            <w:r>
              <w:rPr>
                <w:sz w:val="17"/>
              </w:rPr>
              <w:t>TCMB/TURKSTAT CPI YoY</w:t>
            </w:r>
          </w:p>
        </w:tc>
        <w:tc>
          <w:tcPr>
            <w:tcW w:w="1435" w:type="pct"/>
            <w:tcMar>
              <w:top w:w="50" w:type="dxa"/>
              <w:left w:w="70" w:type="dxa"/>
              <w:bottom w:w="50" w:type="dxa"/>
              <w:right w:w="70" w:type="dxa"/>
            </w:tcMar>
            <w:vAlign w:val="center"/>
          </w:tcPr>
          <w:p w14:paraId="3E93DBE5" w14:textId="77777777" w:rsidR="00302C3E" w:rsidRDefault="00000000">
            <w:r>
              <w:rPr>
                <w:sz w:val="17"/>
              </w:rPr>
              <w:t>Monthly forward-filled to weekly</w:t>
            </w:r>
          </w:p>
        </w:tc>
        <w:tc>
          <w:tcPr>
            <w:tcW w:w="1119" w:type="pct"/>
            <w:tcMar>
              <w:top w:w="50" w:type="dxa"/>
              <w:left w:w="70" w:type="dxa"/>
              <w:bottom w:w="50" w:type="dxa"/>
              <w:right w:w="70" w:type="dxa"/>
            </w:tcMar>
            <w:vAlign w:val="center"/>
          </w:tcPr>
          <w:p w14:paraId="4967B8FB" w14:textId="77777777" w:rsidR="00302C3E" w:rsidRDefault="00000000">
            <w:r>
              <w:rPr>
                <w:sz w:val="17"/>
              </w:rPr>
              <w:t>Real policy-rate proxy</w:t>
            </w:r>
          </w:p>
        </w:tc>
      </w:tr>
      <w:tr w:rsidR="00302C3E" w14:paraId="692030DD" w14:textId="77777777" w:rsidTr="00376618">
        <w:trPr>
          <w:jc w:val="center"/>
        </w:trPr>
        <w:tc>
          <w:tcPr>
            <w:tcW w:w="569" w:type="pct"/>
            <w:tcMar>
              <w:top w:w="50" w:type="dxa"/>
              <w:left w:w="70" w:type="dxa"/>
              <w:bottom w:w="50" w:type="dxa"/>
              <w:right w:w="70" w:type="dxa"/>
            </w:tcMar>
            <w:vAlign w:val="center"/>
          </w:tcPr>
          <w:p w14:paraId="78BBBAAF" w14:textId="77777777" w:rsidR="00302C3E" w:rsidRDefault="00000000">
            <w:r>
              <w:rPr>
                <w:sz w:val="17"/>
              </w:rPr>
              <w:t>Yields</w:t>
            </w:r>
          </w:p>
        </w:tc>
        <w:tc>
          <w:tcPr>
            <w:tcW w:w="1877" w:type="pct"/>
            <w:tcMar>
              <w:top w:w="50" w:type="dxa"/>
              <w:left w:w="70" w:type="dxa"/>
              <w:bottom w:w="50" w:type="dxa"/>
              <w:right w:w="70" w:type="dxa"/>
            </w:tcMar>
            <w:vAlign w:val="center"/>
          </w:tcPr>
          <w:p w14:paraId="54F5BAEB" w14:textId="77777777" w:rsidR="00302C3E" w:rsidRDefault="00000000">
            <w:r>
              <w:rPr>
                <w:sz w:val="17"/>
              </w:rPr>
              <w:t>Turkey 2Y/5Y/10Y public yield data</w:t>
            </w:r>
          </w:p>
        </w:tc>
        <w:tc>
          <w:tcPr>
            <w:tcW w:w="1435" w:type="pct"/>
            <w:tcMar>
              <w:top w:w="50" w:type="dxa"/>
              <w:left w:w="70" w:type="dxa"/>
              <w:bottom w:w="50" w:type="dxa"/>
              <w:right w:w="70" w:type="dxa"/>
            </w:tcMar>
            <w:vAlign w:val="center"/>
          </w:tcPr>
          <w:p w14:paraId="7210A00F" w14:textId="77777777" w:rsidR="00302C3E" w:rsidRDefault="00000000">
            <w:r>
              <w:rPr>
                <w:sz w:val="17"/>
              </w:rPr>
              <w:t>Daily to weekly observation</w:t>
            </w:r>
          </w:p>
        </w:tc>
        <w:tc>
          <w:tcPr>
            <w:tcW w:w="1119" w:type="pct"/>
            <w:tcMar>
              <w:top w:w="50" w:type="dxa"/>
              <w:left w:w="70" w:type="dxa"/>
              <w:bottom w:w="50" w:type="dxa"/>
              <w:right w:w="70" w:type="dxa"/>
            </w:tcMar>
            <w:vAlign w:val="center"/>
          </w:tcPr>
          <w:p w14:paraId="02D965BA" w14:textId="77777777" w:rsidR="00302C3E" w:rsidRDefault="00000000">
            <w:r>
              <w:rPr>
                <w:sz w:val="17"/>
              </w:rPr>
              <w:t>Yield curve and duration risk</w:t>
            </w:r>
          </w:p>
        </w:tc>
      </w:tr>
      <w:tr w:rsidR="00302C3E" w14:paraId="3C9FEA43" w14:textId="77777777" w:rsidTr="00376618">
        <w:trPr>
          <w:jc w:val="center"/>
        </w:trPr>
        <w:tc>
          <w:tcPr>
            <w:tcW w:w="569" w:type="pct"/>
            <w:tcMar>
              <w:top w:w="50" w:type="dxa"/>
              <w:left w:w="70" w:type="dxa"/>
              <w:bottom w:w="50" w:type="dxa"/>
              <w:right w:w="70" w:type="dxa"/>
            </w:tcMar>
            <w:vAlign w:val="center"/>
          </w:tcPr>
          <w:p w14:paraId="12FF7325" w14:textId="77777777" w:rsidR="00302C3E" w:rsidRDefault="00000000">
            <w:r>
              <w:rPr>
                <w:sz w:val="17"/>
              </w:rPr>
              <w:t>Banking sector</w:t>
            </w:r>
          </w:p>
        </w:tc>
        <w:tc>
          <w:tcPr>
            <w:tcW w:w="1877" w:type="pct"/>
            <w:tcMar>
              <w:top w:w="50" w:type="dxa"/>
              <w:left w:w="70" w:type="dxa"/>
              <w:bottom w:w="50" w:type="dxa"/>
              <w:right w:w="70" w:type="dxa"/>
            </w:tcMar>
            <w:vAlign w:val="center"/>
          </w:tcPr>
          <w:p w14:paraId="6CF10949" w14:textId="77777777" w:rsidR="00302C3E" w:rsidRDefault="00000000">
            <w:r>
              <w:rPr>
                <w:sz w:val="17"/>
              </w:rPr>
              <w:t>Loans, deposits, securities, FX position, reserves</w:t>
            </w:r>
          </w:p>
        </w:tc>
        <w:tc>
          <w:tcPr>
            <w:tcW w:w="1435" w:type="pct"/>
            <w:tcMar>
              <w:top w:w="50" w:type="dxa"/>
              <w:left w:w="70" w:type="dxa"/>
              <w:bottom w:w="50" w:type="dxa"/>
              <w:right w:w="70" w:type="dxa"/>
            </w:tcMar>
            <w:vAlign w:val="center"/>
          </w:tcPr>
          <w:p w14:paraId="75FE3438" w14:textId="77777777" w:rsidR="00302C3E" w:rsidRDefault="00000000">
            <w:r>
              <w:rPr>
                <w:sz w:val="17"/>
              </w:rPr>
              <w:t>Weekly alignment</w:t>
            </w:r>
          </w:p>
        </w:tc>
        <w:tc>
          <w:tcPr>
            <w:tcW w:w="1119" w:type="pct"/>
            <w:tcMar>
              <w:top w:w="50" w:type="dxa"/>
              <w:left w:w="70" w:type="dxa"/>
              <w:bottom w:w="50" w:type="dxa"/>
              <w:right w:w="70" w:type="dxa"/>
            </w:tcMar>
            <w:vAlign w:val="center"/>
          </w:tcPr>
          <w:p w14:paraId="34264E8B" w14:textId="77777777" w:rsidR="00302C3E" w:rsidRDefault="00000000">
            <w:r>
              <w:rPr>
                <w:sz w:val="17"/>
              </w:rPr>
              <w:t>Sector liquidity and stress score</w:t>
            </w:r>
          </w:p>
        </w:tc>
      </w:tr>
      <w:tr w:rsidR="00302C3E" w14:paraId="5E202D2E" w14:textId="77777777" w:rsidTr="00376618">
        <w:trPr>
          <w:jc w:val="center"/>
        </w:trPr>
        <w:tc>
          <w:tcPr>
            <w:tcW w:w="569" w:type="pct"/>
            <w:tcMar>
              <w:top w:w="50" w:type="dxa"/>
              <w:left w:w="70" w:type="dxa"/>
              <w:bottom w:w="50" w:type="dxa"/>
              <w:right w:w="70" w:type="dxa"/>
            </w:tcMar>
            <w:vAlign w:val="center"/>
          </w:tcPr>
          <w:p w14:paraId="5DEAD5EB" w14:textId="77777777" w:rsidR="00302C3E" w:rsidRDefault="00000000">
            <w:r>
              <w:rPr>
                <w:sz w:val="17"/>
              </w:rPr>
              <w:t>Selected bank</w:t>
            </w:r>
          </w:p>
        </w:tc>
        <w:tc>
          <w:tcPr>
            <w:tcW w:w="1877" w:type="pct"/>
            <w:tcMar>
              <w:top w:w="50" w:type="dxa"/>
              <w:left w:w="70" w:type="dxa"/>
              <w:bottom w:w="50" w:type="dxa"/>
              <w:right w:w="70" w:type="dxa"/>
            </w:tcMar>
            <w:vAlign w:val="center"/>
          </w:tcPr>
          <w:p w14:paraId="151D8073" w14:textId="77777777" w:rsidR="00302C3E" w:rsidRDefault="00000000">
            <w:r>
              <w:rPr>
                <w:sz w:val="17"/>
              </w:rPr>
              <w:t>Garanti BBVA unconsolidated financials, 1Q25-1Q26</w:t>
            </w:r>
          </w:p>
        </w:tc>
        <w:tc>
          <w:tcPr>
            <w:tcW w:w="1435" w:type="pct"/>
            <w:tcMar>
              <w:top w:w="50" w:type="dxa"/>
              <w:left w:w="70" w:type="dxa"/>
              <w:bottom w:w="50" w:type="dxa"/>
              <w:right w:w="70" w:type="dxa"/>
            </w:tcMar>
            <w:vAlign w:val="center"/>
          </w:tcPr>
          <w:p w14:paraId="27D57AB8" w14:textId="77777777" w:rsidR="00302C3E" w:rsidRDefault="00000000">
            <w:r>
              <w:rPr>
                <w:sz w:val="17"/>
              </w:rPr>
              <w:t>Quarterly bank-specific extension</w:t>
            </w:r>
          </w:p>
        </w:tc>
        <w:tc>
          <w:tcPr>
            <w:tcW w:w="1119" w:type="pct"/>
            <w:tcMar>
              <w:top w:w="50" w:type="dxa"/>
              <w:left w:w="70" w:type="dxa"/>
              <w:bottom w:w="50" w:type="dxa"/>
              <w:right w:w="70" w:type="dxa"/>
            </w:tcMar>
            <w:vAlign w:val="center"/>
          </w:tcPr>
          <w:p w14:paraId="43D1AE80" w14:textId="77777777" w:rsidR="00302C3E" w:rsidRDefault="00000000">
            <w:r>
              <w:rPr>
                <w:sz w:val="17"/>
              </w:rPr>
              <w:t>ALM proxy inputs</w:t>
            </w:r>
          </w:p>
        </w:tc>
      </w:tr>
    </w:tbl>
    <w:p w14:paraId="13721EE5" w14:textId="77777777" w:rsidR="00302C3E" w:rsidRPr="00376618" w:rsidRDefault="00000000">
      <w:pPr>
        <w:spacing w:after="100" w:line="252" w:lineRule="auto"/>
        <w:jc w:val="center"/>
        <w:rPr>
          <w:sz w:val="18"/>
          <w:szCs w:val="18"/>
        </w:rPr>
      </w:pPr>
      <w:r w:rsidRPr="00376618">
        <w:rPr>
          <w:b/>
          <w:sz w:val="18"/>
          <w:szCs w:val="18"/>
        </w:rPr>
        <w:t>Appendix Table A1. Data sources, frequency treatment, and dashboard use.</w:t>
      </w:r>
    </w:p>
    <w:p w14:paraId="1C180139" w14:textId="77777777" w:rsidR="00302C3E" w:rsidRDefault="00000000">
      <w:pPr>
        <w:spacing w:after="100" w:line="252" w:lineRule="auto"/>
        <w:jc w:val="center"/>
      </w:pPr>
      <w:r>
        <w:rPr>
          <w:noProof/>
        </w:rPr>
        <w:drawing>
          <wp:inline distT="0" distB="0" distL="0" distR="0" wp14:anchorId="2B9BCE93" wp14:editId="03911C92">
            <wp:extent cx="3994101" cy="2088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2_fx_gold_volatility.png"/>
                    <pic:cNvPicPr/>
                  </pic:nvPicPr>
                  <pic:blipFill>
                    <a:blip r:embed="rId17"/>
                    <a:stretch>
                      <a:fillRect/>
                    </a:stretch>
                  </pic:blipFill>
                  <pic:spPr>
                    <a:xfrm>
                      <a:off x="0" y="0"/>
                      <a:ext cx="3994101" cy="2088000"/>
                    </a:xfrm>
                    <a:prstGeom prst="rect">
                      <a:avLst/>
                    </a:prstGeom>
                  </pic:spPr>
                </pic:pic>
              </a:graphicData>
            </a:graphic>
          </wp:inline>
        </w:drawing>
      </w:r>
    </w:p>
    <w:p w14:paraId="5FF3ACDD" w14:textId="111FEC7C" w:rsidR="00302C3E" w:rsidRPr="00376618" w:rsidRDefault="00000000">
      <w:pPr>
        <w:spacing w:after="100" w:line="252" w:lineRule="auto"/>
        <w:jc w:val="center"/>
        <w:rPr>
          <w:sz w:val="18"/>
          <w:szCs w:val="18"/>
        </w:rPr>
      </w:pPr>
      <w:r w:rsidRPr="00376618">
        <w:rPr>
          <w:b/>
          <w:sz w:val="18"/>
          <w:szCs w:val="18"/>
        </w:rPr>
        <w:t>Appendix Figure A</w:t>
      </w:r>
      <w:r w:rsidR="00376618" w:rsidRPr="00376618">
        <w:rPr>
          <w:b/>
          <w:sz w:val="18"/>
          <w:szCs w:val="18"/>
        </w:rPr>
        <w:t>1</w:t>
      </w:r>
      <w:r w:rsidRPr="00376618">
        <w:rPr>
          <w:b/>
          <w:sz w:val="18"/>
          <w:szCs w:val="18"/>
        </w:rPr>
        <w:t>. FX and gold rolling volatility.</w:t>
      </w:r>
    </w:p>
    <w:p w14:paraId="223B8D3A" w14:textId="77777777" w:rsidR="00302C3E" w:rsidRDefault="00000000">
      <w:pPr>
        <w:spacing w:after="100" w:line="252" w:lineRule="auto"/>
        <w:jc w:val="center"/>
      </w:pPr>
      <w:r>
        <w:rPr>
          <w:noProof/>
        </w:rPr>
        <w:drawing>
          <wp:inline distT="0" distB="0" distL="0" distR="0" wp14:anchorId="15F80C39" wp14:editId="06CD56DF">
            <wp:extent cx="3996663" cy="2088000"/>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3_loan_deposit_growth.png"/>
                    <pic:cNvPicPr/>
                  </pic:nvPicPr>
                  <pic:blipFill>
                    <a:blip r:embed="rId18"/>
                    <a:stretch>
                      <a:fillRect/>
                    </a:stretch>
                  </pic:blipFill>
                  <pic:spPr>
                    <a:xfrm>
                      <a:off x="0" y="0"/>
                      <a:ext cx="3996663" cy="2088000"/>
                    </a:xfrm>
                    <a:prstGeom prst="rect">
                      <a:avLst/>
                    </a:prstGeom>
                  </pic:spPr>
                </pic:pic>
              </a:graphicData>
            </a:graphic>
          </wp:inline>
        </w:drawing>
      </w:r>
    </w:p>
    <w:p w14:paraId="61A5B5F9" w14:textId="34C49476" w:rsidR="00302C3E" w:rsidRPr="00376618" w:rsidRDefault="00000000">
      <w:pPr>
        <w:spacing w:after="100" w:line="252" w:lineRule="auto"/>
        <w:jc w:val="center"/>
        <w:rPr>
          <w:sz w:val="18"/>
          <w:szCs w:val="18"/>
        </w:rPr>
      </w:pPr>
      <w:r w:rsidRPr="00376618">
        <w:rPr>
          <w:b/>
          <w:sz w:val="18"/>
          <w:szCs w:val="18"/>
        </w:rPr>
        <w:t>Appendix Figure A</w:t>
      </w:r>
      <w:r w:rsidR="00376618" w:rsidRPr="00376618">
        <w:rPr>
          <w:b/>
          <w:sz w:val="18"/>
          <w:szCs w:val="18"/>
        </w:rPr>
        <w:t>2</w:t>
      </w:r>
      <w:r w:rsidRPr="00376618">
        <w:rPr>
          <w:b/>
          <w:sz w:val="18"/>
          <w:szCs w:val="18"/>
        </w:rPr>
        <w:t>. Loan growth vs deposit growth.</w:t>
      </w:r>
    </w:p>
    <w:p w14:paraId="2D42EB5F" w14:textId="77777777" w:rsidR="00302C3E" w:rsidRDefault="00000000">
      <w:pPr>
        <w:spacing w:after="100" w:line="252" w:lineRule="auto"/>
        <w:jc w:val="center"/>
      </w:pPr>
      <w:r>
        <w:rPr>
          <w:noProof/>
        </w:rPr>
        <w:lastRenderedPageBreak/>
        <w:drawing>
          <wp:inline distT="0" distB="0" distL="0" distR="0" wp14:anchorId="6DCACCAD" wp14:editId="701DBF9C">
            <wp:extent cx="3985617" cy="26460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4_deposit_composition.png"/>
                    <pic:cNvPicPr/>
                  </pic:nvPicPr>
                  <pic:blipFill>
                    <a:blip r:embed="rId19"/>
                    <a:stretch>
                      <a:fillRect/>
                    </a:stretch>
                  </pic:blipFill>
                  <pic:spPr>
                    <a:xfrm>
                      <a:off x="0" y="0"/>
                      <a:ext cx="3985617" cy="2646000"/>
                    </a:xfrm>
                    <a:prstGeom prst="rect">
                      <a:avLst/>
                    </a:prstGeom>
                  </pic:spPr>
                </pic:pic>
              </a:graphicData>
            </a:graphic>
          </wp:inline>
        </w:drawing>
      </w:r>
    </w:p>
    <w:p w14:paraId="7B4C7426" w14:textId="763FCDA0" w:rsidR="00302C3E" w:rsidRPr="00376618" w:rsidRDefault="00000000">
      <w:pPr>
        <w:spacing w:after="100" w:line="252" w:lineRule="auto"/>
        <w:jc w:val="center"/>
        <w:rPr>
          <w:sz w:val="18"/>
          <w:szCs w:val="18"/>
        </w:rPr>
      </w:pPr>
      <w:r w:rsidRPr="00376618">
        <w:rPr>
          <w:b/>
          <w:sz w:val="18"/>
          <w:szCs w:val="18"/>
        </w:rPr>
        <w:t>Appendix Figure A</w:t>
      </w:r>
      <w:r w:rsidR="00376618" w:rsidRPr="00376618">
        <w:rPr>
          <w:b/>
          <w:sz w:val="18"/>
          <w:szCs w:val="18"/>
        </w:rPr>
        <w:t>3</w:t>
      </w:r>
      <w:r w:rsidRPr="00376618">
        <w:rPr>
          <w:b/>
          <w:sz w:val="18"/>
          <w:szCs w:val="18"/>
        </w:rPr>
        <w:t>. Deposit composition: demand/term and customer-type shares.</w:t>
      </w:r>
    </w:p>
    <w:p w14:paraId="3F10D170" w14:textId="77777777" w:rsidR="00302C3E" w:rsidRDefault="00000000">
      <w:pPr>
        <w:spacing w:after="100" w:line="252" w:lineRule="auto"/>
        <w:jc w:val="center"/>
      </w:pPr>
      <w:r>
        <w:rPr>
          <w:noProof/>
        </w:rPr>
        <w:drawing>
          <wp:inline distT="0" distB="0" distL="0" distR="0" wp14:anchorId="5C03F9D6" wp14:editId="76CD0A4F">
            <wp:extent cx="3985617" cy="264600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5_fx_position_capital.png"/>
                    <pic:cNvPicPr/>
                  </pic:nvPicPr>
                  <pic:blipFill>
                    <a:blip r:embed="rId20"/>
                    <a:stretch>
                      <a:fillRect/>
                    </a:stretch>
                  </pic:blipFill>
                  <pic:spPr>
                    <a:xfrm>
                      <a:off x="0" y="0"/>
                      <a:ext cx="3985617" cy="2646000"/>
                    </a:xfrm>
                    <a:prstGeom prst="rect">
                      <a:avLst/>
                    </a:prstGeom>
                  </pic:spPr>
                </pic:pic>
              </a:graphicData>
            </a:graphic>
          </wp:inline>
        </w:drawing>
      </w:r>
    </w:p>
    <w:p w14:paraId="033F844B" w14:textId="58940097" w:rsidR="00302C3E" w:rsidRPr="00376618" w:rsidRDefault="00000000">
      <w:pPr>
        <w:spacing w:after="100" w:line="252" w:lineRule="auto"/>
        <w:jc w:val="center"/>
        <w:rPr>
          <w:sz w:val="18"/>
          <w:szCs w:val="18"/>
        </w:rPr>
      </w:pPr>
      <w:r w:rsidRPr="00376618">
        <w:rPr>
          <w:b/>
          <w:sz w:val="18"/>
          <w:szCs w:val="18"/>
        </w:rPr>
        <w:t>Appendix Figure A</w:t>
      </w:r>
      <w:r w:rsidR="00376618">
        <w:rPr>
          <w:b/>
          <w:sz w:val="18"/>
          <w:szCs w:val="18"/>
        </w:rPr>
        <w:t>4</w:t>
      </w:r>
      <w:r w:rsidRPr="00376618">
        <w:rPr>
          <w:b/>
          <w:sz w:val="18"/>
          <w:szCs w:val="18"/>
        </w:rPr>
        <w:t>. FX general position and capital-relative FX risk.</w:t>
      </w:r>
    </w:p>
    <w:tbl>
      <w:tblPr>
        <w:tblStyle w:val="TabloKlavuzu"/>
        <w:tblW w:w="5000" w:type="pct"/>
        <w:jc w:val="center"/>
        <w:tblLook w:val="04A0" w:firstRow="1" w:lastRow="0" w:firstColumn="1" w:lastColumn="0" w:noHBand="0" w:noVBand="1"/>
      </w:tblPr>
      <w:tblGrid>
        <w:gridCol w:w="1752"/>
        <w:gridCol w:w="4223"/>
        <w:gridCol w:w="4159"/>
      </w:tblGrid>
      <w:tr w:rsidR="00302C3E" w:rsidRPr="00376618" w14:paraId="578C13EF" w14:textId="77777777" w:rsidTr="00376618">
        <w:trPr>
          <w:tblHeader/>
          <w:jc w:val="center"/>
        </w:trPr>
        <w:tc>
          <w:tcPr>
            <w:tcW w:w="864" w:type="pct"/>
            <w:shd w:val="clear" w:color="auto" w:fill="D9EAF7"/>
            <w:tcMar>
              <w:top w:w="50" w:type="dxa"/>
              <w:left w:w="70" w:type="dxa"/>
              <w:bottom w:w="50" w:type="dxa"/>
              <w:right w:w="70" w:type="dxa"/>
            </w:tcMar>
            <w:vAlign w:val="center"/>
          </w:tcPr>
          <w:p w14:paraId="36C2D31D" w14:textId="77777777" w:rsidR="00302C3E" w:rsidRPr="00376618" w:rsidRDefault="00000000">
            <w:pPr>
              <w:rPr>
                <w:sz w:val="17"/>
                <w:szCs w:val="17"/>
              </w:rPr>
            </w:pPr>
            <w:r w:rsidRPr="00376618">
              <w:rPr>
                <w:b/>
                <w:color w:val="000000"/>
                <w:sz w:val="17"/>
                <w:szCs w:val="17"/>
              </w:rPr>
              <w:t>Proxy item</w:t>
            </w:r>
          </w:p>
        </w:tc>
        <w:tc>
          <w:tcPr>
            <w:tcW w:w="2083" w:type="pct"/>
            <w:shd w:val="clear" w:color="auto" w:fill="D9EAF7"/>
            <w:tcMar>
              <w:top w:w="50" w:type="dxa"/>
              <w:left w:w="70" w:type="dxa"/>
              <w:bottom w:w="50" w:type="dxa"/>
              <w:right w:w="70" w:type="dxa"/>
            </w:tcMar>
            <w:vAlign w:val="center"/>
          </w:tcPr>
          <w:p w14:paraId="6B29DD45" w14:textId="77777777" w:rsidR="00302C3E" w:rsidRPr="00376618" w:rsidRDefault="00000000">
            <w:pPr>
              <w:rPr>
                <w:sz w:val="17"/>
                <w:szCs w:val="17"/>
              </w:rPr>
            </w:pPr>
            <w:r w:rsidRPr="00376618">
              <w:rPr>
                <w:b/>
                <w:color w:val="000000"/>
                <w:sz w:val="17"/>
                <w:szCs w:val="17"/>
              </w:rPr>
              <w:t>Construction</w:t>
            </w:r>
          </w:p>
        </w:tc>
        <w:tc>
          <w:tcPr>
            <w:tcW w:w="2052" w:type="pct"/>
            <w:shd w:val="clear" w:color="auto" w:fill="D9EAF7"/>
            <w:tcMar>
              <w:top w:w="50" w:type="dxa"/>
              <w:left w:w="70" w:type="dxa"/>
              <w:bottom w:w="50" w:type="dxa"/>
              <w:right w:w="70" w:type="dxa"/>
            </w:tcMar>
            <w:vAlign w:val="center"/>
          </w:tcPr>
          <w:p w14:paraId="401A99D3" w14:textId="77777777" w:rsidR="00302C3E" w:rsidRPr="00376618" w:rsidRDefault="00000000">
            <w:pPr>
              <w:rPr>
                <w:sz w:val="17"/>
                <w:szCs w:val="17"/>
              </w:rPr>
            </w:pPr>
            <w:r w:rsidRPr="00376618">
              <w:rPr>
                <w:b/>
                <w:color w:val="000000"/>
                <w:sz w:val="17"/>
                <w:szCs w:val="17"/>
              </w:rPr>
              <w:t>Caveat</w:t>
            </w:r>
          </w:p>
        </w:tc>
      </w:tr>
      <w:tr w:rsidR="00302C3E" w:rsidRPr="00376618" w14:paraId="6BE15E4C" w14:textId="77777777" w:rsidTr="00376618">
        <w:trPr>
          <w:jc w:val="center"/>
        </w:trPr>
        <w:tc>
          <w:tcPr>
            <w:tcW w:w="864" w:type="pct"/>
            <w:tcMar>
              <w:top w:w="50" w:type="dxa"/>
              <w:left w:w="70" w:type="dxa"/>
              <w:bottom w:w="50" w:type="dxa"/>
              <w:right w:w="70" w:type="dxa"/>
            </w:tcMar>
            <w:vAlign w:val="center"/>
          </w:tcPr>
          <w:p w14:paraId="33E5A153" w14:textId="77777777" w:rsidR="00302C3E" w:rsidRPr="00376618" w:rsidRDefault="00000000">
            <w:pPr>
              <w:rPr>
                <w:sz w:val="17"/>
                <w:szCs w:val="17"/>
              </w:rPr>
            </w:pPr>
            <w:r w:rsidRPr="00376618">
              <w:rPr>
                <w:sz w:val="17"/>
                <w:szCs w:val="17"/>
              </w:rPr>
              <w:t>Liquidity coverage proxy</w:t>
            </w:r>
          </w:p>
        </w:tc>
        <w:tc>
          <w:tcPr>
            <w:tcW w:w="2083" w:type="pct"/>
            <w:tcMar>
              <w:top w:w="50" w:type="dxa"/>
              <w:left w:w="70" w:type="dxa"/>
              <w:bottom w:w="50" w:type="dxa"/>
              <w:right w:w="70" w:type="dxa"/>
            </w:tcMar>
            <w:vAlign w:val="center"/>
          </w:tcPr>
          <w:p w14:paraId="0B6ABD67" w14:textId="77777777" w:rsidR="00302C3E" w:rsidRPr="00376618" w:rsidRDefault="00000000">
            <w:pPr>
              <w:rPr>
                <w:sz w:val="17"/>
                <w:szCs w:val="17"/>
              </w:rPr>
            </w:pPr>
            <w:r w:rsidRPr="00376618">
              <w:rPr>
                <w:sz w:val="17"/>
                <w:szCs w:val="17"/>
              </w:rPr>
              <w:t>Post-haircut cash + securities divided by stressed outflows</w:t>
            </w:r>
          </w:p>
        </w:tc>
        <w:tc>
          <w:tcPr>
            <w:tcW w:w="2052" w:type="pct"/>
            <w:tcMar>
              <w:top w:w="50" w:type="dxa"/>
              <w:left w:w="70" w:type="dxa"/>
              <w:bottom w:w="50" w:type="dxa"/>
              <w:right w:w="70" w:type="dxa"/>
            </w:tcMar>
            <w:vAlign w:val="center"/>
          </w:tcPr>
          <w:p w14:paraId="18F0E080" w14:textId="77777777" w:rsidR="00302C3E" w:rsidRPr="00376618" w:rsidRDefault="00000000">
            <w:pPr>
              <w:rPr>
                <w:sz w:val="17"/>
                <w:szCs w:val="17"/>
              </w:rPr>
            </w:pPr>
            <w:r w:rsidRPr="00376618">
              <w:rPr>
                <w:sz w:val="17"/>
                <w:szCs w:val="17"/>
              </w:rPr>
              <w:t>Not a regulatory LCR calculation; no HQLA classification or 30-day regulatory outflow engine</w:t>
            </w:r>
          </w:p>
        </w:tc>
      </w:tr>
      <w:tr w:rsidR="00302C3E" w:rsidRPr="00376618" w14:paraId="4A84C348" w14:textId="77777777" w:rsidTr="00376618">
        <w:trPr>
          <w:jc w:val="center"/>
        </w:trPr>
        <w:tc>
          <w:tcPr>
            <w:tcW w:w="864" w:type="pct"/>
            <w:tcMar>
              <w:top w:w="50" w:type="dxa"/>
              <w:left w:w="70" w:type="dxa"/>
              <w:bottom w:w="50" w:type="dxa"/>
              <w:right w:w="70" w:type="dxa"/>
            </w:tcMar>
            <w:vAlign w:val="center"/>
          </w:tcPr>
          <w:p w14:paraId="3FEB749B" w14:textId="77777777" w:rsidR="00302C3E" w:rsidRPr="00376618" w:rsidRDefault="00000000">
            <w:pPr>
              <w:rPr>
                <w:sz w:val="17"/>
                <w:szCs w:val="17"/>
              </w:rPr>
            </w:pPr>
            <w:r w:rsidRPr="00376618">
              <w:rPr>
                <w:sz w:val="17"/>
                <w:szCs w:val="17"/>
              </w:rPr>
              <w:t>Maturity ladder proxy</w:t>
            </w:r>
          </w:p>
        </w:tc>
        <w:tc>
          <w:tcPr>
            <w:tcW w:w="2083" w:type="pct"/>
            <w:tcMar>
              <w:top w:w="50" w:type="dxa"/>
              <w:left w:w="70" w:type="dxa"/>
              <w:bottom w:w="50" w:type="dxa"/>
              <w:right w:w="70" w:type="dxa"/>
            </w:tcMar>
            <w:vAlign w:val="center"/>
          </w:tcPr>
          <w:p w14:paraId="46E546D5" w14:textId="77777777" w:rsidR="00302C3E" w:rsidRPr="00376618" w:rsidRDefault="00000000">
            <w:pPr>
              <w:rPr>
                <w:sz w:val="17"/>
                <w:szCs w:val="17"/>
              </w:rPr>
            </w:pPr>
            <w:r w:rsidRPr="00376618">
              <w:rPr>
                <w:sz w:val="17"/>
                <w:szCs w:val="17"/>
              </w:rPr>
              <w:t>Latest bank balance-sheet line items distributed into maturity buckets with explicit assumptions</w:t>
            </w:r>
          </w:p>
        </w:tc>
        <w:tc>
          <w:tcPr>
            <w:tcW w:w="2052" w:type="pct"/>
            <w:tcMar>
              <w:top w:w="50" w:type="dxa"/>
              <w:left w:w="70" w:type="dxa"/>
              <w:bottom w:w="50" w:type="dxa"/>
              <w:right w:w="70" w:type="dxa"/>
            </w:tcMar>
            <w:vAlign w:val="center"/>
          </w:tcPr>
          <w:p w14:paraId="64DB4220" w14:textId="77777777" w:rsidR="00302C3E" w:rsidRPr="00376618" w:rsidRDefault="00000000">
            <w:pPr>
              <w:rPr>
                <w:sz w:val="17"/>
                <w:szCs w:val="17"/>
              </w:rPr>
            </w:pPr>
            <w:r w:rsidRPr="00376618">
              <w:rPr>
                <w:sz w:val="17"/>
                <w:szCs w:val="17"/>
              </w:rPr>
              <w:t>Not an internal behavioral cash-flow ladder; no deposit stickiness or prepayment model</w:t>
            </w:r>
          </w:p>
        </w:tc>
      </w:tr>
      <w:tr w:rsidR="00302C3E" w:rsidRPr="00376618" w14:paraId="0575823C" w14:textId="77777777" w:rsidTr="00376618">
        <w:trPr>
          <w:jc w:val="center"/>
        </w:trPr>
        <w:tc>
          <w:tcPr>
            <w:tcW w:w="864" w:type="pct"/>
            <w:tcMar>
              <w:top w:w="50" w:type="dxa"/>
              <w:left w:w="70" w:type="dxa"/>
              <w:bottom w:w="50" w:type="dxa"/>
              <w:right w:w="70" w:type="dxa"/>
            </w:tcMar>
            <w:vAlign w:val="center"/>
          </w:tcPr>
          <w:p w14:paraId="62446C15" w14:textId="77777777" w:rsidR="00302C3E" w:rsidRPr="00376618" w:rsidRDefault="00000000">
            <w:pPr>
              <w:rPr>
                <w:sz w:val="17"/>
                <w:szCs w:val="17"/>
              </w:rPr>
            </w:pPr>
            <w:r w:rsidRPr="00376618">
              <w:rPr>
                <w:sz w:val="17"/>
                <w:szCs w:val="17"/>
              </w:rPr>
              <w:t>Market-implied funding cost</w:t>
            </w:r>
          </w:p>
        </w:tc>
        <w:tc>
          <w:tcPr>
            <w:tcW w:w="2083" w:type="pct"/>
            <w:tcMar>
              <w:top w:w="50" w:type="dxa"/>
              <w:left w:w="70" w:type="dxa"/>
              <w:bottom w:w="50" w:type="dxa"/>
              <w:right w:w="70" w:type="dxa"/>
            </w:tcMar>
            <w:vAlign w:val="center"/>
          </w:tcPr>
          <w:p w14:paraId="75F3540B" w14:textId="77777777" w:rsidR="00302C3E" w:rsidRPr="00376618" w:rsidRDefault="00000000">
            <w:pPr>
              <w:rPr>
                <w:sz w:val="17"/>
                <w:szCs w:val="17"/>
              </w:rPr>
            </w:pPr>
            <w:r w:rsidRPr="00376618">
              <w:rPr>
                <w:sz w:val="17"/>
                <w:szCs w:val="17"/>
              </w:rPr>
              <w:t>Funding mix from bank financials combined with public market rate proxies</w:t>
            </w:r>
          </w:p>
        </w:tc>
        <w:tc>
          <w:tcPr>
            <w:tcW w:w="2052" w:type="pct"/>
            <w:tcMar>
              <w:top w:w="50" w:type="dxa"/>
              <w:left w:w="70" w:type="dxa"/>
              <w:bottom w:w="50" w:type="dxa"/>
              <w:right w:w="70" w:type="dxa"/>
            </w:tcMar>
            <w:vAlign w:val="center"/>
          </w:tcPr>
          <w:p w14:paraId="12EC11DA" w14:textId="77777777" w:rsidR="00302C3E" w:rsidRPr="00376618" w:rsidRDefault="00000000">
            <w:pPr>
              <w:rPr>
                <w:sz w:val="17"/>
                <w:szCs w:val="17"/>
              </w:rPr>
            </w:pPr>
            <w:r w:rsidRPr="00376618">
              <w:rPr>
                <w:sz w:val="17"/>
                <w:szCs w:val="17"/>
              </w:rPr>
              <w:t>Not internal FTP; does not reflect product-level transfer pricing or liquidity premiums</w:t>
            </w:r>
          </w:p>
        </w:tc>
      </w:tr>
      <w:tr w:rsidR="00302C3E" w:rsidRPr="00376618" w14:paraId="08D389A1" w14:textId="77777777" w:rsidTr="00376618">
        <w:trPr>
          <w:jc w:val="center"/>
        </w:trPr>
        <w:tc>
          <w:tcPr>
            <w:tcW w:w="864" w:type="pct"/>
            <w:tcMar>
              <w:top w:w="50" w:type="dxa"/>
              <w:left w:w="70" w:type="dxa"/>
              <w:bottom w:w="50" w:type="dxa"/>
              <w:right w:w="70" w:type="dxa"/>
            </w:tcMar>
            <w:vAlign w:val="center"/>
          </w:tcPr>
          <w:p w14:paraId="0811E774" w14:textId="77777777" w:rsidR="00302C3E" w:rsidRPr="00376618" w:rsidRDefault="00000000">
            <w:pPr>
              <w:rPr>
                <w:sz w:val="17"/>
                <w:szCs w:val="17"/>
              </w:rPr>
            </w:pPr>
            <w:r w:rsidRPr="00376618">
              <w:rPr>
                <w:sz w:val="17"/>
                <w:szCs w:val="17"/>
              </w:rPr>
              <w:t>Simplified repricing-gap sensitivity</w:t>
            </w:r>
          </w:p>
        </w:tc>
        <w:tc>
          <w:tcPr>
            <w:tcW w:w="2083" w:type="pct"/>
            <w:tcMar>
              <w:top w:w="50" w:type="dxa"/>
              <w:left w:w="70" w:type="dxa"/>
              <w:bottom w:w="50" w:type="dxa"/>
              <w:right w:w="70" w:type="dxa"/>
            </w:tcMar>
            <w:vAlign w:val="center"/>
          </w:tcPr>
          <w:p w14:paraId="31E914B3" w14:textId="77777777" w:rsidR="00302C3E" w:rsidRPr="00376618" w:rsidRDefault="00000000">
            <w:pPr>
              <w:rPr>
                <w:sz w:val="17"/>
                <w:szCs w:val="17"/>
              </w:rPr>
            </w:pPr>
            <w:r w:rsidRPr="00376618">
              <w:rPr>
                <w:sz w:val="17"/>
                <w:szCs w:val="17"/>
              </w:rPr>
              <w:t>Rate-sensitive assets minus rate-sensitive liabilities multiplied by rate shock</w:t>
            </w:r>
          </w:p>
        </w:tc>
        <w:tc>
          <w:tcPr>
            <w:tcW w:w="2052" w:type="pct"/>
            <w:tcMar>
              <w:top w:w="50" w:type="dxa"/>
              <w:left w:w="70" w:type="dxa"/>
              <w:bottom w:w="50" w:type="dxa"/>
              <w:right w:w="70" w:type="dxa"/>
            </w:tcMar>
            <w:vAlign w:val="center"/>
          </w:tcPr>
          <w:p w14:paraId="55CBDC69" w14:textId="77777777" w:rsidR="00302C3E" w:rsidRPr="00376618" w:rsidRDefault="00000000">
            <w:pPr>
              <w:rPr>
                <w:sz w:val="17"/>
                <w:szCs w:val="17"/>
              </w:rPr>
            </w:pPr>
            <w:r w:rsidRPr="00376618">
              <w:rPr>
                <w:sz w:val="17"/>
                <w:szCs w:val="17"/>
              </w:rPr>
              <w:t>Not a bank internal NII simulation; simplified repricing assumptions only</w:t>
            </w:r>
          </w:p>
        </w:tc>
      </w:tr>
      <w:tr w:rsidR="00302C3E" w:rsidRPr="00376618" w14:paraId="6FE3A111" w14:textId="77777777" w:rsidTr="00376618">
        <w:trPr>
          <w:jc w:val="center"/>
        </w:trPr>
        <w:tc>
          <w:tcPr>
            <w:tcW w:w="864" w:type="pct"/>
            <w:tcMar>
              <w:top w:w="50" w:type="dxa"/>
              <w:left w:w="70" w:type="dxa"/>
              <w:bottom w:w="50" w:type="dxa"/>
              <w:right w:w="70" w:type="dxa"/>
            </w:tcMar>
            <w:vAlign w:val="center"/>
          </w:tcPr>
          <w:p w14:paraId="3653A507" w14:textId="77777777" w:rsidR="00302C3E" w:rsidRPr="00376618" w:rsidRDefault="00000000">
            <w:pPr>
              <w:rPr>
                <w:sz w:val="17"/>
                <w:szCs w:val="17"/>
              </w:rPr>
            </w:pPr>
            <w:r w:rsidRPr="00376618">
              <w:rPr>
                <w:sz w:val="17"/>
                <w:szCs w:val="17"/>
              </w:rPr>
              <w:t>FX gap proxy</w:t>
            </w:r>
          </w:p>
        </w:tc>
        <w:tc>
          <w:tcPr>
            <w:tcW w:w="2083" w:type="pct"/>
            <w:tcMar>
              <w:top w:w="50" w:type="dxa"/>
              <w:left w:w="70" w:type="dxa"/>
              <w:bottom w:w="50" w:type="dxa"/>
              <w:right w:w="70" w:type="dxa"/>
            </w:tcMar>
            <w:vAlign w:val="center"/>
          </w:tcPr>
          <w:p w14:paraId="41EED895" w14:textId="77777777" w:rsidR="00302C3E" w:rsidRPr="00376618" w:rsidRDefault="00000000">
            <w:pPr>
              <w:rPr>
                <w:sz w:val="17"/>
                <w:szCs w:val="17"/>
              </w:rPr>
            </w:pPr>
            <w:r w:rsidRPr="00376618">
              <w:rPr>
                <w:sz w:val="17"/>
                <w:szCs w:val="17"/>
              </w:rPr>
              <w:t>Balance-sheet FC assets less FC non-equity liabilities, scaled by equity</w:t>
            </w:r>
          </w:p>
        </w:tc>
        <w:tc>
          <w:tcPr>
            <w:tcW w:w="2052" w:type="pct"/>
            <w:tcMar>
              <w:top w:w="50" w:type="dxa"/>
              <w:left w:w="70" w:type="dxa"/>
              <w:bottom w:w="50" w:type="dxa"/>
              <w:right w:w="70" w:type="dxa"/>
            </w:tcMar>
            <w:vAlign w:val="center"/>
          </w:tcPr>
          <w:p w14:paraId="02F79A35" w14:textId="77777777" w:rsidR="00302C3E" w:rsidRPr="00376618" w:rsidRDefault="00000000">
            <w:pPr>
              <w:rPr>
                <w:sz w:val="17"/>
                <w:szCs w:val="17"/>
              </w:rPr>
            </w:pPr>
            <w:r w:rsidRPr="00376618">
              <w:rPr>
                <w:sz w:val="17"/>
                <w:szCs w:val="17"/>
              </w:rPr>
              <w:t>Does not fully model off-balance-sheet hedge accounting or internal risk limits</w:t>
            </w:r>
          </w:p>
        </w:tc>
      </w:tr>
    </w:tbl>
    <w:p w14:paraId="0AA703C4" w14:textId="77777777" w:rsidR="00302C3E" w:rsidRPr="00376618" w:rsidRDefault="00000000">
      <w:pPr>
        <w:spacing w:after="100" w:line="252" w:lineRule="auto"/>
        <w:jc w:val="center"/>
        <w:rPr>
          <w:sz w:val="18"/>
          <w:szCs w:val="18"/>
        </w:rPr>
      </w:pPr>
      <w:r w:rsidRPr="00376618">
        <w:rPr>
          <w:b/>
          <w:sz w:val="18"/>
          <w:szCs w:val="18"/>
        </w:rPr>
        <w:t>Appendix Table A2. ALM proxy methodology and caveats.</w:t>
      </w:r>
    </w:p>
    <w:p w14:paraId="4448208A" w14:textId="77777777" w:rsidR="00302C3E" w:rsidRPr="00376618" w:rsidRDefault="00000000" w:rsidP="00787AF0">
      <w:pPr>
        <w:pStyle w:val="Balk1"/>
        <w:spacing w:before="0"/>
        <w:rPr>
          <w:sz w:val="24"/>
          <w:szCs w:val="24"/>
        </w:rPr>
      </w:pPr>
      <w:r w:rsidRPr="00376618">
        <w:rPr>
          <w:rFonts w:ascii="Garamond" w:eastAsia="Garamond" w:hAnsi="Garamond"/>
          <w:sz w:val="24"/>
          <w:szCs w:val="24"/>
        </w:rPr>
        <w:t>Appendix B - Source Notes</w:t>
      </w:r>
    </w:p>
    <w:p w14:paraId="1E1519AA" w14:textId="77777777" w:rsidR="00302C3E" w:rsidRPr="00787AF0" w:rsidRDefault="00000000">
      <w:pPr>
        <w:spacing w:after="100" w:line="252" w:lineRule="auto"/>
        <w:rPr>
          <w:sz w:val="20"/>
          <w:szCs w:val="20"/>
        </w:rPr>
      </w:pPr>
      <w:r w:rsidRPr="00787AF0">
        <w:rPr>
          <w:sz w:val="20"/>
          <w:szCs w:val="20"/>
        </w:rPr>
        <w:t>Specific sources: TCMB/EVDS, BIST TLREF, BDDK/BRSA, Turkey 2Y/5Y/10Y yield files, USD/TRY-EUR/TRY-GAU/TRY histories, Garanti BBVA reports, Corporate Presentation May 2026 and 1Q25-1Q26 unconsolidated financials.</w:t>
      </w:r>
    </w:p>
    <w:sectPr w:rsidR="00302C3E" w:rsidRPr="00787AF0" w:rsidSect="00034616">
      <w:headerReference w:type="default" r:id="rId21"/>
      <w:footerReference w:type="default" r:id="rId22"/>
      <w:pgSz w:w="12240" w:h="15840"/>
      <w:pgMar w:top="936" w:right="1123" w:bottom="936" w:left="1123"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841EA" w14:textId="77777777" w:rsidR="00A10B5B" w:rsidRDefault="00A10B5B">
      <w:pPr>
        <w:spacing w:after="0" w:line="240" w:lineRule="auto"/>
      </w:pPr>
      <w:r>
        <w:separator/>
      </w:r>
    </w:p>
  </w:endnote>
  <w:endnote w:type="continuationSeparator" w:id="0">
    <w:p w14:paraId="12FF721E" w14:textId="77777777" w:rsidR="00A10B5B" w:rsidRDefault="00A10B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D4082" w14:textId="77777777" w:rsidR="00302C3E" w:rsidRDefault="00000000">
    <w:pPr>
      <w:pStyle w:val="AltBilgi"/>
      <w:jc w:val="center"/>
    </w:pPr>
    <w:r>
      <w:rPr>
        <w:color w:val="787878"/>
        <w:sz w:val="18"/>
      </w:rPr>
      <w:t>Prepared as a treasury / ALM portfolio case study. Not investment advice.</w:t>
    </w:r>
  </w:p>
  <w:p w14:paraId="74908A59" w14:textId="77777777" w:rsidR="00302C3E" w:rsidRDefault="00000000">
    <w:pPr>
      <w:jc w:val="right"/>
    </w:pPr>
    <w:r>
      <w:rPr>
        <w:sz w:val="18"/>
      </w:rPr>
      <w:fldChar w:fldCharType="begin"/>
    </w:r>
    <w:r>
      <w:rPr>
        <w:sz w:val="18"/>
      </w:rPr>
      <w:instrText>PAGE</w:instrText>
    </w:r>
    <w:r w:rsidR="00376618">
      <w:rPr>
        <w:sz w:val="18"/>
      </w:rPr>
      <w:fldChar w:fldCharType="separate"/>
    </w:r>
    <w:r w:rsidR="00376618">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4ECBB" w14:textId="77777777" w:rsidR="00A10B5B" w:rsidRDefault="00A10B5B">
      <w:pPr>
        <w:spacing w:after="0" w:line="240" w:lineRule="auto"/>
      </w:pPr>
      <w:r>
        <w:separator/>
      </w:r>
    </w:p>
  </w:footnote>
  <w:footnote w:type="continuationSeparator" w:id="0">
    <w:p w14:paraId="56C73246" w14:textId="77777777" w:rsidR="00A10B5B" w:rsidRDefault="00A10B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4E11D" w14:textId="77777777" w:rsidR="00302C3E" w:rsidRDefault="00000000">
    <w:pPr>
      <w:pStyle w:val="stBilgi"/>
      <w:jc w:val="right"/>
    </w:pPr>
    <w:r>
      <w:rPr>
        <w:color w:val="5A5A5A"/>
        <w:sz w:val="18"/>
      </w:rPr>
      <w:t>Turkey Treasury / ALM Dashboard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341510876">
    <w:abstractNumId w:val="8"/>
  </w:num>
  <w:num w:numId="2" w16cid:durableId="894045797">
    <w:abstractNumId w:val="6"/>
  </w:num>
  <w:num w:numId="3" w16cid:durableId="1229997058">
    <w:abstractNumId w:val="5"/>
  </w:num>
  <w:num w:numId="4" w16cid:durableId="277835042">
    <w:abstractNumId w:val="4"/>
  </w:num>
  <w:num w:numId="5" w16cid:durableId="1788427900">
    <w:abstractNumId w:val="7"/>
  </w:num>
  <w:num w:numId="6" w16cid:durableId="1108936036">
    <w:abstractNumId w:val="3"/>
  </w:num>
  <w:num w:numId="7" w16cid:durableId="763113347">
    <w:abstractNumId w:val="2"/>
  </w:num>
  <w:num w:numId="8" w16cid:durableId="1807354358">
    <w:abstractNumId w:val="1"/>
  </w:num>
  <w:num w:numId="9" w16cid:durableId="1607302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756"/>
    <w:rsid w:val="0015074B"/>
    <w:rsid w:val="0029639D"/>
    <w:rsid w:val="00302C3E"/>
    <w:rsid w:val="00326F90"/>
    <w:rsid w:val="00376618"/>
    <w:rsid w:val="00787AF0"/>
    <w:rsid w:val="00A10B5B"/>
    <w:rsid w:val="00AA1D8D"/>
    <w:rsid w:val="00B47730"/>
    <w:rsid w:val="00B5744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65F4B3"/>
  <w14:defaultImageDpi w14:val="300"/>
  <w15:docId w15:val="{52D7877C-E40C-FB40-B3F2-CA956E7E5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aramond" w:eastAsia="Garamond" w:hAnsi="Garamond"/>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2b7fce66-bf2d-46b5-b59a-9f0018501bcd}" enabled="1" method="Standard" siteId="{f8a213d2-8f6c-400d-9e74-4e8b475316c6}"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8</Pages>
  <Words>2217</Words>
  <Characters>12643</Characters>
  <Application>Microsoft Office Word</Application>
  <DocSecurity>0</DocSecurity>
  <Lines>105</Lines>
  <Paragraphs>29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Enes Sari</cp:lastModifiedBy>
  <cp:revision>2</cp:revision>
  <dcterms:created xsi:type="dcterms:W3CDTF">2026-05-18T19:28:00Z</dcterms:created>
  <dcterms:modified xsi:type="dcterms:W3CDTF">2026-05-18T19:28:00Z</dcterms:modified>
  <cp:category/>
</cp:coreProperties>
</file>