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3E811" w14:textId="77777777" w:rsidR="004A5557" w:rsidRPr="003A3B24" w:rsidRDefault="00000000">
      <w:pPr>
        <w:contextualSpacing/>
        <w:jc w:val="center"/>
        <w:rPr>
          <w:rFonts w:ascii="Garamond" w:hAnsi="Garamond"/>
          <w:color w:val="000000" w:themeColor="text1"/>
          <w:sz w:val="32"/>
          <w:szCs w:val="32"/>
        </w:rPr>
      </w:pPr>
      <w:r w:rsidRPr="003A3B24">
        <w:rPr>
          <w:rFonts w:ascii="Garamond" w:hAnsi="Garamond"/>
          <w:b/>
          <w:color w:val="000000" w:themeColor="text1"/>
          <w:sz w:val="32"/>
          <w:szCs w:val="32"/>
        </w:rPr>
        <w:t>Ford Otosan Valuation Case</w:t>
      </w:r>
    </w:p>
    <w:p w14:paraId="3DEABDAD" w14:textId="77777777" w:rsidR="004A5557" w:rsidRPr="003A3B24" w:rsidRDefault="00000000">
      <w:pPr>
        <w:contextualSpacing/>
        <w:jc w:val="center"/>
        <w:rPr>
          <w:rFonts w:ascii="Garamond" w:hAnsi="Garamond"/>
          <w:color w:val="000000" w:themeColor="text1"/>
          <w:sz w:val="28"/>
          <w:szCs w:val="28"/>
        </w:rPr>
      </w:pPr>
      <w:r w:rsidRPr="003A3B24">
        <w:rPr>
          <w:rFonts w:ascii="Garamond" w:hAnsi="Garamond"/>
          <w:b/>
          <w:color w:val="000000" w:themeColor="text1"/>
          <w:sz w:val="28"/>
          <w:szCs w:val="28"/>
        </w:rPr>
        <w:t>DCF, Trading Comps</w:t>
      </w:r>
      <w:r w:rsidR="00AD6C10">
        <w:rPr>
          <w:rFonts w:ascii="Garamond" w:hAnsi="Garamond"/>
          <w:b/>
          <w:color w:val="000000" w:themeColor="text1"/>
          <w:sz w:val="28"/>
          <w:szCs w:val="28"/>
        </w:rPr>
        <w:t>,</w:t>
      </w:r>
      <w:r w:rsidRPr="003A3B24">
        <w:rPr>
          <w:rFonts w:ascii="Garamond" w:hAnsi="Garamond"/>
          <w:b/>
          <w:color w:val="000000" w:themeColor="text1"/>
          <w:sz w:val="28"/>
          <w:szCs w:val="28"/>
        </w:rPr>
        <w:t xml:space="preserve"> and Valuation Method Divergence</w:t>
      </w:r>
    </w:p>
    <w:p w14:paraId="717B6618" w14:textId="77777777" w:rsidR="004A5557" w:rsidRPr="003A3B24" w:rsidRDefault="00000000">
      <w:pPr>
        <w:contextualSpacing/>
        <w:jc w:val="center"/>
        <w:rPr>
          <w:rFonts w:ascii="Garamond" w:hAnsi="Garamond"/>
          <w:i/>
          <w:sz w:val="22"/>
        </w:rPr>
      </w:pPr>
      <w:r w:rsidRPr="003A3B24">
        <w:rPr>
          <w:rFonts w:ascii="Garamond" w:hAnsi="Garamond"/>
          <w:i/>
          <w:sz w:val="22"/>
        </w:rPr>
        <w:t xml:space="preserve">Public Company Valuation </w:t>
      </w:r>
      <w:r w:rsidR="00AD6C10">
        <w:rPr>
          <w:rFonts w:ascii="Garamond" w:hAnsi="Garamond"/>
          <w:i/>
          <w:sz w:val="22"/>
        </w:rPr>
        <w:t>&amp;</w:t>
      </w:r>
      <w:r w:rsidRPr="003A3B24">
        <w:rPr>
          <w:rFonts w:ascii="Garamond" w:hAnsi="Garamond"/>
          <w:i/>
          <w:sz w:val="22"/>
        </w:rPr>
        <w:t xml:space="preserve"> DCF / Trading Comps Case</w:t>
      </w:r>
    </w:p>
    <w:p w14:paraId="2608952A" w14:textId="77777777" w:rsidR="003A3B24" w:rsidRPr="003A3B24" w:rsidRDefault="003A3B24">
      <w:pPr>
        <w:contextualSpacing/>
        <w:jc w:val="center"/>
        <w:rPr>
          <w:rFonts w:ascii="Garamond" w:hAnsi="Garamond"/>
        </w:rPr>
      </w:pPr>
      <w:r w:rsidRPr="003A3B24">
        <w:rPr>
          <w:rFonts w:ascii="Garamond" w:hAnsi="Garamond"/>
          <w:i/>
          <w:sz w:val="22"/>
        </w:rPr>
        <w:t>Enes Sarı</w:t>
      </w:r>
    </w:p>
    <w:p w14:paraId="324F3C0F" w14:textId="77777777" w:rsidR="004A5557" w:rsidRPr="003A3B24" w:rsidRDefault="00000000">
      <w:pPr>
        <w:contextualSpacing/>
        <w:jc w:val="center"/>
        <w:rPr>
          <w:rFonts w:ascii="Garamond" w:hAnsi="Garamond"/>
        </w:rPr>
      </w:pPr>
      <w:r w:rsidRPr="003A3B24">
        <w:rPr>
          <w:rFonts w:ascii="Garamond" w:hAnsi="Garamond"/>
        </w:rPr>
        <w:t>Valuation date: 15 May 2026</w:t>
      </w:r>
    </w:p>
    <w:p w14:paraId="6D9E9E27" w14:textId="61F363AE" w:rsidR="004A5557" w:rsidRPr="001C74EA" w:rsidRDefault="001C74EA" w:rsidP="001C74EA">
      <w:pPr>
        <w:jc w:val="center"/>
      </w:pPr>
      <w:r>
        <w:rPr>
          <w:noProof/>
        </w:rPr>
        <w:drawing>
          <wp:inline distT="0" distB="0" distL="0" distR="0" wp14:anchorId="712CF114" wp14:editId="2C72C05D">
            <wp:extent cx="3765493" cy="1872000"/>
            <wp:effectExtent l="0" t="0" r="0" b="0"/>
            <wp:docPr id="1972985013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85013" name="Resim 197298501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5493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aramond" w:eastAsia="Garamond" w:hAnsi="Garamond"/>
          <w:b/>
          <w:color w:val="000000" w:themeColor="text1"/>
          <w:sz w:val="18"/>
          <w:szCs w:val="18"/>
        </w:rPr>
        <w:br/>
      </w:r>
      <w:r w:rsidRPr="006F540D">
        <w:rPr>
          <w:rFonts w:ascii="Garamond" w:eastAsia="Garamond" w:hAnsi="Garamond"/>
          <w:b/>
          <w:color w:val="000000" w:themeColor="text1"/>
          <w:sz w:val="18"/>
          <w:szCs w:val="18"/>
        </w:rPr>
        <w:t>Figure 1. Valuation overview across intrinsic, relative, and external reference points.</w:t>
      </w:r>
    </w:p>
    <w:p w14:paraId="792626EA" w14:textId="77777777" w:rsidR="004A5557" w:rsidRPr="00A23299" w:rsidRDefault="00000000" w:rsidP="00A23299">
      <w:pPr>
        <w:spacing w:after="0" w:line="252" w:lineRule="auto"/>
        <w:jc w:val="center"/>
        <w:rPr>
          <w:rFonts w:ascii="Garamond" w:hAnsi="Garamond"/>
          <w:i/>
          <w:iCs/>
        </w:rPr>
      </w:pPr>
      <w:r w:rsidRPr="00A23299">
        <w:rPr>
          <w:rFonts w:ascii="Garamond" w:hAnsi="Garamond"/>
          <w:i/>
          <w:iCs/>
        </w:rPr>
        <w:t>Scope note: This memo is a portfolio case study, not a sell-side recommendation. It separates the intrinsic valuation output from relative valuation signals and broker sanity checks.</w:t>
      </w:r>
    </w:p>
    <w:p w14:paraId="47AFDCAA" w14:textId="77777777" w:rsidR="004A5557" w:rsidRPr="003A3B24" w:rsidRDefault="00000000" w:rsidP="00A23299">
      <w:pPr>
        <w:pStyle w:val="Balk1"/>
        <w:spacing w:before="0" w:after="240"/>
        <w:rPr>
          <w:rFonts w:ascii="Garamond" w:hAnsi="Garamond"/>
        </w:rPr>
      </w:pPr>
      <w:r w:rsidRPr="003A3B24">
        <w:rPr>
          <w:rFonts w:ascii="Garamond" w:hAnsi="Garamond"/>
        </w:rPr>
        <w:t>1. Executive Summary</w:t>
      </w:r>
    </w:p>
    <w:p w14:paraId="40B130C3" w14:textId="77777777" w:rsidR="004A5557" w:rsidRPr="003A3B24" w:rsidRDefault="00000000">
      <w:pPr>
        <w:spacing w:after="100" w:line="252" w:lineRule="auto"/>
        <w:rPr>
          <w:rFonts w:ascii="Garamond" w:hAnsi="Garamond"/>
        </w:rPr>
      </w:pPr>
      <w:r w:rsidRPr="003A3B24">
        <w:rPr>
          <w:rFonts w:ascii="Garamond" w:hAnsi="Garamond"/>
        </w:rPr>
        <w:t>Ford Otosan appears broadly fairly valued under a conservative IAS29-consistent real DCF, while local trading comps and an external broker target price point to a more constructive relative valuation signal.</w:t>
      </w:r>
    </w:p>
    <w:tbl>
      <w:tblPr>
        <w:tblStyle w:val="TabloKlavuzu"/>
        <w:tblW w:w="5000" w:type="pct"/>
        <w:jc w:val="center"/>
        <w:tblLook w:val="04A0" w:firstRow="1" w:lastRow="0" w:firstColumn="1" w:lastColumn="0" w:noHBand="0" w:noVBand="1"/>
      </w:tblPr>
      <w:tblGrid>
        <w:gridCol w:w="3596"/>
        <w:gridCol w:w="3000"/>
        <w:gridCol w:w="4132"/>
      </w:tblGrid>
      <w:tr w:rsidR="004A5557" w:rsidRPr="00075B9F" w14:paraId="38D9368C" w14:textId="77777777" w:rsidTr="00075B9F">
        <w:trPr>
          <w:jc w:val="center"/>
        </w:trPr>
        <w:tc>
          <w:tcPr>
            <w:tcW w:w="1676" w:type="pct"/>
            <w:shd w:val="clear" w:color="auto" w:fill="12355B"/>
            <w:vAlign w:val="center"/>
          </w:tcPr>
          <w:p w14:paraId="68A87BDC" w14:textId="77777777" w:rsidR="004A5557" w:rsidRPr="00075B9F" w:rsidRDefault="00000000">
            <w:pPr>
              <w:rPr>
                <w:rFonts w:ascii="Garamond" w:hAnsi="Garamond"/>
                <w:sz w:val="17"/>
                <w:szCs w:val="17"/>
              </w:rPr>
            </w:pPr>
            <w:r w:rsidRPr="00075B9F">
              <w:rPr>
                <w:rFonts w:ascii="Garamond" w:hAnsi="Garamond"/>
                <w:b/>
                <w:color w:val="FFFFFF"/>
                <w:sz w:val="17"/>
                <w:szCs w:val="17"/>
              </w:rPr>
              <w:t>Reference point</w:t>
            </w:r>
          </w:p>
        </w:tc>
        <w:tc>
          <w:tcPr>
            <w:tcW w:w="1398" w:type="pct"/>
            <w:shd w:val="clear" w:color="auto" w:fill="12355B"/>
            <w:vAlign w:val="center"/>
          </w:tcPr>
          <w:p w14:paraId="22A48AA7" w14:textId="77777777" w:rsidR="004A5557" w:rsidRPr="00075B9F" w:rsidRDefault="00000000">
            <w:pPr>
              <w:rPr>
                <w:rFonts w:ascii="Garamond" w:hAnsi="Garamond"/>
                <w:sz w:val="17"/>
                <w:szCs w:val="17"/>
              </w:rPr>
            </w:pPr>
            <w:r w:rsidRPr="00075B9F">
              <w:rPr>
                <w:rFonts w:ascii="Garamond" w:hAnsi="Garamond"/>
                <w:b/>
                <w:color w:val="FFFFFF"/>
                <w:sz w:val="17"/>
                <w:szCs w:val="17"/>
              </w:rPr>
              <w:t>Value</w:t>
            </w:r>
          </w:p>
        </w:tc>
        <w:tc>
          <w:tcPr>
            <w:tcW w:w="1926" w:type="pct"/>
            <w:shd w:val="clear" w:color="auto" w:fill="12355B"/>
            <w:vAlign w:val="center"/>
          </w:tcPr>
          <w:p w14:paraId="1D67F971" w14:textId="77777777" w:rsidR="004A5557" w:rsidRPr="00075B9F" w:rsidRDefault="00000000">
            <w:pPr>
              <w:rPr>
                <w:rFonts w:ascii="Garamond" w:hAnsi="Garamond"/>
                <w:sz w:val="17"/>
                <w:szCs w:val="17"/>
              </w:rPr>
            </w:pPr>
            <w:r w:rsidRPr="00075B9F">
              <w:rPr>
                <w:rFonts w:ascii="Garamond" w:hAnsi="Garamond"/>
                <w:b/>
                <w:color w:val="FFFFFF"/>
                <w:sz w:val="17"/>
                <w:szCs w:val="17"/>
              </w:rPr>
              <w:t>Interpretation</w:t>
            </w:r>
          </w:p>
        </w:tc>
      </w:tr>
      <w:tr w:rsidR="004A5557" w:rsidRPr="00075B9F" w14:paraId="76842D50" w14:textId="77777777" w:rsidTr="00075B9F">
        <w:trPr>
          <w:jc w:val="center"/>
        </w:trPr>
        <w:tc>
          <w:tcPr>
            <w:tcW w:w="1676" w:type="pct"/>
            <w:vAlign w:val="center"/>
          </w:tcPr>
          <w:p w14:paraId="000E722E" w14:textId="77777777" w:rsidR="004A5557" w:rsidRPr="00075B9F" w:rsidRDefault="00000000">
            <w:pPr>
              <w:rPr>
                <w:rFonts w:ascii="Garamond" w:hAnsi="Garamond"/>
                <w:sz w:val="17"/>
                <w:szCs w:val="17"/>
              </w:rPr>
            </w:pPr>
            <w:r w:rsidRPr="00075B9F">
              <w:rPr>
                <w:rFonts w:ascii="Garamond" w:hAnsi="Garamond"/>
                <w:sz w:val="17"/>
                <w:szCs w:val="17"/>
              </w:rPr>
              <w:t>Current price</w:t>
            </w:r>
          </w:p>
        </w:tc>
        <w:tc>
          <w:tcPr>
            <w:tcW w:w="1398" w:type="pct"/>
            <w:vAlign w:val="center"/>
          </w:tcPr>
          <w:p w14:paraId="453EEF9B" w14:textId="77777777" w:rsidR="004A5557" w:rsidRPr="00075B9F" w:rsidRDefault="00000000">
            <w:pPr>
              <w:rPr>
                <w:rFonts w:ascii="Garamond" w:hAnsi="Garamond"/>
                <w:sz w:val="17"/>
                <w:szCs w:val="17"/>
              </w:rPr>
            </w:pPr>
            <w:r w:rsidRPr="00075B9F">
              <w:rPr>
                <w:rFonts w:ascii="Garamond" w:hAnsi="Garamond"/>
                <w:sz w:val="17"/>
                <w:szCs w:val="17"/>
              </w:rPr>
              <w:t>TRY 91.45</w:t>
            </w:r>
          </w:p>
        </w:tc>
        <w:tc>
          <w:tcPr>
            <w:tcW w:w="1926" w:type="pct"/>
            <w:vAlign w:val="center"/>
          </w:tcPr>
          <w:p w14:paraId="1A7ADD30" w14:textId="77777777" w:rsidR="004A5557" w:rsidRPr="00075B9F" w:rsidRDefault="00000000">
            <w:pPr>
              <w:rPr>
                <w:rFonts w:ascii="Garamond" w:hAnsi="Garamond"/>
                <w:sz w:val="17"/>
                <w:szCs w:val="17"/>
              </w:rPr>
            </w:pPr>
            <w:r w:rsidRPr="00075B9F">
              <w:rPr>
                <w:rFonts w:ascii="Garamond" w:hAnsi="Garamond"/>
                <w:sz w:val="17"/>
                <w:szCs w:val="17"/>
              </w:rPr>
              <w:t>15.05.2026 market reference</w:t>
            </w:r>
          </w:p>
        </w:tc>
      </w:tr>
      <w:tr w:rsidR="004A5557" w:rsidRPr="00075B9F" w14:paraId="7DF035C8" w14:textId="77777777" w:rsidTr="00075B9F">
        <w:trPr>
          <w:jc w:val="center"/>
        </w:trPr>
        <w:tc>
          <w:tcPr>
            <w:tcW w:w="1676" w:type="pct"/>
            <w:vAlign w:val="center"/>
          </w:tcPr>
          <w:p w14:paraId="47CB3CB7" w14:textId="77777777" w:rsidR="004A5557" w:rsidRPr="00075B9F" w:rsidRDefault="00000000">
            <w:pPr>
              <w:rPr>
                <w:rFonts w:ascii="Garamond" w:hAnsi="Garamond"/>
                <w:sz w:val="17"/>
                <w:szCs w:val="17"/>
              </w:rPr>
            </w:pPr>
            <w:r w:rsidRPr="00075B9F">
              <w:rPr>
                <w:rFonts w:ascii="Garamond" w:hAnsi="Garamond"/>
                <w:sz w:val="17"/>
                <w:szCs w:val="17"/>
              </w:rPr>
              <w:t>Base real DCF</w:t>
            </w:r>
          </w:p>
        </w:tc>
        <w:tc>
          <w:tcPr>
            <w:tcW w:w="1398" w:type="pct"/>
            <w:vAlign w:val="center"/>
          </w:tcPr>
          <w:p w14:paraId="5AE50C79" w14:textId="77777777" w:rsidR="004A5557" w:rsidRPr="00075B9F" w:rsidRDefault="00000000">
            <w:pPr>
              <w:rPr>
                <w:rFonts w:ascii="Garamond" w:hAnsi="Garamond"/>
                <w:sz w:val="17"/>
                <w:szCs w:val="17"/>
              </w:rPr>
            </w:pPr>
            <w:r w:rsidRPr="00075B9F">
              <w:rPr>
                <w:rFonts w:ascii="Garamond" w:hAnsi="Garamond"/>
                <w:sz w:val="17"/>
                <w:szCs w:val="17"/>
              </w:rPr>
              <w:t>TRY 90.45</w:t>
            </w:r>
          </w:p>
        </w:tc>
        <w:tc>
          <w:tcPr>
            <w:tcW w:w="1926" w:type="pct"/>
            <w:vAlign w:val="center"/>
          </w:tcPr>
          <w:p w14:paraId="201C6F8D" w14:textId="77777777" w:rsidR="004A5557" w:rsidRPr="00075B9F" w:rsidRDefault="00000000">
            <w:pPr>
              <w:rPr>
                <w:rFonts w:ascii="Garamond" w:hAnsi="Garamond"/>
                <w:sz w:val="17"/>
                <w:szCs w:val="17"/>
              </w:rPr>
            </w:pPr>
            <w:r w:rsidRPr="00075B9F">
              <w:rPr>
                <w:rFonts w:ascii="Garamond" w:hAnsi="Garamond"/>
                <w:sz w:val="17"/>
                <w:szCs w:val="17"/>
              </w:rPr>
              <w:t>Intrinsic value anchor</w:t>
            </w:r>
          </w:p>
        </w:tc>
      </w:tr>
      <w:tr w:rsidR="004A5557" w:rsidRPr="00075B9F" w14:paraId="075BFD36" w14:textId="77777777" w:rsidTr="00075B9F">
        <w:trPr>
          <w:jc w:val="center"/>
        </w:trPr>
        <w:tc>
          <w:tcPr>
            <w:tcW w:w="1676" w:type="pct"/>
            <w:vAlign w:val="center"/>
          </w:tcPr>
          <w:p w14:paraId="034C3764" w14:textId="77777777" w:rsidR="004A5557" w:rsidRPr="00075B9F" w:rsidRDefault="00000000">
            <w:pPr>
              <w:rPr>
                <w:rFonts w:ascii="Garamond" w:hAnsi="Garamond"/>
                <w:sz w:val="17"/>
                <w:szCs w:val="17"/>
              </w:rPr>
            </w:pPr>
            <w:r w:rsidRPr="00075B9F">
              <w:rPr>
                <w:rFonts w:ascii="Garamond" w:hAnsi="Garamond"/>
                <w:sz w:val="17"/>
                <w:szCs w:val="17"/>
              </w:rPr>
              <w:t>Real DCF range</w:t>
            </w:r>
          </w:p>
        </w:tc>
        <w:tc>
          <w:tcPr>
            <w:tcW w:w="1398" w:type="pct"/>
            <w:vAlign w:val="center"/>
          </w:tcPr>
          <w:p w14:paraId="1DF5A2DD" w14:textId="77777777" w:rsidR="004A5557" w:rsidRPr="00075B9F" w:rsidRDefault="00000000">
            <w:pPr>
              <w:rPr>
                <w:rFonts w:ascii="Garamond" w:hAnsi="Garamond"/>
                <w:sz w:val="17"/>
                <w:szCs w:val="17"/>
              </w:rPr>
            </w:pPr>
            <w:r w:rsidRPr="00075B9F">
              <w:rPr>
                <w:rFonts w:ascii="Garamond" w:hAnsi="Garamond"/>
                <w:sz w:val="17"/>
                <w:szCs w:val="17"/>
              </w:rPr>
              <w:t>TRY 62.43-123.17</w:t>
            </w:r>
          </w:p>
        </w:tc>
        <w:tc>
          <w:tcPr>
            <w:tcW w:w="1926" w:type="pct"/>
            <w:vAlign w:val="center"/>
          </w:tcPr>
          <w:p w14:paraId="7375C037" w14:textId="77777777" w:rsidR="004A5557" w:rsidRPr="00075B9F" w:rsidRDefault="00000000">
            <w:pPr>
              <w:rPr>
                <w:rFonts w:ascii="Garamond" w:hAnsi="Garamond"/>
                <w:sz w:val="17"/>
                <w:szCs w:val="17"/>
              </w:rPr>
            </w:pPr>
            <w:r w:rsidRPr="00075B9F">
              <w:rPr>
                <w:rFonts w:ascii="Garamond" w:hAnsi="Garamond"/>
                <w:sz w:val="17"/>
                <w:szCs w:val="17"/>
              </w:rPr>
              <w:t>Bear/base/bull framework</w:t>
            </w:r>
          </w:p>
        </w:tc>
      </w:tr>
      <w:tr w:rsidR="004A5557" w:rsidRPr="00075B9F" w14:paraId="14E8CC5A" w14:textId="77777777" w:rsidTr="00075B9F">
        <w:trPr>
          <w:jc w:val="center"/>
        </w:trPr>
        <w:tc>
          <w:tcPr>
            <w:tcW w:w="1676" w:type="pct"/>
            <w:vAlign w:val="center"/>
          </w:tcPr>
          <w:p w14:paraId="6F0DC46D" w14:textId="77777777" w:rsidR="004A5557" w:rsidRPr="00075B9F" w:rsidRDefault="00000000">
            <w:pPr>
              <w:rPr>
                <w:rFonts w:ascii="Garamond" w:hAnsi="Garamond"/>
                <w:sz w:val="17"/>
                <w:szCs w:val="17"/>
              </w:rPr>
            </w:pPr>
            <w:r w:rsidRPr="00075B9F">
              <w:rPr>
                <w:rFonts w:ascii="Garamond" w:hAnsi="Garamond"/>
                <w:sz w:val="17"/>
                <w:szCs w:val="17"/>
              </w:rPr>
              <w:t>Şeker Invest target price</w:t>
            </w:r>
          </w:p>
        </w:tc>
        <w:tc>
          <w:tcPr>
            <w:tcW w:w="1398" w:type="pct"/>
            <w:vAlign w:val="center"/>
          </w:tcPr>
          <w:p w14:paraId="7E357232" w14:textId="77777777" w:rsidR="004A5557" w:rsidRPr="00075B9F" w:rsidRDefault="00000000">
            <w:pPr>
              <w:rPr>
                <w:rFonts w:ascii="Garamond" w:hAnsi="Garamond"/>
                <w:sz w:val="17"/>
                <w:szCs w:val="17"/>
              </w:rPr>
            </w:pPr>
            <w:r w:rsidRPr="00075B9F">
              <w:rPr>
                <w:rFonts w:ascii="Garamond" w:hAnsi="Garamond"/>
                <w:sz w:val="17"/>
                <w:szCs w:val="17"/>
              </w:rPr>
              <w:t>TRY 149.30</w:t>
            </w:r>
          </w:p>
        </w:tc>
        <w:tc>
          <w:tcPr>
            <w:tcW w:w="1926" w:type="pct"/>
            <w:vAlign w:val="center"/>
          </w:tcPr>
          <w:p w14:paraId="636AD7E1" w14:textId="77777777" w:rsidR="004A5557" w:rsidRPr="00075B9F" w:rsidRDefault="00000000">
            <w:pPr>
              <w:rPr>
                <w:rFonts w:ascii="Garamond" w:hAnsi="Garamond"/>
                <w:sz w:val="17"/>
                <w:szCs w:val="17"/>
              </w:rPr>
            </w:pPr>
            <w:r w:rsidRPr="00075B9F">
              <w:rPr>
                <w:rFonts w:ascii="Garamond" w:hAnsi="Garamond"/>
                <w:sz w:val="17"/>
                <w:szCs w:val="17"/>
              </w:rPr>
              <w:t xml:space="preserve">External sanity </w:t>
            </w:r>
            <w:proofErr w:type="gramStart"/>
            <w:r w:rsidRPr="00075B9F">
              <w:rPr>
                <w:rFonts w:ascii="Garamond" w:hAnsi="Garamond"/>
                <w:sz w:val="17"/>
                <w:szCs w:val="17"/>
              </w:rPr>
              <w:t>check</w:t>
            </w:r>
            <w:proofErr w:type="gramEnd"/>
            <w:r w:rsidRPr="00075B9F">
              <w:rPr>
                <w:rFonts w:ascii="Garamond" w:hAnsi="Garamond"/>
                <w:sz w:val="17"/>
                <w:szCs w:val="17"/>
              </w:rPr>
              <w:t xml:space="preserve"> only</w:t>
            </w:r>
          </w:p>
        </w:tc>
      </w:tr>
      <w:tr w:rsidR="004A5557" w:rsidRPr="00075B9F" w14:paraId="069D73FC" w14:textId="77777777" w:rsidTr="00075B9F">
        <w:trPr>
          <w:jc w:val="center"/>
        </w:trPr>
        <w:tc>
          <w:tcPr>
            <w:tcW w:w="1676" w:type="pct"/>
            <w:vAlign w:val="center"/>
          </w:tcPr>
          <w:p w14:paraId="41F4449A" w14:textId="77777777" w:rsidR="004A5557" w:rsidRPr="00075B9F" w:rsidRDefault="00000000">
            <w:pPr>
              <w:rPr>
                <w:rFonts w:ascii="Garamond" w:hAnsi="Garamond"/>
                <w:sz w:val="17"/>
                <w:szCs w:val="17"/>
              </w:rPr>
            </w:pPr>
            <w:r w:rsidRPr="00075B9F">
              <w:rPr>
                <w:rFonts w:ascii="Garamond" w:hAnsi="Garamond"/>
                <w:sz w:val="17"/>
                <w:szCs w:val="17"/>
              </w:rPr>
              <w:t>Trading comps range</w:t>
            </w:r>
          </w:p>
        </w:tc>
        <w:tc>
          <w:tcPr>
            <w:tcW w:w="1398" w:type="pct"/>
            <w:vAlign w:val="center"/>
          </w:tcPr>
          <w:p w14:paraId="52F8B2B8" w14:textId="77777777" w:rsidR="004A5557" w:rsidRPr="00075B9F" w:rsidRDefault="00000000">
            <w:pPr>
              <w:rPr>
                <w:rFonts w:ascii="Garamond" w:hAnsi="Garamond"/>
                <w:sz w:val="17"/>
                <w:szCs w:val="17"/>
              </w:rPr>
            </w:pPr>
            <w:r w:rsidRPr="00075B9F">
              <w:rPr>
                <w:rFonts w:ascii="Garamond" w:hAnsi="Garamond"/>
                <w:sz w:val="17"/>
                <w:szCs w:val="17"/>
              </w:rPr>
              <w:t>TRY 172.55-202.11</w:t>
            </w:r>
          </w:p>
        </w:tc>
        <w:tc>
          <w:tcPr>
            <w:tcW w:w="1926" w:type="pct"/>
            <w:vAlign w:val="center"/>
          </w:tcPr>
          <w:p w14:paraId="29ED1077" w14:textId="77777777" w:rsidR="004A5557" w:rsidRPr="00075B9F" w:rsidRDefault="00000000">
            <w:pPr>
              <w:rPr>
                <w:rFonts w:ascii="Garamond" w:hAnsi="Garamond"/>
                <w:sz w:val="17"/>
                <w:szCs w:val="17"/>
              </w:rPr>
            </w:pPr>
            <w:r w:rsidRPr="00075B9F">
              <w:rPr>
                <w:rFonts w:ascii="Garamond" w:hAnsi="Garamond"/>
                <w:sz w:val="17"/>
                <w:szCs w:val="17"/>
              </w:rPr>
              <w:t>Relative valuation indication</w:t>
            </w:r>
          </w:p>
        </w:tc>
      </w:tr>
    </w:tbl>
    <w:p w14:paraId="61773A59" w14:textId="7A040B51" w:rsidR="004A5557" w:rsidRPr="003A3B24" w:rsidRDefault="00000000">
      <w:pPr>
        <w:spacing w:after="100" w:line="252" w:lineRule="auto"/>
        <w:rPr>
          <w:rFonts w:ascii="Garamond" w:hAnsi="Garamond"/>
        </w:rPr>
      </w:pPr>
      <w:r w:rsidRPr="003A3B24">
        <w:rPr>
          <w:rFonts w:ascii="Garamond" w:hAnsi="Garamond"/>
          <w:b/>
        </w:rPr>
        <w:t>Central conclusion:</w:t>
      </w:r>
      <w:r w:rsidRPr="003A3B24">
        <w:rPr>
          <w:rFonts w:ascii="Garamond" w:hAnsi="Garamond"/>
        </w:rPr>
        <w:t xml:space="preserve"> The case should not force a single target price. The more defensible reading is valuation-method divergence: conservative intrinsic DCF near current price, with </w:t>
      </w:r>
      <w:r w:rsidR="00A23299" w:rsidRPr="00A23299">
        <w:rPr>
          <w:rFonts w:ascii="Garamond" w:hAnsi="Garamond"/>
        </w:rPr>
        <w:t>relative valuation suggesting that FROTO trades at a discount to selected local auto peers.</w:t>
      </w:r>
    </w:p>
    <w:p w14:paraId="36066430" w14:textId="7BDCFAC0" w:rsidR="004A5557" w:rsidRPr="003A3B24" w:rsidRDefault="00000000" w:rsidP="00D036D5">
      <w:pPr>
        <w:spacing w:after="100" w:line="252" w:lineRule="auto"/>
        <w:rPr>
          <w:rFonts w:ascii="Garamond" w:hAnsi="Garamond"/>
        </w:rPr>
      </w:pPr>
      <w:r w:rsidRPr="003A3B24">
        <w:rPr>
          <w:rFonts w:ascii="Garamond" w:hAnsi="Garamond"/>
          <w:b/>
        </w:rPr>
        <w:t>Key risk:</w:t>
      </w:r>
      <w:r w:rsidRPr="003A3B24">
        <w:rPr>
          <w:rFonts w:ascii="Garamond" w:hAnsi="Garamond"/>
        </w:rPr>
        <w:t xml:space="preserve"> The DCF is sensitive to the beta/WACC framework, wh</w:t>
      </w:r>
      <w:r w:rsidR="006F540D">
        <w:rPr>
          <w:rFonts w:ascii="Garamond" w:hAnsi="Garamond"/>
        </w:rPr>
        <w:t xml:space="preserve">ereas the peer multiple output is sensitive to peer comparability, EBITDA definitions, and business </w:t>
      </w:r>
      <w:r w:rsidRPr="003A3B24">
        <w:rPr>
          <w:rFonts w:ascii="Garamond" w:hAnsi="Garamond"/>
        </w:rPr>
        <w:t>model differences.</w:t>
      </w:r>
    </w:p>
    <w:p w14:paraId="2E3E68F2" w14:textId="5E9EE541" w:rsidR="004A5557" w:rsidRPr="003A3B24" w:rsidRDefault="001C74EA" w:rsidP="003A3B24">
      <w:pPr>
        <w:pStyle w:val="Balk1"/>
        <w:spacing w:before="0" w:after="120"/>
        <w:rPr>
          <w:rFonts w:ascii="Garamond" w:hAnsi="Garamond"/>
        </w:rPr>
      </w:pPr>
      <w:r>
        <w:rPr>
          <w:rFonts w:ascii="Garamond" w:hAnsi="Garamond"/>
        </w:rPr>
        <w:t>2.</w:t>
      </w:r>
      <w:r w:rsidR="006F540D" w:rsidRPr="003A3B24">
        <w:rPr>
          <w:rFonts w:ascii="Garamond" w:hAnsi="Garamond"/>
        </w:rPr>
        <w:t xml:space="preserve"> Company and Investment Context</w:t>
      </w:r>
    </w:p>
    <w:p w14:paraId="2B4CC7C9" w14:textId="49120EBA" w:rsidR="004A5557" w:rsidRPr="003A3B24" w:rsidRDefault="00000000">
      <w:pPr>
        <w:spacing w:after="100" w:line="252" w:lineRule="auto"/>
        <w:rPr>
          <w:rFonts w:ascii="Garamond" w:hAnsi="Garamond"/>
        </w:rPr>
      </w:pPr>
      <w:r w:rsidRPr="003A3B24">
        <w:rPr>
          <w:rFonts w:ascii="Garamond" w:hAnsi="Garamond"/>
        </w:rPr>
        <w:t>Ford Otosan is a large-scale, export-oriented automotive manufacturer with operations in Türkiye and Romania. Its investment case is anchored in commercial vehicles, Ford’s European production network, export revenues</w:t>
      </w:r>
      <w:r w:rsidR="006F540D">
        <w:rPr>
          <w:rFonts w:ascii="Garamond" w:hAnsi="Garamond"/>
        </w:rPr>
        <w:t>,</w:t>
      </w:r>
      <w:r w:rsidRPr="003A3B24">
        <w:rPr>
          <w:rFonts w:ascii="Garamond" w:hAnsi="Garamond"/>
        </w:rPr>
        <w:t xml:space="preserve"> and manufacturing scale.</w:t>
      </w:r>
    </w:p>
    <w:p w14:paraId="3B992284" w14:textId="5186DD52" w:rsidR="004A5557" w:rsidRPr="003A3B24" w:rsidRDefault="00000000">
      <w:pPr>
        <w:pStyle w:val="ListeMaddemi"/>
        <w:spacing w:after="60"/>
        <w:rPr>
          <w:rFonts w:ascii="Garamond" w:hAnsi="Garamond"/>
        </w:rPr>
      </w:pPr>
      <w:r w:rsidRPr="003A3B24">
        <w:rPr>
          <w:rFonts w:ascii="Garamond" w:hAnsi="Garamond"/>
          <w:b/>
        </w:rPr>
        <w:t xml:space="preserve">Export-heavy revenue base: </w:t>
      </w:r>
      <w:r w:rsidRPr="003A3B24">
        <w:rPr>
          <w:rFonts w:ascii="Garamond" w:hAnsi="Garamond"/>
        </w:rPr>
        <w:t>2025 export revenue was TL 660.2bn</w:t>
      </w:r>
      <w:r w:rsidR="006F540D">
        <w:rPr>
          <w:rFonts w:ascii="Garamond" w:hAnsi="Garamond"/>
        </w:rPr>
        <w:t>, compared with TL 170.6bn i</w:t>
      </w:r>
      <w:r w:rsidRPr="003A3B24">
        <w:rPr>
          <w:rFonts w:ascii="Garamond" w:hAnsi="Garamond"/>
        </w:rPr>
        <w:t>n domestic revenue.</w:t>
      </w:r>
    </w:p>
    <w:p w14:paraId="7CCDFA24" w14:textId="5FF22FCC" w:rsidR="004A5557" w:rsidRPr="003A3B24" w:rsidRDefault="00000000">
      <w:pPr>
        <w:pStyle w:val="ListeMaddemi"/>
        <w:spacing w:after="60"/>
        <w:rPr>
          <w:rFonts w:ascii="Garamond" w:hAnsi="Garamond"/>
        </w:rPr>
      </w:pPr>
      <w:r w:rsidRPr="003A3B24">
        <w:rPr>
          <w:rFonts w:ascii="Garamond" w:hAnsi="Garamond"/>
          <w:b/>
        </w:rPr>
        <w:t xml:space="preserve">Industrial scale: </w:t>
      </w:r>
      <w:r w:rsidR="006F540D">
        <w:rPr>
          <w:rFonts w:ascii="Garamond" w:hAnsi="Garamond"/>
          <w:b/>
        </w:rPr>
        <w:t>Total revenue in 2025</w:t>
      </w:r>
      <w:r w:rsidRPr="003A3B24">
        <w:rPr>
          <w:rFonts w:ascii="Garamond" w:hAnsi="Garamond"/>
        </w:rPr>
        <w:t xml:space="preserve"> reached TL 830.8bn, with adjusted EBITDA of TL 66.6bn.</w:t>
      </w:r>
    </w:p>
    <w:p w14:paraId="05022F44" w14:textId="54206674" w:rsidR="004A5557" w:rsidRPr="003A3B24" w:rsidRDefault="00000000">
      <w:pPr>
        <w:pStyle w:val="ListeMaddemi"/>
        <w:spacing w:after="60"/>
        <w:rPr>
          <w:rFonts w:ascii="Garamond" w:hAnsi="Garamond"/>
        </w:rPr>
      </w:pPr>
      <w:r w:rsidRPr="003A3B24">
        <w:rPr>
          <w:rFonts w:ascii="Garamond" w:hAnsi="Garamond"/>
          <w:b/>
        </w:rPr>
        <w:t xml:space="preserve">Accounting treatment: </w:t>
      </w:r>
      <w:r w:rsidRPr="003A3B24">
        <w:rPr>
          <w:rFonts w:ascii="Garamond" w:hAnsi="Garamond"/>
        </w:rPr>
        <w:t>2024-2025 financials are presented under IAS</w:t>
      </w:r>
      <w:r w:rsidR="006F540D">
        <w:rPr>
          <w:rFonts w:ascii="Garamond" w:hAnsi="Garamond"/>
        </w:rPr>
        <w:t xml:space="preserve"> 29/TAS 29, which is relevant to</w:t>
      </w:r>
      <w:r w:rsidRPr="003A3B24">
        <w:rPr>
          <w:rFonts w:ascii="Garamond" w:hAnsi="Garamond"/>
        </w:rPr>
        <w:t xml:space="preserve"> DCF consistency.</w:t>
      </w:r>
    </w:p>
    <w:p w14:paraId="3FDC04AB" w14:textId="77777777" w:rsidR="004A5557" w:rsidRPr="003A3B24" w:rsidRDefault="00000000">
      <w:pPr>
        <w:jc w:val="center"/>
        <w:rPr>
          <w:rFonts w:ascii="Garamond" w:hAnsi="Garamond"/>
        </w:rPr>
      </w:pPr>
      <w:r w:rsidRPr="003A3B24">
        <w:rPr>
          <w:rFonts w:ascii="Garamond" w:hAnsi="Garamond"/>
          <w:noProof/>
        </w:rPr>
        <w:lastRenderedPageBreak/>
        <w:drawing>
          <wp:inline distT="0" distB="0" distL="0" distR="0" wp14:anchorId="705794F1" wp14:editId="6518741D">
            <wp:extent cx="2317440" cy="2448000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revenue_m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7440" cy="24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DA1A" w14:textId="77777777" w:rsidR="004A5557" w:rsidRPr="006F540D" w:rsidRDefault="00000000">
      <w:pPr>
        <w:spacing w:after="60"/>
        <w:jc w:val="center"/>
        <w:rPr>
          <w:rFonts w:ascii="Garamond" w:hAnsi="Garamond"/>
          <w:color w:val="000000" w:themeColor="text1"/>
          <w:sz w:val="18"/>
          <w:szCs w:val="18"/>
        </w:rPr>
      </w:pPr>
      <w:r w:rsidRPr="006F540D">
        <w:rPr>
          <w:rFonts w:ascii="Garamond" w:hAnsi="Garamond"/>
          <w:b/>
          <w:color w:val="000000" w:themeColor="text1"/>
          <w:sz w:val="18"/>
          <w:szCs w:val="18"/>
        </w:rPr>
        <w:t>Figure 2. 2025 revenue mix highlights Ford Otosan’s export-heavy profile.</w:t>
      </w:r>
    </w:p>
    <w:p w14:paraId="39DB0A50" w14:textId="77777777" w:rsidR="004A5557" w:rsidRPr="003A3B24" w:rsidRDefault="00000000" w:rsidP="00D036D5">
      <w:pPr>
        <w:spacing w:after="100" w:line="252" w:lineRule="auto"/>
        <w:rPr>
          <w:rFonts w:ascii="Garamond" w:hAnsi="Garamond"/>
        </w:rPr>
      </w:pPr>
      <w:r w:rsidRPr="003A3B24">
        <w:rPr>
          <w:rFonts w:ascii="Garamond" w:hAnsi="Garamond"/>
        </w:rPr>
        <w:t xml:space="preserve">The export-heavy mix is an important difference from several local peers. It gives FROTO </w:t>
      </w:r>
      <w:r w:rsidR="00AD6C10">
        <w:rPr>
          <w:rFonts w:ascii="Garamond" w:hAnsi="Garamond"/>
        </w:rPr>
        <w:t>stronger exposure to European commercial vehicles and a more FX-linked revenue base, but it also makes near-term assumptions more</w:t>
      </w:r>
      <w:r w:rsidRPr="003A3B24">
        <w:rPr>
          <w:rFonts w:ascii="Garamond" w:hAnsi="Garamond"/>
        </w:rPr>
        <w:t xml:space="preserve"> sensitive to European demand and EUR/TRY dynamics.</w:t>
      </w:r>
    </w:p>
    <w:p w14:paraId="23276413" w14:textId="77777777" w:rsidR="004A5557" w:rsidRPr="003A3B24" w:rsidRDefault="00000000" w:rsidP="003A3B24">
      <w:pPr>
        <w:pStyle w:val="Balk1"/>
        <w:spacing w:before="0" w:after="120"/>
        <w:rPr>
          <w:rFonts w:ascii="Garamond" w:hAnsi="Garamond"/>
        </w:rPr>
      </w:pPr>
      <w:r w:rsidRPr="003A3B24">
        <w:rPr>
          <w:rFonts w:ascii="Garamond" w:hAnsi="Garamond"/>
        </w:rPr>
        <w:t>3. Recent Performance and 2026 Setup</w:t>
      </w:r>
    </w:p>
    <w:p w14:paraId="3936EB8B" w14:textId="77777777" w:rsidR="004A5557" w:rsidRPr="003A3B24" w:rsidRDefault="00000000">
      <w:pPr>
        <w:spacing w:after="100" w:line="252" w:lineRule="auto"/>
        <w:rPr>
          <w:rFonts w:ascii="Garamond" w:hAnsi="Garamond"/>
        </w:rPr>
      </w:pPr>
      <w:r w:rsidRPr="003A3B24">
        <w:rPr>
          <w:rFonts w:ascii="Garamond" w:hAnsi="Garamond"/>
        </w:rPr>
        <w:t xml:space="preserve">The model does not mechanically extrapolate </w:t>
      </w:r>
      <w:r w:rsidR="00AD6C10">
        <w:rPr>
          <w:rFonts w:ascii="Garamond" w:hAnsi="Garamond"/>
        </w:rPr>
        <w:t>profitability for 2025</w:t>
      </w:r>
      <w:r w:rsidRPr="003A3B24">
        <w:rPr>
          <w:rFonts w:ascii="Garamond" w:hAnsi="Garamond"/>
        </w:rPr>
        <w:t>. 2025 was operationally strong, but 1Q26 and guidance point to a more cautious near-term setup.</w:t>
      </w:r>
    </w:p>
    <w:p w14:paraId="0AF707A5" w14:textId="77777777" w:rsidR="0008289F" w:rsidRDefault="00000000">
      <w:pPr>
        <w:jc w:val="center"/>
      </w:pPr>
      <w:r>
        <w:rPr>
          <w:noProof/>
        </w:rPr>
        <w:drawing>
          <wp:inline distT="0" distB="0" distL="0" distR="0" wp14:anchorId="728F92D5" wp14:editId="6A208690">
            <wp:extent cx="3960000" cy="1872000"/>
            <wp:effectExtent l="0" t="0" r="2540" b="0"/>
            <wp:docPr id="14" name="Pictur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nual_revenue_ebitda_tr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F7BE" w14:textId="77777777" w:rsidR="0008289F" w:rsidRPr="006F540D" w:rsidRDefault="00000000">
      <w:pPr>
        <w:spacing w:after="80"/>
        <w:jc w:val="center"/>
        <w:rPr>
          <w:color w:val="000000" w:themeColor="text1"/>
          <w:sz w:val="18"/>
          <w:szCs w:val="18"/>
        </w:rPr>
      </w:pPr>
      <w:r w:rsidRPr="006F540D">
        <w:rPr>
          <w:rFonts w:ascii="Garamond" w:eastAsia="Garamond" w:hAnsi="Garamond"/>
          <w:b/>
          <w:color w:val="000000" w:themeColor="text1"/>
          <w:sz w:val="18"/>
          <w:szCs w:val="18"/>
        </w:rPr>
        <w:t>Figure 3A. Annual revenue and adjusted EBITDA trend, 2023A-2025A.</w:t>
      </w:r>
    </w:p>
    <w:p w14:paraId="3AE913B5" w14:textId="77777777" w:rsidR="0008289F" w:rsidRDefault="00000000">
      <w:pPr>
        <w:jc w:val="center"/>
      </w:pPr>
      <w:r>
        <w:rPr>
          <w:noProof/>
        </w:rPr>
        <w:drawing>
          <wp:inline distT="0" distB="0" distL="0" distR="0" wp14:anchorId="02D4BE29" wp14:editId="52829D29">
            <wp:extent cx="3960000" cy="1872000"/>
            <wp:effectExtent l="0" t="0" r="2540" b="0"/>
            <wp:docPr id="15" name="Pictur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point_guidance_mar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5DEDF" w14:textId="77777777" w:rsidR="0008289F" w:rsidRPr="006F540D" w:rsidRDefault="00000000">
      <w:pPr>
        <w:spacing w:after="80"/>
        <w:jc w:val="center"/>
        <w:rPr>
          <w:color w:val="000000" w:themeColor="text1"/>
          <w:sz w:val="18"/>
          <w:szCs w:val="18"/>
        </w:rPr>
      </w:pPr>
      <w:r w:rsidRPr="006F540D">
        <w:rPr>
          <w:rFonts w:ascii="Garamond" w:eastAsia="Garamond" w:hAnsi="Garamond"/>
          <w:b/>
          <w:color w:val="000000" w:themeColor="text1"/>
          <w:sz w:val="18"/>
          <w:szCs w:val="18"/>
        </w:rPr>
        <w:t>Figure 3B. 1Q26 checkpoint and 2026 guidance; 1Q26 is not annualized.</w:t>
      </w:r>
    </w:p>
    <w:p w14:paraId="6863DBDD" w14:textId="77777777" w:rsidR="004A5557" w:rsidRPr="003A3B24" w:rsidRDefault="00000000">
      <w:pPr>
        <w:pStyle w:val="ListeMaddemi"/>
        <w:spacing w:after="60"/>
        <w:rPr>
          <w:rFonts w:ascii="Garamond" w:hAnsi="Garamond"/>
        </w:rPr>
      </w:pPr>
      <w:r w:rsidRPr="003A3B24">
        <w:rPr>
          <w:rFonts w:ascii="Garamond" w:hAnsi="Garamond"/>
          <w:b/>
        </w:rPr>
        <w:t xml:space="preserve">2025 actual: </w:t>
      </w:r>
      <w:r w:rsidRPr="003A3B24">
        <w:rPr>
          <w:rFonts w:ascii="Garamond" w:hAnsi="Garamond"/>
        </w:rPr>
        <w:t>Revenue of TL 830.8bn, adjusted EBITDA margin of 8.0%, and net financial debt / adjusted EBITDA of 1.49x.</w:t>
      </w:r>
    </w:p>
    <w:p w14:paraId="59F698BB" w14:textId="77777777" w:rsidR="004A5557" w:rsidRPr="003A3B24" w:rsidRDefault="00000000">
      <w:pPr>
        <w:pStyle w:val="ListeMaddemi"/>
        <w:spacing w:after="60"/>
        <w:rPr>
          <w:rFonts w:ascii="Garamond" w:hAnsi="Garamond"/>
        </w:rPr>
      </w:pPr>
      <w:r w:rsidRPr="003A3B24">
        <w:rPr>
          <w:rFonts w:ascii="Garamond" w:hAnsi="Garamond"/>
          <w:b/>
        </w:rPr>
        <w:t xml:space="preserve">1Q26 pressure: </w:t>
      </w:r>
      <w:r w:rsidRPr="003A3B24">
        <w:rPr>
          <w:rFonts w:ascii="Garamond" w:hAnsi="Garamond"/>
        </w:rPr>
        <w:t>1Q26 adjusted EBITDA margin declined to around 6.1%, reflecting domestic volume and margin pressure.</w:t>
      </w:r>
    </w:p>
    <w:p w14:paraId="644E29E7" w14:textId="77777777" w:rsidR="004A5557" w:rsidRPr="003A3B24" w:rsidRDefault="00000000" w:rsidP="00D036D5">
      <w:pPr>
        <w:pStyle w:val="ListeMaddemi"/>
        <w:spacing w:after="60"/>
        <w:rPr>
          <w:rFonts w:ascii="Garamond" w:hAnsi="Garamond"/>
        </w:rPr>
      </w:pPr>
      <w:r w:rsidRPr="003A3B24">
        <w:rPr>
          <w:rFonts w:ascii="Garamond" w:hAnsi="Garamond"/>
          <w:b/>
        </w:rPr>
        <w:lastRenderedPageBreak/>
        <w:t xml:space="preserve">2026 guidance anchor: </w:t>
      </w:r>
      <w:r w:rsidRPr="003A3B24">
        <w:rPr>
          <w:rFonts w:ascii="Garamond" w:hAnsi="Garamond"/>
        </w:rPr>
        <w:t>Revenue growth was revised to flat, adjusted EBITDA margin guidance remained 7-8%, and capex guidance was €300-400mn.</w:t>
      </w:r>
    </w:p>
    <w:p w14:paraId="25AA794E" w14:textId="77777777" w:rsidR="004A5557" w:rsidRPr="003A3B24" w:rsidRDefault="00000000" w:rsidP="003A3B24">
      <w:pPr>
        <w:pStyle w:val="Balk1"/>
        <w:spacing w:before="0" w:after="120"/>
        <w:rPr>
          <w:rFonts w:ascii="Garamond" w:hAnsi="Garamond"/>
        </w:rPr>
      </w:pPr>
      <w:r w:rsidRPr="003A3B24">
        <w:rPr>
          <w:rFonts w:ascii="Garamond" w:hAnsi="Garamond"/>
        </w:rPr>
        <w:t>4. Trading Comparables Analysis</w:t>
      </w:r>
    </w:p>
    <w:p w14:paraId="17FC7EE1" w14:textId="77777777" w:rsidR="004A5557" w:rsidRPr="003A3B24" w:rsidRDefault="00000000">
      <w:pPr>
        <w:spacing w:after="100" w:line="252" w:lineRule="auto"/>
        <w:rPr>
          <w:rFonts w:ascii="Garamond" w:hAnsi="Garamond"/>
        </w:rPr>
      </w:pPr>
      <w:r w:rsidRPr="003A3B24">
        <w:rPr>
          <w:rFonts w:ascii="Garamond" w:hAnsi="Garamond"/>
        </w:rPr>
        <w:t>FROTO screens at a visible EV/EBITDA discount to selected BIST auto peers. However, the peer set is heterogeneous, so the result should be interpreted directionally rather than mechanically.</w:t>
      </w:r>
    </w:p>
    <w:p w14:paraId="4C9C3389" w14:textId="77777777" w:rsidR="0008289F" w:rsidRPr="006F540D" w:rsidRDefault="00000000">
      <w:pPr>
        <w:rPr>
          <w:color w:val="000000" w:themeColor="text1"/>
          <w:szCs w:val="20"/>
        </w:rPr>
      </w:pPr>
      <w:r w:rsidRPr="006F540D">
        <w:rPr>
          <w:rFonts w:ascii="Garamond" w:eastAsia="Garamond" w:hAnsi="Garamond"/>
          <w:b/>
          <w:color w:val="000000" w:themeColor="text1"/>
          <w:szCs w:val="20"/>
        </w:rPr>
        <w:t>Peer audit table:</w:t>
      </w:r>
    </w:p>
    <w:tbl>
      <w:tblPr>
        <w:tblStyle w:val="TabloKlavuzu"/>
        <w:tblW w:w="5000" w:type="pct"/>
        <w:jc w:val="center"/>
        <w:tblLook w:val="04A0" w:firstRow="1" w:lastRow="0" w:firstColumn="1" w:lastColumn="0" w:noHBand="0" w:noVBand="1"/>
      </w:tblPr>
      <w:tblGrid>
        <w:gridCol w:w="1473"/>
        <w:gridCol w:w="878"/>
        <w:gridCol w:w="1669"/>
        <w:gridCol w:w="1315"/>
        <w:gridCol w:w="714"/>
        <w:gridCol w:w="1564"/>
        <w:gridCol w:w="1753"/>
        <w:gridCol w:w="1362"/>
      </w:tblGrid>
      <w:tr w:rsidR="0008289F" w:rsidRPr="00075B9F" w14:paraId="393C0A2D" w14:textId="77777777" w:rsidTr="00075B9F">
        <w:trPr>
          <w:jc w:val="center"/>
        </w:trPr>
        <w:tc>
          <w:tcPr>
            <w:tcW w:w="686" w:type="pct"/>
            <w:shd w:val="clear" w:color="auto" w:fill="12355B"/>
            <w:vAlign w:val="center"/>
          </w:tcPr>
          <w:p w14:paraId="1F71F8A5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b/>
                <w:color w:val="FFFFFF"/>
                <w:sz w:val="17"/>
                <w:szCs w:val="17"/>
              </w:rPr>
              <w:t>Company</w:t>
            </w:r>
          </w:p>
        </w:tc>
        <w:tc>
          <w:tcPr>
            <w:tcW w:w="409" w:type="pct"/>
            <w:shd w:val="clear" w:color="auto" w:fill="12355B"/>
            <w:vAlign w:val="center"/>
          </w:tcPr>
          <w:p w14:paraId="725C9EAA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b/>
                <w:color w:val="FFFFFF"/>
                <w:sz w:val="17"/>
                <w:szCs w:val="17"/>
              </w:rPr>
              <w:t>Ticker</w:t>
            </w:r>
          </w:p>
        </w:tc>
        <w:tc>
          <w:tcPr>
            <w:tcW w:w="778" w:type="pct"/>
            <w:shd w:val="clear" w:color="auto" w:fill="12355B"/>
            <w:vAlign w:val="center"/>
          </w:tcPr>
          <w:p w14:paraId="663FDFF5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b/>
                <w:color w:val="FFFFFF"/>
                <w:sz w:val="17"/>
                <w:szCs w:val="17"/>
              </w:rPr>
              <w:t>Peer role</w:t>
            </w:r>
          </w:p>
        </w:tc>
        <w:tc>
          <w:tcPr>
            <w:tcW w:w="613" w:type="pct"/>
            <w:shd w:val="clear" w:color="auto" w:fill="12355B"/>
            <w:vAlign w:val="center"/>
          </w:tcPr>
          <w:p w14:paraId="3B7FB21D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b/>
                <w:color w:val="FFFFFF"/>
                <w:sz w:val="17"/>
                <w:szCs w:val="17"/>
              </w:rPr>
              <w:t>EV/EBITDA</w:t>
            </w:r>
          </w:p>
        </w:tc>
        <w:tc>
          <w:tcPr>
            <w:tcW w:w="333" w:type="pct"/>
            <w:shd w:val="clear" w:color="auto" w:fill="12355B"/>
            <w:vAlign w:val="center"/>
          </w:tcPr>
          <w:p w14:paraId="2CE0E2E5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b/>
                <w:color w:val="FFFFFF"/>
                <w:sz w:val="17"/>
                <w:szCs w:val="17"/>
              </w:rPr>
              <w:t>P/E</w:t>
            </w:r>
          </w:p>
        </w:tc>
        <w:tc>
          <w:tcPr>
            <w:tcW w:w="729" w:type="pct"/>
            <w:shd w:val="clear" w:color="auto" w:fill="12355B"/>
            <w:vAlign w:val="center"/>
          </w:tcPr>
          <w:p w14:paraId="4A6D354C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b/>
                <w:color w:val="FFFFFF"/>
                <w:sz w:val="17"/>
                <w:szCs w:val="17"/>
              </w:rPr>
              <w:t>EBITDA margin</w:t>
            </w:r>
          </w:p>
        </w:tc>
        <w:tc>
          <w:tcPr>
            <w:tcW w:w="817" w:type="pct"/>
            <w:shd w:val="clear" w:color="auto" w:fill="12355B"/>
            <w:vAlign w:val="center"/>
          </w:tcPr>
          <w:p w14:paraId="5AA270BC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b/>
                <w:color w:val="FFFFFF"/>
                <w:sz w:val="17"/>
                <w:szCs w:val="17"/>
              </w:rPr>
              <w:t>Net debt/EBITDA</w:t>
            </w:r>
          </w:p>
        </w:tc>
        <w:tc>
          <w:tcPr>
            <w:tcW w:w="635" w:type="pct"/>
            <w:shd w:val="clear" w:color="auto" w:fill="12355B"/>
            <w:vAlign w:val="center"/>
          </w:tcPr>
          <w:p w14:paraId="24CBCB1E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b/>
                <w:color w:val="FFFFFF"/>
                <w:sz w:val="17"/>
                <w:szCs w:val="17"/>
              </w:rPr>
              <w:t>Core median?</w:t>
            </w:r>
          </w:p>
        </w:tc>
      </w:tr>
      <w:tr w:rsidR="0008289F" w:rsidRPr="00075B9F" w14:paraId="5C059D69" w14:textId="77777777" w:rsidTr="00075B9F">
        <w:trPr>
          <w:jc w:val="center"/>
        </w:trPr>
        <w:tc>
          <w:tcPr>
            <w:tcW w:w="686" w:type="pct"/>
            <w:vAlign w:val="center"/>
          </w:tcPr>
          <w:p w14:paraId="4F5F36BD" w14:textId="77777777" w:rsidR="0008289F" w:rsidRPr="00075B9F" w:rsidRDefault="00000000">
            <w:pPr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Ford Otosan</w:t>
            </w:r>
          </w:p>
        </w:tc>
        <w:tc>
          <w:tcPr>
            <w:tcW w:w="409" w:type="pct"/>
            <w:vAlign w:val="center"/>
          </w:tcPr>
          <w:p w14:paraId="12C3DB10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FROTO</w:t>
            </w:r>
          </w:p>
        </w:tc>
        <w:tc>
          <w:tcPr>
            <w:tcW w:w="778" w:type="pct"/>
            <w:vAlign w:val="center"/>
          </w:tcPr>
          <w:p w14:paraId="7EB7A596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Target</w:t>
            </w:r>
          </w:p>
        </w:tc>
        <w:tc>
          <w:tcPr>
            <w:tcW w:w="613" w:type="pct"/>
            <w:vAlign w:val="center"/>
          </w:tcPr>
          <w:p w14:paraId="66587535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6.3x</w:t>
            </w:r>
          </w:p>
        </w:tc>
        <w:tc>
          <w:tcPr>
            <w:tcW w:w="333" w:type="pct"/>
            <w:vAlign w:val="center"/>
          </w:tcPr>
          <w:p w14:paraId="6A956CE9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9.4x</w:t>
            </w:r>
          </w:p>
        </w:tc>
        <w:tc>
          <w:tcPr>
            <w:tcW w:w="729" w:type="pct"/>
            <w:vAlign w:val="center"/>
          </w:tcPr>
          <w:p w14:paraId="01800DC0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8.0%</w:t>
            </w:r>
          </w:p>
        </w:tc>
        <w:tc>
          <w:tcPr>
            <w:tcW w:w="817" w:type="pct"/>
            <w:vAlign w:val="center"/>
          </w:tcPr>
          <w:p w14:paraId="289C2FD4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1.49x</w:t>
            </w:r>
          </w:p>
        </w:tc>
        <w:tc>
          <w:tcPr>
            <w:tcW w:w="635" w:type="pct"/>
            <w:vAlign w:val="center"/>
          </w:tcPr>
          <w:p w14:paraId="0AE3B0E3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-</w:t>
            </w:r>
          </w:p>
        </w:tc>
      </w:tr>
      <w:tr w:rsidR="0008289F" w:rsidRPr="00075B9F" w14:paraId="45198B05" w14:textId="77777777" w:rsidTr="00075B9F">
        <w:trPr>
          <w:jc w:val="center"/>
        </w:trPr>
        <w:tc>
          <w:tcPr>
            <w:tcW w:w="686" w:type="pct"/>
            <w:vAlign w:val="center"/>
          </w:tcPr>
          <w:p w14:paraId="5E74BC64" w14:textId="77777777" w:rsidR="0008289F" w:rsidRPr="00075B9F" w:rsidRDefault="00000000">
            <w:pPr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Tofaş</w:t>
            </w:r>
          </w:p>
        </w:tc>
        <w:tc>
          <w:tcPr>
            <w:tcW w:w="409" w:type="pct"/>
            <w:vAlign w:val="center"/>
          </w:tcPr>
          <w:p w14:paraId="3F6C387F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TOASO</w:t>
            </w:r>
          </w:p>
        </w:tc>
        <w:tc>
          <w:tcPr>
            <w:tcW w:w="778" w:type="pct"/>
            <w:vAlign w:val="center"/>
          </w:tcPr>
          <w:p w14:paraId="35C036C1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Core manufacturing</w:t>
            </w:r>
          </w:p>
        </w:tc>
        <w:tc>
          <w:tcPr>
            <w:tcW w:w="613" w:type="pct"/>
            <w:vAlign w:val="center"/>
          </w:tcPr>
          <w:p w14:paraId="2A01630E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18.5x</w:t>
            </w:r>
          </w:p>
        </w:tc>
        <w:tc>
          <w:tcPr>
            <w:tcW w:w="333" w:type="pct"/>
            <w:vAlign w:val="center"/>
          </w:tcPr>
          <w:p w14:paraId="1241DADE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18.1x</w:t>
            </w:r>
          </w:p>
        </w:tc>
        <w:tc>
          <w:tcPr>
            <w:tcW w:w="729" w:type="pct"/>
            <w:vAlign w:val="center"/>
          </w:tcPr>
          <w:p w14:paraId="037634C5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3.1%</w:t>
            </w:r>
          </w:p>
        </w:tc>
        <w:tc>
          <w:tcPr>
            <w:tcW w:w="817" w:type="pct"/>
            <w:vAlign w:val="center"/>
          </w:tcPr>
          <w:p w14:paraId="68D30CEE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3.35x</w:t>
            </w:r>
          </w:p>
        </w:tc>
        <w:tc>
          <w:tcPr>
            <w:tcW w:w="635" w:type="pct"/>
            <w:vAlign w:val="center"/>
          </w:tcPr>
          <w:p w14:paraId="03A3FC7A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Yes</w:t>
            </w:r>
          </w:p>
        </w:tc>
      </w:tr>
      <w:tr w:rsidR="0008289F" w:rsidRPr="00075B9F" w14:paraId="38326BEE" w14:textId="77777777" w:rsidTr="00075B9F">
        <w:trPr>
          <w:jc w:val="center"/>
        </w:trPr>
        <w:tc>
          <w:tcPr>
            <w:tcW w:w="686" w:type="pct"/>
            <w:vAlign w:val="center"/>
          </w:tcPr>
          <w:p w14:paraId="7FF70937" w14:textId="77777777" w:rsidR="0008289F" w:rsidRPr="00075B9F" w:rsidRDefault="00000000">
            <w:pPr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Türk Traktör</w:t>
            </w:r>
          </w:p>
        </w:tc>
        <w:tc>
          <w:tcPr>
            <w:tcW w:w="409" w:type="pct"/>
            <w:vAlign w:val="center"/>
          </w:tcPr>
          <w:p w14:paraId="43299158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TTRAK</w:t>
            </w:r>
          </w:p>
        </w:tc>
        <w:tc>
          <w:tcPr>
            <w:tcW w:w="778" w:type="pct"/>
            <w:vAlign w:val="center"/>
          </w:tcPr>
          <w:p w14:paraId="2CB9BB4E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Core manufacturing</w:t>
            </w:r>
          </w:p>
        </w:tc>
        <w:tc>
          <w:tcPr>
            <w:tcW w:w="613" w:type="pct"/>
            <w:vAlign w:val="center"/>
          </w:tcPr>
          <w:p w14:paraId="6C536D1C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11.2x</w:t>
            </w:r>
          </w:p>
        </w:tc>
        <w:tc>
          <w:tcPr>
            <w:tcW w:w="333" w:type="pct"/>
            <w:vAlign w:val="center"/>
          </w:tcPr>
          <w:p w14:paraId="578DB9D7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103.9x</w:t>
            </w:r>
          </w:p>
        </w:tc>
        <w:tc>
          <w:tcPr>
            <w:tcW w:w="729" w:type="pct"/>
            <w:vAlign w:val="center"/>
          </w:tcPr>
          <w:p w14:paraId="731F51E2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9.3%</w:t>
            </w:r>
          </w:p>
        </w:tc>
        <w:tc>
          <w:tcPr>
            <w:tcW w:w="817" w:type="pct"/>
            <w:vAlign w:val="center"/>
          </w:tcPr>
          <w:p w14:paraId="139530B5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1.76x</w:t>
            </w:r>
          </w:p>
        </w:tc>
        <w:tc>
          <w:tcPr>
            <w:tcW w:w="635" w:type="pct"/>
            <w:vAlign w:val="center"/>
          </w:tcPr>
          <w:p w14:paraId="5D7A4EEB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Yes</w:t>
            </w:r>
          </w:p>
        </w:tc>
      </w:tr>
      <w:tr w:rsidR="0008289F" w:rsidRPr="00075B9F" w14:paraId="020A18AF" w14:textId="77777777" w:rsidTr="00075B9F">
        <w:trPr>
          <w:jc w:val="center"/>
        </w:trPr>
        <w:tc>
          <w:tcPr>
            <w:tcW w:w="686" w:type="pct"/>
            <w:vAlign w:val="center"/>
          </w:tcPr>
          <w:p w14:paraId="01636C25" w14:textId="77777777" w:rsidR="0008289F" w:rsidRPr="00075B9F" w:rsidRDefault="00000000">
            <w:pPr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Anadolu Isuzu</w:t>
            </w:r>
          </w:p>
        </w:tc>
        <w:tc>
          <w:tcPr>
            <w:tcW w:w="409" w:type="pct"/>
            <w:vAlign w:val="center"/>
          </w:tcPr>
          <w:p w14:paraId="5E388362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ASUZU</w:t>
            </w:r>
          </w:p>
        </w:tc>
        <w:tc>
          <w:tcPr>
            <w:tcW w:w="778" w:type="pct"/>
            <w:vAlign w:val="center"/>
          </w:tcPr>
          <w:p w14:paraId="39152C6E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Core manufacturing</w:t>
            </w:r>
          </w:p>
        </w:tc>
        <w:tc>
          <w:tcPr>
            <w:tcW w:w="613" w:type="pct"/>
            <w:vAlign w:val="center"/>
          </w:tcPr>
          <w:p w14:paraId="7C56577E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12.1x</w:t>
            </w:r>
          </w:p>
        </w:tc>
        <w:tc>
          <w:tcPr>
            <w:tcW w:w="333" w:type="pct"/>
            <w:vAlign w:val="center"/>
          </w:tcPr>
          <w:p w14:paraId="17676D52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17.6x</w:t>
            </w:r>
          </w:p>
        </w:tc>
        <w:tc>
          <w:tcPr>
            <w:tcW w:w="729" w:type="pct"/>
            <w:vAlign w:val="center"/>
          </w:tcPr>
          <w:p w14:paraId="75D98F85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6.8%</w:t>
            </w:r>
          </w:p>
        </w:tc>
        <w:tc>
          <w:tcPr>
            <w:tcW w:w="817" w:type="pct"/>
            <w:vAlign w:val="center"/>
          </w:tcPr>
          <w:p w14:paraId="3663CC04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3.44x</w:t>
            </w:r>
          </w:p>
        </w:tc>
        <w:tc>
          <w:tcPr>
            <w:tcW w:w="635" w:type="pct"/>
            <w:vAlign w:val="center"/>
          </w:tcPr>
          <w:p w14:paraId="2D96821B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Yes</w:t>
            </w:r>
          </w:p>
        </w:tc>
      </w:tr>
      <w:tr w:rsidR="0008289F" w:rsidRPr="00075B9F" w14:paraId="5826574E" w14:textId="77777777" w:rsidTr="00075B9F">
        <w:trPr>
          <w:jc w:val="center"/>
        </w:trPr>
        <w:tc>
          <w:tcPr>
            <w:tcW w:w="686" w:type="pct"/>
            <w:vAlign w:val="center"/>
          </w:tcPr>
          <w:p w14:paraId="5861A101" w14:textId="77777777" w:rsidR="0008289F" w:rsidRPr="00075B9F" w:rsidRDefault="00000000">
            <w:pPr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Otokar</w:t>
            </w:r>
          </w:p>
        </w:tc>
        <w:tc>
          <w:tcPr>
            <w:tcW w:w="409" w:type="pct"/>
            <w:vAlign w:val="center"/>
          </w:tcPr>
          <w:p w14:paraId="346A7C62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OTKAR</w:t>
            </w:r>
          </w:p>
        </w:tc>
        <w:tc>
          <w:tcPr>
            <w:tcW w:w="778" w:type="pct"/>
            <w:vAlign w:val="center"/>
          </w:tcPr>
          <w:p w14:paraId="74327DFC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Broader check</w:t>
            </w:r>
          </w:p>
        </w:tc>
        <w:tc>
          <w:tcPr>
            <w:tcW w:w="613" w:type="pct"/>
            <w:vAlign w:val="center"/>
          </w:tcPr>
          <w:p w14:paraId="50182A33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33.3x</w:t>
            </w:r>
          </w:p>
        </w:tc>
        <w:tc>
          <w:tcPr>
            <w:tcW w:w="333" w:type="pct"/>
            <w:vAlign w:val="center"/>
          </w:tcPr>
          <w:p w14:paraId="4A17D7E5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N.M.</w:t>
            </w:r>
          </w:p>
        </w:tc>
        <w:tc>
          <w:tcPr>
            <w:tcW w:w="729" w:type="pct"/>
            <w:vAlign w:val="center"/>
          </w:tcPr>
          <w:p w14:paraId="0FC23F37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4.1%</w:t>
            </w:r>
          </w:p>
        </w:tc>
        <w:tc>
          <w:tcPr>
            <w:tcW w:w="817" w:type="pct"/>
            <w:vAlign w:val="center"/>
          </w:tcPr>
          <w:p w14:paraId="29FFDE59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12.90x</w:t>
            </w:r>
          </w:p>
        </w:tc>
        <w:tc>
          <w:tcPr>
            <w:tcW w:w="635" w:type="pct"/>
            <w:vAlign w:val="center"/>
          </w:tcPr>
          <w:p w14:paraId="5801CD1B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No / sensitivity</w:t>
            </w:r>
          </w:p>
        </w:tc>
      </w:tr>
      <w:tr w:rsidR="0008289F" w:rsidRPr="00075B9F" w14:paraId="4A8AD524" w14:textId="77777777" w:rsidTr="00075B9F">
        <w:trPr>
          <w:jc w:val="center"/>
        </w:trPr>
        <w:tc>
          <w:tcPr>
            <w:tcW w:w="686" w:type="pct"/>
            <w:vAlign w:val="center"/>
          </w:tcPr>
          <w:p w14:paraId="51F024A6" w14:textId="77777777" w:rsidR="0008289F" w:rsidRPr="00075B9F" w:rsidRDefault="00000000">
            <w:pPr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Doğuş Otomotiv</w:t>
            </w:r>
          </w:p>
        </w:tc>
        <w:tc>
          <w:tcPr>
            <w:tcW w:w="409" w:type="pct"/>
            <w:vAlign w:val="center"/>
          </w:tcPr>
          <w:p w14:paraId="04BAE1EE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DOAS</w:t>
            </w:r>
          </w:p>
        </w:tc>
        <w:tc>
          <w:tcPr>
            <w:tcW w:w="778" w:type="pct"/>
            <w:vAlign w:val="center"/>
          </w:tcPr>
          <w:p w14:paraId="107A10F9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Broader check</w:t>
            </w:r>
          </w:p>
        </w:tc>
        <w:tc>
          <w:tcPr>
            <w:tcW w:w="613" w:type="pct"/>
            <w:vAlign w:val="center"/>
          </w:tcPr>
          <w:p w14:paraId="35E9EC10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4.4x</w:t>
            </w:r>
          </w:p>
        </w:tc>
        <w:tc>
          <w:tcPr>
            <w:tcW w:w="333" w:type="pct"/>
            <w:vAlign w:val="center"/>
          </w:tcPr>
          <w:p w14:paraId="6A11DFDA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12.7x</w:t>
            </w:r>
          </w:p>
        </w:tc>
        <w:tc>
          <w:tcPr>
            <w:tcW w:w="729" w:type="pct"/>
            <w:vAlign w:val="center"/>
          </w:tcPr>
          <w:p w14:paraId="4AC59752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5.8%</w:t>
            </w:r>
          </w:p>
        </w:tc>
        <w:tc>
          <w:tcPr>
            <w:tcW w:w="817" w:type="pct"/>
            <w:vAlign w:val="center"/>
          </w:tcPr>
          <w:p w14:paraId="194AF890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1.69x</w:t>
            </w:r>
          </w:p>
        </w:tc>
        <w:tc>
          <w:tcPr>
            <w:tcW w:w="635" w:type="pct"/>
            <w:vAlign w:val="center"/>
          </w:tcPr>
          <w:p w14:paraId="6C2E62A2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No / sensitivity</w:t>
            </w:r>
          </w:p>
        </w:tc>
      </w:tr>
      <w:tr w:rsidR="0008289F" w:rsidRPr="00075B9F" w14:paraId="582768DE" w14:textId="77777777" w:rsidTr="00075B9F">
        <w:trPr>
          <w:jc w:val="center"/>
        </w:trPr>
        <w:tc>
          <w:tcPr>
            <w:tcW w:w="686" w:type="pct"/>
            <w:vAlign w:val="center"/>
          </w:tcPr>
          <w:p w14:paraId="4B1F9C52" w14:textId="77777777" w:rsidR="0008289F" w:rsidRPr="00075B9F" w:rsidRDefault="00000000">
            <w:pPr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Karsan</w:t>
            </w:r>
          </w:p>
        </w:tc>
        <w:tc>
          <w:tcPr>
            <w:tcW w:w="409" w:type="pct"/>
            <w:vAlign w:val="center"/>
          </w:tcPr>
          <w:p w14:paraId="16BCD241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KARSN</w:t>
            </w:r>
          </w:p>
        </w:tc>
        <w:tc>
          <w:tcPr>
            <w:tcW w:w="778" w:type="pct"/>
            <w:vAlign w:val="center"/>
          </w:tcPr>
          <w:p w14:paraId="64DAC0A2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Sensitivity peer</w:t>
            </w:r>
          </w:p>
        </w:tc>
        <w:tc>
          <w:tcPr>
            <w:tcW w:w="613" w:type="pct"/>
            <w:vAlign w:val="center"/>
          </w:tcPr>
          <w:p w14:paraId="371CE975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6.1x</w:t>
            </w:r>
          </w:p>
        </w:tc>
        <w:tc>
          <w:tcPr>
            <w:tcW w:w="333" w:type="pct"/>
            <w:vAlign w:val="center"/>
          </w:tcPr>
          <w:p w14:paraId="6B3508D7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68.7x</w:t>
            </w:r>
          </w:p>
        </w:tc>
        <w:tc>
          <w:tcPr>
            <w:tcW w:w="729" w:type="pct"/>
            <w:vAlign w:val="center"/>
          </w:tcPr>
          <w:p w14:paraId="6CA10A0D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20.7%</w:t>
            </w:r>
          </w:p>
        </w:tc>
        <w:tc>
          <w:tcPr>
            <w:tcW w:w="817" w:type="pct"/>
            <w:vAlign w:val="center"/>
          </w:tcPr>
          <w:p w14:paraId="790B8EC7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2.10x</w:t>
            </w:r>
          </w:p>
        </w:tc>
        <w:tc>
          <w:tcPr>
            <w:tcW w:w="635" w:type="pct"/>
            <w:vAlign w:val="center"/>
          </w:tcPr>
          <w:p w14:paraId="4B716473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No</w:t>
            </w:r>
          </w:p>
        </w:tc>
      </w:tr>
    </w:tbl>
    <w:p w14:paraId="7AEEE55C" w14:textId="77777777" w:rsidR="0008289F" w:rsidRDefault="00000000" w:rsidP="006F540D">
      <w:pPr>
        <w:jc w:val="center"/>
      </w:pPr>
      <w:r>
        <w:rPr>
          <w:rFonts w:ascii="Garamond" w:eastAsia="Garamond" w:hAnsi="Garamond"/>
          <w:i/>
          <w:sz w:val="14"/>
        </w:rPr>
        <w:t>Note: P/E is treated as secondary because peer earnings are affected by financing costs, deferred taxes, inflation accounting effects, and cyclical earnings distortion.</w:t>
      </w:r>
    </w:p>
    <w:p w14:paraId="39E1FD06" w14:textId="77777777" w:rsidR="004A5557" w:rsidRPr="003A3B24" w:rsidRDefault="00000000">
      <w:pPr>
        <w:jc w:val="center"/>
        <w:rPr>
          <w:rFonts w:ascii="Garamond" w:hAnsi="Garamond"/>
        </w:rPr>
      </w:pPr>
      <w:r w:rsidRPr="003A3B24">
        <w:rPr>
          <w:rFonts w:ascii="Garamond" w:hAnsi="Garamond"/>
          <w:noProof/>
        </w:rPr>
        <w:drawing>
          <wp:inline distT="0" distB="0" distL="0" distR="0" wp14:anchorId="72A65850" wp14:editId="74B8109F">
            <wp:extent cx="3203389" cy="180000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peer_ev_ebitd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338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99BC" w14:textId="77777777" w:rsidR="004A5557" w:rsidRPr="006F540D" w:rsidRDefault="00000000">
      <w:pPr>
        <w:spacing w:after="60"/>
        <w:jc w:val="center"/>
        <w:rPr>
          <w:rFonts w:ascii="Garamond" w:hAnsi="Garamond"/>
          <w:b/>
          <w:color w:val="000000" w:themeColor="text1"/>
          <w:sz w:val="18"/>
          <w:szCs w:val="18"/>
        </w:rPr>
      </w:pPr>
      <w:r w:rsidRPr="006F540D">
        <w:rPr>
          <w:rFonts w:ascii="Garamond" w:hAnsi="Garamond"/>
          <w:b/>
          <w:color w:val="000000" w:themeColor="text1"/>
          <w:sz w:val="18"/>
          <w:szCs w:val="18"/>
        </w:rPr>
        <w:t xml:space="preserve">Figure </w:t>
      </w:r>
      <w:r w:rsidR="003A3B24" w:rsidRPr="006F540D">
        <w:rPr>
          <w:rFonts w:ascii="Garamond" w:hAnsi="Garamond"/>
          <w:b/>
          <w:color w:val="000000" w:themeColor="text1"/>
          <w:sz w:val="18"/>
          <w:szCs w:val="18"/>
        </w:rPr>
        <w:t>4</w:t>
      </w:r>
      <w:r w:rsidRPr="006F540D">
        <w:rPr>
          <w:rFonts w:ascii="Garamond" w:hAnsi="Garamond"/>
          <w:b/>
          <w:color w:val="000000" w:themeColor="text1"/>
          <w:sz w:val="18"/>
          <w:szCs w:val="18"/>
        </w:rPr>
        <w:t>. Peer EV/EBITDA comparison; FROTO is below the core manufacturing peer median.</w:t>
      </w:r>
    </w:p>
    <w:p w14:paraId="047A90E0" w14:textId="77777777" w:rsidR="004A5557" w:rsidRPr="003A3B24" w:rsidRDefault="00000000">
      <w:pPr>
        <w:jc w:val="center"/>
        <w:rPr>
          <w:rFonts w:ascii="Garamond" w:hAnsi="Garamond"/>
        </w:rPr>
      </w:pPr>
      <w:r w:rsidRPr="003A3B24">
        <w:rPr>
          <w:rFonts w:ascii="Garamond" w:hAnsi="Garamond"/>
          <w:noProof/>
        </w:rPr>
        <w:drawing>
          <wp:inline distT="0" distB="0" distL="0" distR="0" wp14:anchorId="2024734E" wp14:editId="460A4886">
            <wp:extent cx="3203389" cy="180000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peer_ebitda_mar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338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911A" w14:textId="77777777" w:rsidR="004A5557" w:rsidRPr="006F540D" w:rsidRDefault="00000000">
      <w:pPr>
        <w:spacing w:after="60"/>
        <w:jc w:val="center"/>
        <w:rPr>
          <w:rFonts w:ascii="Garamond" w:hAnsi="Garamond"/>
          <w:b/>
          <w:color w:val="000000" w:themeColor="text1"/>
          <w:sz w:val="18"/>
          <w:szCs w:val="18"/>
        </w:rPr>
      </w:pPr>
      <w:r w:rsidRPr="006F540D">
        <w:rPr>
          <w:rFonts w:ascii="Garamond" w:hAnsi="Garamond"/>
          <w:b/>
          <w:color w:val="000000" w:themeColor="text1"/>
          <w:sz w:val="18"/>
          <w:szCs w:val="18"/>
        </w:rPr>
        <w:t xml:space="preserve">Figure </w:t>
      </w:r>
      <w:r w:rsidR="003A3B24" w:rsidRPr="006F540D">
        <w:rPr>
          <w:rFonts w:ascii="Garamond" w:hAnsi="Garamond"/>
          <w:b/>
          <w:color w:val="000000" w:themeColor="text1"/>
          <w:sz w:val="18"/>
          <w:szCs w:val="18"/>
        </w:rPr>
        <w:t>5</w:t>
      </w:r>
      <w:r w:rsidRPr="006F540D">
        <w:rPr>
          <w:rFonts w:ascii="Garamond" w:hAnsi="Garamond"/>
          <w:b/>
          <w:color w:val="000000" w:themeColor="text1"/>
          <w:sz w:val="18"/>
          <w:szCs w:val="18"/>
        </w:rPr>
        <w:t xml:space="preserve">. EBITDA margin check: FROTO’s multiple </w:t>
      </w:r>
      <w:r w:rsidR="003A3B24" w:rsidRPr="006F540D">
        <w:rPr>
          <w:rFonts w:ascii="Garamond" w:hAnsi="Garamond"/>
          <w:b/>
          <w:color w:val="000000" w:themeColor="text1"/>
          <w:sz w:val="18"/>
          <w:szCs w:val="18"/>
        </w:rPr>
        <w:t>discounts</w:t>
      </w:r>
      <w:r w:rsidRPr="006F540D">
        <w:rPr>
          <w:rFonts w:ascii="Garamond" w:hAnsi="Garamond"/>
          <w:b/>
          <w:color w:val="000000" w:themeColor="text1"/>
          <w:sz w:val="18"/>
          <w:szCs w:val="18"/>
        </w:rPr>
        <w:t xml:space="preserve"> </w:t>
      </w:r>
      <w:r w:rsidR="003A3B24" w:rsidRPr="006F540D">
        <w:rPr>
          <w:rFonts w:ascii="Garamond" w:hAnsi="Garamond"/>
          <w:b/>
          <w:color w:val="000000" w:themeColor="text1"/>
          <w:sz w:val="18"/>
          <w:szCs w:val="18"/>
        </w:rPr>
        <w:t>are</w:t>
      </w:r>
      <w:r w:rsidRPr="006F540D">
        <w:rPr>
          <w:rFonts w:ascii="Garamond" w:hAnsi="Garamond"/>
          <w:b/>
          <w:color w:val="000000" w:themeColor="text1"/>
          <w:sz w:val="18"/>
          <w:szCs w:val="18"/>
        </w:rPr>
        <w:t xml:space="preserve"> not s</w:t>
      </w:r>
      <w:r w:rsidR="003A3B24" w:rsidRPr="006F540D">
        <w:rPr>
          <w:rFonts w:ascii="Garamond" w:hAnsi="Garamond"/>
          <w:b/>
          <w:color w:val="000000" w:themeColor="text1"/>
          <w:sz w:val="18"/>
          <w:szCs w:val="18"/>
        </w:rPr>
        <w:t>olely attributable to</w:t>
      </w:r>
      <w:r w:rsidRPr="006F540D">
        <w:rPr>
          <w:rFonts w:ascii="Garamond" w:hAnsi="Garamond"/>
          <w:b/>
          <w:color w:val="000000" w:themeColor="text1"/>
          <w:sz w:val="18"/>
          <w:szCs w:val="18"/>
        </w:rPr>
        <w:t xml:space="preserve"> weak margin quality.</w:t>
      </w:r>
    </w:p>
    <w:p w14:paraId="490F8755" w14:textId="77777777" w:rsidR="004A5557" w:rsidRPr="003A3B24" w:rsidRDefault="00000000" w:rsidP="00D036D5">
      <w:pPr>
        <w:spacing w:after="100" w:line="252" w:lineRule="auto"/>
        <w:rPr>
          <w:rFonts w:ascii="Garamond" w:hAnsi="Garamond"/>
        </w:rPr>
      </w:pPr>
      <w:r w:rsidRPr="003A3B24">
        <w:rPr>
          <w:rFonts w:ascii="Garamond" w:hAnsi="Garamond"/>
          <w:b/>
        </w:rPr>
        <w:t>Peer interpretation:</w:t>
      </w:r>
      <w:r w:rsidRPr="003A3B24">
        <w:rPr>
          <w:rFonts w:ascii="Garamond" w:hAnsi="Garamond"/>
        </w:rPr>
        <w:t xml:space="preserve"> TOASO, TTRAK</w:t>
      </w:r>
      <w:r w:rsidR="003A3B24">
        <w:rPr>
          <w:rFonts w:ascii="Garamond" w:hAnsi="Garamond"/>
        </w:rPr>
        <w:t>,</w:t>
      </w:r>
      <w:r w:rsidRPr="003A3B24">
        <w:rPr>
          <w:rFonts w:ascii="Garamond" w:hAnsi="Garamond"/>
        </w:rPr>
        <w:t xml:space="preserve"> and ASUZU are the core manufacturing set, while OTKAR and DOAS are useful broader checks but less precise comparables due to defense/project exposure and distribution-led business models. KARSN remains a sensitiv</w:t>
      </w:r>
      <w:r w:rsidR="003A3B24">
        <w:rPr>
          <w:rFonts w:ascii="Garamond" w:hAnsi="Garamond"/>
        </w:rPr>
        <w:t>e</w:t>
      </w:r>
      <w:r w:rsidRPr="003A3B24">
        <w:rPr>
          <w:rFonts w:ascii="Garamond" w:hAnsi="Garamond"/>
        </w:rPr>
        <w:t xml:space="preserve"> peer rather than a main median input.</w:t>
      </w:r>
    </w:p>
    <w:p w14:paraId="73C7AF80" w14:textId="77777777" w:rsidR="004A5557" w:rsidRPr="003A3B24" w:rsidRDefault="00000000" w:rsidP="003A3B24">
      <w:pPr>
        <w:pStyle w:val="Balk1"/>
        <w:spacing w:before="0" w:after="120"/>
        <w:rPr>
          <w:rFonts w:ascii="Garamond" w:hAnsi="Garamond"/>
        </w:rPr>
      </w:pPr>
      <w:r w:rsidRPr="003A3B24">
        <w:rPr>
          <w:rFonts w:ascii="Garamond" w:hAnsi="Garamond"/>
        </w:rPr>
        <w:t>5. DCF Methodology and Base Case</w:t>
      </w:r>
    </w:p>
    <w:p w14:paraId="4EA4C9B8" w14:textId="77777777" w:rsidR="004A5557" w:rsidRPr="003A3B24" w:rsidRDefault="00000000">
      <w:pPr>
        <w:spacing w:after="100" w:line="252" w:lineRule="auto"/>
        <w:rPr>
          <w:rFonts w:ascii="Garamond" w:hAnsi="Garamond"/>
        </w:rPr>
      </w:pPr>
      <w:r w:rsidRPr="003A3B24">
        <w:rPr>
          <w:rFonts w:ascii="Garamond" w:hAnsi="Garamond"/>
        </w:rPr>
        <w:t>The main DCF uses a</w:t>
      </w:r>
      <w:r w:rsidR="00AD6C10">
        <w:rPr>
          <w:rFonts w:ascii="Garamond" w:hAnsi="Garamond"/>
        </w:rPr>
        <w:t xml:space="preserve"> real framework consistent with IAS 29</w:t>
      </w:r>
      <w:r w:rsidRPr="003A3B24">
        <w:rPr>
          <w:rFonts w:ascii="Garamond" w:hAnsi="Garamond"/>
        </w:rPr>
        <w:t>. This is critical: constant-purchasing-power cash flows should not be mechanically discounted using spot nominal TRY rates as a base case.</w:t>
      </w:r>
    </w:p>
    <w:p w14:paraId="22DB7A3A" w14:textId="77777777" w:rsidR="004A5557" w:rsidRPr="003A3B24" w:rsidRDefault="00000000">
      <w:pPr>
        <w:pStyle w:val="ListeMaddemi"/>
        <w:spacing w:after="60"/>
        <w:rPr>
          <w:rFonts w:ascii="Garamond" w:hAnsi="Garamond"/>
        </w:rPr>
      </w:pPr>
      <w:r w:rsidRPr="003A3B24">
        <w:rPr>
          <w:rFonts w:ascii="Garamond" w:hAnsi="Garamond"/>
          <w:b/>
        </w:rPr>
        <w:t xml:space="preserve">Base year: </w:t>
      </w:r>
      <w:r w:rsidRPr="003A3B24">
        <w:rPr>
          <w:rFonts w:ascii="Garamond" w:hAnsi="Garamond"/>
        </w:rPr>
        <w:t>2025A, the latest audited full-year period.</w:t>
      </w:r>
    </w:p>
    <w:p w14:paraId="58ECC980" w14:textId="77777777" w:rsidR="004A5557" w:rsidRPr="003A3B24" w:rsidRDefault="00000000">
      <w:pPr>
        <w:pStyle w:val="ListeMaddemi"/>
        <w:spacing w:after="60"/>
        <w:rPr>
          <w:rFonts w:ascii="Garamond" w:hAnsi="Garamond"/>
        </w:rPr>
      </w:pPr>
      <w:r w:rsidRPr="003A3B24">
        <w:rPr>
          <w:rFonts w:ascii="Garamond" w:hAnsi="Garamond"/>
          <w:b/>
        </w:rPr>
        <w:t xml:space="preserve">Forecast period: </w:t>
      </w:r>
      <w:r w:rsidRPr="003A3B24">
        <w:rPr>
          <w:rFonts w:ascii="Garamond" w:hAnsi="Garamond"/>
        </w:rPr>
        <w:t>2026E-2030E.</w:t>
      </w:r>
    </w:p>
    <w:p w14:paraId="0EFB29D1" w14:textId="77777777" w:rsidR="004A5557" w:rsidRPr="003A3B24" w:rsidRDefault="00000000">
      <w:pPr>
        <w:pStyle w:val="ListeMaddemi"/>
        <w:spacing w:after="60"/>
        <w:rPr>
          <w:rFonts w:ascii="Garamond" w:hAnsi="Garamond"/>
        </w:rPr>
      </w:pPr>
      <w:r w:rsidRPr="003A3B24">
        <w:rPr>
          <w:rFonts w:ascii="Garamond" w:hAnsi="Garamond"/>
          <w:b/>
        </w:rPr>
        <w:t xml:space="preserve">Revenue growth: </w:t>
      </w:r>
      <w:r w:rsidRPr="003A3B24">
        <w:rPr>
          <w:rFonts w:ascii="Garamond" w:hAnsi="Garamond"/>
        </w:rPr>
        <w:t>Flat in 2026E, followed by normalized recovery assumptions.</w:t>
      </w:r>
    </w:p>
    <w:p w14:paraId="547FE322" w14:textId="77777777" w:rsidR="004A5557" w:rsidRPr="003A3B24" w:rsidRDefault="00000000">
      <w:pPr>
        <w:pStyle w:val="ListeMaddemi"/>
        <w:spacing w:after="60"/>
        <w:rPr>
          <w:rFonts w:ascii="Garamond" w:hAnsi="Garamond"/>
        </w:rPr>
      </w:pPr>
      <w:r w:rsidRPr="003A3B24">
        <w:rPr>
          <w:rFonts w:ascii="Garamond" w:hAnsi="Garamond"/>
          <w:b/>
        </w:rPr>
        <w:t xml:space="preserve">Profitability: </w:t>
      </w:r>
      <w:r w:rsidRPr="003A3B24">
        <w:rPr>
          <w:rFonts w:ascii="Garamond" w:hAnsi="Garamond"/>
        </w:rPr>
        <w:t>2026E adjusted EBITDA margin is set around the mid-point of guidance, then gradually normalizes.</w:t>
      </w:r>
    </w:p>
    <w:p w14:paraId="49396FA2" w14:textId="77777777" w:rsidR="004A5557" w:rsidRPr="003A3B24" w:rsidRDefault="00000000">
      <w:pPr>
        <w:pStyle w:val="ListeMaddemi"/>
        <w:spacing w:after="60"/>
        <w:rPr>
          <w:rFonts w:ascii="Garamond" w:hAnsi="Garamond"/>
        </w:rPr>
      </w:pPr>
      <w:r w:rsidRPr="003A3B24">
        <w:rPr>
          <w:rFonts w:ascii="Garamond" w:hAnsi="Garamond"/>
          <w:b/>
        </w:rPr>
        <w:t xml:space="preserve">Discounting: </w:t>
      </w:r>
      <w:r w:rsidRPr="003A3B24">
        <w:rPr>
          <w:rFonts w:ascii="Garamond" w:hAnsi="Garamond"/>
        </w:rPr>
        <w:t>11.0% real WACC and 2.0% real terminal growth are used in the base real DCF.</w:t>
      </w:r>
    </w:p>
    <w:p w14:paraId="3B7C835A" w14:textId="77777777" w:rsidR="0008289F" w:rsidRPr="006F540D" w:rsidRDefault="00000000" w:rsidP="00FC6BE2">
      <w:pPr>
        <w:spacing w:after="0"/>
        <w:rPr>
          <w:color w:val="000000" w:themeColor="text1"/>
          <w:szCs w:val="20"/>
        </w:rPr>
      </w:pPr>
      <w:r w:rsidRPr="006F540D">
        <w:rPr>
          <w:rFonts w:ascii="Garamond" w:eastAsia="Garamond" w:hAnsi="Garamond"/>
          <w:b/>
          <w:color w:val="000000" w:themeColor="text1"/>
          <w:szCs w:val="20"/>
        </w:rPr>
        <w:lastRenderedPageBreak/>
        <w:t>DCF forecast assumptions:</w:t>
      </w:r>
    </w:p>
    <w:tbl>
      <w:tblPr>
        <w:tblStyle w:val="TabloKlavuzu"/>
        <w:tblW w:w="5000" w:type="pct"/>
        <w:jc w:val="center"/>
        <w:tblLook w:val="04A0" w:firstRow="1" w:lastRow="0" w:firstColumn="1" w:lastColumn="0" w:noHBand="0" w:noVBand="1"/>
      </w:tblPr>
      <w:tblGrid>
        <w:gridCol w:w="1833"/>
        <w:gridCol w:w="683"/>
        <w:gridCol w:w="682"/>
        <w:gridCol w:w="682"/>
        <w:gridCol w:w="682"/>
        <w:gridCol w:w="682"/>
        <w:gridCol w:w="5484"/>
      </w:tblGrid>
      <w:tr w:rsidR="0008289F" w:rsidRPr="00075B9F" w14:paraId="644D917D" w14:textId="77777777" w:rsidTr="00075B9F">
        <w:trPr>
          <w:jc w:val="center"/>
        </w:trPr>
        <w:tc>
          <w:tcPr>
            <w:tcW w:w="854" w:type="pct"/>
            <w:shd w:val="clear" w:color="auto" w:fill="12355B"/>
            <w:vAlign w:val="center"/>
          </w:tcPr>
          <w:p w14:paraId="32C7E3F2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b/>
                <w:color w:val="FFFFFF"/>
                <w:sz w:val="17"/>
                <w:szCs w:val="17"/>
              </w:rPr>
              <w:t>Assumption</w:t>
            </w:r>
          </w:p>
        </w:tc>
        <w:tc>
          <w:tcPr>
            <w:tcW w:w="318" w:type="pct"/>
            <w:shd w:val="clear" w:color="auto" w:fill="12355B"/>
            <w:vAlign w:val="center"/>
          </w:tcPr>
          <w:p w14:paraId="398082FF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b/>
                <w:color w:val="FFFFFF"/>
                <w:sz w:val="17"/>
                <w:szCs w:val="17"/>
              </w:rPr>
              <w:t>2026E</w:t>
            </w:r>
          </w:p>
        </w:tc>
        <w:tc>
          <w:tcPr>
            <w:tcW w:w="318" w:type="pct"/>
            <w:shd w:val="clear" w:color="auto" w:fill="12355B"/>
            <w:vAlign w:val="center"/>
          </w:tcPr>
          <w:p w14:paraId="122E4070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b/>
                <w:color w:val="FFFFFF"/>
                <w:sz w:val="17"/>
                <w:szCs w:val="17"/>
              </w:rPr>
              <w:t>2027E</w:t>
            </w:r>
          </w:p>
        </w:tc>
        <w:tc>
          <w:tcPr>
            <w:tcW w:w="318" w:type="pct"/>
            <w:shd w:val="clear" w:color="auto" w:fill="12355B"/>
            <w:vAlign w:val="center"/>
          </w:tcPr>
          <w:p w14:paraId="136ACD53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b/>
                <w:color w:val="FFFFFF"/>
                <w:sz w:val="17"/>
                <w:szCs w:val="17"/>
              </w:rPr>
              <w:t>2028E</w:t>
            </w:r>
          </w:p>
        </w:tc>
        <w:tc>
          <w:tcPr>
            <w:tcW w:w="318" w:type="pct"/>
            <w:shd w:val="clear" w:color="auto" w:fill="12355B"/>
            <w:vAlign w:val="center"/>
          </w:tcPr>
          <w:p w14:paraId="0353AB51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b/>
                <w:color w:val="FFFFFF"/>
                <w:sz w:val="17"/>
                <w:szCs w:val="17"/>
              </w:rPr>
              <w:t>2029E</w:t>
            </w:r>
          </w:p>
        </w:tc>
        <w:tc>
          <w:tcPr>
            <w:tcW w:w="318" w:type="pct"/>
            <w:shd w:val="clear" w:color="auto" w:fill="12355B"/>
            <w:vAlign w:val="center"/>
          </w:tcPr>
          <w:p w14:paraId="3BE004D0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b/>
                <w:color w:val="FFFFFF"/>
                <w:sz w:val="17"/>
                <w:szCs w:val="17"/>
              </w:rPr>
              <w:t>2030E</w:t>
            </w:r>
          </w:p>
        </w:tc>
        <w:tc>
          <w:tcPr>
            <w:tcW w:w="2556" w:type="pct"/>
            <w:shd w:val="clear" w:color="auto" w:fill="12355B"/>
            <w:vAlign w:val="center"/>
          </w:tcPr>
          <w:p w14:paraId="1C2576DC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b/>
                <w:color w:val="FFFFFF"/>
                <w:sz w:val="17"/>
                <w:szCs w:val="17"/>
              </w:rPr>
              <w:t>Rationale</w:t>
            </w:r>
          </w:p>
        </w:tc>
      </w:tr>
      <w:tr w:rsidR="0008289F" w:rsidRPr="00075B9F" w14:paraId="54660F9C" w14:textId="77777777" w:rsidTr="00075B9F">
        <w:trPr>
          <w:jc w:val="center"/>
        </w:trPr>
        <w:tc>
          <w:tcPr>
            <w:tcW w:w="854" w:type="pct"/>
            <w:vAlign w:val="center"/>
          </w:tcPr>
          <w:p w14:paraId="0ED351C3" w14:textId="77777777" w:rsidR="0008289F" w:rsidRPr="00075B9F" w:rsidRDefault="00000000" w:rsidP="00075B9F">
            <w:pPr>
              <w:contextualSpacing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Revenue growth</w:t>
            </w:r>
          </w:p>
        </w:tc>
        <w:tc>
          <w:tcPr>
            <w:tcW w:w="318" w:type="pct"/>
            <w:vAlign w:val="center"/>
          </w:tcPr>
          <w:p w14:paraId="5BF46826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0.0%</w:t>
            </w:r>
          </w:p>
        </w:tc>
        <w:tc>
          <w:tcPr>
            <w:tcW w:w="318" w:type="pct"/>
            <w:vAlign w:val="center"/>
          </w:tcPr>
          <w:p w14:paraId="4A4C707E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8.0%</w:t>
            </w:r>
          </w:p>
        </w:tc>
        <w:tc>
          <w:tcPr>
            <w:tcW w:w="318" w:type="pct"/>
            <w:vAlign w:val="center"/>
          </w:tcPr>
          <w:p w14:paraId="718460D2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7.0%</w:t>
            </w:r>
          </w:p>
        </w:tc>
        <w:tc>
          <w:tcPr>
            <w:tcW w:w="318" w:type="pct"/>
            <w:vAlign w:val="center"/>
          </w:tcPr>
          <w:p w14:paraId="7E834A54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6.0%</w:t>
            </w:r>
          </w:p>
        </w:tc>
        <w:tc>
          <w:tcPr>
            <w:tcW w:w="318" w:type="pct"/>
            <w:vAlign w:val="center"/>
          </w:tcPr>
          <w:p w14:paraId="0DC763E4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5.0%</w:t>
            </w:r>
          </w:p>
        </w:tc>
        <w:tc>
          <w:tcPr>
            <w:tcW w:w="2556" w:type="pct"/>
            <w:vAlign w:val="center"/>
          </w:tcPr>
          <w:p w14:paraId="354FE08B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2026 guidance revised to flat; later years reflect normalization</w:t>
            </w:r>
          </w:p>
        </w:tc>
      </w:tr>
      <w:tr w:rsidR="0008289F" w:rsidRPr="00075B9F" w14:paraId="22639B26" w14:textId="77777777" w:rsidTr="00075B9F">
        <w:trPr>
          <w:jc w:val="center"/>
        </w:trPr>
        <w:tc>
          <w:tcPr>
            <w:tcW w:w="854" w:type="pct"/>
            <w:vAlign w:val="center"/>
          </w:tcPr>
          <w:p w14:paraId="6A71A8B7" w14:textId="77777777" w:rsidR="0008289F" w:rsidRPr="00075B9F" w:rsidRDefault="00000000" w:rsidP="00075B9F">
            <w:pPr>
              <w:contextualSpacing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Adj. EBITDA margin</w:t>
            </w:r>
          </w:p>
        </w:tc>
        <w:tc>
          <w:tcPr>
            <w:tcW w:w="318" w:type="pct"/>
            <w:vAlign w:val="center"/>
          </w:tcPr>
          <w:p w14:paraId="2562548A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7.5%</w:t>
            </w:r>
          </w:p>
        </w:tc>
        <w:tc>
          <w:tcPr>
            <w:tcW w:w="318" w:type="pct"/>
            <w:vAlign w:val="center"/>
          </w:tcPr>
          <w:p w14:paraId="485206BA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7.7%</w:t>
            </w:r>
          </w:p>
        </w:tc>
        <w:tc>
          <w:tcPr>
            <w:tcW w:w="318" w:type="pct"/>
            <w:vAlign w:val="center"/>
          </w:tcPr>
          <w:p w14:paraId="0DD8EA2F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7.8%</w:t>
            </w:r>
          </w:p>
        </w:tc>
        <w:tc>
          <w:tcPr>
            <w:tcW w:w="318" w:type="pct"/>
            <w:vAlign w:val="center"/>
          </w:tcPr>
          <w:p w14:paraId="559CD408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8.0%</w:t>
            </w:r>
          </w:p>
        </w:tc>
        <w:tc>
          <w:tcPr>
            <w:tcW w:w="318" w:type="pct"/>
            <w:vAlign w:val="center"/>
          </w:tcPr>
          <w:p w14:paraId="7C7F1144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8.0%</w:t>
            </w:r>
          </w:p>
        </w:tc>
        <w:tc>
          <w:tcPr>
            <w:tcW w:w="2556" w:type="pct"/>
            <w:vAlign w:val="center"/>
          </w:tcPr>
          <w:p w14:paraId="31C66028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Guidance midpoint and gradual recovery toward 2025A margin</w:t>
            </w:r>
          </w:p>
        </w:tc>
      </w:tr>
      <w:tr w:rsidR="0008289F" w:rsidRPr="00075B9F" w14:paraId="2ED2CB05" w14:textId="77777777" w:rsidTr="00075B9F">
        <w:trPr>
          <w:jc w:val="center"/>
        </w:trPr>
        <w:tc>
          <w:tcPr>
            <w:tcW w:w="854" w:type="pct"/>
            <w:vAlign w:val="center"/>
          </w:tcPr>
          <w:p w14:paraId="6243D89E" w14:textId="77777777" w:rsidR="0008289F" w:rsidRPr="00075B9F" w:rsidRDefault="00000000" w:rsidP="00075B9F">
            <w:pPr>
              <w:contextualSpacing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D&amp;A / Revenue proxy</w:t>
            </w:r>
          </w:p>
        </w:tc>
        <w:tc>
          <w:tcPr>
            <w:tcW w:w="318" w:type="pct"/>
            <w:vAlign w:val="center"/>
          </w:tcPr>
          <w:p w14:paraId="5FDA211A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2.9%</w:t>
            </w:r>
          </w:p>
        </w:tc>
        <w:tc>
          <w:tcPr>
            <w:tcW w:w="318" w:type="pct"/>
            <w:vAlign w:val="center"/>
          </w:tcPr>
          <w:p w14:paraId="4E34DE60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2.8%</w:t>
            </w:r>
          </w:p>
        </w:tc>
        <w:tc>
          <w:tcPr>
            <w:tcW w:w="318" w:type="pct"/>
            <w:vAlign w:val="center"/>
          </w:tcPr>
          <w:p w14:paraId="5D43F359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2.8%</w:t>
            </w:r>
          </w:p>
        </w:tc>
        <w:tc>
          <w:tcPr>
            <w:tcW w:w="318" w:type="pct"/>
            <w:vAlign w:val="center"/>
          </w:tcPr>
          <w:p w14:paraId="12DB7B72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2.75%</w:t>
            </w:r>
          </w:p>
        </w:tc>
        <w:tc>
          <w:tcPr>
            <w:tcW w:w="318" w:type="pct"/>
            <w:vAlign w:val="center"/>
          </w:tcPr>
          <w:p w14:paraId="091B7D4A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2.75%</w:t>
            </w:r>
          </w:p>
        </w:tc>
        <w:tc>
          <w:tcPr>
            <w:tcW w:w="2556" w:type="pct"/>
            <w:vAlign w:val="center"/>
          </w:tcPr>
          <w:p w14:paraId="7EA22E2F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Adjusted EBITDA-to-EBIT bridge / revenue</w:t>
            </w:r>
          </w:p>
        </w:tc>
      </w:tr>
      <w:tr w:rsidR="0008289F" w:rsidRPr="00075B9F" w14:paraId="16DC029C" w14:textId="77777777" w:rsidTr="00075B9F">
        <w:trPr>
          <w:jc w:val="center"/>
        </w:trPr>
        <w:tc>
          <w:tcPr>
            <w:tcW w:w="854" w:type="pct"/>
            <w:vAlign w:val="center"/>
          </w:tcPr>
          <w:p w14:paraId="67C341BA" w14:textId="77777777" w:rsidR="0008289F" w:rsidRPr="00075B9F" w:rsidRDefault="00000000" w:rsidP="00075B9F">
            <w:pPr>
              <w:contextualSpacing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Capex / Revenue</w:t>
            </w:r>
          </w:p>
        </w:tc>
        <w:tc>
          <w:tcPr>
            <w:tcW w:w="318" w:type="pct"/>
            <w:vAlign w:val="center"/>
          </w:tcPr>
          <w:p w14:paraId="48BD5E47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2.7%</w:t>
            </w:r>
          </w:p>
        </w:tc>
        <w:tc>
          <w:tcPr>
            <w:tcW w:w="318" w:type="pct"/>
            <w:vAlign w:val="center"/>
          </w:tcPr>
          <w:p w14:paraId="23D69E3D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2.6%</w:t>
            </w:r>
          </w:p>
        </w:tc>
        <w:tc>
          <w:tcPr>
            <w:tcW w:w="318" w:type="pct"/>
            <w:vAlign w:val="center"/>
          </w:tcPr>
          <w:p w14:paraId="7B8158D5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2.5%</w:t>
            </w:r>
          </w:p>
        </w:tc>
        <w:tc>
          <w:tcPr>
            <w:tcW w:w="318" w:type="pct"/>
            <w:vAlign w:val="center"/>
          </w:tcPr>
          <w:p w14:paraId="2C39D8F1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2.5%</w:t>
            </w:r>
          </w:p>
        </w:tc>
        <w:tc>
          <w:tcPr>
            <w:tcW w:w="318" w:type="pct"/>
            <w:vAlign w:val="center"/>
          </w:tcPr>
          <w:p w14:paraId="42446F3D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2.5%</w:t>
            </w:r>
          </w:p>
        </w:tc>
        <w:tc>
          <w:tcPr>
            <w:tcW w:w="2556" w:type="pct"/>
            <w:vAlign w:val="center"/>
          </w:tcPr>
          <w:p w14:paraId="566C6142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2026 capex guidance and post-investment-cycle normalization</w:t>
            </w:r>
          </w:p>
        </w:tc>
      </w:tr>
      <w:tr w:rsidR="0008289F" w:rsidRPr="00075B9F" w14:paraId="0FDB315A" w14:textId="77777777" w:rsidTr="00075B9F">
        <w:trPr>
          <w:jc w:val="center"/>
        </w:trPr>
        <w:tc>
          <w:tcPr>
            <w:tcW w:w="854" w:type="pct"/>
            <w:vAlign w:val="center"/>
          </w:tcPr>
          <w:p w14:paraId="115CE827" w14:textId="77777777" w:rsidR="0008289F" w:rsidRPr="00075B9F" w:rsidRDefault="00000000" w:rsidP="00075B9F">
            <w:pPr>
              <w:contextualSpacing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NWC / Revenue</w:t>
            </w:r>
          </w:p>
        </w:tc>
        <w:tc>
          <w:tcPr>
            <w:tcW w:w="318" w:type="pct"/>
            <w:vAlign w:val="center"/>
          </w:tcPr>
          <w:p w14:paraId="3442CC9A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4.5%</w:t>
            </w:r>
          </w:p>
        </w:tc>
        <w:tc>
          <w:tcPr>
            <w:tcW w:w="318" w:type="pct"/>
            <w:vAlign w:val="center"/>
          </w:tcPr>
          <w:p w14:paraId="01AFFEC6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4.5%</w:t>
            </w:r>
          </w:p>
        </w:tc>
        <w:tc>
          <w:tcPr>
            <w:tcW w:w="318" w:type="pct"/>
            <w:vAlign w:val="center"/>
          </w:tcPr>
          <w:p w14:paraId="57CDA8B3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4.5%</w:t>
            </w:r>
          </w:p>
        </w:tc>
        <w:tc>
          <w:tcPr>
            <w:tcW w:w="318" w:type="pct"/>
            <w:vAlign w:val="center"/>
          </w:tcPr>
          <w:p w14:paraId="07CDD2C5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4.5%</w:t>
            </w:r>
          </w:p>
        </w:tc>
        <w:tc>
          <w:tcPr>
            <w:tcW w:w="318" w:type="pct"/>
            <w:vAlign w:val="center"/>
          </w:tcPr>
          <w:p w14:paraId="7E1B7DB8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4.5%</w:t>
            </w:r>
          </w:p>
        </w:tc>
        <w:tc>
          <w:tcPr>
            <w:tcW w:w="2556" w:type="pct"/>
            <w:vAlign w:val="center"/>
          </w:tcPr>
          <w:p w14:paraId="7FB2F7D9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Historical working-capital behavior and 2025 cash conversion improvement</w:t>
            </w:r>
          </w:p>
        </w:tc>
      </w:tr>
      <w:tr w:rsidR="0008289F" w:rsidRPr="00075B9F" w14:paraId="63065EA2" w14:textId="77777777" w:rsidTr="00075B9F">
        <w:trPr>
          <w:jc w:val="center"/>
        </w:trPr>
        <w:tc>
          <w:tcPr>
            <w:tcW w:w="854" w:type="pct"/>
            <w:vAlign w:val="center"/>
          </w:tcPr>
          <w:p w14:paraId="6701045D" w14:textId="77777777" w:rsidR="0008289F" w:rsidRPr="00075B9F" w:rsidRDefault="00000000" w:rsidP="00075B9F">
            <w:pPr>
              <w:contextualSpacing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Tax rate</w:t>
            </w:r>
          </w:p>
        </w:tc>
        <w:tc>
          <w:tcPr>
            <w:tcW w:w="318" w:type="pct"/>
            <w:vAlign w:val="center"/>
          </w:tcPr>
          <w:p w14:paraId="2D11463E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25.0%</w:t>
            </w:r>
          </w:p>
        </w:tc>
        <w:tc>
          <w:tcPr>
            <w:tcW w:w="318" w:type="pct"/>
            <w:vAlign w:val="center"/>
          </w:tcPr>
          <w:p w14:paraId="0AC085EE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25.0%</w:t>
            </w:r>
          </w:p>
        </w:tc>
        <w:tc>
          <w:tcPr>
            <w:tcW w:w="318" w:type="pct"/>
            <w:vAlign w:val="center"/>
          </w:tcPr>
          <w:p w14:paraId="16DEA0EE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25.0%</w:t>
            </w:r>
          </w:p>
        </w:tc>
        <w:tc>
          <w:tcPr>
            <w:tcW w:w="318" w:type="pct"/>
            <w:vAlign w:val="center"/>
          </w:tcPr>
          <w:p w14:paraId="75D0770A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25.0%</w:t>
            </w:r>
          </w:p>
        </w:tc>
        <w:tc>
          <w:tcPr>
            <w:tcW w:w="318" w:type="pct"/>
            <w:vAlign w:val="center"/>
          </w:tcPr>
          <w:p w14:paraId="5973BDC2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25.0%</w:t>
            </w:r>
          </w:p>
        </w:tc>
        <w:tc>
          <w:tcPr>
            <w:tcW w:w="2556" w:type="pct"/>
            <w:vAlign w:val="center"/>
          </w:tcPr>
          <w:p w14:paraId="4843905F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Normalized cash tax proxy</w:t>
            </w:r>
          </w:p>
        </w:tc>
      </w:tr>
      <w:tr w:rsidR="0008289F" w:rsidRPr="00075B9F" w14:paraId="49569DD9" w14:textId="77777777" w:rsidTr="00075B9F">
        <w:trPr>
          <w:jc w:val="center"/>
        </w:trPr>
        <w:tc>
          <w:tcPr>
            <w:tcW w:w="854" w:type="pct"/>
            <w:vAlign w:val="center"/>
          </w:tcPr>
          <w:p w14:paraId="066949B1" w14:textId="77777777" w:rsidR="0008289F" w:rsidRPr="00075B9F" w:rsidRDefault="00000000" w:rsidP="00075B9F">
            <w:pPr>
              <w:contextualSpacing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Real WACC</w:t>
            </w:r>
          </w:p>
        </w:tc>
        <w:tc>
          <w:tcPr>
            <w:tcW w:w="318" w:type="pct"/>
            <w:vAlign w:val="center"/>
          </w:tcPr>
          <w:p w14:paraId="103CC0CE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11.0%</w:t>
            </w:r>
          </w:p>
        </w:tc>
        <w:tc>
          <w:tcPr>
            <w:tcW w:w="318" w:type="pct"/>
            <w:vAlign w:val="center"/>
          </w:tcPr>
          <w:p w14:paraId="05BD467A" w14:textId="77777777" w:rsidR="0008289F" w:rsidRPr="00075B9F" w:rsidRDefault="0008289F" w:rsidP="00075B9F">
            <w:pPr>
              <w:contextualSpacing/>
              <w:jc w:val="center"/>
              <w:rPr>
                <w:sz w:val="17"/>
                <w:szCs w:val="17"/>
              </w:rPr>
            </w:pPr>
          </w:p>
        </w:tc>
        <w:tc>
          <w:tcPr>
            <w:tcW w:w="318" w:type="pct"/>
            <w:vAlign w:val="center"/>
          </w:tcPr>
          <w:p w14:paraId="49456D2B" w14:textId="77777777" w:rsidR="0008289F" w:rsidRPr="00075B9F" w:rsidRDefault="0008289F" w:rsidP="00075B9F">
            <w:pPr>
              <w:contextualSpacing/>
              <w:jc w:val="center"/>
              <w:rPr>
                <w:sz w:val="17"/>
                <w:szCs w:val="17"/>
              </w:rPr>
            </w:pPr>
          </w:p>
        </w:tc>
        <w:tc>
          <w:tcPr>
            <w:tcW w:w="318" w:type="pct"/>
            <w:vAlign w:val="center"/>
          </w:tcPr>
          <w:p w14:paraId="0779E2F7" w14:textId="77777777" w:rsidR="0008289F" w:rsidRPr="00075B9F" w:rsidRDefault="0008289F" w:rsidP="00075B9F">
            <w:pPr>
              <w:contextualSpacing/>
              <w:jc w:val="center"/>
              <w:rPr>
                <w:sz w:val="17"/>
                <w:szCs w:val="17"/>
              </w:rPr>
            </w:pPr>
          </w:p>
        </w:tc>
        <w:tc>
          <w:tcPr>
            <w:tcW w:w="318" w:type="pct"/>
            <w:vAlign w:val="center"/>
          </w:tcPr>
          <w:p w14:paraId="6A04D720" w14:textId="77777777" w:rsidR="0008289F" w:rsidRPr="00075B9F" w:rsidRDefault="0008289F" w:rsidP="00075B9F">
            <w:pPr>
              <w:contextualSpacing/>
              <w:jc w:val="center"/>
              <w:rPr>
                <w:sz w:val="17"/>
                <w:szCs w:val="17"/>
              </w:rPr>
            </w:pPr>
          </w:p>
        </w:tc>
        <w:tc>
          <w:tcPr>
            <w:tcW w:w="2556" w:type="pct"/>
            <w:vAlign w:val="center"/>
          </w:tcPr>
          <w:p w14:paraId="56BDC5B5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Base IAS29-consistent real discount rate</w:t>
            </w:r>
          </w:p>
        </w:tc>
      </w:tr>
      <w:tr w:rsidR="0008289F" w:rsidRPr="00075B9F" w14:paraId="1E82E010" w14:textId="77777777" w:rsidTr="00075B9F">
        <w:trPr>
          <w:jc w:val="center"/>
        </w:trPr>
        <w:tc>
          <w:tcPr>
            <w:tcW w:w="854" w:type="pct"/>
            <w:vAlign w:val="center"/>
          </w:tcPr>
          <w:p w14:paraId="1AF279A8" w14:textId="77777777" w:rsidR="0008289F" w:rsidRPr="00075B9F" w:rsidRDefault="00000000" w:rsidP="00075B9F">
            <w:pPr>
              <w:contextualSpacing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Real terminal growth</w:t>
            </w:r>
          </w:p>
        </w:tc>
        <w:tc>
          <w:tcPr>
            <w:tcW w:w="318" w:type="pct"/>
            <w:vAlign w:val="center"/>
          </w:tcPr>
          <w:p w14:paraId="6331E41E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2.0%</w:t>
            </w:r>
          </w:p>
        </w:tc>
        <w:tc>
          <w:tcPr>
            <w:tcW w:w="318" w:type="pct"/>
            <w:vAlign w:val="center"/>
          </w:tcPr>
          <w:p w14:paraId="0C0934AF" w14:textId="77777777" w:rsidR="0008289F" w:rsidRPr="00075B9F" w:rsidRDefault="0008289F" w:rsidP="00075B9F">
            <w:pPr>
              <w:contextualSpacing/>
              <w:jc w:val="center"/>
              <w:rPr>
                <w:sz w:val="17"/>
                <w:szCs w:val="17"/>
              </w:rPr>
            </w:pPr>
          </w:p>
        </w:tc>
        <w:tc>
          <w:tcPr>
            <w:tcW w:w="318" w:type="pct"/>
            <w:vAlign w:val="center"/>
          </w:tcPr>
          <w:p w14:paraId="5836D29F" w14:textId="77777777" w:rsidR="0008289F" w:rsidRPr="00075B9F" w:rsidRDefault="0008289F" w:rsidP="00075B9F">
            <w:pPr>
              <w:contextualSpacing/>
              <w:jc w:val="center"/>
              <w:rPr>
                <w:sz w:val="17"/>
                <w:szCs w:val="17"/>
              </w:rPr>
            </w:pPr>
          </w:p>
        </w:tc>
        <w:tc>
          <w:tcPr>
            <w:tcW w:w="318" w:type="pct"/>
            <w:vAlign w:val="center"/>
          </w:tcPr>
          <w:p w14:paraId="4A3B0EAE" w14:textId="77777777" w:rsidR="0008289F" w:rsidRPr="00075B9F" w:rsidRDefault="0008289F" w:rsidP="00075B9F">
            <w:pPr>
              <w:contextualSpacing/>
              <w:jc w:val="center"/>
              <w:rPr>
                <w:sz w:val="17"/>
                <w:szCs w:val="17"/>
              </w:rPr>
            </w:pPr>
          </w:p>
        </w:tc>
        <w:tc>
          <w:tcPr>
            <w:tcW w:w="318" w:type="pct"/>
            <w:vAlign w:val="center"/>
          </w:tcPr>
          <w:p w14:paraId="56AEF8C9" w14:textId="77777777" w:rsidR="0008289F" w:rsidRPr="00075B9F" w:rsidRDefault="0008289F" w:rsidP="00075B9F">
            <w:pPr>
              <w:contextualSpacing/>
              <w:jc w:val="center"/>
              <w:rPr>
                <w:sz w:val="17"/>
                <w:szCs w:val="17"/>
              </w:rPr>
            </w:pPr>
          </w:p>
        </w:tc>
        <w:tc>
          <w:tcPr>
            <w:tcW w:w="2556" w:type="pct"/>
            <w:vAlign w:val="center"/>
          </w:tcPr>
          <w:p w14:paraId="118B0D1E" w14:textId="77777777" w:rsidR="0008289F" w:rsidRPr="00075B9F" w:rsidRDefault="00000000" w:rsidP="00075B9F">
            <w:pPr>
              <w:contextualSpacing/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Long-term real growth for constant-purchasing-power cash flows</w:t>
            </w:r>
          </w:p>
        </w:tc>
      </w:tr>
    </w:tbl>
    <w:p w14:paraId="637CC5C2" w14:textId="77777777" w:rsidR="0008289F" w:rsidRPr="006F540D" w:rsidRDefault="00000000" w:rsidP="00FC6BE2">
      <w:pPr>
        <w:spacing w:before="240" w:after="0"/>
        <w:rPr>
          <w:color w:val="000000" w:themeColor="text1"/>
          <w:szCs w:val="20"/>
        </w:rPr>
      </w:pPr>
      <w:r w:rsidRPr="006F540D">
        <w:rPr>
          <w:rFonts w:ascii="Garamond" w:eastAsia="Garamond" w:hAnsi="Garamond"/>
          <w:b/>
          <w:color w:val="000000" w:themeColor="text1"/>
          <w:szCs w:val="20"/>
        </w:rPr>
        <w:t>WACC derivation and real/nominal reconciliation:</w:t>
      </w:r>
    </w:p>
    <w:tbl>
      <w:tblPr>
        <w:tblStyle w:val="TabloKlavuzu"/>
        <w:tblW w:w="5000" w:type="pct"/>
        <w:jc w:val="center"/>
        <w:tblLook w:val="04A0" w:firstRow="1" w:lastRow="0" w:firstColumn="1" w:lastColumn="0" w:noHBand="0" w:noVBand="1"/>
      </w:tblPr>
      <w:tblGrid>
        <w:gridCol w:w="2036"/>
        <w:gridCol w:w="1697"/>
        <w:gridCol w:w="6995"/>
      </w:tblGrid>
      <w:tr w:rsidR="0008289F" w:rsidRPr="00075B9F" w14:paraId="357CAD4C" w14:textId="77777777" w:rsidTr="00075B9F">
        <w:trPr>
          <w:jc w:val="center"/>
        </w:trPr>
        <w:tc>
          <w:tcPr>
            <w:tcW w:w="949" w:type="pct"/>
            <w:shd w:val="clear" w:color="auto" w:fill="12355B"/>
            <w:vAlign w:val="center"/>
          </w:tcPr>
          <w:p w14:paraId="44BB85DC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b/>
                <w:color w:val="FFFFFF"/>
                <w:sz w:val="17"/>
                <w:szCs w:val="17"/>
              </w:rPr>
              <w:t>Component</w:t>
            </w:r>
          </w:p>
        </w:tc>
        <w:tc>
          <w:tcPr>
            <w:tcW w:w="791" w:type="pct"/>
            <w:shd w:val="clear" w:color="auto" w:fill="12355B"/>
            <w:vAlign w:val="center"/>
          </w:tcPr>
          <w:p w14:paraId="690B0F5A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b/>
                <w:color w:val="FFFFFF"/>
                <w:sz w:val="17"/>
                <w:szCs w:val="17"/>
              </w:rPr>
              <w:t>Base assumption</w:t>
            </w:r>
          </w:p>
        </w:tc>
        <w:tc>
          <w:tcPr>
            <w:tcW w:w="3260" w:type="pct"/>
            <w:shd w:val="clear" w:color="auto" w:fill="12355B"/>
            <w:vAlign w:val="center"/>
          </w:tcPr>
          <w:p w14:paraId="6858E601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b/>
                <w:color w:val="FFFFFF"/>
                <w:sz w:val="17"/>
                <w:szCs w:val="17"/>
              </w:rPr>
              <w:t>Comment</w:t>
            </w:r>
          </w:p>
        </w:tc>
      </w:tr>
      <w:tr w:rsidR="0008289F" w:rsidRPr="00075B9F" w14:paraId="67787548" w14:textId="77777777" w:rsidTr="00075B9F">
        <w:trPr>
          <w:jc w:val="center"/>
        </w:trPr>
        <w:tc>
          <w:tcPr>
            <w:tcW w:w="949" w:type="pct"/>
            <w:vAlign w:val="center"/>
          </w:tcPr>
          <w:p w14:paraId="0B111CE5" w14:textId="77777777" w:rsidR="0008289F" w:rsidRPr="00075B9F" w:rsidRDefault="00000000">
            <w:pPr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Risk-free rate</w:t>
            </w:r>
          </w:p>
        </w:tc>
        <w:tc>
          <w:tcPr>
            <w:tcW w:w="791" w:type="pct"/>
            <w:vAlign w:val="center"/>
          </w:tcPr>
          <w:p w14:paraId="2A8E4054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32.42%</w:t>
            </w:r>
          </w:p>
        </w:tc>
        <w:tc>
          <w:tcPr>
            <w:tcW w:w="3260" w:type="pct"/>
            <w:vAlign w:val="center"/>
          </w:tcPr>
          <w:p w14:paraId="2E46A6C4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Nominal TRY 10Y yield; used for spot stress, not directly as base real DCF input</w:t>
            </w:r>
          </w:p>
        </w:tc>
      </w:tr>
      <w:tr w:rsidR="0008289F" w:rsidRPr="00075B9F" w14:paraId="6408994D" w14:textId="77777777" w:rsidTr="00075B9F">
        <w:trPr>
          <w:jc w:val="center"/>
        </w:trPr>
        <w:tc>
          <w:tcPr>
            <w:tcW w:w="949" w:type="pct"/>
            <w:vAlign w:val="center"/>
          </w:tcPr>
          <w:p w14:paraId="13384152" w14:textId="77777777" w:rsidR="0008289F" w:rsidRPr="00075B9F" w:rsidRDefault="00000000">
            <w:pPr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Equity risk premium</w:t>
            </w:r>
          </w:p>
        </w:tc>
        <w:tc>
          <w:tcPr>
            <w:tcW w:w="791" w:type="pct"/>
            <w:vAlign w:val="center"/>
          </w:tcPr>
          <w:p w14:paraId="702EAB6C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8.89%</w:t>
            </w:r>
          </w:p>
        </w:tc>
        <w:tc>
          <w:tcPr>
            <w:tcW w:w="3260" w:type="pct"/>
            <w:vAlign w:val="center"/>
          </w:tcPr>
          <w:p w14:paraId="497336C2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Turkey ERP / CRP-inclusive input used in beta sensitivity</w:t>
            </w:r>
          </w:p>
        </w:tc>
      </w:tr>
      <w:tr w:rsidR="0008289F" w:rsidRPr="00075B9F" w14:paraId="733C13A0" w14:textId="77777777" w:rsidTr="00075B9F">
        <w:trPr>
          <w:jc w:val="center"/>
        </w:trPr>
        <w:tc>
          <w:tcPr>
            <w:tcW w:w="949" w:type="pct"/>
            <w:vAlign w:val="center"/>
          </w:tcPr>
          <w:p w14:paraId="38EDFD3C" w14:textId="77777777" w:rsidR="0008289F" w:rsidRPr="00075B9F" w:rsidRDefault="00000000">
            <w:pPr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Beta</w:t>
            </w:r>
          </w:p>
        </w:tc>
        <w:tc>
          <w:tcPr>
            <w:tcW w:w="791" w:type="pct"/>
            <w:vAlign w:val="center"/>
          </w:tcPr>
          <w:p w14:paraId="1D18AD9B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0.40</w:t>
            </w:r>
          </w:p>
        </w:tc>
        <w:tc>
          <w:tcPr>
            <w:tcW w:w="3260" w:type="pct"/>
            <w:vAlign w:val="center"/>
          </w:tcPr>
          <w:p w14:paraId="56C8DFBC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Yahoo Finance 5Y monthly; Şeker 2Y daily beta of 0.80 used as sensitivity</w:t>
            </w:r>
          </w:p>
        </w:tc>
      </w:tr>
      <w:tr w:rsidR="0008289F" w:rsidRPr="00075B9F" w14:paraId="79DAA0EE" w14:textId="77777777" w:rsidTr="00075B9F">
        <w:trPr>
          <w:jc w:val="center"/>
        </w:trPr>
        <w:tc>
          <w:tcPr>
            <w:tcW w:w="949" w:type="pct"/>
            <w:vAlign w:val="center"/>
          </w:tcPr>
          <w:p w14:paraId="62C9C347" w14:textId="77777777" w:rsidR="0008289F" w:rsidRPr="00075B9F" w:rsidRDefault="00000000">
            <w:pPr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Nominal cost of equity</w:t>
            </w:r>
          </w:p>
        </w:tc>
        <w:tc>
          <w:tcPr>
            <w:tcW w:w="791" w:type="pct"/>
            <w:vAlign w:val="center"/>
          </w:tcPr>
          <w:p w14:paraId="7155790B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35.98%</w:t>
            </w:r>
          </w:p>
        </w:tc>
        <w:tc>
          <w:tcPr>
            <w:tcW w:w="3260" w:type="pct"/>
            <w:vAlign w:val="center"/>
          </w:tcPr>
          <w:p w14:paraId="77119DAB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Risk-free rate + beta x ERP; spot nominal reference</w:t>
            </w:r>
          </w:p>
        </w:tc>
      </w:tr>
      <w:tr w:rsidR="0008289F" w:rsidRPr="00075B9F" w14:paraId="3D0D713A" w14:textId="77777777" w:rsidTr="00075B9F">
        <w:trPr>
          <w:jc w:val="center"/>
        </w:trPr>
        <w:tc>
          <w:tcPr>
            <w:tcW w:w="949" w:type="pct"/>
            <w:vAlign w:val="center"/>
          </w:tcPr>
          <w:p w14:paraId="535CB562" w14:textId="77777777" w:rsidR="0008289F" w:rsidRPr="00075B9F" w:rsidRDefault="00000000">
            <w:pPr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Pre-tax cost of debt</w:t>
            </w:r>
          </w:p>
        </w:tc>
        <w:tc>
          <w:tcPr>
            <w:tcW w:w="791" w:type="pct"/>
            <w:vAlign w:val="center"/>
          </w:tcPr>
          <w:p w14:paraId="26A7523C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19.03%</w:t>
            </w:r>
          </w:p>
        </w:tc>
        <w:tc>
          <w:tcPr>
            <w:tcW w:w="3260" w:type="pct"/>
            <w:vAlign w:val="center"/>
          </w:tcPr>
          <w:p w14:paraId="7C0A9545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FROTO proxy based on net financial expense / average financial debt</w:t>
            </w:r>
          </w:p>
        </w:tc>
      </w:tr>
      <w:tr w:rsidR="0008289F" w:rsidRPr="00075B9F" w14:paraId="1B147D8D" w14:textId="77777777" w:rsidTr="00075B9F">
        <w:trPr>
          <w:jc w:val="center"/>
        </w:trPr>
        <w:tc>
          <w:tcPr>
            <w:tcW w:w="949" w:type="pct"/>
            <w:vAlign w:val="center"/>
          </w:tcPr>
          <w:p w14:paraId="47BD8CF8" w14:textId="77777777" w:rsidR="0008289F" w:rsidRPr="00075B9F" w:rsidRDefault="00000000">
            <w:pPr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Tax rate</w:t>
            </w:r>
          </w:p>
        </w:tc>
        <w:tc>
          <w:tcPr>
            <w:tcW w:w="791" w:type="pct"/>
            <w:vAlign w:val="center"/>
          </w:tcPr>
          <w:p w14:paraId="4DD5EA33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25.0%</w:t>
            </w:r>
          </w:p>
        </w:tc>
        <w:tc>
          <w:tcPr>
            <w:tcW w:w="3260" w:type="pct"/>
            <w:vAlign w:val="center"/>
          </w:tcPr>
          <w:p w14:paraId="228673C8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Normalized corporate cash tax assumption</w:t>
            </w:r>
          </w:p>
        </w:tc>
      </w:tr>
      <w:tr w:rsidR="0008289F" w:rsidRPr="00075B9F" w14:paraId="34EDEBBF" w14:textId="77777777" w:rsidTr="00075B9F">
        <w:trPr>
          <w:jc w:val="center"/>
        </w:trPr>
        <w:tc>
          <w:tcPr>
            <w:tcW w:w="949" w:type="pct"/>
            <w:vAlign w:val="center"/>
          </w:tcPr>
          <w:p w14:paraId="7C213F0B" w14:textId="77777777" w:rsidR="0008289F" w:rsidRPr="00075B9F" w:rsidRDefault="00000000">
            <w:pPr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After-tax cost of debt</w:t>
            </w:r>
          </w:p>
        </w:tc>
        <w:tc>
          <w:tcPr>
            <w:tcW w:w="791" w:type="pct"/>
            <w:vAlign w:val="center"/>
          </w:tcPr>
          <w:p w14:paraId="227C8B60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14.28%</w:t>
            </w:r>
          </w:p>
        </w:tc>
        <w:tc>
          <w:tcPr>
            <w:tcW w:w="3260" w:type="pct"/>
            <w:vAlign w:val="center"/>
          </w:tcPr>
          <w:p w14:paraId="1EFB9773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Pre-tax cost of debt x (1 - tax rate)</w:t>
            </w:r>
          </w:p>
        </w:tc>
      </w:tr>
      <w:tr w:rsidR="0008289F" w:rsidRPr="00075B9F" w14:paraId="164EA2B5" w14:textId="77777777" w:rsidTr="00075B9F">
        <w:trPr>
          <w:jc w:val="center"/>
        </w:trPr>
        <w:tc>
          <w:tcPr>
            <w:tcW w:w="949" w:type="pct"/>
            <w:vAlign w:val="center"/>
          </w:tcPr>
          <w:p w14:paraId="2679D77A" w14:textId="77777777" w:rsidR="0008289F" w:rsidRPr="00075B9F" w:rsidRDefault="00000000">
            <w:pPr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Equity / debt weights</w:t>
            </w:r>
          </w:p>
        </w:tc>
        <w:tc>
          <w:tcPr>
            <w:tcW w:w="791" w:type="pct"/>
            <w:vAlign w:val="center"/>
          </w:tcPr>
          <w:p w14:paraId="2B4C3C09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76.4% / 23.6%</w:t>
            </w:r>
          </w:p>
        </w:tc>
        <w:tc>
          <w:tcPr>
            <w:tcW w:w="3260" w:type="pct"/>
            <w:vAlign w:val="center"/>
          </w:tcPr>
          <w:p w14:paraId="26A80182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Market-cap and net-debt based capital structure approximation</w:t>
            </w:r>
          </w:p>
        </w:tc>
      </w:tr>
      <w:tr w:rsidR="0008289F" w:rsidRPr="00075B9F" w14:paraId="140C0EF0" w14:textId="77777777" w:rsidTr="00075B9F">
        <w:trPr>
          <w:jc w:val="center"/>
        </w:trPr>
        <w:tc>
          <w:tcPr>
            <w:tcW w:w="949" w:type="pct"/>
            <w:vAlign w:val="center"/>
          </w:tcPr>
          <w:p w14:paraId="61C4C25C" w14:textId="77777777" w:rsidR="0008289F" w:rsidRPr="00075B9F" w:rsidRDefault="00000000">
            <w:pPr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Spot nominal WACC</w:t>
            </w:r>
          </w:p>
        </w:tc>
        <w:tc>
          <w:tcPr>
            <w:tcW w:w="791" w:type="pct"/>
            <w:vAlign w:val="center"/>
          </w:tcPr>
          <w:p w14:paraId="54611DA2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30.85%</w:t>
            </w:r>
          </w:p>
        </w:tc>
        <w:tc>
          <w:tcPr>
            <w:tcW w:w="3260" w:type="pct"/>
            <w:vAlign w:val="center"/>
          </w:tcPr>
          <w:p w14:paraId="2CBAC45E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Retained only as nominal spot-rate macro stress test</w:t>
            </w:r>
          </w:p>
        </w:tc>
      </w:tr>
      <w:tr w:rsidR="0008289F" w:rsidRPr="00075B9F" w14:paraId="504C148F" w14:textId="77777777" w:rsidTr="00075B9F">
        <w:trPr>
          <w:jc w:val="center"/>
        </w:trPr>
        <w:tc>
          <w:tcPr>
            <w:tcW w:w="949" w:type="pct"/>
            <w:vAlign w:val="center"/>
          </w:tcPr>
          <w:p w14:paraId="2DA5B6ED" w14:textId="77777777" w:rsidR="0008289F" w:rsidRPr="00075B9F" w:rsidRDefault="00000000">
            <w:pPr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Inflation framework</w:t>
            </w:r>
          </w:p>
        </w:tc>
        <w:tc>
          <w:tcPr>
            <w:tcW w:w="791" w:type="pct"/>
            <w:vAlign w:val="center"/>
          </w:tcPr>
          <w:p w14:paraId="49675C3E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15.0%</w:t>
            </w:r>
          </w:p>
        </w:tc>
        <w:tc>
          <w:tcPr>
            <w:tcW w:w="3260" w:type="pct"/>
            <w:vAlign w:val="center"/>
          </w:tcPr>
          <w:p w14:paraId="1D4A8E91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Medium-term normalization anchor; used conceptually to avoid nominal/real mismatch</w:t>
            </w:r>
          </w:p>
        </w:tc>
      </w:tr>
      <w:tr w:rsidR="0008289F" w:rsidRPr="00075B9F" w14:paraId="3007A159" w14:textId="77777777" w:rsidTr="00075B9F">
        <w:trPr>
          <w:jc w:val="center"/>
        </w:trPr>
        <w:tc>
          <w:tcPr>
            <w:tcW w:w="949" w:type="pct"/>
            <w:vAlign w:val="center"/>
          </w:tcPr>
          <w:p w14:paraId="11BDA185" w14:textId="77777777" w:rsidR="0008289F" w:rsidRPr="00075B9F" w:rsidRDefault="00000000">
            <w:pPr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Selected real WACC</w:t>
            </w:r>
          </w:p>
        </w:tc>
        <w:tc>
          <w:tcPr>
            <w:tcW w:w="791" w:type="pct"/>
            <w:vAlign w:val="center"/>
          </w:tcPr>
          <w:p w14:paraId="32EA308D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11.0%</w:t>
            </w:r>
          </w:p>
        </w:tc>
        <w:tc>
          <w:tcPr>
            <w:tcW w:w="3260" w:type="pct"/>
            <w:vAlign w:val="center"/>
          </w:tcPr>
          <w:p w14:paraId="5D5564C4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IAS29-consistent DCF input</w:t>
            </w:r>
          </w:p>
        </w:tc>
      </w:tr>
    </w:tbl>
    <w:p w14:paraId="39512CA2" w14:textId="274B5238" w:rsidR="00A23299" w:rsidRPr="00A23299" w:rsidRDefault="00A23299" w:rsidP="00A23299">
      <w:pPr>
        <w:jc w:val="center"/>
        <w:rPr>
          <w:rFonts w:ascii="Garamond" w:hAnsi="Garamond"/>
          <w:i/>
          <w:iCs/>
          <w:noProof/>
          <w:sz w:val="14"/>
          <w:szCs w:val="14"/>
        </w:rPr>
      </w:pPr>
      <w:r w:rsidRPr="00A23299">
        <w:rPr>
          <w:rFonts w:ascii="Garamond" w:hAnsi="Garamond"/>
          <w:i/>
          <w:iCs/>
          <w:noProof/>
          <w:sz w:val="14"/>
          <w:szCs w:val="14"/>
        </w:rPr>
        <w:t xml:space="preserve">Note: </w:t>
      </w:r>
      <w:r w:rsidRPr="00A23299">
        <w:rPr>
          <w:rFonts w:ascii="Garamond" w:hAnsi="Garamond"/>
          <w:i/>
          <w:iCs/>
          <w:noProof/>
          <w:sz w:val="14"/>
          <w:szCs w:val="14"/>
        </w:rPr>
        <w:t>The 11.0% real WACC is not a mechanical Fisher conversion of the spot nominal WACC; it is a normalized real discount-rate assumption used to avoid mixing IAS29 constant-purchasing-power cash flows with volatile spot TRY nominal rates.</w:t>
      </w:r>
    </w:p>
    <w:p w14:paraId="2FC5AD9F" w14:textId="4CFA4C62" w:rsidR="004A5557" w:rsidRPr="003A3B24" w:rsidRDefault="00000000" w:rsidP="006F540D">
      <w:pPr>
        <w:spacing w:before="240"/>
        <w:jc w:val="center"/>
        <w:rPr>
          <w:rFonts w:ascii="Garamond" w:hAnsi="Garamond"/>
        </w:rPr>
      </w:pPr>
      <w:r w:rsidRPr="003A3B24">
        <w:rPr>
          <w:rFonts w:ascii="Garamond" w:hAnsi="Garamond"/>
          <w:noProof/>
        </w:rPr>
        <w:drawing>
          <wp:inline distT="0" distB="0" distL="0" distR="0" wp14:anchorId="03C684AC" wp14:editId="299E480F">
            <wp:extent cx="3203389" cy="180000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dcf_brid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338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281E1" w14:textId="77777777" w:rsidR="004A5557" w:rsidRPr="006F540D" w:rsidRDefault="00000000">
      <w:pPr>
        <w:spacing w:after="60"/>
        <w:jc w:val="center"/>
        <w:rPr>
          <w:rFonts w:ascii="Garamond" w:hAnsi="Garamond"/>
          <w:color w:val="000000" w:themeColor="text1"/>
          <w:sz w:val="18"/>
          <w:szCs w:val="18"/>
        </w:rPr>
      </w:pPr>
      <w:r w:rsidRPr="006F540D">
        <w:rPr>
          <w:rFonts w:ascii="Garamond" w:hAnsi="Garamond"/>
          <w:b/>
          <w:color w:val="000000" w:themeColor="text1"/>
          <w:sz w:val="18"/>
          <w:szCs w:val="18"/>
        </w:rPr>
        <w:t xml:space="preserve">Figure </w:t>
      </w:r>
      <w:r w:rsidR="003A3B24" w:rsidRPr="006F540D">
        <w:rPr>
          <w:rFonts w:ascii="Garamond" w:hAnsi="Garamond"/>
          <w:b/>
          <w:color w:val="000000" w:themeColor="text1"/>
          <w:sz w:val="18"/>
          <w:szCs w:val="18"/>
        </w:rPr>
        <w:t>6</w:t>
      </w:r>
      <w:r w:rsidRPr="006F540D">
        <w:rPr>
          <w:rFonts w:ascii="Garamond" w:hAnsi="Garamond"/>
          <w:b/>
          <w:color w:val="000000" w:themeColor="text1"/>
          <w:sz w:val="18"/>
          <w:szCs w:val="18"/>
        </w:rPr>
        <w:t>. DCF bridge from PV of cash flows to equity value and implied share price.</w:t>
      </w:r>
    </w:p>
    <w:p w14:paraId="6E5D7BC3" w14:textId="77777777" w:rsidR="004A5557" w:rsidRPr="003A3B24" w:rsidRDefault="00000000" w:rsidP="00D036D5">
      <w:pPr>
        <w:spacing w:after="100" w:line="252" w:lineRule="auto"/>
        <w:rPr>
          <w:rFonts w:ascii="Garamond" w:hAnsi="Garamond"/>
        </w:rPr>
      </w:pPr>
      <w:r w:rsidRPr="003A3B24">
        <w:rPr>
          <w:rFonts w:ascii="Garamond" w:hAnsi="Garamond"/>
        </w:rPr>
        <w:t>The base DCF implied share price is approximately TRY 90.45, very close to the 15.05.2026 market price of TRY 91.45. This is a conservative intrinsic value anchor rather than a bullish target price.</w:t>
      </w:r>
    </w:p>
    <w:p w14:paraId="1361DEAE" w14:textId="77777777" w:rsidR="004A5557" w:rsidRPr="003A3B24" w:rsidRDefault="00000000" w:rsidP="003A3B24">
      <w:pPr>
        <w:pStyle w:val="Balk1"/>
        <w:spacing w:before="0" w:after="120"/>
        <w:rPr>
          <w:rFonts w:ascii="Garamond" w:hAnsi="Garamond"/>
        </w:rPr>
      </w:pPr>
      <w:r w:rsidRPr="003A3B24">
        <w:rPr>
          <w:rFonts w:ascii="Garamond" w:hAnsi="Garamond"/>
        </w:rPr>
        <w:t>6. Beta, WACC</w:t>
      </w:r>
      <w:r w:rsidR="00D036D5" w:rsidRPr="003A3B24">
        <w:rPr>
          <w:rFonts w:ascii="Garamond" w:hAnsi="Garamond"/>
        </w:rPr>
        <w:t>,</w:t>
      </w:r>
      <w:r w:rsidRPr="003A3B24">
        <w:rPr>
          <w:rFonts w:ascii="Garamond" w:hAnsi="Garamond"/>
        </w:rPr>
        <w:t xml:space="preserve"> and Valuation Sensitivity</w:t>
      </w:r>
    </w:p>
    <w:p w14:paraId="2CA86FD6" w14:textId="77777777" w:rsidR="004A5557" w:rsidRPr="003A3B24" w:rsidRDefault="00000000">
      <w:pPr>
        <w:spacing w:after="100" w:line="252" w:lineRule="auto"/>
        <w:rPr>
          <w:rFonts w:ascii="Garamond" w:hAnsi="Garamond"/>
        </w:rPr>
      </w:pPr>
      <w:r w:rsidRPr="003A3B24">
        <w:rPr>
          <w:rFonts w:ascii="Garamond" w:hAnsi="Garamond"/>
        </w:rPr>
        <w:t xml:space="preserve">The DCF output is highly sensitive to beta and the real WACC assumption. This is also the main reason </w:t>
      </w:r>
      <w:r w:rsidR="00AD6C10">
        <w:rPr>
          <w:rFonts w:ascii="Garamond" w:hAnsi="Garamond"/>
        </w:rPr>
        <w:t>the model should show a range rather than a singl</w:t>
      </w:r>
      <w:r w:rsidRPr="003A3B24">
        <w:rPr>
          <w:rFonts w:ascii="Garamond" w:hAnsi="Garamond"/>
        </w:rPr>
        <w:t>e target price.</w:t>
      </w:r>
    </w:p>
    <w:p w14:paraId="54D7282D" w14:textId="77777777" w:rsidR="004A5557" w:rsidRPr="003A3B24" w:rsidRDefault="00000000">
      <w:pPr>
        <w:jc w:val="center"/>
        <w:rPr>
          <w:rFonts w:ascii="Garamond" w:hAnsi="Garamond"/>
        </w:rPr>
      </w:pPr>
      <w:r w:rsidRPr="003A3B24">
        <w:rPr>
          <w:rFonts w:ascii="Garamond" w:hAnsi="Garamond"/>
          <w:noProof/>
        </w:rPr>
        <w:drawing>
          <wp:inline distT="0" distB="0" distL="0" distR="0" wp14:anchorId="2D936926" wp14:editId="515A906C">
            <wp:extent cx="3203389" cy="180000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beta_sensitiv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338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3278" w14:textId="77777777" w:rsidR="004A5557" w:rsidRPr="006F540D" w:rsidRDefault="00000000">
      <w:pPr>
        <w:spacing w:after="60"/>
        <w:jc w:val="center"/>
        <w:rPr>
          <w:rFonts w:ascii="Garamond" w:hAnsi="Garamond"/>
          <w:color w:val="000000" w:themeColor="text1"/>
          <w:sz w:val="18"/>
          <w:szCs w:val="18"/>
        </w:rPr>
      </w:pPr>
      <w:r w:rsidRPr="006F540D">
        <w:rPr>
          <w:rFonts w:ascii="Garamond" w:hAnsi="Garamond"/>
          <w:b/>
          <w:color w:val="000000" w:themeColor="text1"/>
          <w:sz w:val="18"/>
          <w:szCs w:val="18"/>
        </w:rPr>
        <w:t xml:space="preserve">Figure </w:t>
      </w:r>
      <w:r w:rsidR="003A3B24" w:rsidRPr="006F540D">
        <w:rPr>
          <w:rFonts w:ascii="Garamond" w:hAnsi="Garamond"/>
          <w:b/>
          <w:color w:val="000000" w:themeColor="text1"/>
          <w:sz w:val="18"/>
          <w:szCs w:val="18"/>
        </w:rPr>
        <w:t>7</w:t>
      </w:r>
      <w:r w:rsidRPr="006F540D">
        <w:rPr>
          <w:rFonts w:ascii="Garamond" w:hAnsi="Garamond"/>
          <w:b/>
          <w:color w:val="000000" w:themeColor="text1"/>
          <w:sz w:val="18"/>
          <w:szCs w:val="18"/>
        </w:rPr>
        <w:t>. Beta sensitivity: DCF value declines as beta and real WACC increase.</w:t>
      </w:r>
    </w:p>
    <w:p w14:paraId="29F6038E" w14:textId="77777777" w:rsidR="004A5557" w:rsidRPr="003A3B24" w:rsidRDefault="00000000">
      <w:pPr>
        <w:spacing w:after="100" w:line="252" w:lineRule="auto"/>
        <w:rPr>
          <w:rFonts w:ascii="Garamond" w:hAnsi="Garamond"/>
        </w:rPr>
      </w:pPr>
      <w:r w:rsidRPr="003A3B24">
        <w:rPr>
          <w:rFonts w:ascii="Garamond" w:hAnsi="Garamond"/>
        </w:rPr>
        <w:lastRenderedPageBreak/>
        <w:t xml:space="preserve">The Yahoo 5Y monthly beta of 0.40 supports a base real DCF close to the current price. Using Şeker Invest’s 2Y daily beta of 0.80 </w:t>
      </w:r>
      <w:r w:rsidR="00D036D5" w:rsidRPr="003A3B24">
        <w:rPr>
          <w:rFonts w:ascii="Garamond" w:hAnsi="Garamond"/>
        </w:rPr>
        <w:t>lowers the DCF value</w:t>
      </w:r>
      <w:r w:rsidRPr="003A3B24">
        <w:rPr>
          <w:rFonts w:ascii="Garamond" w:hAnsi="Garamond"/>
        </w:rPr>
        <w:t>. This does not invalidate the DCF; it shows that the investment case is highly sensitive to risk measurement and normalization assumptions.</w:t>
      </w:r>
    </w:p>
    <w:p w14:paraId="5DF32FE2" w14:textId="77777777" w:rsidR="004A5557" w:rsidRPr="003A3B24" w:rsidRDefault="00000000" w:rsidP="00D036D5">
      <w:pPr>
        <w:spacing w:after="100" w:line="252" w:lineRule="auto"/>
        <w:rPr>
          <w:rFonts w:ascii="Garamond" w:hAnsi="Garamond"/>
        </w:rPr>
      </w:pPr>
      <w:r w:rsidRPr="003A3B24">
        <w:rPr>
          <w:rFonts w:ascii="Garamond" w:hAnsi="Garamond"/>
        </w:rPr>
        <w:t>Şeker Invest’s TRY 149.30 target price sits above our conservative DCF range, which likely reflects a different forecast base, forward EBITDA, target multiple</w:t>
      </w:r>
      <w:r w:rsidR="00D036D5" w:rsidRPr="003A3B24">
        <w:rPr>
          <w:rFonts w:ascii="Garamond" w:hAnsi="Garamond"/>
        </w:rPr>
        <w:t>,</w:t>
      </w:r>
      <w:r w:rsidRPr="003A3B24">
        <w:rPr>
          <w:rFonts w:ascii="Garamond" w:hAnsi="Garamond"/>
        </w:rPr>
        <w:t xml:space="preserve"> and WACC methodology. The broker number is therefore treated as an external sanity check</w:t>
      </w:r>
      <w:r w:rsidR="00D036D5" w:rsidRPr="003A3B24">
        <w:rPr>
          <w:rFonts w:ascii="Garamond" w:hAnsi="Garamond"/>
        </w:rPr>
        <w:t xml:space="preserve"> rather than</w:t>
      </w:r>
      <w:r w:rsidRPr="003A3B24">
        <w:rPr>
          <w:rFonts w:ascii="Garamond" w:hAnsi="Garamond"/>
        </w:rPr>
        <w:t xml:space="preserve"> an input to our valuation.</w:t>
      </w:r>
    </w:p>
    <w:p w14:paraId="5580CE03" w14:textId="77777777" w:rsidR="004A5557" w:rsidRPr="003A3B24" w:rsidRDefault="00000000" w:rsidP="003A3B24">
      <w:pPr>
        <w:pStyle w:val="Balk1"/>
        <w:spacing w:before="0" w:after="120"/>
        <w:rPr>
          <w:rFonts w:ascii="Garamond" w:hAnsi="Garamond"/>
        </w:rPr>
      </w:pPr>
      <w:r w:rsidRPr="003A3B24">
        <w:rPr>
          <w:rFonts w:ascii="Garamond" w:hAnsi="Garamond"/>
        </w:rPr>
        <w:t>7. Market and Sector Context</w:t>
      </w:r>
    </w:p>
    <w:p w14:paraId="496C2BEC" w14:textId="77777777" w:rsidR="004A5557" w:rsidRPr="003A3B24" w:rsidRDefault="00000000">
      <w:pPr>
        <w:spacing w:after="100" w:line="252" w:lineRule="auto"/>
        <w:rPr>
          <w:rFonts w:ascii="Garamond" w:hAnsi="Garamond"/>
        </w:rPr>
      </w:pPr>
      <w:r w:rsidRPr="003A3B24">
        <w:rPr>
          <w:rFonts w:ascii="Garamond" w:hAnsi="Garamond"/>
        </w:rPr>
        <w:t>Sector data support a cautious near-term forecast. The Turkish market, production</w:t>
      </w:r>
      <w:r w:rsidR="00AD6C10">
        <w:rPr>
          <w:rFonts w:ascii="Garamond" w:hAnsi="Garamond"/>
        </w:rPr>
        <w:t>,</w:t>
      </w:r>
      <w:r w:rsidRPr="003A3B24">
        <w:rPr>
          <w:rFonts w:ascii="Garamond" w:hAnsi="Garamond"/>
        </w:rPr>
        <w:t xml:space="preserve"> and exports weakened in 1Q26, while commercial vehicle production was more resilient.</w:t>
      </w:r>
    </w:p>
    <w:p w14:paraId="55DDC69D" w14:textId="77777777" w:rsidR="004A5557" w:rsidRPr="003A3B24" w:rsidRDefault="00000000">
      <w:pPr>
        <w:jc w:val="center"/>
        <w:rPr>
          <w:rFonts w:ascii="Garamond" w:hAnsi="Garamond"/>
        </w:rPr>
      </w:pPr>
      <w:r w:rsidRPr="003A3B24">
        <w:rPr>
          <w:rFonts w:ascii="Garamond" w:hAnsi="Garamond"/>
          <w:noProof/>
        </w:rPr>
        <w:drawing>
          <wp:inline distT="0" distB="0" distL="0" distR="0" wp14:anchorId="22D55D80" wp14:editId="7B934ABE">
            <wp:extent cx="3203389" cy="180000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osd_contex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338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529F" w14:textId="77777777" w:rsidR="004A5557" w:rsidRPr="006F540D" w:rsidRDefault="00000000">
      <w:pPr>
        <w:spacing w:after="60"/>
        <w:jc w:val="center"/>
        <w:rPr>
          <w:rFonts w:ascii="Garamond" w:hAnsi="Garamond"/>
          <w:color w:val="000000" w:themeColor="text1"/>
          <w:sz w:val="18"/>
          <w:szCs w:val="18"/>
        </w:rPr>
      </w:pPr>
      <w:r w:rsidRPr="006F540D">
        <w:rPr>
          <w:rFonts w:ascii="Garamond" w:hAnsi="Garamond"/>
          <w:b/>
          <w:color w:val="000000" w:themeColor="text1"/>
          <w:sz w:val="18"/>
          <w:szCs w:val="18"/>
        </w:rPr>
        <w:t xml:space="preserve">Figure </w:t>
      </w:r>
      <w:r w:rsidR="003A3B24" w:rsidRPr="006F540D">
        <w:rPr>
          <w:rFonts w:ascii="Garamond" w:hAnsi="Garamond"/>
          <w:b/>
          <w:color w:val="000000" w:themeColor="text1"/>
          <w:sz w:val="18"/>
          <w:szCs w:val="18"/>
        </w:rPr>
        <w:t>8</w:t>
      </w:r>
      <w:r w:rsidRPr="006F540D">
        <w:rPr>
          <w:rFonts w:ascii="Garamond" w:hAnsi="Garamond"/>
          <w:b/>
          <w:color w:val="000000" w:themeColor="text1"/>
          <w:sz w:val="18"/>
          <w:szCs w:val="18"/>
        </w:rPr>
        <w:t>. OSD 1Q26 sector context: near-term pressure with commercial vehicle resilience.</w:t>
      </w:r>
    </w:p>
    <w:p w14:paraId="3E837295" w14:textId="77777777" w:rsidR="004A5557" w:rsidRPr="003A3B24" w:rsidRDefault="00000000">
      <w:pPr>
        <w:jc w:val="center"/>
        <w:rPr>
          <w:rFonts w:ascii="Garamond" w:hAnsi="Garamond"/>
        </w:rPr>
      </w:pPr>
      <w:r w:rsidRPr="003A3B24">
        <w:rPr>
          <w:rFonts w:ascii="Garamond" w:hAnsi="Garamond"/>
          <w:noProof/>
        </w:rPr>
        <w:drawing>
          <wp:inline distT="0" distB="0" distL="0" distR="0" wp14:anchorId="741F81B2" wp14:editId="07C2664A">
            <wp:extent cx="3203389" cy="180000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indexed_performa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338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F8948" w14:textId="77777777" w:rsidR="004A5557" w:rsidRPr="006F540D" w:rsidRDefault="00000000">
      <w:pPr>
        <w:spacing w:after="60"/>
        <w:jc w:val="center"/>
        <w:rPr>
          <w:rFonts w:ascii="Garamond" w:hAnsi="Garamond"/>
          <w:color w:val="000000" w:themeColor="text1"/>
          <w:sz w:val="18"/>
          <w:szCs w:val="18"/>
        </w:rPr>
      </w:pPr>
      <w:r w:rsidRPr="006F540D">
        <w:rPr>
          <w:rFonts w:ascii="Garamond" w:hAnsi="Garamond"/>
          <w:b/>
          <w:color w:val="000000" w:themeColor="text1"/>
          <w:sz w:val="18"/>
          <w:szCs w:val="18"/>
        </w:rPr>
        <w:t xml:space="preserve">Figure </w:t>
      </w:r>
      <w:r w:rsidR="003A3B24" w:rsidRPr="006F540D">
        <w:rPr>
          <w:rFonts w:ascii="Garamond" w:hAnsi="Garamond"/>
          <w:b/>
          <w:color w:val="000000" w:themeColor="text1"/>
          <w:sz w:val="18"/>
          <w:szCs w:val="18"/>
        </w:rPr>
        <w:t>9</w:t>
      </w:r>
      <w:r w:rsidRPr="006F540D">
        <w:rPr>
          <w:rFonts w:ascii="Garamond" w:hAnsi="Garamond"/>
          <w:b/>
          <w:color w:val="000000" w:themeColor="text1"/>
          <w:sz w:val="18"/>
          <w:szCs w:val="18"/>
        </w:rPr>
        <w:t>. Indexed share performance versus BIST 100 and BIST Industrials.</w:t>
      </w:r>
    </w:p>
    <w:p w14:paraId="5BD2701D" w14:textId="77777777" w:rsidR="004A5557" w:rsidRPr="003A3B24" w:rsidRDefault="00000000" w:rsidP="006F540D">
      <w:pPr>
        <w:spacing w:after="100" w:line="252" w:lineRule="auto"/>
        <w:rPr>
          <w:rFonts w:ascii="Garamond" w:hAnsi="Garamond"/>
        </w:rPr>
      </w:pPr>
      <w:r w:rsidRPr="003A3B24">
        <w:rPr>
          <w:rFonts w:ascii="Garamond" w:hAnsi="Garamond"/>
        </w:rPr>
        <w:t>This context supports a balanced conclusion. Near-term sector pressure justifies conservative DCF assumptions, while FROTO’s scale, commercial</w:t>
      </w:r>
      <w:r w:rsidR="00AD6C10">
        <w:rPr>
          <w:rFonts w:ascii="Garamond" w:hAnsi="Garamond"/>
        </w:rPr>
        <w:t>-vehicle exposure, and export-heavy profile support a more constructive relative valuation</w:t>
      </w:r>
      <w:r w:rsidRPr="003A3B24">
        <w:rPr>
          <w:rFonts w:ascii="Garamond" w:hAnsi="Garamond"/>
        </w:rPr>
        <w:t>.</w:t>
      </w:r>
    </w:p>
    <w:p w14:paraId="3323E406" w14:textId="77777777" w:rsidR="004A5557" w:rsidRPr="003A3B24" w:rsidRDefault="00000000" w:rsidP="003A3B24">
      <w:pPr>
        <w:pStyle w:val="Balk1"/>
        <w:spacing w:before="0" w:after="120"/>
        <w:rPr>
          <w:rFonts w:ascii="Garamond" w:hAnsi="Garamond"/>
        </w:rPr>
      </w:pPr>
      <w:r w:rsidRPr="003A3B24">
        <w:rPr>
          <w:rFonts w:ascii="Garamond" w:hAnsi="Garamond"/>
        </w:rPr>
        <w:t>8. Conclusion and Portfolio Case Interpretation</w:t>
      </w:r>
    </w:p>
    <w:p w14:paraId="3ACF43D8" w14:textId="398ACA4A" w:rsidR="0008289F" w:rsidRPr="006F540D" w:rsidRDefault="00000000" w:rsidP="006F540D">
      <w:pPr>
        <w:spacing w:after="100" w:line="252" w:lineRule="auto"/>
        <w:rPr>
          <w:rFonts w:ascii="Garamond" w:hAnsi="Garamond"/>
        </w:rPr>
      </w:pPr>
      <w:r w:rsidRPr="003A3B24">
        <w:rPr>
          <w:rFonts w:ascii="Garamond" w:hAnsi="Garamond"/>
        </w:rPr>
        <w:t>The most defensible conclusion is not that FROTO is simply cheap or expensive. The stronger analytical point is that different valuation methods answer different questions.</w:t>
      </w:r>
    </w:p>
    <w:tbl>
      <w:tblPr>
        <w:tblStyle w:val="TabloKlavuzu"/>
        <w:tblW w:w="5000" w:type="pct"/>
        <w:jc w:val="center"/>
        <w:tblLook w:val="04A0" w:firstRow="1" w:lastRow="0" w:firstColumn="1" w:lastColumn="0" w:noHBand="0" w:noVBand="1"/>
      </w:tblPr>
      <w:tblGrid>
        <w:gridCol w:w="2407"/>
        <w:gridCol w:w="5124"/>
        <w:gridCol w:w="3197"/>
      </w:tblGrid>
      <w:tr w:rsidR="004A5557" w:rsidRPr="00075B9F" w14:paraId="405BA374" w14:textId="77777777" w:rsidTr="00075B9F">
        <w:trPr>
          <w:jc w:val="center"/>
        </w:trPr>
        <w:tc>
          <w:tcPr>
            <w:tcW w:w="1122" w:type="pct"/>
            <w:shd w:val="clear" w:color="auto" w:fill="12355B"/>
            <w:vAlign w:val="center"/>
          </w:tcPr>
          <w:p w14:paraId="3C6A8BF0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b/>
                <w:color w:val="FFFFFF"/>
                <w:sz w:val="17"/>
                <w:szCs w:val="17"/>
              </w:rPr>
              <w:t>Question</w:t>
            </w:r>
          </w:p>
        </w:tc>
        <w:tc>
          <w:tcPr>
            <w:tcW w:w="2388" w:type="pct"/>
            <w:shd w:val="clear" w:color="auto" w:fill="12355B"/>
            <w:vAlign w:val="center"/>
          </w:tcPr>
          <w:p w14:paraId="5E875831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b/>
                <w:color w:val="FFFFFF"/>
                <w:sz w:val="17"/>
                <w:szCs w:val="17"/>
              </w:rPr>
              <w:t>Answer</w:t>
            </w:r>
          </w:p>
        </w:tc>
        <w:tc>
          <w:tcPr>
            <w:tcW w:w="1490" w:type="pct"/>
            <w:shd w:val="clear" w:color="auto" w:fill="12355B"/>
            <w:vAlign w:val="center"/>
          </w:tcPr>
          <w:p w14:paraId="094F401F" w14:textId="77777777" w:rsidR="0008289F" w:rsidRPr="00075B9F" w:rsidRDefault="00000000">
            <w:pPr>
              <w:jc w:val="center"/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b/>
                <w:color w:val="FFFFFF"/>
                <w:sz w:val="17"/>
                <w:szCs w:val="17"/>
              </w:rPr>
              <w:t>Implication</w:t>
            </w:r>
          </w:p>
        </w:tc>
      </w:tr>
      <w:tr w:rsidR="004A5557" w:rsidRPr="00075B9F" w14:paraId="678859C3" w14:textId="77777777" w:rsidTr="00075B9F">
        <w:trPr>
          <w:jc w:val="center"/>
        </w:trPr>
        <w:tc>
          <w:tcPr>
            <w:tcW w:w="1122" w:type="pct"/>
            <w:vAlign w:val="center"/>
          </w:tcPr>
          <w:p w14:paraId="169A69D7" w14:textId="77777777" w:rsidR="0008289F" w:rsidRPr="00075B9F" w:rsidRDefault="00000000">
            <w:pPr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Is FROTO clearly undervalued on DCF?</w:t>
            </w:r>
          </w:p>
        </w:tc>
        <w:tc>
          <w:tcPr>
            <w:tcW w:w="2388" w:type="pct"/>
            <w:vAlign w:val="center"/>
          </w:tcPr>
          <w:p w14:paraId="3CDB28A2" w14:textId="77777777" w:rsidR="0008289F" w:rsidRPr="00075B9F" w:rsidRDefault="00000000">
            <w:pPr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No. Base real DCF is close to current price.</w:t>
            </w:r>
          </w:p>
        </w:tc>
        <w:tc>
          <w:tcPr>
            <w:tcW w:w="1490" w:type="pct"/>
            <w:vAlign w:val="center"/>
          </w:tcPr>
          <w:p w14:paraId="3EB2AC4A" w14:textId="77777777" w:rsidR="0008289F" w:rsidRPr="00075B9F" w:rsidRDefault="00000000">
            <w:pPr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Intrinsic valuation is a fair-value anchor, not a bullish target.</w:t>
            </w:r>
          </w:p>
        </w:tc>
      </w:tr>
      <w:tr w:rsidR="004A5557" w:rsidRPr="00075B9F" w14:paraId="491EA860" w14:textId="77777777" w:rsidTr="00075B9F">
        <w:trPr>
          <w:jc w:val="center"/>
        </w:trPr>
        <w:tc>
          <w:tcPr>
            <w:tcW w:w="1122" w:type="pct"/>
            <w:vAlign w:val="center"/>
          </w:tcPr>
          <w:p w14:paraId="74E88798" w14:textId="77777777" w:rsidR="0008289F" w:rsidRPr="00075B9F" w:rsidRDefault="00000000">
            <w:pPr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Does FROTO screen cheap vs peers?</w:t>
            </w:r>
          </w:p>
        </w:tc>
        <w:tc>
          <w:tcPr>
            <w:tcW w:w="2388" w:type="pct"/>
            <w:vAlign w:val="center"/>
          </w:tcPr>
          <w:p w14:paraId="17A6D8CB" w14:textId="77777777" w:rsidR="0008289F" w:rsidRPr="00075B9F" w:rsidRDefault="00000000">
            <w:pPr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Yes, especially on EV/EBITDA versus core manufacturing peers.</w:t>
            </w:r>
          </w:p>
        </w:tc>
        <w:tc>
          <w:tcPr>
            <w:tcW w:w="1490" w:type="pct"/>
            <w:vAlign w:val="center"/>
          </w:tcPr>
          <w:p w14:paraId="76D79FE9" w14:textId="77777777" w:rsidR="0008289F" w:rsidRPr="00075B9F" w:rsidRDefault="00000000">
            <w:pPr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Relative valuation signal is constructive.</w:t>
            </w:r>
          </w:p>
        </w:tc>
      </w:tr>
      <w:tr w:rsidR="004A5557" w:rsidRPr="00075B9F" w14:paraId="461521EC" w14:textId="77777777" w:rsidTr="00075B9F">
        <w:trPr>
          <w:jc w:val="center"/>
        </w:trPr>
        <w:tc>
          <w:tcPr>
            <w:tcW w:w="1122" w:type="pct"/>
            <w:vAlign w:val="center"/>
          </w:tcPr>
          <w:p w14:paraId="382E58F2" w14:textId="77777777" w:rsidR="0008289F" w:rsidRPr="00075B9F" w:rsidRDefault="00000000">
            <w:pPr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Is the relative upside mechanically reliable?</w:t>
            </w:r>
          </w:p>
        </w:tc>
        <w:tc>
          <w:tcPr>
            <w:tcW w:w="2388" w:type="pct"/>
            <w:vAlign w:val="center"/>
          </w:tcPr>
          <w:p w14:paraId="65170F3B" w14:textId="77777777" w:rsidR="0008289F" w:rsidRPr="00075B9F" w:rsidRDefault="00000000">
            <w:pPr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 xml:space="preserve">No. Peer set is </w:t>
            </w:r>
            <w:proofErr w:type="gramStart"/>
            <w:r w:rsidRPr="00075B9F">
              <w:rPr>
                <w:rFonts w:ascii="Garamond" w:eastAsia="Garamond" w:hAnsi="Garamond"/>
                <w:sz w:val="17"/>
                <w:szCs w:val="17"/>
              </w:rPr>
              <w:t>heterogeneous</w:t>
            </w:r>
            <w:proofErr w:type="gramEnd"/>
            <w:r w:rsidRPr="00075B9F">
              <w:rPr>
                <w:rFonts w:ascii="Garamond" w:eastAsia="Garamond" w:hAnsi="Garamond"/>
                <w:sz w:val="17"/>
                <w:szCs w:val="17"/>
              </w:rPr>
              <w:t xml:space="preserve"> and multiples are sensitive to EBITDA definitions.</w:t>
            </w:r>
          </w:p>
        </w:tc>
        <w:tc>
          <w:tcPr>
            <w:tcW w:w="1490" w:type="pct"/>
            <w:vAlign w:val="center"/>
          </w:tcPr>
          <w:p w14:paraId="40B04A09" w14:textId="77777777" w:rsidR="0008289F" w:rsidRPr="00075B9F" w:rsidRDefault="00000000">
            <w:pPr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Use peer-implied prices directionally, not mechanically.</w:t>
            </w:r>
          </w:p>
        </w:tc>
      </w:tr>
      <w:tr w:rsidR="004A5557" w:rsidRPr="00075B9F" w14:paraId="11F8AAA9" w14:textId="77777777" w:rsidTr="00075B9F">
        <w:trPr>
          <w:jc w:val="center"/>
        </w:trPr>
        <w:tc>
          <w:tcPr>
            <w:tcW w:w="1122" w:type="pct"/>
            <w:vAlign w:val="center"/>
          </w:tcPr>
          <w:p w14:paraId="33C32EBB" w14:textId="77777777" w:rsidR="0008289F" w:rsidRPr="00075B9F" w:rsidRDefault="00000000">
            <w:pPr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What explains the divergence?</w:t>
            </w:r>
          </w:p>
        </w:tc>
        <w:tc>
          <w:tcPr>
            <w:tcW w:w="2388" w:type="pct"/>
            <w:vAlign w:val="center"/>
          </w:tcPr>
          <w:p w14:paraId="61E48729" w14:textId="77777777" w:rsidR="0008289F" w:rsidRPr="00075B9F" w:rsidRDefault="00000000">
            <w:pPr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Real WACC/beta framework, IAS29 treatment, peer comparability and forward EBITDA assumptions.</w:t>
            </w:r>
          </w:p>
        </w:tc>
        <w:tc>
          <w:tcPr>
            <w:tcW w:w="1490" w:type="pct"/>
            <w:vAlign w:val="center"/>
          </w:tcPr>
          <w:p w14:paraId="172217D3" w14:textId="77777777" w:rsidR="0008289F" w:rsidRPr="00075B9F" w:rsidRDefault="00000000">
            <w:pPr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This is the main analytical finding.</w:t>
            </w:r>
          </w:p>
        </w:tc>
      </w:tr>
      <w:tr w:rsidR="004A5557" w:rsidRPr="00075B9F" w14:paraId="4BE62A76" w14:textId="77777777" w:rsidTr="00075B9F">
        <w:trPr>
          <w:jc w:val="center"/>
        </w:trPr>
        <w:tc>
          <w:tcPr>
            <w:tcW w:w="1122" w:type="pct"/>
            <w:vAlign w:val="center"/>
          </w:tcPr>
          <w:p w14:paraId="0BB7C0EE" w14:textId="77777777" w:rsidR="0008289F" w:rsidRPr="00075B9F" w:rsidRDefault="00000000">
            <w:pPr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Best interpretation</w:t>
            </w:r>
          </w:p>
        </w:tc>
        <w:tc>
          <w:tcPr>
            <w:tcW w:w="2388" w:type="pct"/>
            <w:vAlign w:val="center"/>
          </w:tcPr>
          <w:p w14:paraId="23713265" w14:textId="77777777" w:rsidR="0008289F" w:rsidRPr="00075B9F" w:rsidRDefault="00000000">
            <w:pPr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Fair intrinsic value with a constructive relative valuation signal.</w:t>
            </w:r>
          </w:p>
        </w:tc>
        <w:tc>
          <w:tcPr>
            <w:tcW w:w="1490" w:type="pct"/>
            <w:vAlign w:val="center"/>
          </w:tcPr>
          <w:p w14:paraId="48A70E8E" w14:textId="77777777" w:rsidR="0008289F" w:rsidRPr="00075B9F" w:rsidRDefault="00000000">
            <w:pPr>
              <w:rPr>
                <w:sz w:val="17"/>
                <w:szCs w:val="17"/>
              </w:rPr>
            </w:pPr>
            <w:r w:rsidRPr="00075B9F">
              <w:rPr>
                <w:rFonts w:ascii="Garamond" w:eastAsia="Garamond" w:hAnsi="Garamond"/>
                <w:sz w:val="17"/>
                <w:szCs w:val="17"/>
              </w:rPr>
              <w:t>Valuation-method divergence, not a single-point target price.</w:t>
            </w:r>
          </w:p>
        </w:tc>
      </w:tr>
    </w:tbl>
    <w:p w14:paraId="3454D391" w14:textId="133715D4" w:rsidR="001C74EA" w:rsidRDefault="00000000" w:rsidP="001C74EA">
      <w:pPr>
        <w:spacing w:after="100" w:line="252" w:lineRule="auto"/>
        <w:rPr>
          <w:rFonts w:ascii="Garamond" w:eastAsia="Garamond" w:hAnsi="Garamond"/>
        </w:rPr>
        <w:sectPr w:rsidR="001C74EA" w:rsidSect="00034616">
          <w:headerReference w:type="default" r:id="rId18"/>
          <w:footerReference w:type="even" r:id="rId19"/>
          <w:footerReference w:type="default" r:id="rId20"/>
          <w:pgSz w:w="12240" w:h="15840"/>
          <w:pgMar w:top="648" w:right="864" w:bottom="648" w:left="864" w:header="720" w:footer="720" w:gutter="0"/>
          <w:cols w:space="720"/>
          <w:docGrid w:linePitch="360"/>
        </w:sectPr>
      </w:pPr>
      <w:r>
        <w:rPr>
          <w:rFonts w:ascii="Garamond" w:eastAsia="Garamond" w:hAnsi="Garamond"/>
          <w:b/>
        </w:rPr>
        <w:t xml:space="preserve">Final takeaway: </w:t>
      </w:r>
      <w:r>
        <w:rPr>
          <w:rFonts w:ascii="Garamond" w:eastAsia="Garamond" w:hAnsi="Garamond"/>
        </w:rPr>
        <w:t>Under conservative real DCF assumptions, FROTO appears broadly fairly valued around the current market price. However, local trading comps and the external broker reference point indicate a more constructive relative valuation signal. The gap should be framed as valuation-method divergence driven by WACC, beta, IAS29 treatment, peer comparability and forward earnings assumption</w:t>
      </w:r>
      <w:r w:rsidR="00023067">
        <w:rPr>
          <w:rFonts w:ascii="Garamond" w:eastAsia="Garamond" w:hAnsi="Garamond"/>
        </w:rPr>
        <w:t>.</w:t>
      </w:r>
    </w:p>
    <w:p w14:paraId="5A3EFB5F" w14:textId="3653E417" w:rsidR="004A5557" w:rsidRPr="003A3B24" w:rsidRDefault="004A5557" w:rsidP="001C74EA">
      <w:pPr>
        <w:spacing w:after="100" w:line="252" w:lineRule="auto"/>
        <w:rPr>
          <w:rFonts w:ascii="Garamond" w:hAnsi="Garamond"/>
        </w:rPr>
      </w:pPr>
    </w:p>
    <w:p w14:paraId="3D3E45A7" w14:textId="77777777" w:rsidR="004A5557" w:rsidRPr="003A3B24" w:rsidRDefault="00000000" w:rsidP="003A3B24">
      <w:pPr>
        <w:pStyle w:val="Balk1"/>
        <w:spacing w:before="0" w:after="120"/>
        <w:rPr>
          <w:rFonts w:ascii="Garamond" w:hAnsi="Garamond"/>
        </w:rPr>
      </w:pPr>
      <w:r w:rsidRPr="003A3B24">
        <w:rPr>
          <w:rFonts w:ascii="Garamond" w:hAnsi="Garamond"/>
        </w:rPr>
        <w:t>Appendix A - Supporting Charts</w:t>
      </w:r>
    </w:p>
    <w:p w14:paraId="1E2C1A1A" w14:textId="77777777" w:rsidR="0008289F" w:rsidRDefault="00000000">
      <w:pPr>
        <w:jc w:val="center"/>
      </w:pPr>
      <w:r>
        <w:rPr>
          <w:noProof/>
        </w:rPr>
        <w:drawing>
          <wp:inline distT="0" distB="0" distL="0" distR="0" wp14:anchorId="457B74E8" wp14:editId="7E095C8B">
            <wp:extent cx="3166534" cy="1583266"/>
            <wp:effectExtent l="0" t="0" r="0" b="4445"/>
            <wp:docPr id="16" name="Pictur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minal_spot_stres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80513" cy="159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272C" w14:textId="77777777" w:rsidR="0008289F" w:rsidRPr="006F540D" w:rsidRDefault="00000000">
      <w:pPr>
        <w:spacing w:after="80"/>
        <w:jc w:val="center"/>
        <w:rPr>
          <w:sz w:val="18"/>
          <w:szCs w:val="18"/>
        </w:rPr>
      </w:pPr>
      <w:r w:rsidRPr="006F540D">
        <w:rPr>
          <w:rFonts w:ascii="Garamond" w:eastAsia="Garamond" w:hAnsi="Garamond"/>
          <w:b/>
          <w:sz w:val="18"/>
          <w:szCs w:val="18"/>
        </w:rPr>
        <w:t>Appendix Figure A0. Nominal spot-rate stress test, retained only as a macro stress illustration.</w:t>
      </w:r>
    </w:p>
    <w:p w14:paraId="10D580A7" w14:textId="77777777" w:rsidR="0008289F" w:rsidRDefault="00000000" w:rsidP="006F540D">
      <w:pPr>
        <w:jc w:val="center"/>
      </w:pPr>
      <w:r>
        <w:rPr>
          <w:rFonts w:ascii="Garamond" w:eastAsia="Garamond" w:hAnsi="Garamond"/>
          <w:i/>
          <w:sz w:val="14"/>
        </w:rPr>
        <w:t>This scenario is not used as a base valuation framework because the financials are treated in constant purchasing power terms under IAS29/TAS29.</w:t>
      </w:r>
    </w:p>
    <w:p w14:paraId="69B54CF3" w14:textId="77777777" w:rsidR="004A5557" w:rsidRPr="003A3B24" w:rsidRDefault="00000000">
      <w:pPr>
        <w:jc w:val="center"/>
        <w:rPr>
          <w:rFonts w:ascii="Garamond" w:hAnsi="Garamond"/>
        </w:rPr>
      </w:pPr>
      <w:r w:rsidRPr="003A3B24">
        <w:rPr>
          <w:rFonts w:ascii="Garamond" w:hAnsi="Garamond"/>
          <w:noProof/>
        </w:rPr>
        <w:drawing>
          <wp:inline distT="0" distB="0" distL="0" distR="0" wp14:anchorId="0847305A" wp14:editId="2D70D629">
            <wp:extent cx="3780000" cy="2124000"/>
            <wp:effectExtent l="0" t="0" r="5080" b="0"/>
            <wp:docPr id="10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guidance_brid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5EEA6" w14:textId="77777777" w:rsidR="004A5557" w:rsidRPr="006F540D" w:rsidRDefault="00000000">
      <w:pPr>
        <w:spacing w:after="60"/>
        <w:jc w:val="center"/>
        <w:rPr>
          <w:rFonts w:ascii="Garamond" w:hAnsi="Garamond"/>
          <w:b/>
          <w:color w:val="000000" w:themeColor="text1"/>
          <w:sz w:val="18"/>
          <w:szCs w:val="18"/>
        </w:rPr>
      </w:pPr>
      <w:r w:rsidRPr="006F540D">
        <w:rPr>
          <w:rFonts w:ascii="Garamond" w:hAnsi="Garamond"/>
          <w:b/>
          <w:color w:val="000000" w:themeColor="text1"/>
          <w:sz w:val="18"/>
          <w:szCs w:val="18"/>
        </w:rPr>
        <w:t>Appendix Figure A1. 2025 actual vs 2026 guidance.</w:t>
      </w:r>
    </w:p>
    <w:p w14:paraId="5AB1577B" w14:textId="77777777" w:rsidR="004A5557" w:rsidRPr="003A3B24" w:rsidRDefault="00000000">
      <w:pPr>
        <w:jc w:val="center"/>
        <w:rPr>
          <w:rFonts w:ascii="Garamond" w:hAnsi="Garamond"/>
        </w:rPr>
      </w:pPr>
      <w:r w:rsidRPr="003A3B24">
        <w:rPr>
          <w:rFonts w:ascii="Garamond" w:hAnsi="Garamond"/>
          <w:noProof/>
        </w:rPr>
        <w:drawing>
          <wp:inline distT="0" distB="0" distL="0" distR="0" wp14:anchorId="3298E5DA" wp14:editId="6873867B">
            <wp:extent cx="3528000" cy="2988000"/>
            <wp:effectExtent l="0" t="0" r="3175" b="0"/>
            <wp:docPr id="11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dcf_heatma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28000" cy="2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E937" w14:textId="77777777" w:rsidR="004A5557" w:rsidRPr="006F540D" w:rsidRDefault="00000000">
      <w:pPr>
        <w:spacing w:after="60"/>
        <w:jc w:val="center"/>
        <w:rPr>
          <w:rFonts w:ascii="Garamond" w:hAnsi="Garamond"/>
          <w:color w:val="000000" w:themeColor="text1"/>
          <w:sz w:val="18"/>
          <w:szCs w:val="18"/>
        </w:rPr>
      </w:pPr>
      <w:r w:rsidRPr="006F540D">
        <w:rPr>
          <w:rFonts w:ascii="Garamond" w:hAnsi="Garamond"/>
          <w:b/>
          <w:color w:val="000000" w:themeColor="text1"/>
          <w:sz w:val="18"/>
          <w:szCs w:val="18"/>
        </w:rPr>
        <w:t>Appendix Figure A2. DCF sensitivity heatmap: real WACC x real terminal growth.</w:t>
      </w:r>
    </w:p>
    <w:p w14:paraId="2680D386" w14:textId="77777777" w:rsidR="004A5557" w:rsidRPr="003A3B24" w:rsidRDefault="00000000">
      <w:pPr>
        <w:jc w:val="center"/>
        <w:rPr>
          <w:rFonts w:ascii="Garamond" w:hAnsi="Garamond"/>
        </w:rPr>
      </w:pPr>
      <w:r w:rsidRPr="003A3B24">
        <w:rPr>
          <w:rFonts w:ascii="Garamond" w:hAnsi="Garamond"/>
          <w:noProof/>
        </w:rPr>
        <w:lastRenderedPageBreak/>
        <w:drawing>
          <wp:inline distT="0" distB="0" distL="0" distR="0" wp14:anchorId="2F087042" wp14:editId="673C0552">
            <wp:extent cx="3780000" cy="2124122"/>
            <wp:effectExtent l="0" t="0" r="5080" b="0"/>
            <wp:docPr id="12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peer_lever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2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8EC7" w14:textId="77777777" w:rsidR="004A5557" w:rsidRPr="006F540D" w:rsidRDefault="00000000" w:rsidP="003A3B24">
      <w:pPr>
        <w:spacing w:after="60"/>
        <w:jc w:val="center"/>
        <w:rPr>
          <w:rFonts w:ascii="Garamond" w:hAnsi="Garamond"/>
          <w:color w:val="000000" w:themeColor="text1"/>
          <w:sz w:val="18"/>
          <w:szCs w:val="18"/>
        </w:rPr>
      </w:pPr>
      <w:r w:rsidRPr="006F540D">
        <w:rPr>
          <w:rFonts w:ascii="Garamond" w:hAnsi="Garamond"/>
          <w:b/>
          <w:color w:val="000000" w:themeColor="text1"/>
          <w:sz w:val="18"/>
          <w:szCs w:val="18"/>
        </w:rPr>
        <w:t>Appendix Figure A3. Peer leverage check: net debt / EBITDA.</w:t>
      </w:r>
    </w:p>
    <w:p w14:paraId="1C552CA1" w14:textId="77777777" w:rsidR="004A5557" w:rsidRPr="003A3B24" w:rsidRDefault="00000000" w:rsidP="006F540D">
      <w:pPr>
        <w:pStyle w:val="Balk1"/>
        <w:spacing w:after="120"/>
        <w:rPr>
          <w:rFonts w:ascii="Garamond" w:hAnsi="Garamond"/>
        </w:rPr>
      </w:pPr>
      <w:r w:rsidRPr="003A3B24">
        <w:rPr>
          <w:rFonts w:ascii="Garamond" w:hAnsi="Garamond"/>
        </w:rPr>
        <w:t>Appendix B - Source Notes and Method Caveats</w:t>
      </w:r>
    </w:p>
    <w:p w14:paraId="0A9DE925" w14:textId="77777777" w:rsidR="004A5557" w:rsidRPr="003A3B24" w:rsidRDefault="00000000">
      <w:pPr>
        <w:pStyle w:val="ListeMaddemi"/>
        <w:spacing w:after="60"/>
        <w:rPr>
          <w:rFonts w:ascii="Garamond" w:hAnsi="Garamond"/>
        </w:rPr>
      </w:pPr>
      <w:r w:rsidRPr="003A3B24">
        <w:rPr>
          <w:rFonts w:ascii="Garamond" w:hAnsi="Garamond"/>
        </w:rPr>
        <w:t xml:space="preserve">Market data uses a </w:t>
      </w:r>
      <w:r w:rsidR="003A3B24">
        <w:rPr>
          <w:rFonts w:ascii="Garamond" w:hAnsi="Garamond"/>
        </w:rPr>
        <w:t>valuation date of 15.05.2026</w:t>
      </w:r>
      <w:r w:rsidRPr="003A3B24">
        <w:rPr>
          <w:rFonts w:ascii="Garamond" w:hAnsi="Garamond"/>
        </w:rPr>
        <w:t xml:space="preserve"> for price, share count</w:t>
      </w:r>
      <w:r w:rsidR="003A3B24">
        <w:rPr>
          <w:rFonts w:ascii="Garamond" w:hAnsi="Garamond"/>
        </w:rPr>
        <w:t>,</w:t>
      </w:r>
      <w:r w:rsidRPr="003A3B24">
        <w:rPr>
          <w:rFonts w:ascii="Garamond" w:hAnsi="Garamond"/>
        </w:rPr>
        <w:t xml:space="preserve"> and market cap calculations.</w:t>
      </w:r>
    </w:p>
    <w:p w14:paraId="6705DCF2" w14:textId="3954B266" w:rsidR="004A5557" w:rsidRPr="003A3B24" w:rsidRDefault="00000000">
      <w:pPr>
        <w:pStyle w:val="ListeMaddemi"/>
        <w:spacing w:after="60"/>
        <w:rPr>
          <w:rFonts w:ascii="Garamond" w:hAnsi="Garamond"/>
        </w:rPr>
      </w:pPr>
      <w:r w:rsidRPr="003A3B24">
        <w:rPr>
          <w:rFonts w:ascii="Garamond" w:hAnsi="Garamond"/>
        </w:rPr>
        <w:t>Financial data are based on company filings, annual reports, investor presentations, earnings releases</w:t>
      </w:r>
      <w:r w:rsidR="003A3B24">
        <w:rPr>
          <w:rFonts w:ascii="Garamond" w:hAnsi="Garamond"/>
        </w:rPr>
        <w:t>,</w:t>
      </w:r>
      <w:r w:rsidRPr="003A3B24">
        <w:rPr>
          <w:rFonts w:ascii="Garamond" w:hAnsi="Garamond"/>
        </w:rPr>
        <w:t xml:space="preserve"> and </w:t>
      </w:r>
      <w:r w:rsidR="00F77A98">
        <w:rPr>
          <w:rFonts w:ascii="Garamond" w:hAnsi="Garamond"/>
        </w:rPr>
        <w:t>reviewed peer financial statements</w:t>
      </w:r>
      <w:r w:rsidRPr="003A3B24">
        <w:rPr>
          <w:rFonts w:ascii="Garamond" w:hAnsi="Garamond"/>
        </w:rPr>
        <w:t>.</w:t>
      </w:r>
    </w:p>
    <w:p w14:paraId="66FA2C11" w14:textId="77777777" w:rsidR="004A5557" w:rsidRPr="003A3B24" w:rsidRDefault="00000000">
      <w:pPr>
        <w:pStyle w:val="ListeMaddemi"/>
        <w:spacing w:after="60"/>
        <w:rPr>
          <w:rFonts w:ascii="Garamond" w:hAnsi="Garamond"/>
        </w:rPr>
      </w:pPr>
      <w:r w:rsidRPr="003A3B24">
        <w:rPr>
          <w:rFonts w:ascii="Garamond" w:hAnsi="Garamond"/>
        </w:rPr>
        <w:t>FROTO 2024-2025 financials are treated carefully because the statements are presented under IAS29/TAS29 in constant purchasing power terms.</w:t>
      </w:r>
    </w:p>
    <w:p w14:paraId="2679878E" w14:textId="77777777" w:rsidR="004A5557" w:rsidRPr="003A3B24" w:rsidRDefault="00000000">
      <w:pPr>
        <w:pStyle w:val="ListeMaddemi"/>
        <w:spacing w:after="60"/>
        <w:rPr>
          <w:rFonts w:ascii="Garamond" w:hAnsi="Garamond"/>
        </w:rPr>
      </w:pPr>
      <w:r w:rsidRPr="003A3B24">
        <w:rPr>
          <w:rFonts w:ascii="Garamond" w:hAnsi="Garamond"/>
        </w:rPr>
        <w:t>Peer EV/EBITDA is preferred over P/E because peer earnings are affected by financing cost, deferred tax, inflation accounting effects</w:t>
      </w:r>
      <w:r w:rsidR="003A3B24">
        <w:rPr>
          <w:rFonts w:ascii="Garamond" w:hAnsi="Garamond"/>
        </w:rPr>
        <w:t>,</w:t>
      </w:r>
      <w:r w:rsidRPr="003A3B24">
        <w:rPr>
          <w:rFonts w:ascii="Garamond" w:hAnsi="Garamond"/>
        </w:rPr>
        <w:t xml:space="preserve"> and cyclical earnings distortion.</w:t>
      </w:r>
    </w:p>
    <w:p w14:paraId="1F522456" w14:textId="77777777" w:rsidR="004A5557" w:rsidRPr="003A3B24" w:rsidRDefault="00000000">
      <w:pPr>
        <w:pStyle w:val="ListeMaddemi"/>
        <w:spacing w:after="60"/>
        <w:rPr>
          <w:rFonts w:ascii="Garamond" w:hAnsi="Garamond"/>
        </w:rPr>
      </w:pPr>
      <w:r w:rsidRPr="003A3B24">
        <w:rPr>
          <w:rFonts w:ascii="Garamond" w:hAnsi="Garamond"/>
        </w:rPr>
        <w:t xml:space="preserve">This memo intentionally avoids copying </w:t>
      </w:r>
      <w:r w:rsidR="003A3B24">
        <w:rPr>
          <w:rFonts w:ascii="Garamond" w:hAnsi="Garamond"/>
        </w:rPr>
        <w:t xml:space="preserve">the </w:t>
      </w:r>
      <w:r w:rsidRPr="003A3B24">
        <w:rPr>
          <w:rFonts w:ascii="Garamond" w:hAnsi="Garamond"/>
        </w:rPr>
        <w:t>sell-side target price methodology. Şeker Invest is used only as a sanity check and methodological comparison point.</w:t>
      </w:r>
    </w:p>
    <w:p w14:paraId="2D48B13D" w14:textId="77777777" w:rsidR="004A5557" w:rsidRPr="003A3B24" w:rsidRDefault="00000000">
      <w:pPr>
        <w:spacing w:after="100" w:line="252" w:lineRule="auto"/>
        <w:rPr>
          <w:rFonts w:ascii="Garamond" w:hAnsi="Garamond"/>
        </w:rPr>
      </w:pPr>
      <w:r w:rsidRPr="003A3B24">
        <w:rPr>
          <w:rFonts w:ascii="Garamond" w:hAnsi="Garamond"/>
        </w:rPr>
        <w:t>Main sources used: Ford Otosan 2025 Annual Report; Ford Otosan 1Q26 Earnings Release and Interim Report; Şeker Invest 1Q26 Earnings Update; OSD March 2026 Automotive Industry Monthly Report; TCMB Inflation Report 2026-II; peer company annual reports, financial statements</w:t>
      </w:r>
      <w:r w:rsidR="003A3B24">
        <w:rPr>
          <w:rFonts w:ascii="Garamond" w:hAnsi="Garamond"/>
        </w:rPr>
        <w:t>,</w:t>
      </w:r>
      <w:r w:rsidRPr="003A3B24">
        <w:rPr>
          <w:rFonts w:ascii="Garamond" w:hAnsi="Garamond"/>
        </w:rPr>
        <w:t xml:space="preserve"> and investor presentations.</w:t>
      </w:r>
    </w:p>
    <w:sectPr w:rsidR="004A5557" w:rsidRPr="003A3B24" w:rsidSect="001C74EA">
      <w:type w:val="continuous"/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94F6E" w14:textId="77777777" w:rsidR="008441BE" w:rsidRDefault="008441BE">
      <w:pPr>
        <w:spacing w:after="0" w:line="240" w:lineRule="auto"/>
      </w:pPr>
      <w:r>
        <w:separator/>
      </w:r>
    </w:p>
  </w:endnote>
  <w:endnote w:type="continuationSeparator" w:id="0">
    <w:p w14:paraId="04B7617B" w14:textId="77777777" w:rsidR="008441BE" w:rsidRDefault="00844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ayfaNumaras"/>
      </w:rPr>
      <w:id w:val="-1356649748"/>
      <w:docPartObj>
        <w:docPartGallery w:val="Page Numbers (Bottom of Page)"/>
        <w:docPartUnique/>
      </w:docPartObj>
    </w:sdtPr>
    <w:sdtContent>
      <w:p w14:paraId="0F289769" w14:textId="77777777" w:rsidR="004A235A" w:rsidRDefault="004A235A" w:rsidP="006345E6">
        <w:pPr>
          <w:pStyle w:val="AltBilgi"/>
          <w:framePr w:wrap="none" w:vAnchor="text" w:hAnchor="margin" w:xAlign="right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>
          <w:rPr>
            <w:rStyle w:val="SayfaNumaras"/>
          </w:rPr>
          <w:fldChar w:fldCharType="end"/>
        </w:r>
      </w:p>
    </w:sdtContent>
  </w:sdt>
  <w:p w14:paraId="23453E09" w14:textId="77777777" w:rsidR="004A235A" w:rsidRDefault="004A235A" w:rsidP="004A235A">
    <w:pPr>
      <w:pStyle w:val="AltBilgi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ayfaNumaras"/>
        <w:rFonts w:ascii="Garamond" w:hAnsi="Garamond"/>
      </w:rPr>
      <w:id w:val="-869295011"/>
      <w:docPartObj>
        <w:docPartGallery w:val="Page Numbers (Bottom of Page)"/>
        <w:docPartUnique/>
      </w:docPartObj>
    </w:sdtPr>
    <w:sdtContent>
      <w:p w14:paraId="18BF0916" w14:textId="77777777" w:rsidR="004A235A" w:rsidRPr="004A235A" w:rsidRDefault="004A235A" w:rsidP="006345E6">
        <w:pPr>
          <w:pStyle w:val="AltBilgi"/>
          <w:framePr w:wrap="none" w:vAnchor="text" w:hAnchor="margin" w:xAlign="right" w:y="1"/>
          <w:rPr>
            <w:rStyle w:val="SayfaNumaras"/>
            <w:rFonts w:ascii="Garamond" w:hAnsi="Garamond"/>
          </w:rPr>
        </w:pPr>
        <w:r w:rsidRPr="004A235A">
          <w:rPr>
            <w:rStyle w:val="SayfaNumaras"/>
            <w:rFonts w:ascii="Garamond" w:hAnsi="Garamond"/>
          </w:rPr>
          <w:fldChar w:fldCharType="begin"/>
        </w:r>
        <w:r w:rsidRPr="004A235A">
          <w:rPr>
            <w:rStyle w:val="SayfaNumaras"/>
            <w:rFonts w:ascii="Garamond" w:hAnsi="Garamond"/>
          </w:rPr>
          <w:instrText xml:space="preserve"> PAGE </w:instrText>
        </w:r>
        <w:r w:rsidRPr="004A235A">
          <w:rPr>
            <w:rStyle w:val="SayfaNumaras"/>
            <w:rFonts w:ascii="Garamond" w:hAnsi="Garamond"/>
          </w:rPr>
          <w:fldChar w:fldCharType="separate"/>
        </w:r>
        <w:r w:rsidRPr="004A235A">
          <w:rPr>
            <w:rStyle w:val="SayfaNumaras"/>
            <w:rFonts w:ascii="Garamond" w:hAnsi="Garamond"/>
            <w:noProof/>
          </w:rPr>
          <w:t>7</w:t>
        </w:r>
        <w:r w:rsidRPr="004A235A">
          <w:rPr>
            <w:rStyle w:val="SayfaNumaras"/>
            <w:rFonts w:ascii="Garamond" w:hAnsi="Garamond"/>
          </w:rPr>
          <w:fldChar w:fldCharType="end"/>
        </w:r>
      </w:p>
    </w:sdtContent>
  </w:sdt>
  <w:p w14:paraId="73CC46A3" w14:textId="77777777" w:rsidR="004A5557" w:rsidRPr="004A235A" w:rsidRDefault="00000000" w:rsidP="004A235A">
    <w:pPr>
      <w:pStyle w:val="AltBilgi"/>
      <w:ind w:right="360"/>
      <w:jc w:val="center"/>
      <w:rPr>
        <w:rFonts w:ascii="Garamond" w:hAnsi="Garamond"/>
      </w:rPr>
    </w:pPr>
    <w:r w:rsidRPr="004A235A">
      <w:rPr>
        <w:rFonts w:ascii="Garamond" w:hAnsi="Garamond"/>
        <w:color w:val="646464"/>
        <w:sz w:val="16"/>
      </w:rPr>
      <w:t>Prepared as a public-company valuation case study. Not investment advice.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5A297" w14:textId="77777777" w:rsidR="008441BE" w:rsidRDefault="008441BE">
      <w:pPr>
        <w:spacing w:after="0" w:line="240" w:lineRule="auto"/>
      </w:pPr>
      <w:r>
        <w:separator/>
      </w:r>
    </w:p>
  </w:footnote>
  <w:footnote w:type="continuationSeparator" w:id="0">
    <w:p w14:paraId="166944AB" w14:textId="77777777" w:rsidR="008441BE" w:rsidRDefault="008441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C9DD1" w14:textId="77777777" w:rsidR="004A235A" w:rsidRPr="00CB2CDC" w:rsidRDefault="00000000" w:rsidP="004A235A">
    <w:pPr>
      <w:pStyle w:val="stBilgi"/>
      <w:jc w:val="right"/>
      <w:rPr>
        <w:rFonts w:ascii="Garamond" w:hAnsi="Garamond"/>
        <w:color w:val="646464"/>
        <w:sz w:val="16"/>
      </w:rPr>
    </w:pPr>
    <w:r w:rsidRPr="00CB2CDC">
      <w:rPr>
        <w:rFonts w:ascii="Garamond" w:hAnsi="Garamond"/>
        <w:color w:val="646464"/>
        <w:sz w:val="16"/>
      </w:rPr>
      <w:t>Ford Otosan Valuation Case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1791276">
    <w:abstractNumId w:val="8"/>
  </w:num>
  <w:num w:numId="2" w16cid:durableId="1101875625">
    <w:abstractNumId w:val="6"/>
  </w:num>
  <w:num w:numId="3" w16cid:durableId="829449197">
    <w:abstractNumId w:val="5"/>
  </w:num>
  <w:num w:numId="4" w16cid:durableId="1683049247">
    <w:abstractNumId w:val="4"/>
  </w:num>
  <w:num w:numId="5" w16cid:durableId="265119668">
    <w:abstractNumId w:val="7"/>
  </w:num>
  <w:num w:numId="6" w16cid:durableId="1899171780">
    <w:abstractNumId w:val="3"/>
  </w:num>
  <w:num w:numId="7" w16cid:durableId="945229968">
    <w:abstractNumId w:val="2"/>
  </w:num>
  <w:num w:numId="8" w16cid:durableId="1597010768">
    <w:abstractNumId w:val="1"/>
  </w:num>
  <w:num w:numId="9" w16cid:durableId="1769958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067"/>
    <w:rsid w:val="00034616"/>
    <w:rsid w:val="0006063C"/>
    <w:rsid w:val="00075B9F"/>
    <w:rsid w:val="0008289F"/>
    <w:rsid w:val="0015074B"/>
    <w:rsid w:val="001C74EA"/>
    <w:rsid w:val="0029639D"/>
    <w:rsid w:val="00326F90"/>
    <w:rsid w:val="00374ABB"/>
    <w:rsid w:val="003A3B24"/>
    <w:rsid w:val="004A235A"/>
    <w:rsid w:val="004A5557"/>
    <w:rsid w:val="006F540D"/>
    <w:rsid w:val="008441BE"/>
    <w:rsid w:val="008659D0"/>
    <w:rsid w:val="00A23299"/>
    <w:rsid w:val="00AA1D8D"/>
    <w:rsid w:val="00AD6C10"/>
    <w:rsid w:val="00B47730"/>
    <w:rsid w:val="00BC0B0F"/>
    <w:rsid w:val="00CB0664"/>
    <w:rsid w:val="00CB2CDC"/>
    <w:rsid w:val="00CF0D93"/>
    <w:rsid w:val="00D036D5"/>
    <w:rsid w:val="00F14B91"/>
    <w:rsid w:val="00F77A98"/>
    <w:rsid w:val="00F926AE"/>
    <w:rsid w:val="00FC693F"/>
    <w:rsid w:val="00FC6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262C35"/>
  <w14:defaultImageDpi w14:val="300"/>
  <w15:docId w15:val="{A77387F9-2079-274C-BCA3-CE39F53E5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0"/>
    </w:rPr>
  </w:style>
  <w:style w:type="paragraph" w:styleId="Balk1">
    <w:name w:val="heading 1"/>
    <w:basedOn w:val="Normal"/>
    <w:next w:val="Normal"/>
    <w:link w:val="Balk1Char"/>
    <w:uiPriority w:val="9"/>
    <w:qFormat/>
    <w:rsid w:val="003A3B2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4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355B"/>
      <w:sz w:val="28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2355B"/>
      <w:sz w:val="22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3A3B24"/>
    <w:rPr>
      <w:rFonts w:asciiTheme="majorHAnsi" w:eastAsiaTheme="majorEastAsia" w:hAnsiTheme="majorHAnsi" w:cstheme="majorBidi"/>
      <w:b/>
      <w:bCs/>
      <w:color w:val="000000" w:themeColor="text1"/>
      <w:sz w:val="24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ayfaNumaras">
    <w:name w:val="page number"/>
    <w:basedOn w:val="VarsaylanParagrafYazTipi"/>
    <w:uiPriority w:val="99"/>
    <w:semiHidden/>
    <w:unhideWhenUsed/>
    <w:rsid w:val="004A23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b7fce66-bf2d-46b5-b59a-9f0018501bcd}" enabled="1" method="Standard" siteId="{f8a213d2-8f6c-400d-9e74-4e8b475316c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1866</Words>
  <Characters>10043</Characters>
  <Application>Microsoft Office Word</Application>
  <DocSecurity>0</DocSecurity>
  <Lines>278</Lines>
  <Paragraphs>120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Enes Sari</cp:lastModifiedBy>
  <cp:revision>7</cp:revision>
  <dcterms:created xsi:type="dcterms:W3CDTF">2026-05-18T11:18:00Z</dcterms:created>
  <dcterms:modified xsi:type="dcterms:W3CDTF">2026-05-18T13:30:00Z</dcterms:modified>
  <cp:category/>
</cp:coreProperties>
</file>