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F48AD" w14:textId="77777777" w:rsidR="003E6E16" w:rsidRPr="00B971D6" w:rsidRDefault="00000000">
      <w:pPr>
        <w:jc w:val="center"/>
        <w:rPr>
          <w:sz w:val="32"/>
          <w:szCs w:val="32"/>
        </w:rPr>
      </w:pPr>
      <w:r w:rsidRPr="00B971D6">
        <w:rPr>
          <w:b/>
          <w:sz w:val="32"/>
          <w:szCs w:val="32"/>
        </w:rPr>
        <w:t>Credit Risk Analytics Mini-Model</w:t>
      </w:r>
    </w:p>
    <w:p w14:paraId="2703FDD3" w14:textId="77777777" w:rsidR="003E6E16" w:rsidRDefault="00000000">
      <w:pPr>
        <w:jc w:val="center"/>
      </w:pPr>
      <w:r>
        <w:rPr>
          <w:b/>
          <w:sz w:val="26"/>
        </w:rPr>
        <w:t>PD Estimation, Model Validation, IFRS 9-style ECL and Turkey Macro-Sector Overlay</w:t>
      </w:r>
    </w:p>
    <w:p w14:paraId="5F2D4D8F" w14:textId="77777777" w:rsidR="003E6E16" w:rsidRDefault="00000000">
      <w:pPr>
        <w:jc w:val="center"/>
      </w:pPr>
      <w:r>
        <w:rPr>
          <w:i/>
          <w:sz w:val="22"/>
        </w:rPr>
        <w:t>Credit Risk Analytics / Risk Methodologies Portfolio Case</w:t>
      </w:r>
    </w:p>
    <w:p w14:paraId="680552D8" w14:textId="77777777" w:rsidR="003E6E16" w:rsidRDefault="00000000">
      <w:pPr>
        <w:jc w:val="center"/>
      </w:pPr>
      <w:r>
        <w:rPr>
          <w:sz w:val="22"/>
        </w:rPr>
        <w:t>Enes Sarı</w:t>
      </w:r>
    </w:p>
    <w:p w14:paraId="2F4817E3" w14:textId="77777777" w:rsidR="003E6E16" w:rsidRPr="00B971D6" w:rsidRDefault="00000000">
      <w:pPr>
        <w:jc w:val="center"/>
        <w:rPr>
          <w:szCs w:val="20"/>
        </w:rPr>
      </w:pPr>
      <w:r w:rsidRPr="00B971D6">
        <w:rPr>
          <w:szCs w:val="20"/>
        </w:rPr>
        <w:t>Data through: 8 May 2026 | Final revision date: 19 May 2026</w:t>
      </w:r>
    </w:p>
    <w:tbl>
      <w:tblPr>
        <w:tblW w:w="5000" w:type="pct"/>
        <w:jc w:val="center"/>
        <w:tblLook w:val="04A0" w:firstRow="1" w:lastRow="0" w:firstColumn="1" w:lastColumn="0" w:noHBand="0" w:noVBand="1"/>
      </w:tblPr>
      <w:tblGrid>
        <w:gridCol w:w="3565"/>
        <w:gridCol w:w="2036"/>
        <w:gridCol w:w="4609"/>
      </w:tblGrid>
      <w:tr w:rsidR="003E6E16" w:rsidRPr="00B971D6" w14:paraId="0161246A"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7BC93D1F" w14:textId="77777777" w:rsidR="003E6E16" w:rsidRPr="00B971D6" w:rsidRDefault="00000000">
            <w:pPr>
              <w:spacing w:after="0"/>
              <w:rPr>
                <w:sz w:val="17"/>
                <w:szCs w:val="17"/>
              </w:rPr>
            </w:pPr>
            <w:r w:rsidRPr="00B971D6">
              <w:rPr>
                <w:b/>
                <w:sz w:val="17"/>
                <w:szCs w:val="17"/>
              </w:rPr>
              <w:t>Metric</w:t>
            </w:r>
          </w:p>
        </w:tc>
        <w:tc>
          <w:tcPr>
            <w:tcW w:w="997"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723AD069" w14:textId="77777777" w:rsidR="003E6E16" w:rsidRPr="00B971D6" w:rsidRDefault="00000000">
            <w:pPr>
              <w:spacing w:after="0"/>
              <w:rPr>
                <w:sz w:val="17"/>
                <w:szCs w:val="17"/>
              </w:rPr>
            </w:pPr>
            <w:r w:rsidRPr="00B971D6">
              <w:rPr>
                <w:b/>
                <w:sz w:val="17"/>
                <w:szCs w:val="17"/>
              </w:rPr>
              <w:t>Latest reading</w:t>
            </w:r>
          </w:p>
        </w:tc>
        <w:tc>
          <w:tcPr>
            <w:tcW w:w="2257"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555A399D" w14:textId="77777777" w:rsidR="003E6E16" w:rsidRPr="00B971D6" w:rsidRDefault="00000000">
            <w:pPr>
              <w:spacing w:after="0"/>
              <w:rPr>
                <w:sz w:val="17"/>
                <w:szCs w:val="17"/>
              </w:rPr>
            </w:pPr>
            <w:r w:rsidRPr="00B971D6">
              <w:rPr>
                <w:b/>
                <w:sz w:val="17"/>
                <w:szCs w:val="17"/>
              </w:rPr>
              <w:t>Interpretation</w:t>
            </w:r>
          </w:p>
        </w:tc>
      </w:tr>
      <w:tr w:rsidR="003E6E16" w:rsidRPr="00B971D6" w14:paraId="0400BC59"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vAlign w:val="center"/>
          </w:tcPr>
          <w:p w14:paraId="06BEAAF6" w14:textId="77777777" w:rsidR="003E6E16" w:rsidRPr="00B971D6" w:rsidRDefault="00000000">
            <w:pPr>
              <w:spacing w:after="0"/>
              <w:rPr>
                <w:sz w:val="17"/>
                <w:szCs w:val="17"/>
              </w:rPr>
            </w:pPr>
            <w:r w:rsidRPr="00B971D6">
              <w:rPr>
                <w:sz w:val="17"/>
                <w:szCs w:val="17"/>
              </w:rPr>
              <w:t>Clean modeling observations</w:t>
            </w:r>
          </w:p>
        </w:tc>
        <w:tc>
          <w:tcPr>
            <w:tcW w:w="997" w:type="pct"/>
            <w:tcBorders>
              <w:top w:val="single" w:sz="2" w:space="0" w:color="D9D9D9"/>
              <w:left w:val="single" w:sz="2" w:space="0" w:color="D9D9D9"/>
              <w:bottom w:val="single" w:sz="2" w:space="0" w:color="D9D9D9"/>
              <w:right w:val="single" w:sz="2" w:space="0" w:color="D9D9D9"/>
            </w:tcBorders>
            <w:vAlign w:val="center"/>
          </w:tcPr>
          <w:p w14:paraId="5BB1588A" w14:textId="77777777" w:rsidR="003E6E16" w:rsidRPr="00B971D6" w:rsidRDefault="00000000">
            <w:pPr>
              <w:spacing w:after="0"/>
              <w:rPr>
                <w:sz w:val="17"/>
                <w:szCs w:val="17"/>
              </w:rPr>
            </w:pPr>
            <w:r w:rsidRPr="00B971D6">
              <w:rPr>
                <w:sz w:val="17"/>
                <w:szCs w:val="17"/>
              </w:rPr>
              <w:t>1,369,164</w:t>
            </w:r>
          </w:p>
        </w:tc>
        <w:tc>
          <w:tcPr>
            <w:tcW w:w="2257" w:type="pct"/>
            <w:tcBorders>
              <w:top w:val="single" w:sz="2" w:space="0" w:color="D9D9D9"/>
              <w:left w:val="single" w:sz="2" w:space="0" w:color="D9D9D9"/>
              <w:bottom w:val="single" w:sz="2" w:space="0" w:color="D9D9D9"/>
              <w:right w:val="single" w:sz="2" w:space="0" w:color="D9D9D9"/>
            </w:tcBorders>
            <w:vAlign w:val="center"/>
          </w:tcPr>
          <w:p w14:paraId="3D9E7BD0" w14:textId="77777777" w:rsidR="003E6E16" w:rsidRPr="00B971D6" w:rsidRDefault="00000000">
            <w:pPr>
              <w:spacing w:after="0"/>
              <w:rPr>
                <w:sz w:val="17"/>
                <w:szCs w:val="17"/>
              </w:rPr>
            </w:pPr>
            <w:r w:rsidRPr="00B971D6">
              <w:rPr>
                <w:sz w:val="17"/>
                <w:szCs w:val="17"/>
              </w:rPr>
              <w:t>Resolved LendingClub modeling sample</w:t>
            </w:r>
          </w:p>
        </w:tc>
      </w:tr>
      <w:tr w:rsidR="003E6E16" w:rsidRPr="00B971D6" w14:paraId="547634E6"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vAlign w:val="center"/>
          </w:tcPr>
          <w:p w14:paraId="2B465762" w14:textId="77777777" w:rsidR="003E6E16" w:rsidRPr="00B971D6" w:rsidRDefault="00000000">
            <w:pPr>
              <w:spacing w:after="0"/>
              <w:rPr>
                <w:sz w:val="17"/>
                <w:szCs w:val="17"/>
              </w:rPr>
            </w:pPr>
            <w:r w:rsidRPr="00B971D6">
              <w:rPr>
                <w:sz w:val="17"/>
                <w:szCs w:val="17"/>
              </w:rPr>
              <w:t>Observed default rate</w:t>
            </w:r>
          </w:p>
        </w:tc>
        <w:tc>
          <w:tcPr>
            <w:tcW w:w="997" w:type="pct"/>
            <w:tcBorders>
              <w:top w:val="single" w:sz="2" w:space="0" w:color="D9D9D9"/>
              <w:left w:val="single" w:sz="2" w:space="0" w:color="D9D9D9"/>
              <w:bottom w:val="single" w:sz="2" w:space="0" w:color="D9D9D9"/>
              <w:right w:val="single" w:sz="2" w:space="0" w:color="D9D9D9"/>
            </w:tcBorders>
            <w:vAlign w:val="center"/>
          </w:tcPr>
          <w:p w14:paraId="44931528" w14:textId="77777777" w:rsidR="003E6E16" w:rsidRPr="00B971D6" w:rsidRDefault="00000000">
            <w:pPr>
              <w:spacing w:after="0"/>
              <w:rPr>
                <w:sz w:val="17"/>
                <w:szCs w:val="17"/>
              </w:rPr>
            </w:pPr>
            <w:r w:rsidRPr="00B971D6">
              <w:rPr>
                <w:sz w:val="17"/>
                <w:szCs w:val="17"/>
              </w:rPr>
              <w:t>21.23%</w:t>
            </w:r>
          </w:p>
        </w:tc>
        <w:tc>
          <w:tcPr>
            <w:tcW w:w="2257" w:type="pct"/>
            <w:tcBorders>
              <w:top w:val="single" w:sz="2" w:space="0" w:color="D9D9D9"/>
              <w:left w:val="single" w:sz="2" w:space="0" w:color="D9D9D9"/>
              <w:bottom w:val="single" w:sz="2" w:space="0" w:color="D9D9D9"/>
              <w:right w:val="single" w:sz="2" w:space="0" w:color="D9D9D9"/>
            </w:tcBorders>
            <w:vAlign w:val="center"/>
          </w:tcPr>
          <w:p w14:paraId="599F6F1B" w14:textId="77777777" w:rsidR="003E6E16" w:rsidRPr="00B971D6" w:rsidRDefault="00000000">
            <w:pPr>
              <w:spacing w:after="0"/>
              <w:rPr>
                <w:sz w:val="17"/>
                <w:szCs w:val="17"/>
              </w:rPr>
            </w:pPr>
            <w:r w:rsidRPr="00B971D6">
              <w:rPr>
                <w:sz w:val="17"/>
                <w:szCs w:val="17"/>
              </w:rPr>
              <w:t>Bad-rate base for PD modeling</w:t>
            </w:r>
          </w:p>
        </w:tc>
      </w:tr>
      <w:tr w:rsidR="003E6E16" w:rsidRPr="00B971D6" w14:paraId="51F947C5"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vAlign w:val="center"/>
          </w:tcPr>
          <w:p w14:paraId="55D85071" w14:textId="77777777" w:rsidR="003E6E16" w:rsidRPr="00B971D6" w:rsidRDefault="00000000">
            <w:pPr>
              <w:spacing w:after="0"/>
              <w:rPr>
                <w:sz w:val="17"/>
                <w:szCs w:val="17"/>
              </w:rPr>
            </w:pPr>
            <w:r w:rsidRPr="00B971D6">
              <w:rPr>
                <w:sz w:val="17"/>
                <w:szCs w:val="17"/>
              </w:rPr>
              <w:t>Logistic Regression test AUC</w:t>
            </w:r>
          </w:p>
        </w:tc>
        <w:tc>
          <w:tcPr>
            <w:tcW w:w="997" w:type="pct"/>
            <w:tcBorders>
              <w:top w:val="single" w:sz="2" w:space="0" w:color="D9D9D9"/>
              <w:left w:val="single" w:sz="2" w:space="0" w:color="D9D9D9"/>
              <w:bottom w:val="single" w:sz="2" w:space="0" w:color="D9D9D9"/>
              <w:right w:val="single" w:sz="2" w:space="0" w:color="D9D9D9"/>
            </w:tcBorders>
            <w:vAlign w:val="center"/>
          </w:tcPr>
          <w:p w14:paraId="6692E6AD" w14:textId="77777777" w:rsidR="003E6E16" w:rsidRPr="00B971D6" w:rsidRDefault="00000000">
            <w:pPr>
              <w:spacing w:after="0"/>
              <w:rPr>
                <w:sz w:val="17"/>
                <w:szCs w:val="17"/>
              </w:rPr>
            </w:pPr>
            <w:r w:rsidRPr="00B971D6">
              <w:rPr>
                <w:sz w:val="17"/>
                <w:szCs w:val="17"/>
              </w:rPr>
              <w:t>0.709</w:t>
            </w:r>
          </w:p>
        </w:tc>
        <w:tc>
          <w:tcPr>
            <w:tcW w:w="2257" w:type="pct"/>
            <w:tcBorders>
              <w:top w:val="single" w:sz="2" w:space="0" w:color="D9D9D9"/>
              <w:left w:val="single" w:sz="2" w:space="0" w:color="D9D9D9"/>
              <w:bottom w:val="single" w:sz="2" w:space="0" w:color="D9D9D9"/>
              <w:right w:val="single" w:sz="2" w:space="0" w:color="D9D9D9"/>
            </w:tcBorders>
            <w:vAlign w:val="center"/>
          </w:tcPr>
          <w:p w14:paraId="2CA85CB5" w14:textId="77777777" w:rsidR="003E6E16" w:rsidRPr="00B971D6" w:rsidRDefault="00000000">
            <w:pPr>
              <w:spacing w:after="0"/>
              <w:rPr>
                <w:sz w:val="17"/>
                <w:szCs w:val="17"/>
              </w:rPr>
            </w:pPr>
            <w:r w:rsidRPr="00B971D6">
              <w:rPr>
                <w:sz w:val="17"/>
                <w:szCs w:val="17"/>
              </w:rPr>
              <w:t>Primary interpretable PD model</w:t>
            </w:r>
          </w:p>
        </w:tc>
      </w:tr>
      <w:tr w:rsidR="003E6E16" w:rsidRPr="00B971D6" w14:paraId="55C192EE"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vAlign w:val="center"/>
          </w:tcPr>
          <w:p w14:paraId="63433D5C" w14:textId="77777777" w:rsidR="003E6E16" w:rsidRPr="00B971D6" w:rsidRDefault="00000000">
            <w:pPr>
              <w:spacing w:after="0"/>
              <w:rPr>
                <w:sz w:val="17"/>
                <w:szCs w:val="17"/>
              </w:rPr>
            </w:pPr>
            <w:r w:rsidRPr="00B971D6">
              <w:rPr>
                <w:sz w:val="17"/>
                <w:szCs w:val="17"/>
              </w:rPr>
              <w:t>XGBoost challenger test AUC</w:t>
            </w:r>
          </w:p>
        </w:tc>
        <w:tc>
          <w:tcPr>
            <w:tcW w:w="997" w:type="pct"/>
            <w:tcBorders>
              <w:top w:val="single" w:sz="2" w:space="0" w:color="D9D9D9"/>
              <w:left w:val="single" w:sz="2" w:space="0" w:color="D9D9D9"/>
              <w:bottom w:val="single" w:sz="2" w:space="0" w:color="D9D9D9"/>
              <w:right w:val="single" w:sz="2" w:space="0" w:color="D9D9D9"/>
            </w:tcBorders>
            <w:vAlign w:val="center"/>
          </w:tcPr>
          <w:p w14:paraId="2595E8BC" w14:textId="77777777" w:rsidR="003E6E16" w:rsidRPr="00B971D6" w:rsidRDefault="00000000">
            <w:pPr>
              <w:spacing w:after="0"/>
              <w:rPr>
                <w:sz w:val="17"/>
                <w:szCs w:val="17"/>
              </w:rPr>
            </w:pPr>
            <w:r w:rsidRPr="00B971D6">
              <w:rPr>
                <w:sz w:val="17"/>
                <w:szCs w:val="17"/>
              </w:rPr>
              <w:t>0.718</w:t>
            </w:r>
          </w:p>
        </w:tc>
        <w:tc>
          <w:tcPr>
            <w:tcW w:w="2257" w:type="pct"/>
            <w:tcBorders>
              <w:top w:val="single" w:sz="2" w:space="0" w:color="D9D9D9"/>
              <w:left w:val="single" w:sz="2" w:space="0" w:color="D9D9D9"/>
              <w:bottom w:val="single" w:sz="2" w:space="0" w:color="D9D9D9"/>
              <w:right w:val="single" w:sz="2" w:space="0" w:color="D9D9D9"/>
            </w:tcBorders>
            <w:vAlign w:val="center"/>
          </w:tcPr>
          <w:p w14:paraId="030E46DF" w14:textId="77777777" w:rsidR="003E6E16" w:rsidRPr="00B971D6" w:rsidRDefault="00000000">
            <w:pPr>
              <w:spacing w:after="0"/>
              <w:rPr>
                <w:sz w:val="17"/>
                <w:szCs w:val="17"/>
              </w:rPr>
            </w:pPr>
            <w:r w:rsidRPr="00B971D6">
              <w:rPr>
                <w:sz w:val="17"/>
                <w:szCs w:val="17"/>
              </w:rPr>
              <w:t>Non-linear benchmark</w:t>
            </w:r>
          </w:p>
        </w:tc>
      </w:tr>
      <w:tr w:rsidR="003E6E16" w:rsidRPr="00B971D6" w14:paraId="0177A1EC"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vAlign w:val="center"/>
          </w:tcPr>
          <w:p w14:paraId="7E2E9DF5" w14:textId="77777777" w:rsidR="003E6E16" w:rsidRPr="00B971D6" w:rsidRDefault="00000000">
            <w:pPr>
              <w:spacing w:after="0"/>
              <w:rPr>
                <w:sz w:val="17"/>
                <w:szCs w:val="17"/>
              </w:rPr>
            </w:pPr>
            <w:r w:rsidRPr="00B971D6">
              <w:rPr>
                <w:sz w:val="17"/>
                <w:szCs w:val="17"/>
              </w:rPr>
              <w:t xml:space="preserve">Very </w:t>
            </w:r>
            <w:proofErr w:type="gramStart"/>
            <w:r w:rsidRPr="00B971D6">
              <w:rPr>
                <w:sz w:val="17"/>
                <w:szCs w:val="17"/>
              </w:rPr>
              <w:t>High Risk</w:t>
            </w:r>
            <w:proofErr w:type="gramEnd"/>
            <w:r w:rsidRPr="00B971D6">
              <w:rPr>
                <w:sz w:val="17"/>
                <w:szCs w:val="17"/>
              </w:rPr>
              <w:t xml:space="preserve"> default rate</w:t>
            </w:r>
          </w:p>
        </w:tc>
        <w:tc>
          <w:tcPr>
            <w:tcW w:w="997" w:type="pct"/>
            <w:tcBorders>
              <w:top w:val="single" w:sz="2" w:space="0" w:color="D9D9D9"/>
              <w:left w:val="single" w:sz="2" w:space="0" w:color="D9D9D9"/>
              <w:bottom w:val="single" w:sz="2" w:space="0" w:color="D9D9D9"/>
              <w:right w:val="single" w:sz="2" w:space="0" w:color="D9D9D9"/>
            </w:tcBorders>
            <w:vAlign w:val="center"/>
          </w:tcPr>
          <w:p w14:paraId="5D6ECD9E" w14:textId="77777777" w:rsidR="003E6E16" w:rsidRPr="00B971D6" w:rsidRDefault="00000000">
            <w:pPr>
              <w:spacing w:after="0"/>
              <w:rPr>
                <w:sz w:val="17"/>
                <w:szCs w:val="17"/>
              </w:rPr>
            </w:pPr>
            <w:r w:rsidRPr="00B971D6">
              <w:rPr>
                <w:sz w:val="17"/>
                <w:szCs w:val="17"/>
              </w:rPr>
              <w:t>38.86%</w:t>
            </w:r>
          </w:p>
        </w:tc>
        <w:tc>
          <w:tcPr>
            <w:tcW w:w="2257" w:type="pct"/>
            <w:tcBorders>
              <w:top w:val="single" w:sz="2" w:space="0" w:color="D9D9D9"/>
              <w:left w:val="single" w:sz="2" w:space="0" w:color="D9D9D9"/>
              <w:bottom w:val="single" w:sz="2" w:space="0" w:color="D9D9D9"/>
              <w:right w:val="single" w:sz="2" w:space="0" w:color="D9D9D9"/>
            </w:tcBorders>
            <w:vAlign w:val="center"/>
          </w:tcPr>
          <w:p w14:paraId="7ED30BC6" w14:textId="77777777" w:rsidR="003E6E16" w:rsidRPr="00B971D6" w:rsidRDefault="00000000">
            <w:pPr>
              <w:spacing w:after="0"/>
              <w:rPr>
                <w:sz w:val="17"/>
                <w:szCs w:val="17"/>
              </w:rPr>
            </w:pPr>
            <w:r w:rsidRPr="00B971D6">
              <w:rPr>
                <w:sz w:val="17"/>
                <w:szCs w:val="17"/>
              </w:rPr>
              <w:t>Risk-band separation signal</w:t>
            </w:r>
          </w:p>
        </w:tc>
      </w:tr>
      <w:tr w:rsidR="003E6E16" w:rsidRPr="00B971D6" w14:paraId="70920548"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vAlign w:val="center"/>
          </w:tcPr>
          <w:p w14:paraId="658B78EE" w14:textId="77777777" w:rsidR="003E6E16" w:rsidRPr="00B971D6" w:rsidRDefault="00000000">
            <w:pPr>
              <w:spacing w:after="0"/>
              <w:rPr>
                <w:sz w:val="17"/>
                <w:szCs w:val="17"/>
              </w:rPr>
            </w:pPr>
            <w:r w:rsidRPr="00B971D6">
              <w:rPr>
                <w:sz w:val="17"/>
                <w:szCs w:val="17"/>
              </w:rPr>
              <w:t>Very High Risk ECL share</w:t>
            </w:r>
          </w:p>
        </w:tc>
        <w:tc>
          <w:tcPr>
            <w:tcW w:w="997" w:type="pct"/>
            <w:tcBorders>
              <w:top w:val="single" w:sz="2" w:space="0" w:color="D9D9D9"/>
              <w:left w:val="single" w:sz="2" w:space="0" w:color="D9D9D9"/>
              <w:bottom w:val="single" w:sz="2" w:space="0" w:color="D9D9D9"/>
              <w:right w:val="single" w:sz="2" w:space="0" w:color="D9D9D9"/>
            </w:tcBorders>
            <w:vAlign w:val="center"/>
          </w:tcPr>
          <w:p w14:paraId="32AB2405" w14:textId="77777777" w:rsidR="003E6E16" w:rsidRPr="00B971D6" w:rsidRDefault="00000000">
            <w:pPr>
              <w:spacing w:after="0"/>
              <w:rPr>
                <w:sz w:val="17"/>
                <w:szCs w:val="17"/>
              </w:rPr>
            </w:pPr>
            <w:r w:rsidRPr="00B971D6">
              <w:rPr>
                <w:sz w:val="17"/>
                <w:szCs w:val="17"/>
              </w:rPr>
              <w:t>53.05%</w:t>
            </w:r>
          </w:p>
        </w:tc>
        <w:tc>
          <w:tcPr>
            <w:tcW w:w="2257" w:type="pct"/>
            <w:tcBorders>
              <w:top w:val="single" w:sz="2" w:space="0" w:color="D9D9D9"/>
              <w:left w:val="single" w:sz="2" w:space="0" w:color="D9D9D9"/>
              <w:bottom w:val="single" w:sz="2" w:space="0" w:color="D9D9D9"/>
              <w:right w:val="single" w:sz="2" w:space="0" w:color="D9D9D9"/>
            </w:tcBorders>
            <w:vAlign w:val="center"/>
          </w:tcPr>
          <w:p w14:paraId="6A91A5C9" w14:textId="77777777" w:rsidR="003E6E16" w:rsidRPr="00B971D6" w:rsidRDefault="00000000">
            <w:pPr>
              <w:spacing w:after="0"/>
              <w:rPr>
                <w:sz w:val="17"/>
                <w:szCs w:val="17"/>
              </w:rPr>
            </w:pPr>
            <w:r w:rsidRPr="00B971D6">
              <w:rPr>
                <w:sz w:val="17"/>
                <w:szCs w:val="17"/>
              </w:rPr>
              <w:t>Expected-loss concentration</w:t>
            </w:r>
          </w:p>
        </w:tc>
      </w:tr>
      <w:tr w:rsidR="003E6E16" w:rsidRPr="00B971D6" w14:paraId="7FFFA85B"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vAlign w:val="center"/>
          </w:tcPr>
          <w:p w14:paraId="2CE17F43" w14:textId="77777777" w:rsidR="003E6E16" w:rsidRPr="00B971D6" w:rsidRDefault="00000000">
            <w:pPr>
              <w:spacing w:after="0"/>
              <w:rPr>
                <w:sz w:val="17"/>
                <w:szCs w:val="17"/>
              </w:rPr>
            </w:pPr>
            <w:r w:rsidRPr="00B971D6">
              <w:rPr>
                <w:sz w:val="17"/>
                <w:szCs w:val="17"/>
              </w:rPr>
              <w:t>Base scenario ECL</w:t>
            </w:r>
          </w:p>
        </w:tc>
        <w:tc>
          <w:tcPr>
            <w:tcW w:w="997" w:type="pct"/>
            <w:tcBorders>
              <w:top w:val="single" w:sz="2" w:space="0" w:color="D9D9D9"/>
              <w:left w:val="single" w:sz="2" w:space="0" w:color="D9D9D9"/>
              <w:bottom w:val="single" w:sz="2" w:space="0" w:color="D9D9D9"/>
              <w:right w:val="single" w:sz="2" w:space="0" w:color="D9D9D9"/>
            </w:tcBorders>
            <w:vAlign w:val="center"/>
          </w:tcPr>
          <w:p w14:paraId="61DBFA97" w14:textId="77777777" w:rsidR="003E6E16" w:rsidRPr="00B971D6" w:rsidRDefault="00000000">
            <w:pPr>
              <w:spacing w:after="0"/>
              <w:rPr>
                <w:sz w:val="17"/>
                <w:szCs w:val="17"/>
              </w:rPr>
            </w:pPr>
            <w:r w:rsidRPr="00B971D6">
              <w:rPr>
                <w:sz w:val="17"/>
                <w:szCs w:val="17"/>
              </w:rPr>
              <w:t>USD 1.34bn</w:t>
            </w:r>
          </w:p>
        </w:tc>
        <w:tc>
          <w:tcPr>
            <w:tcW w:w="2257" w:type="pct"/>
            <w:tcBorders>
              <w:top w:val="single" w:sz="2" w:space="0" w:color="D9D9D9"/>
              <w:left w:val="single" w:sz="2" w:space="0" w:color="D9D9D9"/>
              <w:bottom w:val="single" w:sz="2" w:space="0" w:color="D9D9D9"/>
              <w:right w:val="single" w:sz="2" w:space="0" w:color="D9D9D9"/>
            </w:tcBorders>
            <w:vAlign w:val="center"/>
          </w:tcPr>
          <w:p w14:paraId="4F29571C" w14:textId="77777777" w:rsidR="003E6E16" w:rsidRPr="00B971D6" w:rsidRDefault="00000000">
            <w:pPr>
              <w:spacing w:after="0"/>
              <w:rPr>
                <w:sz w:val="17"/>
                <w:szCs w:val="17"/>
              </w:rPr>
            </w:pPr>
            <w:r w:rsidRPr="00B971D6">
              <w:rPr>
                <w:sz w:val="17"/>
                <w:szCs w:val="17"/>
              </w:rPr>
              <w:t>Illustrative ECL on test sample</w:t>
            </w:r>
          </w:p>
        </w:tc>
      </w:tr>
      <w:tr w:rsidR="003E6E16" w:rsidRPr="00B971D6" w14:paraId="1D6D01CB"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vAlign w:val="center"/>
          </w:tcPr>
          <w:p w14:paraId="0DEAAD70" w14:textId="77777777" w:rsidR="003E6E16" w:rsidRPr="00B971D6" w:rsidRDefault="00000000">
            <w:pPr>
              <w:spacing w:after="0"/>
              <w:rPr>
                <w:sz w:val="17"/>
                <w:szCs w:val="17"/>
              </w:rPr>
            </w:pPr>
            <w:r w:rsidRPr="00B971D6">
              <w:rPr>
                <w:sz w:val="17"/>
                <w:szCs w:val="17"/>
              </w:rPr>
              <w:t>Severe stress ECL increase</w:t>
            </w:r>
          </w:p>
        </w:tc>
        <w:tc>
          <w:tcPr>
            <w:tcW w:w="997" w:type="pct"/>
            <w:tcBorders>
              <w:top w:val="single" w:sz="2" w:space="0" w:color="D9D9D9"/>
              <w:left w:val="single" w:sz="2" w:space="0" w:color="D9D9D9"/>
              <w:bottom w:val="single" w:sz="2" w:space="0" w:color="D9D9D9"/>
              <w:right w:val="single" w:sz="2" w:space="0" w:color="D9D9D9"/>
            </w:tcBorders>
            <w:vAlign w:val="center"/>
          </w:tcPr>
          <w:p w14:paraId="7F0C5742" w14:textId="77777777" w:rsidR="003E6E16" w:rsidRPr="00B971D6" w:rsidRDefault="00000000">
            <w:pPr>
              <w:spacing w:after="0"/>
              <w:rPr>
                <w:sz w:val="17"/>
                <w:szCs w:val="17"/>
              </w:rPr>
            </w:pPr>
            <w:r w:rsidRPr="00B971D6">
              <w:rPr>
                <w:sz w:val="17"/>
                <w:szCs w:val="17"/>
              </w:rPr>
              <w:t>61.43%</w:t>
            </w:r>
          </w:p>
        </w:tc>
        <w:tc>
          <w:tcPr>
            <w:tcW w:w="2257" w:type="pct"/>
            <w:tcBorders>
              <w:top w:val="single" w:sz="2" w:space="0" w:color="D9D9D9"/>
              <w:left w:val="single" w:sz="2" w:space="0" w:color="D9D9D9"/>
              <w:bottom w:val="single" w:sz="2" w:space="0" w:color="D9D9D9"/>
              <w:right w:val="single" w:sz="2" w:space="0" w:color="D9D9D9"/>
            </w:tcBorders>
            <w:vAlign w:val="center"/>
          </w:tcPr>
          <w:p w14:paraId="177C7A50" w14:textId="77777777" w:rsidR="003E6E16" w:rsidRPr="00B971D6" w:rsidRDefault="00000000">
            <w:pPr>
              <w:spacing w:after="0"/>
              <w:rPr>
                <w:sz w:val="17"/>
                <w:szCs w:val="17"/>
              </w:rPr>
            </w:pPr>
            <w:r w:rsidRPr="00B971D6">
              <w:rPr>
                <w:sz w:val="17"/>
                <w:szCs w:val="17"/>
              </w:rPr>
              <w:t>Stress sensitivity</w:t>
            </w:r>
          </w:p>
        </w:tc>
      </w:tr>
      <w:tr w:rsidR="003E6E16" w:rsidRPr="00B971D6" w14:paraId="46535D8B"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vAlign w:val="center"/>
          </w:tcPr>
          <w:p w14:paraId="79EA7B18" w14:textId="77777777" w:rsidR="003E6E16" w:rsidRPr="00B971D6" w:rsidRDefault="00000000">
            <w:pPr>
              <w:spacing w:after="0"/>
              <w:rPr>
                <w:sz w:val="17"/>
                <w:szCs w:val="17"/>
              </w:rPr>
            </w:pPr>
            <w:r w:rsidRPr="00B971D6">
              <w:rPr>
                <w:sz w:val="17"/>
                <w:szCs w:val="17"/>
              </w:rPr>
              <w:t>PD score PSI</w:t>
            </w:r>
          </w:p>
        </w:tc>
        <w:tc>
          <w:tcPr>
            <w:tcW w:w="997" w:type="pct"/>
            <w:tcBorders>
              <w:top w:val="single" w:sz="2" w:space="0" w:color="D9D9D9"/>
              <w:left w:val="single" w:sz="2" w:space="0" w:color="D9D9D9"/>
              <w:bottom w:val="single" w:sz="2" w:space="0" w:color="D9D9D9"/>
              <w:right w:val="single" w:sz="2" w:space="0" w:color="D9D9D9"/>
            </w:tcBorders>
            <w:vAlign w:val="center"/>
          </w:tcPr>
          <w:p w14:paraId="33814A52" w14:textId="77777777" w:rsidR="003E6E16" w:rsidRPr="00B971D6" w:rsidRDefault="00000000">
            <w:pPr>
              <w:spacing w:after="0"/>
              <w:rPr>
                <w:sz w:val="17"/>
                <w:szCs w:val="17"/>
              </w:rPr>
            </w:pPr>
            <w:r w:rsidRPr="00B971D6">
              <w:rPr>
                <w:sz w:val="17"/>
                <w:szCs w:val="17"/>
              </w:rPr>
              <w:t>0.00002 (Stable)</w:t>
            </w:r>
          </w:p>
        </w:tc>
        <w:tc>
          <w:tcPr>
            <w:tcW w:w="2257" w:type="pct"/>
            <w:tcBorders>
              <w:top w:val="single" w:sz="2" w:space="0" w:color="D9D9D9"/>
              <w:left w:val="single" w:sz="2" w:space="0" w:color="D9D9D9"/>
              <w:bottom w:val="single" w:sz="2" w:space="0" w:color="D9D9D9"/>
              <w:right w:val="single" w:sz="2" w:space="0" w:color="D9D9D9"/>
            </w:tcBorders>
            <w:vAlign w:val="center"/>
          </w:tcPr>
          <w:p w14:paraId="020CF659" w14:textId="77777777" w:rsidR="003E6E16" w:rsidRPr="00B971D6" w:rsidRDefault="00000000">
            <w:pPr>
              <w:spacing w:after="0"/>
              <w:rPr>
                <w:sz w:val="17"/>
                <w:szCs w:val="17"/>
              </w:rPr>
            </w:pPr>
            <w:r w:rsidRPr="00B971D6">
              <w:rPr>
                <w:sz w:val="17"/>
                <w:szCs w:val="17"/>
              </w:rPr>
              <w:t>Train-test score stability</w:t>
            </w:r>
          </w:p>
        </w:tc>
      </w:tr>
      <w:tr w:rsidR="003E6E16" w:rsidRPr="00B971D6" w14:paraId="14EE1294" w14:textId="77777777" w:rsidTr="00B971D6">
        <w:trPr>
          <w:jc w:val="center"/>
        </w:trPr>
        <w:tc>
          <w:tcPr>
            <w:tcW w:w="1746" w:type="pct"/>
            <w:tcBorders>
              <w:top w:val="single" w:sz="2" w:space="0" w:color="D9D9D9"/>
              <w:left w:val="single" w:sz="2" w:space="0" w:color="D9D9D9"/>
              <w:bottom w:val="single" w:sz="2" w:space="0" w:color="D9D9D9"/>
              <w:right w:val="single" w:sz="2" w:space="0" w:color="D9D9D9"/>
            </w:tcBorders>
            <w:vAlign w:val="center"/>
          </w:tcPr>
          <w:p w14:paraId="07387398" w14:textId="77777777" w:rsidR="003E6E16" w:rsidRPr="00B971D6" w:rsidRDefault="00000000">
            <w:pPr>
              <w:spacing w:after="0"/>
              <w:rPr>
                <w:sz w:val="17"/>
                <w:szCs w:val="17"/>
              </w:rPr>
            </w:pPr>
            <w:r w:rsidRPr="00B971D6">
              <w:rPr>
                <w:sz w:val="17"/>
                <w:szCs w:val="17"/>
              </w:rPr>
              <w:t>Latest Turkey total NPL ratio</w:t>
            </w:r>
          </w:p>
        </w:tc>
        <w:tc>
          <w:tcPr>
            <w:tcW w:w="997" w:type="pct"/>
            <w:tcBorders>
              <w:top w:val="single" w:sz="2" w:space="0" w:color="D9D9D9"/>
              <w:left w:val="single" w:sz="2" w:space="0" w:color="D9D9D9"/>
              <w:bottom w:val="single" w:sz="2" w:space="0" w:color="D9D9D9"/>
              <w:right w:val="single" w:sz="2" w:space="0" w:color="D9D9D9"/>
            </w:tcBorders>
            <w:vAlign w:val="center"/>
          </w:tcPr>
          <w:p w14:paraId="1BB74D63" w14:textId="77777777" w:rsidR="003E6E16" w:rsidRPr="00B971D6" w:rsidRDefault="00000000">
            <w:pPr>
              <w:spacing w:after="0"/>
              <w:rPr>
                <w:sz w:val="17"/>
                <w:szCs w:val="17"/>
              </w:rPr>
            </w:pPr>
            <w:r w:rsidRPr="00B971D6">
              <w:rPr>
                <w:sz w:val="17"/>
                <w:szCs w:val="17"/>
              </w:rPr>
              <w:t>2.78%</w:t>
            </w:r>
          </w:p>
        </w:tc>
        <w:tc>
          <w:tcPr>
            <w:tcW w:w="2257" w:type="pct"/>
            <w:tcBorders>
              <w:top w:val="single" w:sz="2" w:space="0" w:color="D9D9D9"/>
              <w:left w:val="single" w:sz="2" w:space="0" w:color="D9D9D9"/>
              <w:bottom w:val="single" w:sz="2" w:space="0" w:color="D9D9D9"/>
              <w:right w:val="single" w:sz="2" w:space="0" w:color="D9D9D9"/>
            </w:tcBorders>
            <w:vAlign w:val="center"/>
          </w:tcPr>
          <w:p w14:paraId="62208729" w14:textId="77777777" w:rsidR="003E6E16" w:rsidRPr="00B971D6" w:rsidRDefault="00000000">
            <w:pPr>
              <w:spacing w:after="0"/>
              <w:rPr>
                <w:sz w:val="17"/>
                <w:szCs w:val="17"/>
              </w:rPr>
            </w:pPr>
            <w:r w:rsidRPr="00B971D6">
              <w:rPr>
                <w:sz w:val="17"/>
                <w:szCs w:val="17"/>
              </w:rPr>
              <w:t>Local sector overlay</w:t>
            </w:r>
          </w:p>
        </w:tc>
      </w:tr>
    </w:tbl>
    <w:p w14:paraId="0C4B73B6" w14:textId="77777777" w:rsidR="003E6E16" w:rsidRPr="00B971D6" w:rsidRDefault="00000000" w:rsidP="00B971D6">
      <w:pPr>
        <w:pStyle w:val="MemoCaption"/>
        <w:jc w:val="center"/>
      </w:pPr>
      <w:r w:rsidRPr="00B971D6">
        <w:t>Table 1. Executive credit risk analytics snapshot.</w:t>
      </w:r>
    </w:p>
    <w:p w14:paraId="45A2CC95" w14:textId="77777777" w:rsidR="003E6E16" w:rsidRPr="00B971D6" w:rsidRDefault="00000000" w:rsidP="00B971D6">
      <w:pPr>
        <w:pStyle w:val="MemoNote"/>
        <w:jc w:val="center"/>
        <w:rPr>
          <w:sz w:val="22"/>
        </w:rPr>
      </w:pPr>
      <w:r>
        <w:rPr>
          <w:i w:val="0"/>
        </w:rPr>
        <w:t>Scope note: This memo is a portfolio case study. It uses the public LendingClub accepted-loan file family (accepted_2007_to_2018Q4.csv.gz) for the core PD/ECL workflow and public BDDK/TCMB indicators only as a separate Turkey macro-sector overlay.</w:t>
      </w:r>
    </w:p>
    <w:p w14:paraId="118F4434" w14:textId="77777777" w:rsidR="003E6E16" w:rsidRPr="00B971D6" w:rsidRDefault="00000000" w:rsidP="00E438BD">
      <w:pPr>
        <w:pStyle w:val="Balk1"/>
        <w:spacing w:after="0"/>
        <w:rPr>
          <w:sz w:val="24"/>
          <w:szCs w:val="24"/>
        </w:rPr>
      </w:pPr>
      <w:r w:rsidRPr="00B971D6">
        <w:rPr>
          <w:rFonts w:ascii="Garamond" w:eastAsia="Garamond" w:hAnsi="Garamond"/>
          <w:sz w:val="24"/>
          <w:szCs w:val="24"/>
        </w:rPr>
        <w:t>1. Executive Summary</w:t>
      </w:r>
    </w:p>
    <w:p w14:paraId="40382AB9" w14:textId="77777777" w:rsidR="003E6E16" w:rsidRDefault="00000000">
      <w:r>
        <w:t>This case study builds a public-data credit risk analytics workflow using LendingClub loan-level data. The project develops an interpretable probability-of-default (PD) model, validates the model through out-of-sample performance and calibration checks, segments borrowers into risk bands, and translates predicted PDs into an illustrative IFRS 9-style expected credit loss (ECL) framework.</w:t>
      </w:r>
    </w:p>
    <w:p w14:paraId="45CBDF03" w14:textId="77777777" w:rsidR="003E6E16" w:rsidRDefault="00000000">
      <w:r>
        <w:t>The primary logistic regression model achieved a test AUC of 0.709 and a test Gini of 0.417, while the XGBoost challenger model achieved a moderately higher test AUC of 0.718. Logistic regression is retained as the primary model because its predicted PDs are well</w:t>
      </w:r>
      <w:r w:rsidR="008B2C71">
        <w:t>-calibrated across deciles,</w:t>
      </w:r>
      <w:r>
        <w:t xml:space="preserve"> and its drivers are easier to interpret in credit-risk governance terms.</w:t>
      </w:r>
    </w:p>
    <w:p w14:paraId="39374DD5" w14:textId="77777777" w:rsidR="003E6E16" w:rsidRDefault="00000000">
      <w:r>
        <w:t>The strongest portfolio finding is concentration. The Very High Risk band accounts for 31.2% of test-sample exposure but 45.7% of observed defaults and 53.1% of illustrative ECL. Under the severe stress scenario, total illustrative ECL increases from USD 1.34bn to USD 2.17bn, a 61.4% increase relative to the base case.</w:t>
      </w:r>
    </w:p>
    <w:p w14:paraId="19B1B2C2" w14:textId="77777777" w:rsidR="003E6E16" w:rsidRDefault="00000000">
      <w:r>
        <w:t>The project also adds model-stability and strategy layers: train-test PD score PSI is approximately 0.00002, indicating no material distribution shift; threshold simulation shows the trade-off between approval volume, retained exposure and default capture; and stress migration illustrates how exposure shifts toward higher-risk bands under adverse PD multipliers. A separate Turkey macro-sector overlay uses BDDK and TCMB indicators to show how similar monitoring logic can be connected to local banking-sector conditions.</w:t>
      </w:r>
    </w:p>
    <w:p w14:paraId="51236FCD" w14:textId="77777777" w:rsidR="003E6E16" w:rsidRPr="00B971D6" w:rsidRDefault="00000000" w:rsidP="00E438BD">
      <w:pPr>
        <w:pStyle w:val="Balk1"/>
        <w:spacing w:after="0"/>
        <w:rPr>
          <w:sz w:val="24"/>
          <w:szCs w:val="24"/>
        </w:rPr>
      </w:pPr>
      <w:r w:rsidRPr="00B971D6">
        <w:rPr>
          <w:rFonts w:ascii="Garamond" w:eastAsia="Garamond" w:hAnsi="Garamond"/>
          <w:sz w:val="24"/>
          <w:szCs w:val="24"/>
        </w:rPr>
        <w:t>2. Dataset and Default Definition</w:t>
      </w:r>
    </w:p>
    <w:p w14:paraId="5784F592" w14:textId="77777777" w:rsidR="003E6E16" w:rsidRDefault="00000000">
      <w:r>
        <w:t>The core modeling dataset uses the public LendingClub accepted-loan file family, accepted_2007_to_2018Q4.csv.gz. To approximate an application-time PD model, the variable set is restricted to information available at or near origination, such as loan amount, funded amount, term, interest rate, installment, grade, employment length, home ownership, annual income, debt-to-income ratio, FICO proxy, delinquencies, inquiries, revolving utilization, public records and loan purpose. Post-origination variables such as recoveries, total payments and last payment information are excluded to reduce target leakage.</w:t>
      </w:r>
    </w:p>
    <w:p w14:paraId="22CDC3AC" w14:textId="77777777" w:rsidR="003E6E16" w:rsidRDefault="00000000">
      <w:r>
        <w:t>The binary default flag is based on resolved or materially default-like loan statuses. Fully paid loans are treated as non-default observations. Charged-off, defaulted and late 31-120 day loans are treated as default observations. Current, issued, grace-period and short-term delinquency observations are excluded from the binary modeling sample.</w:t>
      </w:r>
    </w:p>
    <w:tbl>
      <w:tblPr>
        <w:tblW w:w="4973" w:type="pct"/>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41"/>
        <w:gridCol w:w="6377"/>
        <w:gridCol w:w="2137"/>
      </w:tblGrid>
      <w:tr w:rsidR="00213F92" w:rsidRPr="00E438BD" w14:paraId="06D9B6C5" w14:textId="77777777" w:rsidTr="00E438BD">
        <w:trPr>
          <w:trHeight w:val="136"/>
          <w:jc w:val="center"/>
        </w:trPr>
        <w:tc>
          <w:tcPr>
            <w:tcW w:w="808" w:type="pct"/>
            <w:shd w:val="clear" w:color="auto" w:fill="C6D9F1" w:themeFill="text2" w:themeFillTint="33"/>
            <w:tcMar>
              <w:top w:w="0" w:type="dxa"/>
              <w:left w:w="108" w:type="dxa"/>
              <w:bottom w:w="0" w:type="dxa"/>
              <w:right w:w="108" w:type="dxa"/>
            </w:tcMar>
            <w:vAlign w:val="center"/>
          </w:tcPr>
          <w:p w14:paraId="4AD86AF6" w14:textId="77777777" w:rsidR="00213F92" w:rsidRPr="00E438BD" w:rsidRDefault="00000000" w:rsidP="00E438BD">
            <w:pPr>
              <w:adjustRightInd w:val="0"/>
              <w:spacing w:after="0"/>
              <w:contextualSpacing/>
            </w:pPr>
            <w:r w:rsidRPr="00E438BD">
              <w:rPr>
                <w:b/>
                <w:sz w:val="17"/>
              </w:rPr>
              <w:t>Target class</w:t>
            </w:r>
          </w:p>
        </w:tc>
        <w:tc>
          <w:tcPr>
            <w:tcW w:w="3140" w:type="pct"/>
            <w:shd w:val="clear" w:color="auto" w:fill="C6D9F1" w:themeFill="text2" w:themeFillTint="33"/>
            <w:tcMar>
              <w:top w:w="0" w:type="dxa"/>
              <w:left w:w="108" w:type="dxa"/>
              <w:bottom w:w="0" w:type="dxa"/>
              <w:right w:w="108" w:type="dxa"/>
            </w:tcMar>
            <w:vAlign w:val="center"/>
          </w:tcPr>
          <w:p w14:paraId="6B8C3229" w14:textId="77777777" w:rsidR="00213F92" w:rsidRPr="00E438BD" w:rsidRDefault="00000000" w:rsidP="00E438BD">
            <w:pPr>
              <w:adjustRightInd w:val="0"/>
              <w:spacing w:after="0"/>
              <w:contextualSpacing/>
            </w:pPr>
            <w:r w:rsidRPr="00E438BD">
              <w:rPr>
                <w:b/>
                <w:sz w:val="17"/>
              </w:rPr>
              <w:t>LendingClub status mapping</w:t>
            </w:r>
          </w:p>
        </w:tc>
        <w:tc>
          <w:tcPr>
            <w:tcW w:w="1052" w:type="pct"/>
            <w:shd w:val="clear" w:color="auto" w:fill="C6D9F1" w:themeFill="text2" w:themeFillTint="33"/>
            <w:tcMar>
              <w:top w:w="0" w:type="dxa"/>
              <w:left w:w="108" w:type="dxa"/>
              <w:bottom w:w="0" w:type="dxa"/>
              <w:right w:w="108" w:type="dxa"/>
            </w:tcMar>
            <w:vAlign w:val="center"/>
          </w:tcPr>
          <w:p w14:paraId="7C6D4414" w14:textId="77777777" w:rsidR="00213F92" w:rsidRPr="00E438BD" w:rsidRDefault="00000000" w:rsidP="00E438BD">
            <w:pPr>
              <w:adjustRightInd w:val="0"/>
              <w:spacing w:after="0"/>
              <w:contextualSpacing/>
            </w:pPr>
            <w:r w:rsidRPr="00E438BD">
              <w:rPr>
                <w:b/>
                <w:sz w:val="17"/>
              </w:rPr>
              <w:t>Modeling treatment</w:t>
            </w:r>
          </w:p>
        </w:tc>
      </w:tr>
      <w:tr w:rsidR="00213F92" w:rsidRPr="00E438BD" w14:paraId="6136701A" w14:textId="77777777" w:rsidTr="00E438BD">
        <w:trPr>
          <w:trHeight w:val="136"/>
          <w:jc w:val="center"/>
        </w:trPr>
        <w:tc>
          <w:tcPr>
            <w:tcW w:w="808" w:type="pct"/>
            <w:tcMar>
              <w:top w:w="0" w:type="dxa"/>
              <w:left w:w="108" w:type="dxa"/>
              <w:bottom w:w="0" w:type="dxa"/>
              <w:right w:w="108" w:type="dxa"/>
            </w:tcMar>
            <w:vAlign w:val="center"/>
          </w:tcPr>
          <w:p w14:paraId="69454EA6" w14:textId="77777777" w:rsidR="00213F92" w:rsidRPr="00E438BD" w:rsidRDefault="00000000" w:rsidP="00E438BD">
            <w:pPr>
              <w:adjustRightInd w:val="0"/>
              <w:spacing w:after="0"/>
              <w:contextualSpacing/>
            </w:pPr>
            <w:r w:rsidRPr="00E438BD">
              <w:rPr>
                <w:sz w:val="17"/>
              </w:rPr>
              <w:t>Good / non-default</w:t>
            </w:r>
          </w:p>
        </w:tc>
        <w:tc>
          <w:tcPr>
            <w:tcW w:w="3140" w:type="pct"/>
            <w:tcMar>
              <w:top w:w="0" w:type="dxa"/>
              <w:left w:w="108" w:type="dxa"/>
              <w:bottom w:w="0" w:type="dxa"/>
              <w:right w:w="108" w:type="dxa"/>
            </w:tcMar>
            <w:vAlign w:val="center"/>
          </w:tcPr>
          <w:p w14:paraId="22E72128" w14:textId="77777777" w:rsidR="00213F92" w:rsidRPr="00E438BD" w:rsidRDefault="00000000" w:rsidP="00E438BD">
            <w:pPr>
              <w:adjustRightInd w:val="0"/>
              <w:spacing w:after="0"/>
              <w:contextualSpacing/>
            </w:pPr>
            <w:r w:rsidRPr="00E438BD">
              <w:rPr>
                <w:sz w:val="17"/>
              </w:rPr>
              <w:t>Fully Paid; Does not meet the credit policy. Status:Fully Paid</w:t>
            </w:r>
          </w:p>
        </w:tc>
        <w:tc>
          <w:tcPr>
            <w:tcW w:w="1052" w:type="pct"/>
            <w:tcMar>
              <w:top w:w="0" w:type="dxa"/>
              <w:left w:w="108" w:type="dxa"/>
              <w:bottom w:w="0" w:type="dxa"/>
              <w:right w:w="108" w:type="dxa"/>
            </w:tcMar>
            <w:vAlign w:val="center"/>
          </w:tcPr>
          <w:p w14:paraId="17EFAFC2" w14:textId="77777777" w:rsidR="00213F92" w:rsidRPr="00E438BD" w:rsidRDefault="00000000" w:rsidP="00E438BD">
            <w:pPr>
              <w:adjustRightInd w:val="0"/>
              <w:spacing w:after="0"/>
              <w:contextualSpacing/>
            </w:pPr>
            <w:r w:rsidRPr="00E438BD">
              <w:rPr>
                <w:sz w:val="17"/>
              </w:rPr>
              <w:t>default_flag = 0</w:t>
            </w:r>
          </w:p>
        </w:tc>
      </w:tr>
      <w:tr w:rsidR="00213F92" w:rsidRPr="00E438BD" w14:paraId="54211A6C" w14:textId="77777777" w:rsidTr="00E438BD">
        <w:trPr>
          <w:trHeight w:val="136"/>
          <w:jc w:val="center"/>
        </w:trPr>
        <w:tc>
          <w:tcPr>
            <w:tcW w:w="808" w:type="pct"/>
            <w:tcMar>
              <w:top w:w="0" w:type="dxa"/>
              <w:left w:w="108" w:type="dxa"/>
              <w:bottom w:w="0" w:type="dxa"/>
              <w:right w:w="108" w:type="dxa"/>
            </w:tcMar>
            <w:vAlign w:val="center"/>
          </w:tcPr>
          <w:p w14:paraId="0077925B" w14:textId="77777777" w:rsidR="00213F92" w:rsidRPr="00E438BD" w:rsidRDefault="00000000" w:rsidP="00E438BD">
            <w:pPr>
              <w:adjustRightInd w:val="0"/>
              <w:spacing w:after="0"/>
              <w:contextualSpacing/>
            </w:pPr>
            <w:r w:rsidRPr="00E438BD">
              <w:rPr>
                <w:sz w:val="17"/>
              </w:rPr>
              <w:t>Bad / default</w:t>
            </w:r>
          </w:p>
        </w:tc>
        <w:tc>
          <w:tcPr>
            <w:tcW w:w="3140" w:type="pct"/>
            <w:tcMar>
              <w:top w:w="0" w:type="dxa"/>
              <w:left w:w="108" w:type="dxa"/>
              <w:bottom w:w="0" w:type="dxa"/>
              <w:right w:w="108" w:type="dxa"/>
            </w:tcMar>
            <w:vAlign w:val="center"/>
          </w:tcPr>
          <w:p w14:paraId="063658AC" w14:textId="750B69B5" w:rsidR="00213F92" w:rsidRPr="00E438BD" w:rsidRDefault="00000000" w:rsidP="00E438BD">
            <w:pPr>
              <w:adjustRightInd w:val="0"/>
              <w:spacing w:after="0"/>
              <w:contextualSpacing/>
            </w:pPr>
            <w:r w:rsidRPr="00E438BD">
              <w:rPr>
                <w:sz w:val="17"/>
              </w:rPr>
              <w:t>Charged Off; Default; Late (31-120 days); not meet the credit policy. Status:</w:t>
            </w:r>
            <w:r w:rsidR="00E438BD">
              <w:rPr>
                <w:sz w:val="17"/>
              </w:rPr>
              <w:t xml:space="preserve"> </w:t>
            </w:r>
            <w:r w:rsidRPr="00E438BD">
              <w:rPr>
                <w:sz w:val="17"/>
              </w:rPr>
              <w:t>Charged Off</w:t>
            </w:r>
          </w:p>
        </w:tc>
        <w:tc>
          <w:tcPr>
            <w:tcW w:w="1052" w:type="pct"/>
            <w:tcMar>
              <w:top w:w="0" w:type="dxa"/>
              <w:left w:w="108" w:type="dxa"/>
              <w:bottom w:w="0" w:type="dxa"/>
              <w:right w:w="108" w:type="dxa"/>
            </w:tcMar>
            <w:vAlign w:val="center"/>
          </w:tcPr>
          <w:p w14:paraId="6DF46705" w14:textId="77777777" w:rsidR="00213F92" w:rsidRPr="00E438BD" w:rsidRDefault="00000000" w:rsidP="00E438BD">
            <w:pPr>
              <w:adjustRightInd w:val="0"/>
              <w:spacing w:after="0"/>
              <w:contextualSpacing/>
            </w:pPr>
            <w:r w:rsidRPr="00E438BD">
              <w:rPr>
                <w:sz w:val="17"/>
              </w:rPr>
              <w:t>default_flag = 1</w:t>
            </w:r>
          </w:p>
        </w:tc>
      </w:tr>
      <w:tr w:rsidR="00213F92" w:rsidRPr="00E438BD" w14:paraId="085340A7" w14:textId="77777777" w:rsidTr="00E438BD">
        <w:trPr>
          <w:trHeight w:val="136"/>
          <w:jc w:val="center"/>
        </w:trPr>
        <w:tc>
          <w:tcPr>
            <w:tcW w:w="808" w:type="pct"/>
            <w:tcMar>
              <w:top w:w="0" w:type="dxa"/>
              <w:left w:w="108" w:type="dxa"/>
              <w:bottom w:w="0" w:type="dxa"/>
              <w:right w:w="108" w:type="dxa"/>
            </w:tcMar>
            <w:vAlign w:val="center"/>
          </w:tcPr>
          <w:p w14:paraId="14FF7D2D" w14:textId="77777777" w:rsidR="00213F92" w:rsidRPr="00E438BD" w:rsidRDefault="00000000" w:rsidP="00E438BD">
            <w:pPr>
              <w:adjustRightInd w:val="0"/>
              <w:spacing w:after="0"/>
              <w:contextualSpacing/>
            </w:pPr>
            <w:r w:rsidRPr="00E438BD">
              <w:rPr>
                <w:sz w:val="17"/>
              </w:rPr>
              <w:t>Excluded</w:t>
            </w:r>
          </w:p>
        </w:tc>
        <w:tc>
          <w:tcPr>
            <w:tcW w:w="3140" w:type="pct"/>
            <w:tcMar>
              <w:top w:w="0" w:type="dxa"/>
              <w:left w:w="108" w:type="dxa"/>
              <w:bottom w:w="0" w:type="dxa"/>
              <w:right w:w="108" w:type="dxa"/>
            </w:tcMar>
            <w:vAlign w:val="center"/>
          </w:tcPr>
          <w:p w14:paraId="2871D5F4" w14:textId="77777777" w:rsidR="00213F92" w:rsidRPr="00E438BD" w:rsidRDefault="00000000" w:rsidP="00E438BD">
            <w:pPr>
              <w:adjustRightInd w:val="0"/>
              <w:spacing w:after="0"/>
              <w:contextualSpacing/>
            </w:pPr>
            <w:r w:rsidRPr="00E438BD">
              <w:rPr>
                <w:sz w:val="17"/>
              </w:rPr>
              <w:t>Current; Issued; In Grace Period; short-term delinquency or unresolved performance states</w:t>
            </w:r>
          </w:p>
        </w:tc>
        <w:tc>
          <w:tcPr>
            <w:tcW w:w="1052" w:type="pct"/>
            <w:tcMar>
              <w:top w:w="0" w:type="dxa"/>
              <w:left w:w="108" w:type="dxa"/>
              <w:bottom w:w="0" w:type="dxa"/>
              <w:right w:w="108" w:type="dxa"/>
            </w:tcMar>
            <w:vAlign w:val="center"/>
          </w:tcPr>
          <w:p w14:paraId="3229CABB" w14:textId="6635AA06" w:rsidR="00213F92" w:rsidRPr="00E438BD" w:rsidRDefault="00000000" w:rsidP="00E438BD">
            <w:pPr>
              <w:adjustRightInd w:val="0"/>
              <w:spacing w:after="0"/>
              <w:contextualSpacing/>
            </w:pPr>
            <w:r w:rsidRPr="00E438BD">
              <w:rPr>
                <w:sz w:val="17"/>
              </w:rPr>
              <w:t>Excluded modeling sample</w:t>
            </w:r>
          </w:p>
        </w:tc>
      </w:tr>
    </w:tbl>
    <w:p w14:paraId="7CE3FC8A" w14:textId="77777777" w:rsidR="00213F92" w:rsidRDefault="00000000" w:rsidP="00A94DAB">
      <w:pPr>
        <w:pStyle w:val="MemoCaption"/>
        <w:jc w:val="center"/>
      </w:pPr>
      <w:r>
        <w:t>Default definition box. Binary target construction and status treatment.</w:t>
      </w:r>
    </w:p>
    <w:tbl>
      <w:tblPr>
        <w:tblW w:w="5000" w:type="pct"/>
        <w:jc w:val="center"/>
        <w:tblLook w:val="04A0" w:firstRow="1" w:lastRow="0" w:firstColumn="1" w:lastColumn="0" w:noHBand="0" w:noVBand="1"/>
      </w:tblPr>
      <w:tblGrid>
        <w:gridCol w:w="3351"/>
        <w:gridCol w:w="1670"/>
        <w:gridCol w:w="5189"/>
      </w:tblGrid>
      <w:tr w:rsidR="003E6E16" w:rsidRPr="00B971D6" w14:paraId="735355B6" w14:textId="77777777" w:rsidTr="00B971D6">
        <w:trPr>
          <w:jc w:val="center"/>
        </w:trPr>
        <w:tc>
          <w:tcPr>
            <w:tcW w:w="1641"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515C2AF9" w14:textId="77777777" w:rsidR="003E6E16" w:rsidRPr="00B971D6" w:rsidRDefault="00000000">
            <w:pPr>
              <w:spacing w:after="0"/>
              <w:rPr>
                <w:sz w:val="17"/>
                <w:szCs w:val="17"/>
              </w:rPr>
            </w:pPr>
            <w:r w:rsidRPr="00B971D6">
              <w:rPr>
                <w:b/>
                <w:sz w:val="17"/>
                <w:szCs w:val="17"/>
              </w:rPr>
              <w:t>Item</w:t>
            </w:r>
          </w:p>
        </w:tc>
        <w:tc>
          <w:tcPr>
            <w:tcW w:w="818"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57E9816D" w14:textId="77777777" w:rsidR="003E6E16" w:rsidRPr="00B971D6" w:rsidRDefault="00000000">
            <w:pPr>
              <w:spacing w:after="0"/>
              <w:rPr>
                <w:sz w:val="17"/>
                <w:szCs w:val="17"/>
              </w:rPr>
            </w:pPr>
            <w:r w:rsidRPr="00B971D6">
              <w:rPr>
                <w:b/>
                <w:sz w:val="17"/>
                <w:szCs w:val="17"/>
              </w:rPr>
              <w:t>Reading</w:t>
            </w:r>
          </w:p>
        </w:tc>
        <w:tc>
          <w:tcPr>
            <w:tcW w:w="2541"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34170CD0" w14:textId="77777777" w:rsidR="003E6E16" w:rsidRPr="00B971D6" w:rsidRDefault="00000000">
            <w:pPr>
              <w:spacing w:after="0"/>
              <w:rPr>
                <w:sz w:val="17"/>
                <w:szCs w:val="17"/>
              </w:rPr>
            </w:pPr>
            <w:r w:rsidRPr="00B971D6">
              <w:rPr>
                <w:b/>
                <w:sz w:val="17"/>
                <w:szCs w:val="17"/>
              </w:rPr>
              <w:t>Interpretation</w:t>
            </w:r>
          </w:p>
        </w:tc>
      </w:tr>
      <w:tr w:rsidR="003E6E16" w:rsidRPr="00B971D6" w14:paraId="51F40739" w14:textId="77777777" w:rsidTr="00B971D6">
        <w:trPr>
          <w:jc w:val="center"/>
        </w:trPr>
        <w:tc>
          <w:tcPr>
            <w:tcW w:w="1641" w:type="pct"/>
            <w:tcBorders>
              <w:top w:val="single" w:sz="2" w:space="0" w:color="D9D9D9"/>
              <w:left w:val="single" w:sz="2" w:space="0" w:color="D9D9D9"/>
              <w:bottom w:val="single" w:sz="2" w:space="0" w:color="D9D9D9"/>
              <w:right w:val="single" w:sz="2" w:space="0" w:color="D9D9D9"/>
            </w:tcBorders>
            <w:vAlign w:val="center"/>
          </w:tcPr>
          <w:p w14:paraId="5F0C1243" w14:textId="77777777" w:rsidR="003E6E16" w:rsidRPr="00B971D6" w:rsidRDefault="00000000">
            <w:pPr>
              <w:spacing w:after="0"/>
              <w:rPr>
                <w:sz w:val="17"/>
                <w:szCs w:val="17"/>
              </w:rPr>
            </w:pPr>
            <w:r w:rsidRPr="00B971D6">
              <w:rPr>
                <w:sz w:val="17"/>
                <w:szCs w:val="17"/>
              </w:rPr>
              <w:t>Raw selected observations</w:t>
            </w:r>
          </w:p>
        </w:tc>
        <w:tc>
          <w:tcPr>
            <w:tcW w:w="818" w:type="pct"/>
            <w:tcBorders>
              <w:top w:val="single" w:sz="2" w:space="0" w:color="D9D9D9"/>
              <w:left w:val="single" w:sz="2" w:space="0" w:color="D9D9D9"/>
              <w:bottom w:val="single" w:sz="2" w:space="0" w:color="D9D9D9"/>
              <w:right w:val="single" w:sz="2" w:space="0" w:color="D9D9D9"/>
            </w:tcBorders>
            <w:vAlign w:val="center"/>
          </w:tcPr>
          <w:p w14:paraId="6D258ACD" w14:textId="77777777" w:rsidR="003E6E16" w:rsidRPr="00B971D6" w:rsidRDefault="00000000">
            <w:pPr>
              <w:spacing w:after="0"/>
              <w:rPr>
                <w:sz w:val="17"/>
                <w:szCs w:val="17"/>
              </w:rPr>
            </w:pPr>
            <w:r w:rsidRPr="00B971D6">
              <w:rPr>
                <w:sz w:val="17"/>
                <w:szCs w:val="17"/>
              </w:rPr>
              <w:t>2,260,701</w:t>
            </w:r>
          </w:p>
        </w:tc>
        <w:tc>
          <w:tcPr>
            <w:tcW w:w="2541" w:type="pct"/>
            <w:tcBorders>
              <w:top w:val="single" w:sz="2" w:space="0" w:color="D9D9D9"/>
              <w:left w:val="single" w:sz="2" w:space="0" w:color="D9D9D9"/>
              <w:bottom w:val="single" w:sz="2" w:space="0" w:color="D9D9D9"/>
              <w:right w:val="single" w:sz="2" w:space="0" w:color="D9D9D9"/>
            </w:tcBorders>
            <w:vAlign w:val="center"/>
          </w:tcPr>
          <w:p w14:paraId="544ABAFB" w14:textId="77777777" w:rsidR="003E6E16" w:rsidRPr="00B971D6" w:rsidRDefault="00000000">
            <w:pPr>
              <w:spacing w:after="0"/>
              <w:rPr>
                <w:sz w:val="17"/>
                <w:szCs w:val="17"/>
              </w:rPr>
            </w:pPr>
            <w:r w:rsidRPr="00B971D6">
              <w:rPr>
                <w:sz w:val="17"/>
                <w:szCs w:val="17"/>
              </w:rPr>
              <w:t>Selected LendingClub columns read from raw file</w:t>
            </w:r>
          </w:p>
        </w:tc>
      </w:tr>
      <w:tr w:rsidR="003E6E16" w:rsidRPr="00B971D6" w14:paraId="4CDCE5BD" w14:textId="77777777" w:rsidTr="00B971D6">
        <w:trPr>
          <w:jc w:val="center"/>
        </w:trPr>
        <w:tc>
          <w:tcPr>
            <w:tcW w:w="1641" w:type="pct"/>
            <w:tcBorders>
              <w:top w:val="single" w:sz="2" w:space="0" w:color="D9D9D9"/>
              <w:left w:val="single" w:sz="2" w:space="0" w:color="D9D9D9"/>
              <w:bottom w:val="single" w:sz="2" w:space="0" w:color="D9D9D9"/>
              <w:right w:val="single" w:sz="2" w:space="0" w:color="D9D9D9"/>
            </w:tcBorders>
            <w:vAlign w:val="center"/>
          </w:tcPr>
          <w:p w14:paraId="19C5FFF5" w14:textId="77777777" w:rsidR="003E6E16" w:rsidRPr="00B971D6" w:rsidRDefault="00000000">
            <w:pPr>
              <w:spacing w:after="0"/>
              <w:rPr>
                <w:sz w:val="17"/>
                <w:szCs w:val="17"/>
              </w:rPr>
            </w:pPr>
            <w:r w:rsidRPr="00B971D6">
              <w:rPr>
                <w:sz w:val="17"/>
                <w:szCs w:val="17"/>
              </w:rPr>
              <w:t>Clean modeling observations</w:t>
            </w:r>
          </w:p>
        </w:tc>
        <w:tc>
          <w:tcPr>
            <w:tcW w:w="818" w:type="pct"/>
            <w:tcBorders>
              <w:top w:val="single" w:sz="2" w:space="0" w:color="D9D9D9"/>
              <w:left w:val="single" w:sz="2" w:space="0" w:color="D9D9D9"/>
              <w:bottom w:val="single" w:sz="2" w:space="0" w:color="D9D9D9"/>
              <w:right w:val="single" w:sz="2" w:space="0" w:color="D9D9D9"/>
            </w:tcBorders>
            <w:vAlign w:val="center"/>
          </w:tcPr>
          <w:p w14:paraId="5BF92335" w14:textId="77777777" w:rsidR="003E6E16" w:rsidRPr="00B971D6" w:rsidRDefault="00000000">
            <w:pPr>
              <w:spacing w:after="0"/>
              <w:rPr>
                <w:sz w:val="17"/>
                <w:szCs w:val="17"/>
              </w:rPr>
            </w:pPr>
            <w:r w:rsidRPr="00B971D6">
              <w:rPr>
                <w:sz w:val="17"/>
                <w:szCs w:val="17"/>
              </w:rPr>
              <w:t>1,369,164</w:t>
            </w:r>
          </w:p>
        </w:tc>
        <w:tc>
          <w:tcPr>
            <w:tcW w:w="2541" w:type="pct"/>
            <w:tcBorders>
              <w:top w:val="single" w:sz="2" w:space="0" w:color="D9D9D9"/>
              <w:left w:val="single" w:sz="2" w:space="0" w:color="D9D9D9"/>
              <w:bottom w:val="single" w:sz="2" w:space="0" w:color="D9D9D9"/>
              <w:right w:val="single" w:sz="2" w:space="0" w:color="D9D9D9"/>
            </w:tcBorders>
            <w:vAlign w:val="center"/>
          </w:tcPr>
          <w:p w14:paraId="7FC893D9" w14:textId="77777777" w:rsidR="003E6E16" w:rsidRPr="00B971D6" w:rsidRDefault="00000000">
            <w:pPr>
              <w:spacing w:after="0"/>
              <w:rPr>
                <w:sz w:val="17"/>
                <w:szCs w:val="17"/>
              </w:rPr>
            </w:pPr>
            <w:r w:rsidRPr="00B971D6">
              <w:rPr>
                <w:sz w:val="17"/>
                <w:szCs w:val="17"/>
              </w:rPr>
              <w:t>After status filter and core missing-value checks</w:t>
            </w:r>
          </w:p>
        </w:tc>
      </w:tr>
      <w:tr w:rsidR="003E6E16" w:rsidRPr="00B971D6" w14:paraId="77CE4640" w14:textId="77777777" w:rsidTr="00B971D6">
        <w:trPr>
          <w:jc w:val="center"/>
        </w:trPr>
        <w:tc>
          <w:tcPr>
            <w:tcW w:w="1641" w:type="pct"/>
            <w:tcBorders>
              <w:top w:val="single" w:sz="2" w:space="0" w:color="D9D9D9"/>
              <w:left w:val="single" w:sz="2" w:space="0" w:color="D9D9D9"/>
              <w:bottom w:val="single" w:sz="2" w:space="0" w:color="D9D9D9"/>
              <w:right w:val="single" w:sz="2" w:space="0" w:color="D9D9D9"/>
            </w:tcBorders>
            <w:vAlign w:val="center"/>
          </w:tcPr>
          <w:p w14:paraId="516671E1" w14:textId="77777777" w:rsidR="003E6E16" w:rsidRPr="00B971D6" w:rsidRDefault="00000000">
            <w:pPr>
              <w:spacing w:after="0"/>
              <w:rPr>
                <w:sz w:val="17"/>
                <w:szCs w:val="17"/>
              </w:rPr>
            </w:pPr>
            <w:r w:rsidRPr="00B971D6">
              <w:rPr>
                <w:sz w:val="17"/>
                <w:szCs w:val="17"/>
              </w:rPr>
              <w:t>Observed default rate</w:t>
            </w:r>
          </w:p>
        </w:tc>
        <w:tc>
          <w:tcPr>
            <w:tcW w:w="818" w:type="pct"/>
            <w:tcBorders>
              <w:top w:val="single" w:sz="2" w:space="0" w:color="D9D9D9"/>
              <w:left w:val="single" w:sz="2" w:space="0" w:color="D9D9D9"/>
              <w:bottom w:val="single" w:sz="2" w:space="0" w:color="D9D9D9"/>
              <w:right w:val="single" w:sz="2" w:space="0" w:color="D9D9D9"/>
            </w:tcBorders>
            <w:vAlign w:val="center"/>
          </w:tcPr>
          <w:p w14:paraId="622BA5FE" w14:textId="77777777" w:rsidR="003E6E16" w:rsidRPr="00B971D6" w:rsidRDefault="00000000">
            <w:pPr>
              <w:spacing w:after="0"/>
              <w:rPr>
                <w:sz w:val="17"/>
                <w:szCs w:val="17"/>
              </w:rPr>
            </w:pPr>
            <w:r w:rsidRPr="00B971D6">
              <w:rPr>
                <w:sz w:val="17"/>
                <w:szCs w:val="17"/>
              </w:rPr>
              <w:t>21.23%</w:t>
            </w:r>
          </w:p>
        </w:tc>
        <w:tc>
          <w:tcPr>
            <w:tcW w:w="2541" w:type="pct"/>
            <w:tcBorders>
              <w:top w:val="single" w:sz="2" w:space="0" w:color="D9D9D9"/>
              <w:left w:val="single" w:sz="2" w:space="0" w:color="D9D9D9"/>
              <w:bottom w:val="single" w:sz="2" w:space="0" w:color="D9D9D9"/>
              <w:right w:val="single" w:sz="2" w:space="0" w:color="D9D9D9"/>
            </w:tcBorders>
            <w:vAlign w:val="center"/>
          </w:tcPr>
          <w:p w14:paraId="3F8BF8A2" w14:textId="77777777" w:rsidR="003E6E16" w:rsidRPr="00B971D6" w:rsidRDefault="00000000">
            <w:pPr>
              <w:spacing w:after="0"/>
              <w:rPr>
                <w:sz w:val="17"/>
                <w:szCs w:val="17"/>
              </w:rPr>
            </w:pPr>
            <w:r w:rsidRPr="00B971D6">
              <w:rPr>
                <w:sz w:val="17"/>
                <w:szCs w:val="17"/>
              </w:rPr>
              <w:t>Charged-off/default/late 31-120 definition</w:t>
            </w:r>
          </w:p>
        </w:tc>
      </w:tr>
      <w:tr w:rsidR="003E6E16" w:rsidRPr="00B971D6" w14:paraId="0D1E7DE2" w14:textId="77777777" w:rsidTr="00B971D6">
        <w:trPr>
          <w:jc w:val="center"/>
        </w:trPr>
        <w:tc>
          <w:tcPr>
            <w:tcW w:w="1641" w:type="pct"/>
            <w:tcBorders>
              <w:top w:val="single" w:sz="2" w:space="0" w:color="D9D9D9"/>
              <w:left w:val="single" w:sz="2" w:space="0" w:color="D9D9D9"/>
              <w:bottom w:val="single" w:sz="2" w:space="0" w:color="D9D9D9"/>
              <w:right w:val="single" w:sz="2" w:space="0" w:color="D9D9D9"/>
            </w:tcBorders>
            <w:vAlign w:val="center"/>
          </w:tcPr>
          <w:p w14:paraId="3F69F891" w14:textId="77777777" w:rsidR="003E6E16" w:rsidRPr="00B971D6" w:rsidRDefault="00000000">
            <w:pPr>
              <w:spacing w:after="0"/>
              <w:rPr>
                <w:sz w:val="17"/>
                <w:szCs w:val="17"/>
              </w:rPr>
            </w:pPr>
            <w:r w:rsidRPr="00B971D6">
              <w:rPr>
                <w:sz w:val="17"/>
                <w:szCs w:val="17"/>
              </w:rPr>
              <w:t>Total EAD proxy in clean data</w:t>
            </w:r>
          </w:p>
        </w:tc>
        <w:tc>
          <w:tcPr>
            <w:tcW w:w="818" w:type="pct"/>
            <w:tcBorders>
              <w:top w:val="single" w:sz="2" w:space="0" w:color="D9D9D9"/>
              <w:left w:val="single" w:sz="2" w:space="0" w:color="D9D9D9"/>
              <w:bottom w:val="single" w:sz="2" w:space="0" w:color="D9D9D9"/>
              <w:right w:val="single" w:sz="2" w:space="0" w:color="D9D9D9"/>
            </w:tcBorders>
            <w:vAlign w:val="center"/>
          </w:tcPr>
          <w:p w14:paraId="5F719B21" w14:textId="77777777" w:rsidR="003E6E16" w:rsidRPr="00B971D6" w:rsidRDefault="00000000">
            <w:pPr>
              <w:spacing w:after="0"/>
              <w:rPr>
                <w:sz w:val="17"/>
                <w:szCs w:val="17"/>
              </w:rPr>
            </w:pPr>
            <w:r w:rsidRPr="00B971D6">
              <w:rPr>
                <w:sz w:val="17"/>
                <w:szCs w:val="17"/>
              </w:rPr>
              <w:t>USD 19.77bn</w:t>
            </w:r>
          </w:p>
        </w:tc>
        <w:tc>
          <w:tcPr>
            <w:tcW w:w="2541" w:type="pct"/>
            <w:tcBorders>
              <w:top w:val="single" w:sz="2" w:space="0" w:color="D9D9D9"/>
              <w:left w:val="single" w:sz="2" w:space="0" w:color="D9D9D9"/>
              <w:bottom w:val="single" w:sz="2" w:space="0" w:color="D9D9D9"/>
              <w:right w:val="single" w:sz="2" w:space="0" w:color="D9D9D9"/>
            </w:tcBorders>
            <w:vAlign w:val="center"/>
          </w:tcPr>
          <w:p w14:paraId="245933A1" w14:textId="77777777" w:rsidR="003E6E16" w:rsidRPr="00B971D6" w:rsidRDefault="00000000">
            <w:pPr>
              <w:spacing w:after="0"/>
              <w:rPr>
                <w:sz w:val="17"/>
                <w:szCs w:val="17"/>
              </w:rPr>
            </w:pPr>
            <w:r w:rsidRPr="00B971D6">
              <w:rPr>
                <w:sz w:val="17"/>
                <w:szCs w:val="17"/>
              </w:rPr>
              <w:t>Funded amount used as exposure proxy</w:t>
            </w:r>
          </w:p>
        </w:tc>
      </w:tr>
    </w:tbl>
    <w:p w14:paraId="65D00B22" w14:textId="77777777" w:rsidR="003E6E16" w:rsidRDefault="00000000" w:rsidP="00B971D6">
      <w:pPr>
        <w:pStyle w:val="MemoCaption"/>
        <w:jc w:val="center"/>
      </w:pPr>
      <w:r>
        <w:t>Table 2. Modeling data construction summary.</w:t>
      </w:r>
    </w:p>
    <w:p w14:paraId="794814DA" w14:textId="77777777" w:rsidR="003E6E16" w:rsidRPr="00B971D6" w:rsidRDefault="00000000" w:rsidP="00E438BD">
      <w:pPr>
        <w:pStyle w:val="Balk1"/>
        <w:spacing w:after="0"/>
        <w:rPr>
          <w:sz w:val="24"/>
          <w:szCs w:val="24"/>
        </w:rPr>
      </w:pPr>
      <w:r w:rsidRPr="00B971D6">
        <w:rPr>
          <w:rFonts w:ascii="Garamond" w:eastAsia="Garamond" w:hAnsi="Garamond"/>
          <w:sz w:val="24"/>
          <w:szCs w:val="24"/>
        </w:rPr>
        <w:lastRenderedPageBreak/>
        <w:t>3. PD Model Development</w:t>
      </w:r>
    </w:p>
    <w:p w14:paraId="5D54F8E9" w14:textId="77777777" w:rsidR="003E6E16" w:rsidRDefault="00000000">
      <w:r>
        <w:t xml:space="preserve">The project estimates two models. Logistic regression is used as the primary PD model because it is transparent and aligned with traditional credit scorecard logic. XGBoost is trained as a challenger model to test whether </w:t>
      </w:r>
      <w:r w:rsidR="00B971D6">
        <w:t xml:space="preserve">a </w:t>
      </w:r>
      <w:r>
        <w:t>non-linear structure improves discrimination. Both models are trained on the same leakage-controlled feature set and evaluated on a 30% holdout sample using stratified splitting.</w:t>
      </w:r>
    </w:p>
    <w:p w14:paraId="1FDDFD4E" w14:textId="77777777" w:rsidR="003E6E16" w:rsidRDefault="00000000">
      <w:r>
        <w:t>An initial class-weighted logistic specification was rejected because it produced overstated PD levels despite improving default recall. The final logistic model is estimated without class weighting to prioritize probability calibration, which is more appropriate for PD estimation and ECL translation than a pure classification objective. A compact driver table is added below to make the expected feature-risk relationships visible to non-technical readers and model reviewers.</w:t>
      </w:r>
    </w:p>
    <w:tbl>
      <w:tblPr>
        <w:tblW w:w="5000" w:type="pct"/>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056"/>
        <w:gridCol w:w="1025"/>
        <w:gridCol w:w="319"/>
        <w:gridCol w:w="2211"/>
        <w:gridCol w:w="786"/>
        <w:gridCol w:w="182"/>
        <w:gridCol w:w="2718"/>
        <w:gridCol w:w="913"/>
      </w:tblGrid>
      <w:tr w:rsidR="00213F92" w14:paraId="2CDBAF8E" w14:textId="77777777" w:rsidTr="004B7254">
        <w:trPr>
          <w:trHeight w:hRule="exact" w:val="198"/>
          <w:jc w:val="center"/>
        </w:trPr>
        <w:tc>
          <w:tcPr>
            <w:tcW w:w="1665" w:type="pct"/>
            <w:gridSpan w:val="3"/>
            <w:shd w:val="clear" w:color="auto" w:fill="C6D9F1" w:themeFill="text2" w:themeFillTint="33"/>
            <w:tcMar>
              <w:top w:w="0" w:type="dxa"/>
              <w:left w:w="108" w:type="dxa"/>
              <w:bottom w:w="0" w:type="dxa"/>
              <w:right w:w="108" w:type="dxa"/>
            </w:tcMar>
            <w:vAlign w:val="center"/>
          </w:tcPr>
          <w:p w14:paraId="224B5A13" w14:textId="77777777" w:rsidR="00213F92" w:rsidRDefault="00000000" w:rsidP="004B7254">
            <w:pPr>
              <w:spacing w:after="0"/>
            </w:pPr>
            <w:r>
              <w:rPr>
                <w:b/>
                <w:sz w:val="17"/>
              </w:rPr>
              <w:t>Driver</w:t>
            </w:r>
          </w:p>
        </w:tc>
        <w:tc>
          <w:tcPr>
            <w:tcW w:w="1557" w:type="pct"/>
            <w:gridSpan w:val="3"/>
            <w:shd w:val="clear" w:color="auto" w:fill="C6D9F1" w:themeFill="text2" w:themeFillTint="33"/>
            <w:tcMar>
              <w:top w:w="0" w:type="dxa"/>
              <w:left w:w="108" w:type="dxa"/>
              <w:bottom w:w="0" w:type="dxa"/>
              <w:right w:w="108" w:type="dxa"/>
            </w:tcMar>
            <w:vAlign w:val="center"/>
          </w:tcPr>
          <w:p w14:paraId="3FCB6258" w14:textId="77777777" w:rsidR="00213F92" w:rsidRDefault="00000000" w:rsidP="004B7254">
            <w:pPr>
              <w:spacing w:after="0"/>
            </w:pPr>
            <w:r>
              <w:rPr>
                <w:b/>
                <w:sz w:val="17"/>
              </w:rPr>
              <w:t>Expected risk direction</w:t>
            </w:r>
          </w:p>
        </w:tc>
        <w:tc>
          <w:tcPr>
            <w:tcW w:w="1778" w:type="pct"/>
            <w:gridSpan w:val="2"/>
            <w:shd w:val="clear" w:color="auto" w:fill="C6D9F1" w:themeFill="text2" w:themeFillTint="33"/>
            <w:tcMar>
              <w:top w:w="0" w:type="dxa"/>
              <w:left w:w="108" w:type="dxa"/>
              <w:bottom w:w="0" w:type="dxa"/>
              <w:right w:w="108" w:type="dxa"/>
            </w:tcMar>
            <w:vAlign w:val="center"/>
          </w:tcPr>
          <w:p w14:paraId="7888A2D5" w14:textId="77777777" w:rsidR="00213F92" w:rsidRDefault="00000000" w:rsidP="004B7254">
            <w:pPr>
              <w:spacing w:after="0"/>
            </w:pPr>
            <w:r>
              <w:rPr>
                <w:b/>
                <w:sz w:val="17"/>
              </w:rPr>
              <w:t>Model interpretation</w:t>
            </w:r>
          </w:p>
        </w:tc>
      </w:tr>
      <w:tr w:rsidR="00213F92" w14:paraId="07F4A111" w14:textId="77777777" w:rsidTr="004B7254">
        <w:trPr>
          <w:trHeight w:hRule="exact" w:val="198"/>
          <w:jc w:val="center"/>
        </w:trPr>
        <w:tc>
          <w:tcPr>
            <w:tcW w:w="1665" w:type="pct"/>
            <w:gridSpan w:val="3"/>
            <w:tcMar>
              <w:top w:w="0" w:type="dxa"/>
              <w:left w:w="108" w:type="dxa"/>
              <w:bottom w:w="0" w:type="dxa"/>
              <w:right w:w="108" w:type="dxa"/>
            </w:tcMar>
            <w:vAlign w:val="center"/>
          </w:tcPr>
          <w:p w14:paraId="02EA9CE7" w14:textId="77777777" w:rsidR="00213F92" w:rsidRDefault="00000000" w:rsidP="004B7254">
            <w:pPr>
              <w:spacing w:after="0"/>
            </w:pPr>
            <w:r>
              <w:rPr>
                <w:sz w:val="17"/>
              </w:rPr>
              <w:t>Higher interest rate</w:t>
            </w:r>
          </w:p>
        </w:tc>
        <w:tc>
          <w:tcPr>
            <w:tcW w:w="1557" w:type="pct"/>
            <w:gridSpan w:val="3"/>
            <w:tcMar>
              <w:top w:w="0" w:type="dxa"/>
              <w:left w:w="108" w:type="dxa"/>
              <w:bottom w:w="0" w:type="dxa"/>
              <w:right w:w="108" w:type="dxa"/>
            </w:tcMar>
            <w:vAlign w:val="center"/>
          </w:tcPr>
          <w:p w14:paraId="7D91F3E0" w14:textId="77777777" w:rsidR="00213F92" w:rsidRDefault="00000000" w:rsidP="004B7254">
            <w:pPr>
              <w:spacing w:after="0"/>
            </w:pPr>
            <w:r>
              <w:rPr>
                <w:sz w:val="17"/>
              </w:rPr>
              <w:t>Higher PD</w:t>
            </w:r>
          </w:p>
        </w:tc>
        <w:tc>
          <w:tcPr>
            <w:tcW w:w="1778" w:type="pct"/>
            <w:gridSpan w:val="2"/>
            <w:tcMar>
              <w:top w:w="0" w:type="dxa"/>
              <w:left w:w="108" w:type="dxa"/>
              <w:bottom w:w="0" w:type="dxa"/>
              <w:right w:w="108" w:type="dxa"/>
            </w:tcMar>
            <w:vAlign w:val="center"/>
          </w:tcPr>
          <w:p w14:paraId="6345CDCA" w14:textId="77777777" w:rsidR="00213F92" w:rsidRDefault="00000000" w:rsidP="004B7254">
            <w:pPr>
              <w:spacing w:after="0"/>
            </w:pPr>
            <w:r>
              <w:rPr>
                <w:sz w:val="17"/>
              </w:rPr>
              <w:t>Pricing embeds borrower risk</w:t>
            </w:r>
          </w:p>
        </w:tc>
      </w:tr>
      <w:tr w:rsidR="00213F92" w14:paraId="1206C9C7" w14:textId="77777777" w:rsidTr="004B7254">
        <w:trPr>
          <w:trHeight w:hRule="exact" w:val="198"/>
          <w:jc w:val="center"/>
        </w:trPr>
        <w:tc>
          <w:tcPr>
            <w:tcW w:w="1665" w:type="pct"/>
            <w:gridSpan w:val="3"/>
            <w:tcMar>
              <w:top w:w="0" w:type="dxa"/>
              <w:left w:w="108" w:type="dxa"/>
              <w:bottom w:w="0" w:type="dxa"/>
              <w:right w:w="108" w:type="dxa"/>
            </w:tcMar>
            <w:vAlign w:val="center"/>
          </w:tcPr>
          <w:p w14:paraId="4ED3C51E" w14:textId="77777777" w:rsidR="00213F92" w:rsidRDefault="00000000" w:rsidP="004B7254">
            <w:pPr>
              <w:spacing w:after="0"/>
            </w:pPr>
            <w:r>
              <w:rPr>
                <w:sz w:val="17"/>
              </w:rPr>
              <w:t>Lower FICO proxy</w:t>
            </w:r>
          </w:p>
        </w:tc>
        <w:tc>
          <w:tcPr>
            <w:tcW w:w="1557" w:type="pct"/>
            <w:gridSpan w:val="3"/>
            <w:tcMar>
              <w:top w:w="0" w:type="dxa"/>
              <w:left w:w="108" w:type="dxa"/>
              <w:bottom w:w="0" w:type="dxa"/>
              <w:right w:w="108" w:type="dxa"/>
            </w:tcMar>
            <w:vAlign w:val="center"/>
          </w:tcPr>
          <w:p w14:paraId="2D3DF5BA" w14:textId="77777777" w:rsidR="00213F92" w:rsidRDefault="00000000" w:rsidP="004B7254">
            <w:pPr>
              <w:spacing w:after="0"/>
            </w:pPr>
            <w:r>
              <w:rPr>
                <w:sz w:val="17"/>
              </w:rPr>
              <w:t>Higher PD</w:t>
            </w:r>
          </w:p>
        </w:tc>
        <w:tc>
          <w:tcPr>
            <w:tcW w:w="1778" w:type="pct"/>
            <w:gridSpan w:val="2"/>
            <w:tcMar>
              <w:top w:w="0" w:type="dxa"/>
              <w:left w:w="108" w:type="dxa"/>
              <w:bottom w:w="0" w:type="dxa"/>
              <w:right w:w="108" w:type="dxa"/>
            </w:tcMar>
            <w:vAlign w:val="center"/>
          </w:tcPr>
          <w:p w14:paraId="3D08B4A4" w14:textId="77777777" w:rsidR="00213F92" w:rsidRDefault="00000000" w:rsidP="004B7254">
            <w:pPr>
              <w:spacing w:after="0"/>
            </w:pPr>
            <w:r>
              <w:rPr>
                <w:sz w:val="17"/>
              </w:rPr>
              <w:t>Weaker credit quality</w:t>
            </w:r>
          </w:p>
        </w:tc>
      </w:tr>
      <w:tr w:rsidR="00213F92" w14:paraId="5CF1846A" w14:textId="77777777" w:rsidTr="004B7254">
        <w:trPr>
          <w:trHeight w:hRule="exact" w:val="198"/>
          <w:jc w:val="center"/>
        </w:trPr>
        <w:tc>
          <w:tcPr>
            <w:tcW w:w="1665" w:type="pct"/>
            <w:gridSpan w:val="3"/>
            <w:tcMar>
              <w:top w:w="0" w:type="dxa"/>
              <w:left w:w="108" w:type="dxa"/>
              <w:bottom w:w="0" w:type="dxa"/>
              <w:right w:w="108" w:type="dxa"/>
            </w:tcMar>
            <w:vAlign w:val="center"/>
          </w:tcPr>
          <w:p w14:paraId="297794BC" w14:textId="77777777" w:rsidR="00213F92" w:rsidRDefault="00000000" w:rsidP="004B7254">
            <w:pPr>
              <w:spacing w:after="0"/>
            </w:pPr>
            <w:r>
              <w:rPr>
                <w:sz w:val="17"/>
              </w:rPr>
              <w:t>Higher DTI</w:t>
            </w:r>
          </w:p>
        </w:tc>
        <w:tc>
          <w:tcPr>
            <w:tcW w:w="1557" w:type="pct"/>
            <w:gridSpan w:val="3"/>
            <w:tcMar>
              <w:top w:w="0" w:type="dxa"/>
              <w:left w:w="108" w:type="dxa"/>
              <w:bottom w:w="0" w:type="dxa"/>
              <w:right w:w="108" w:type="dxa"/>
            </w:tcMar>
            <w:vAlign w:val="center"/>
          </w:tcPr>
          <w:p w14:paraId="6B91C809" w14:textId="77777777" w:rsidR="00213F92" w:rsidRDefault="00000000" w:rsidP="004B7254">
            <w:pPr>
              <w:spacing w:after="0"/>
            </w:pPr>
            <w:r>
              <w:rPr>
                <w:sz w:val="17"/>
              </w:rPr>
              <w:t>Higher PD</w:t>
            </w:r>
          </w:p>
        </w:tc>
        <w:tc>
          <w:tcPr>
            <w:tcW w:w="1778" w:type="pct"/>
            <w:gridSpan w:val="2"/>
            <w:tcMar>
              <w:top w:w="0" w:type="dxa"/>
              <w:left w:w="108" w:type="dxa"/>
              <w:bottom w:w="0" w:type="dxa"/>
              <w:right w:w="108" w:type="dxa"/>
            </w:tcMar>
            <w:vAlign w:val="center"/>
          </w:tcPr>
          <w:p w14:paraId="52B3F602" w14:textId="77777777" w:rsidR="00213F92" w:rsidRDefault="00000000" w:rsidP="004B7254">
            <w:pPr>
              <w:spacing w:after="0"/>
            </w:pPr>
            <w:r>
              <w:rPr>
                <w:sz w:val="17"/>
              </w:rPr>
              <w:t>Debt burden risk</w:t>
            </w:r>
          </w:p>
        </w:tc>
      </w:tr>
      <w:tr w:rsidR="00213F92" w14:paraId="13363157" w14:textId="77777777" w:rsidTr="004B7254">
        <w:trPr>
          <w:trHeight w:hRule="exact" w:val="198"/>
          <w:jc w:val="center"/>
        </w:trPr>
        <w:tc>
          <w:tcPr>
            <w:tcW w:w="1665" w:type="pct"/>
            <w:gridSpan w:val="3"/>
            <w:tcMar>
              <w:top w:w="0" w:type="dxa"/>
              <w:left w:w="108" w:type="dxa"/>
              <w:bottom w:w="0" w:type="dxa"/>
              <w:right w:w="108" w:type="dxa"/>
            </w:tcMar>
            <w:vAlign w:val="center"/>
          </w:tcPr>
          <w:p w14:paraId="3871C09B" w14:textId="77777777" w:rsidR="00213F92" w:rsidRDefault="00000000" w:rsidP="004B7254">
            <w:pPr>
              <w:spacing w:after="0"/>
            </w:pPr>
            <w:r>
              <w:rPr>
                <w:sz w:val="17"/>
              </w:rPr>
              <w:t>More delinquencies</w:t>
            </w:r>
          </w:p>
        </w:tc>
        <w:tc>
          <w:tcPr>
            <w:tcW w:w="1557" w:type="pct"/>
            <w:gridSpan w:val="3"/>
            <w:tcMar>
              <w:top w:w="0" w:type="dxa"/>
              <w:left w:w="108" w:type="dxa"/>
              <w:bottom w:w="0" w:type="dxa"/>
              <w:right w:w="108" w:type="dxa"/>
            </w:tcMar>
            <w:vAlign w:val="center"/>
          </w:tcPr>
          <w:p w14:paraId="7EF6DBF0" w14:textId="77777777" w:rsidR="00213F92" w:rsidRDefault="00000000" w:rsidP="004B7254">
            <w:pPr>
              <w:spacing w:after="0"/>
            </w:pPr>
            <w:r>
              <w:rPr>
                <w:sz w:val="17"/>
              </w:rPr>
              <w:t>Higher PD</w:t>
            </w:r>
          </w:p>
        </w:tc>
        <w:tc>
          <w:tcPr>
            <w:tcW w:w="1778" w:type="pct"/>
            <w:gridSpan w:val="2"/>
            <w:tcMar>
              <w:top w:w="0" w:type="dxa"/>
              <w:left w:w="108" w:type="dxa"/>
              <w:bottom w:w="0" w:type="dxa"/>
              <w:right w:w="108" w:type="dxa"/>
            </w:tcMar>
            <w:vAlign w:val="center"/>
          </w:tcPr>
          <w:p w14:paraId="5F607A06" w14:textId="77777777" w:rsidR="00213F92" w:rsidRDefault="00000000" w:rsidP="004B7254">
            <w:pPr>
              <w:spacing w:after="0"/>
            </w:pPr>
            <w:r>
              <w:rPr>
                <w:sz w:val="17"/>
              </w:rPr>
              <w:t>Prior repayment stress</w:t>
            </w:r>
          </w:p>
        </w:tc>
      </w:tr>
      <w:tr w:rsidR="00213F92" w14:paraId="1E78B006" w14:textId="77777777" w:rsidTr="004B7254">
        <w:trPr>
          <w:trHeight w:hRule="exact" w:val="198"/>
          <w:jc w:val="center"/>
        </w:trPr>
        <w:tc>
          <w:tcPr>
            <w:tcW w:w="1665" w:type="pct"/>
            <w:gridSpan w:val="3"/>
            <w:tcMar>
              <w:top w:w="0" w:type="dxa"/>
              <w:left w:w="108" w:type="dxa"/>
              <w:bottom w:w="0" w:type="dxa"/>
              <w:right w:w="108" w:type="dxa"/>
            </w:tcMar>
            <w:vAlign w:val="center"/>
          </w:tcPr>
          <w:p w14:paraId="210FA56F" w14:textId="77777777" w:rsidR="00213F92" w:rsidRDefault="00000000" w:rsidP="004B7254">
            <w:pPr>
              <w:spacing w:after="0"/>
            </w:pPr>
            <w:r>
              <w:rPr>
                <w:sz w:val="17"/>
              </w:rPr>
              <w:t>Longer term</w:t>
            </w:r>
          </w:p>
        </w:tc>
        <w:tc>
          <w:tcPr>
            <w:tcW w:w="1557" w:type="pct"/>
            <w:gridSpan w:val="3"/>
            <w:tcMar>
              <w:top w:w="0" w:type="dxa"/>
              <w:left w:w="108" w:type="dxa"/>
              <w:bottom w:w="0" w:type="dxa"/>
              <w:right w:w="108" w:type="dxa"/>
            </w:tcMar>
            <w:vAlign w:val="center"/>
          </w:tcPr>
          <w:p w14:paraId="704A4A18" w14:textId="77777777" w:rsidR="00213F92" w:rsidRDefault="00000000" w:rsidP="004B7254">
            <w:pPr>
              <w:spacing w:after="0"/>
            </w:pPr>
            <w:r>
              <w:rPr>
                <w:sz w:val="17"/>
              </w:rPr>
              <w:t>Higher PD</w:t>
            </w:r>
          </w:p>
        </w:tc>
        <w:tc>
          <w:tcPr>
            <w:tcW w:w="1778" w:type="pct"/>
            <w:gridSpan w:val="2"/>
            <w:tcMar>
              <w:top w:w="0" w:type="dxa"/>
              <w:left w:w="108" w:type="dxa"/>
              <w:bottom w:w="0" w:type="dxa"/>
              <w:right w:w="108" w:type="dxa"/>
            </w:tcMar>
            <w:vAlign w:val="center"/>
          </w:tcPr>
          <w:p w14:paraId="6D097274" w14:textId="77777777" w:rsidR="00213F92" w:rsidRDefault="00000000" w:rsidP="004B7254">
            <w:pPr>
              <w:spacing w:after="0"/>
            </w:pPr>
            <w:r>
              <w:rPr>
                <w:sz w:val="17"/>
              </w:rPr>
              <w:t>Longer exposure horizon</w:t>
            </w:r>
          </w:p>
        </w:tc>
      </w:tr>
      <w:tr w:rsidR="00213F92" w14:paraId="4BF8D943" w14:textId="77777777" w:rsidTr="004B7254">
        <w:trPr>
          <w:trHeight w:hRule="exact" w:val="198"/>
          <w:jc w:val="center"/>
        </w:trPr>
        <w:tc>
          <w:tcPr>
            <w:tcW w:w="1665" w:type="pct"/>
            <w:gridSpan w:val="3"/>
            <w:tcMar>
              <w:top w:w="0" w:type="dxa"/>
              <w:left w:w="108" w:type="dxa"/>
              <w:bottom w:w="0" w:type="dxa"/>
              <w:right w:w="108" w:type="dxa"/>
            </w:tcMar>
            <w:vAlign w:val="center"/>
          </w:tcPr>
          <w:p w14:paraId="17058E9B" w14:textId="77777777" w:rsidR="00213F92" w:rsidRDefault="00000000" w:rsidP="004B7254">
            <w:pPr>
              <w:spacing w:after="0"/>
            </w:pPr>
            <w:r>
              <w:rPr>
                <w:sz w:val="17"/>
              </w:rPr>
              <w:t>Higher revolving utilization</w:t>
            </w:r>
          </w:p>
        </w:tc>
        <w:tc>
          <w:tcPr>
            <w:tcW w:w="1557" w:type="pct"/>
            <w:gridSpan w:val="3"/>
            <w:tcMar>
              <w:top w:w="0" w:type="dxa"/>
              <w:left w:w="108" w:type="dxa"/>
              <w:bottom w:w="0" w:type="dxa"/>
              <w:right w:w="108" w:type="dxa"/>
            </w:tcMar>
            <w:vAlign w:val="center"/>
          </w:tcPr>
          <w:p w14:paraId="4B3C7B2B" w14:textId="77777777" w:rsidR="00213F92" w:rsidRDefault="00000000" w:rsidP="004B7254">
            <w:pPr>
              <w:spacing w:after="0"/>
            </w:pPr>
            <w:r>
              <w:rPr>
                <w:sz w:val="17"/>
              </w:rPr>
              <w:t>Higher PD</w:t>
            </w:r>
          </w:p>
        </w:tc>
        <w:tc>
          <w:tcPr>
            <w:tcW w:w="1778" w:type="pct"/>
            <w:gridSpan w:val="2"/>
            <w:tcMar>
              <w:top w:w="0" w:type="dxa"/>
              <w:left w:w="108" w:type="dxa"/>
              <w:bottom w:w="0" w:type="dxa"/>
              <w:right w:w="108" w:type="dxa"/>
            </w:tcMar>
            <w:vAlign w:val="center"/>
          </w:tcPr>
          <w:p w14:paraId="6A4DF690" w14:textId="77777777" w:rsidR="00213F92" w:rsidRDefault="00000000" w:rsidP="004B7254">
            <w:pPr>
              <w:spacing w:after="0"/>
            </w:pPr>
            <w:r>
              <w:rPr>
                <w:sz w:val="17"/>
              </w:rPr>
              <w:t>Liquidity pressure</w:t>
            </w:r>
          </w:p>
        </w:tc>
      </w:tr>
      <w:tr w:rsidR="003E6E16" w:rsidRPr="00B971D6" w14:paraId="7E902B25" w14:textId="77777777" w:rsidTr="00A94D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9"/>
          <w:jc w:val="center"/>
        </w:trPr>
        <w:tc>
          <w:tcPr>
            <w:tcW w:w="1007"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24B3CF36" w14:textId="77777777" w:rsidR="003E6E16" w:rsidRPr="00B971D6" w:rsidRDefault="00000000">
            <w:pPr>
              <w:spacing w:after="0"/>
              <w:rPr>
                <w:sz w:val="17"/>
                <w:szCs w:val="17"/>
              </w:rPr>
            </w:pPr>
            <w:r w:rsidRPr="00B971D6">
              <w:rPr>
                <w:b/>
                <w:sz w:val="17"/>
                <w:szCs w:val="17"/>
              </w:rPr>
              <w:t>Model</w:t>
            </w:r>
          </w:p>
        </w:tc>
        <w:tc>
          <w:tcPr>
            <w:tcW w:w="502"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2121055D" w14:textId="77777777" w:rsidR="003E6E16" w:rsidRPr="00B971D6" w:rsidRDefault="00000000">
            <w:pPr>
              <w:spacing w:after="0"/>
              <w:rPr>
                <w:sz w:val="17"/>
                <w:szCs w:val="17"/>
              </w:rPr>
            </w:pPr>
            <w:r w:rsidRPr="00B971D6">
              <w:rPr>
                <w:b/>
                <w:sz w:val="17"/>
                <w:szCs w:val="17"/>
              </w:rPr>
              <w:t>Sample</w:t>
            </w:r>
          </w:p>
        </w:tc>
        <w:tc>
          <w:tcPr>
            <w:tcW w:w="1239" w:type="pct"/>
            <w:gridSpan w:val="2"/>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0AD783D9" w14:textId="77777777" w:rsidR="003E6E16" w:rsidRPr="00B971D6" w:rsidRDefault="00000000">
            <w:pPr>
              <w:spacing w:after="0"/>
              <w:rPr>
                <w:sz w:val="17"/>
                <w:szCs w:val="17"/>
              </w:rPr>
            </w:pPr>
            <w:r w:rsidRPr="00B971D6">
              <w:rPr>
                <w:b/>
                <w:sz w:val="17"/>
                <w:szCs w:val="17"/>
              </w:rPr>
              <w:t>AUC</w:t>
            </w:r>
          </w:p>
        </w:tc>
        <w:tc>
          <w:tcPr>
            <w:tcW w:w="385"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08E9E51E" w14:textId="77777777" w:rsidR="003E6E16" w:rsidRPr="00B971D6" w:rsidRDefault="00000000">
            <w:pPr>
              <w:spacing w:after="0"/>
              <w:rPr>
                <w:sz w:val="17"/>
                <w:szCs w:val="17"/>
              </w:rPr>
            </w:pPr>
            <w:r w:rsidRPr="00B971D6">
              <w:rPr>
                <w:b/>
                <w:sz w:val="17"/>
                <w:szCs w:val="17"/>
              </w:rPr>
              <w:t>Gini</w:t>
            </w:r>
          </w:p>
        </w:tc>
        <w:tc>
          <w:tcPr>
            <w:tcW w:w="1420" w:type="pct"/>
            <w:gridSpan w:val="2"/>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100755BE" w14:textId="77777777" w:rsidR="003E6E16" w:rsidRPr="00B971D6" w:rsidRDefault="00000000">
            <w:pPr>
              <w:spacing w:after="0"/>
              <w:rPr>
                <w:sz w:val="17"/>
                <w:szCs w:val="17"/>
              </w:rPr>
            </w:pPr>
            <w:r w:rsidRPr="00B971D6">
              <w:rPr>
                <w:b/>
                <w:sz w:val="17"/>
                <w:szCs w:val="17"/>
              </w:rPr>
              <w:t>Precision</w:t>
            </w:r>
          </w:p>
        </w:tc>
        <w:tc>
          <w:tcPr>
            <w:tcW w:w="447"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04710317" w14:textId="77777777" w:rsidR="003E6E16" w:rsidRPr="00B971D6" w:rsidRDefault="00000000">
            <w:pPr>
              <w:spacing w:after="0"/>
              <w:rPr>
                <w:sz w:val="17"/>
                <w:szCs w:val="17"/>
              </w:rPr>
            </w:pPr>
            <w:r w:rsidRPr="00B971D6">
              <w:rPr>
                <w:b/>
                <w:sz w:val="17"/>
                <w:szCs w:val="17"/>
              </w:rPr>
              <w:t>Recall</w:t>
            </w:r>
          </w:p>
        </w:tc>
      </w:tr>
      <w:tr w:rsidR="003E6E16" w:rsidRPr="00B971D6" w14:paraId="1A385366" w14:textId="77777777" w:rsidTr="00A94D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9"/>
          <w:jc w:val="center"/>
        </w:trPr>
        <w:tc>
          <w:tcPr>
            <w:tcW w:w="1007" w:type="pct"/>
            <w:tcBorders>
              <w:top w:val="single" w:sz="2" w:space="0" w:color="D9D9D9"/>
              <w:left w:val="single" w:sz="2" w:space="0" w:color="D9D9D9"/>
              <w:bottom w:val="single" w:sz="2" w:space="0" w:color="D9D9D9"/>
              <w:right w:val="single" w:sz="2" w:space="0" w:color="D9D9D9"/>
            </w:tcBorders>
            <w:vAlign w:val="center"/>
          </w:tcPr>
          <w:p w14:paraId="7BD42791" w14:textId="77777777" w:rsidR="003E6E16" w:rsidRPr="00B971D6" w:rsidRDefault="00000000">
            <w:pPr>
              <w:spacing w:after="0"/>
              <w:rPr>
                <w:sz w:val="17"/>
                <w:szCs w:val="17"/>
              </w:rPr>
            </w:pPr>
            <w:r w:rsidRPr="00B971D6">
              <w:rPr>
                <w:sz w:val="17"/>
                <w:szCs w:val="17"/>
              </w:rPr>
              <w:t>Logistic Regression</w:t>
            </w:r>
          </w:p>
        </w:tc>
        <w:tc>
          <w:tcPr>
            <w:tcW w:w="502" w:type="pct"/>
            <w:tcBorders>
              <w:top w:val="single" w:sz="2" w:space="0" w:color="D9D9D9"/>
              <w:left w:val="single" w:sz="2" w:space="0" w:color="D9D9D9"/>
              <w:bottom w:val="single" w:sz="2" w:space="0" w:color="D9D9D9"/>
              <w:right w:val="single" w:sz="2" w:space="0" w:color="D9D9D9"/>
            </w:tcBorders>
            <w:vAlign w:val="center"/>
          </w:tcPr>
          <w:p w14:paraId="14FEF2EB" w14:textId="77777777" w:rsidR="003E6E16" w:rsidRPr="00B971D6" w:rsidRDefault="00000000">
            <w:pPr>
              <w:spacing w:after="0"/>
              <w:rPr>
                <w:sz w:val="17"/>
                <w:szCs w:val="17"/>
              </w:rPr>
            </w:pPr>
            <w:r w:rsidRPr="00B971D6">
              <w:rPr>
                <w:sz w:val="17"/>
                <w:szCs w:val="17"/>
              </w:rPr>
              <w:t>Train</w:t>
            </w:r>
          </w:p>
        </w:tc>
        <w:tc>
          <w:tcPr>
            <w:tcW w:w="1239" w:type="pct"/>
            <w:gridSpan w:val="2"/>
            <w:tcBorders>
              <w:top w:val="single" w:sz="2" w:space="0" w:color="D9D9D9"/>
              <w:left w:val="single" w:sz="2" w:space="0" w:color="D9D9D9"/>
              <w:bottom w:val="single" w:sz="2" w:space="0" w:color="D9D9D9"/>
              <w:right w:val="single" w:sz="2" w:space="0" w:color="D9D9D9"/>
            </w:tcBorders>
            <w:vAlign w:val="center"/>
          </w:tcPr>
          <w:p w14:paraId="13B9E3FC" w14:textId="77777777" w:rsidR="003E6E16" w:rsidRPr="00B971D6" w:rsidRDefault="00000000">
            <w:pPr>
              <w:spacing w:after="0"/>
              <w:rPr>
                <w:sz w:val="17"/>
                <w:szCs w:val="17"/>
              </w:rPr>
            </w:pPr>
            <w:r w:rsidRPr="00B971D6">
              <w:rPr>
                <w:sz w:val="17"/>
                <w:szCs w:val="17"/>
              </w:rPr>
              <w:t>0.710</w:t>
            </w:r>
          </w:p>
        </w:tc>
        <w:tc>
          <w:tcPr>
            <w:tcW w:w="385" w:type="pct"/>
            <w:tcBorders>
              <w:top w:val="single" w:sz="2" w:space="0" w:color="D9D9D9"/>
              <w:left w:val="single" w:sz="2" w:space="0" w:color="D9D9D9"/>
              <w:bottom w:val="single" w:sz="2" w:space="0" w:color="D9D9D9"/>
              <w:right w:val="single" w:sz="2" w:space="0" w:color="D9D9D9"/>
            </w:tcBorders>
            <w:vAlign w:val="center"/>
          </w:tcPr>
          <w:p w14:paraId="5D6C0061" w14:textId="77777777" w:rsidR="003E6E16" w:rsidRPr="00B971D6" w:rsidRDefault="00000000">
            <w:pPr>
              <w:spacing w:after="0"/>
              <w:rPr>
                <w:sz w:val="17"/>
                <w:szCs w:val="17"/>
              </w:rPr>
            </w:pPr>
            <w:r w:rsidRPr="00B971D6">
              <w:rPr>
                <w:sz w:val="17"/>
                <w:szCs w:val="17"/>
              </w:rPr>
              <w:t>0.420</w:t>
            </w:r>
          </w:p>
        </w:tc>
        <w:tc>
          <w:tcPr>
            <w:tcW w:w="1420" w:type="pct"/>
            <w:gridSpan w:val="2"/>
            <w:tcBorders>
              <w:top w:val="single" w:sz="2" w:space="0" w:color="D9D9D9"/>
              <w:left w:val="single" w:sz="2" w:space="0" w:color="D9D9D9"/>
              <w:bottom w:val="single" w:sz="2" w:space="0" w:color="D9D9D9"/>
              <w:right w:val="single" w:sz="2" w:space="0" w:color="D9D9D9"/>
            </w:tcBorders>
            <w:vAlign w:val="center"/>
          </w:tcPr>
          <w:p w14:paraId="13576E2B" w14:textId="77777777" w:rsidR="003E6E16" w:rsidRPr="00B971D6" w:rsidRDefault="00000000">
            <w:pPr>
              <w:spacing w:after="0"/>
              <w:rPr>
                <w:sz w:val="17"/>
                <w:szCs w:val="17"/>
              </w:rPr>
            </w:pPr>
            <w:r w:rsidRPr="00B971D6">
              <w:rPr>
                <w:sz w:val="17"/>
                <w:szCs w:val="17"/>
              </w:rPr>
              <w:t>0.558</w:t>
            </w:r>
          </w:p>
        </w:tc>
        <w:tc>
          <w:tcPr>
            <w:tcW w:w="447" w:type="pct"/>
            <w:tcBorders>
              <w:top w:val="single" w:sz="2" w:space="0" w:color="D9D9D9"/>
              <w:left w:val="single" w:sz="2" w:space="0" w:color="D9D9D9"/>
              <w:bottom w:val="single" w:sz="2" w:space="0" w:color="D9D9D9"/>
              <w:right w:val="single" w:sz="2" w:space="0" w:color="D9D9D9"/>
            </w:tcBorders>
            <w:vAlign w:val="center"/>
          </w:tcPr>
          <w:p w14:paraId="1C2A34CD" w14:textId="77777777" w:rsidR="003E6E16" w:rsidRPr="00B971D6" w:rsidRDefault="00000000">
            <w:pPr>
              <w:spacing w:after="0"/>
              <w:rPr>
                <w:sz w:val="17"/>
                <w:szCs w:val="17"/>
              </w:rPr>
            </w:pPr>
            <w:r w:rsidRPr="00B971D6">
              <w:rPr>
                <w:sz w:val="17"/>
                <w:szCs w:val="17"/>
              </w:rPr>
              <w:t>0.070</w:t>
            </w:r>
          </w:p>
        </w:tc>
      </w:tr>
      <w:tr w:rsidR="003E6E16" w:rsidRPr="00B971D6" w14:paraId="492CA32C" w14:textId="77777777" w:rsidTr="00A94D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9"/>
          <w:jc w:val="center"/>
        </w:trPr>
        <w:tc>
          <w:tcPr>
            <w:tcW w:w="1007" w:type="pct"/>
            <w:tcBorders>
              <w:top w:val="single" w:sz="2" w:space="0" w:color="D9D9D9"/>
              <w:left w:val="single" w:sz="2" w:space="0" w:color="D9D9D9"/>
              <w:bottom w:val="single" w:sz="2" w:space="0" w:color="D9D9D9"/>
              <w:right w:val="single" w:sz="2" w:space="0" w:color="D9D9D9"/>
            </w:tcBorders>
            <w:vAlign w:val="center"/>
          </w:tcPr>
          <w:p w14:paraId="7DE428FF" w14:textId="77777777" w:rsidR="003E6E16" w:rsidRPr="00B971D6" w:rsidRDefault="00000000">
            <w:pPr>
              <w:spacing w:after="0"/>
              <w:rPr>
                <w:sz w:val="17"/>
                <w:szCs w:val="17"/>
              </w:rPr>
            </w:pPr>
            <w:r w:rsidRPr="00B971D6">
              <w:rPr>
                <w:sz w:val="17"/>
                <w:szCs w:val="17"/>
              </w:rPr>
              <w:t>Logistic Regression</w:t>
            </w:r>
          </w:p>
        </w:tc>
        <w:tc>
          <w:tcPr>
            <w:tcW w:w="502" w:type="pct"/>
            <w:tcBorders>
              <w:top w:val="single" w:sz="2" w:space="0" w:color="D9D9D9"/>
              <w:left w:val="single" w:sz="2" w:space="0" w:color="D9D9D9"/>
              <w:bottom w:val="single" w:sz="2" w:space="0" w:color="D9D9D9"/>
              <w:right w:val="single" w:sz="2" w:space="0" w:color="D9D9D9"/>
            </w:tcBorders>
            <w:vAlign w:val="center"/>
          </w:tcPr>
          <w:p w14:paraId="3505C0A3" w14:textId="77777777" w:rsidR="003E6E16" w:rsidRPr="00B971D6" w:rsidRDefault="00000000">
            <w:pPr>
              <w:spacing w:after="0"/>
              <w:rPr>
                <w:sz w:val="17"/>
                <w:szCs w:val="17"/>
              </w:rPr>
            </w:pPr>
            <w:r w:rsidRPr="00B971D6">
              <w:rPr>
                <w:sz w:val="17"/>
                <w:szCs w:val="17"/>
              </w:rPr>
              <w:t>Test</w:t>
            </w:r>
          </w:p>
        </w:tc>
        <w:tc>
          <w:tcPr>
            <w:tcW w:w="1239" w:type="pct"/>
            <w:gridSpan w:val="2"/>
            <w:tcBorders>
              <w:top w:val="single" w:sz="2" w:space="0" w:color="D9D9D9"/>
              <w:left w:val="single" w:sz="2" w:space="0" w:color="D9D9D9"/>
              <w:bottom w:val="single" w:sz="2" w:space="0" w:color="D9D9D9"/>
              <w:right w:val="single" w:sz="2" w:space="0" w:color="D9D9D9"/>
            </w:tcBorders>
            <w:vAlign w:val="center"/>
          </w:tcPr>
          <w:p w14:paraId="38BC0CC0" w14:textId="77777777" w:rsidR="003E6E16" w:rsidRPr="00B971D6" w:rsidRDefault="00000000">
            <w:pPr>
              <w:spacing w:after="0"/>
              <w:rPr>
                <w:sz w:val="17"/>
                <w:szCs w:val="17"/>
              </w:rPr>
            </w:pPr>
            <w:r w:rsidRPr="00B971D6">
              <w:rPr>
                <w:sz w:val="17"/>
                <w:szCs w:val="17"/>
              </w:rPr>
              <w:t>0.709</w:t>
            </w:r>
          </w:p>
        </w:tc>
        <w:tc>
          <w:tcPr>
            <w:tcW w:w="385" w:type="pct"/>
            <w:tcBorders>
              <w:top w:val="single" w:sz="2" w:space="0" w:color="D9D9D9"/>
              <w:left w:val="single" w:sz="2" w:space="0" w:color="D9D9D9"/>
              <w:bottom w:val="single" w:sz="2" w:space="0" w:color="D9D9D9"/>
              <w:right w:val="single" w:sz="2" w:space="0" w:color="D9D9D9"/>
            </w:tcBorders>
            <w:vAlign w:val="center"/>
          </w:tcPr>
          <w:p w14:paraId="2141EBEE" w14:textId="77777777" w:rsidR="003E6E16" w:rsidRPr="00B971D6" w:rsidRDefault="00000000">
            <w:pPr>
              <w:spacing w:after="0"/>
              <w:rPr>
                <w:sz w:val="17"/>
                <w:szCs w:val="17"/>
              </w:rPr>
            </w:pPr>
            <w:r w:rsidRPr="00B971D6">
              <w:rPr>
                <w:sz w:val="17"/>
                <w:szCs w:val="17"/>
              </w:rPr>
              <w:t>0.417</w:t>
            </w:r>
          </w:p>
        </w:tc>
        <w:tc>
          <w:tcPr>
            <w:tcW w:w="1420" w:type="pct"/>
            <w:gridSpan w:val="2"/>
            <w:tcBorders>
              <w:top w:val="single" w:sz="2" w:space="0" w:color="D9D9D9"/>
              <w:left w:val="single" w:sz="2" w:space="0" w:color="D9D9D9"/>
              <w:bottom w:val="single" w:sz="2" w:space="0" w:color="D9D9D9"/>
              <w:right w:val="single" w:sz="2" w:space="0" w:color="D9D9D9"/>
            </w:tcBorders>
            <w:vAlign w:val="center"/>
          </w:tcPr>
          <w:p w14:paraId="7904DC8E" w14:textId="77777777" w:rsidR="003E6E16" w:rsidRPr="00B971D6" w:rsidRDefault="00000000">
            <w:pPr>
              <w:spacing w:after="0"/>
              <w:rPr>
                <w:sz w:val="17"/>
                <w:szCs w:val="17"/>
              </w:rPr>
            </w:pPr>
            <w:r w:rsidRPr="00B971D6">
              <w:rPr>
                <w:sz w:val="17"/>
                <w:szCs w:val="17"/>
              </w:rPr>
              <w:t>0.560</w:t>
            </w:r>
          </w:p>
        </w:tc>
        <w:tc>
          <w:tcPr>
            <w:tcW w:w="447" w:type="pct"/>
            <w:tcBorders>
              <w:top w:val="single" w:sz="2" w:space="0" w:color="D9D9D9"/>
              <w:left w:val="single" w:sz="2" w:space="0" w:color="D9D9D9"/>
              <w:bottom w:val="single" w:sz="2" w:space="0" w:color="D9D9D9"/>
              <w:right w:val="single" w:sz="2" w:space="0" w:color="D9D9D9"/>
            </w:tcBorders>
            <w:vAlign w:val="center"/>
          </w:tcPr>
          <w:p w14:paraId="4A8E1E49" w14:textId="77777777" w:rsidR="003E6E16" w:rsidRPr="00B971D6" w:rsidRDefault="00000000">
            <w:pPr>
              <w:spacing w:after="0"/>
              <w:rPr>
                <w:sz w:val="17"/>
                <w:szCs w:val="17"/>
              </w:rPr>
            </w:pPr>
            <w:r w:rsidRPr="00B971D6">
              <w:rPr>
                <w:sz w:val="17"/>
                <w:szCs w:val="17"/>
              </w:rPr>
              <w:t>0.070</w:t>
            </w:r>
          </w:p>
        </w:tc>
      </w:tr>
      <w:tr w:rsidR="003E6E16" w:rsidRPr="00B971D6" w14:paraId="7440267C" w14:textId="77777777" w:rsidTr="00A94D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9"/>
          <w:jc w:val="center"/>
        </w:trPr>
        <w:tc>
          <w:tcPr>
            <w:tcW w:w="1007" w:type="pct"/>
            <w:tcBorders>
              <w:top w:val="single" w:sz="2" w:space="0" w:color="D9D9D9"/>
              <w:left w:val="single" w:sz="2" w:space="0" w:color="D9D9D9"/>
              <w:bottom w:val="single" w:sz="2" w:space="0" w:color="D9D9D9"/>
              <w:right w:val="single" w:sz="2" w:space="0" w:color="D9D9D9"/>
            </w:tcBorders>
            <w:vAlign w:val="center"/>
          </w:tcPr>
          <w:p w14:paraId="507CA1DB" w14:textId="77777777" w:rsidR="003E6E16" w:rsidRPr="00B971D6" w:rsidRDefault="00000000">
            <w:pPr>
              <w:spacing w:after="0"/>
              <w:rPr>
                <w:sz w:val="17"/>
                <w:szCs w:val="17"/>
              </w:rPr>
            </w:pPr>
            <w:r w:rsidRPr="00B971D6">
              <w:rPr>
                <w:sz w:val="17"/>
                <w:szCs w:val="17"/>
              </w:rPr>
              <w:t>XGBoost</w:t>
            </w:r>
          </w:p>
        </w:tc>
        <w:tc>
          <w:tcPr>
            <w:tcW w:w="502" w:type="pct"/>
            <w:tcBorders>
              <w:top w:val="single" w:sz="2" w:space="0" w:color="D9D9D9"/>
              <w:left w:val="single" w:sz="2" w:space="0" w:color="D9D9D9"/>
              <w:bottom w:val="single" w:sz="2" w:space="0" w:color="D9D9D9"/>
              <w:right w:val="single" w:sz="2" w:space="0" w:color="D9D9D9"/>
            </w:tcBorders>
            <w:vAlign w:val="center"/>
          </w:tcPr>
          <w:p w14:paraId="585A245A" w14:textId="77777777" w:rsidR="003E6E16" w:rsidRPr="00B971D6" w:rsidRDefault="00000000">
            <w:pPr>
              <w:spacing w:after="0"/>
              <w:rPr>
                <w:sz w:val="17"/>
                <w:szCs w:val="17"/>
              </w:rPr>
            </w:pPr>
            <w:r w:rsidRPr="00B971D6">
              <w:rPr>
                <w:sz w:val="17"/>
                <w:szCs w:val="17"/>
              </w:rPr>
              <w:t>Train</w:t>
            </w:r>
          </w:p>
        </w:tc>
        <w:tc>
          <w:tcPr>
            <w:tcW w:w="1239" w:type="pct"/>
            <w:gridSpan w:val="2"/>
            <w:tcBorders>
              <w:top w:val="single" w:sz="2" w:space="0" w:color="D9D9D9"/>
              <w:left w:val="single" w:sz="2" w:space="0" w:color="D9D9D9"/>
              <w:bottom w:val="single" w:sz="2" w:space="0" w:color="D9D9D9"/>
              <w:right w:val="single" w:sz="2" w:space="0" w:color="D9D9D9"/>
            </w:tcBorders>
            <w:vAlign w:val="center"/>
          </w:tcPr>
          <w:p w14:paraId="153169B7" w14:textId="77777777" w:rsidR="003E6E16" w:rsidRPr="00B971D6" w:rsidRDefault="00000000">
            <w:pPr>
              <w:spacing w:after="0"/>
              <w:rPr>
                <w:sz w:val="17"/>
                <w:szCs w:val="17"/>
              </w:rPr>
            </w:pPr>
            <w:r w:rsidRPr="00B971D6">
              <w:rPr>
                <w:sz w:val="17"/>
                <w:szCs w:val="17"/>
              </w:rPr>
              <w:t>0.722</w:t>
            </w:r>
          </w:p>
        </w:tc>
        <w:tc>
          <w:tcPr>
            <w:tcW w:w="385" w:type="pct"/>
            <w:tcBorders>
              <w:top w:val="single" w:sz="2" w:space="0" w:color="D9D9D9"/>
              <w:left w:val="single" w:sz="2" w:space="0" w:color="D9D9D9"/>
              <w:bottom w:val="single" w:sz="2" w:space="0" w:color="D9D9D9"/>
              <w:right w:val="single" w:sz="2" w:space="0" w:color="D9D9D9"/>
            </w:tcBorders>
            <w:vAlign w:val="center"/>
          </w:tcPr>
          <w:p w14:paraId="23B13CDE" w14:textId="77777777" w:rsidR="003E6E16" w:rsidRPr="00B971D6" w:rsidRDefault="00000000">
            <w:pPr>
              <w:spacing w:after="0"/>
              <w:rPr>
                <w:sz w:val="17"/>
                <w:szCs w:val="17"/>
              </w:rPr>
            </w:pPr>
            <w:r w:rsidRPr="00B971D6">
              <w:rPr>
                <w:sz w:val="17"/>
                <w:szCs w:val="17"/>
              </w:rPr>
              <w:t>0.444</w:t>
            </w:r>
          </w:p>
        </w:tc>
        <w:tc>
          <w:tcPr>
            <w:tcW w:w="1420" w:type="pct"/>
            <w:gridSpan w:val="2"/>
            <w:tcBorders>
              <w:top w:val="single" w:sz="2" w:space="0" w:color="D9D9D9"/>
              <w:left w:val="single" w:sz="2" w:space="0" w:color="D9D9D9"/>
              <w:bottom w:val="single" w:sz="2" w:space="0" w:color="D9D9D9"/>
              <w:right w:val="single" w:sz="2" w:space="0" w:color="D9D9D9"/>
            </w:tcBorders>
            <w:vAlign w:val="center"/>
          </w:tcPr>
          <w:p w14:paraId="6178CAA4" w14:textId="77777777" w:rsidR="003E6E16" w:rsidRPr="00B971D6" w:rsidRDefault="00000000">
            <w:pPr>
              <w:spacing w:after="0"/>
              <w:rPr>
                <w:sz w:val="17"/>
                <w:szCs w:val="17"/>
              </w:rPr>
            </w:pPr>
            <w:r w:rsidRPr="00B971D6">
              <w:rPr>
                <w:sz w:val="17"/>
                <w:szCs w:val="17"/>
              </w:rPr>
              <w:t>0.579</w:t>
            </w:r>
          </w:p>
        </w:tc>
        <w:tc>
          <w:tcPr>
            <w:tcW w:w="447" w:type="pct"/>
            <w:tcBorders>
              <w:top w:val="single" w:sz="2" w:space="0" w:color="D9D9D9"/>
              <w:left w:val="single" w:sz="2" w:space="0" w:color="D9D9D9"/>
              <w:bottom w:val="single" w:sz="2" w:space="0" w:color="D9D9D9"/>
              <w:right w:val="single" w:sz="2" w:space="0" w:color="D9D9D9"/>
            </w:tcBorders>
            <w:vAlign w:val="center"/>
          </w:tcPr>
          <w:p w14:paraId="7202E60B" w14:textId="77777777" w:rsidR="003E6E16" w:rsidRPr="00B971D6" w:rsidRDefault="00000000">
            <w:pPr>
              <w:spacing w:after="0"/>
              <w:rPr>
                <w:sz w:val="17"/>
                <w:szCs w:val="17"/>
              </w:rPr>
            </w:pPr>
            <w:r w:rsidRPr="00B971D6">
              <w:rPr>
                <w:sz w:val="17"/>
                <w:szCs w:val="17"/>
              </w:rPr>
              <w:t>0.087</w:t>
            </w:r>
          </w:p>
        </w:tc>
      </w:tr>
      <w:tr w:rsidR="003E6E16" w:rsidRPr="00B971D6" w14:paraId="1801D892" w14:textId="77777777" w:rsidTr="00A94D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9"/>
          <w:jc w:val="center"/>
        </w:trPr>
        <w:tc>
          <w:tcPr>
            <w:tcW w:w="1007" w:type="pct"/>
            <w:tcBorders>
              <w:top w:val="single" w:sz="2" w:space="0" w:color="D9D9D9"/>
              <w:left w:val="single" w:sz="2" w:space="0" w:color="D9D9D9"/>
              <w:bottom w:val="single" w:sz="2" w:space="0" w:color="D9D9D9"/>
              <w:right w:val="single" w:sz="2" w:space="0" w:color="D9D9D9"/>
            </w:tcBorders>
            <w:vAlign w:val="center"/>
          </w:tcPr>
          <w:p w14:paraId="5C1151DD" w14:textId="77777777" w:rsidR="003E6E16" w:rsidRPr="00B971D6" w:rsidRDefault="00000000">
            <w:pPr>
              <w:spacing w:after="0"/>
              <w:rPr>
                <w:sz w:val="17"/>
                <w:szCs w:val="17"/>
              </w:rPr>
            </w:pPr>
            <w:r w:rsidRPr="00B971D6">
              <w:rPr>
                <w:sz w:val="17"/>
                <w:szCs w:val="17"/>
              </w:rPr>
              <w:t>XGBoost</w:t>
            </w:r>
          </w:p>
        </w:tc>
        <w:tc>
          <w:tcPr>
            <w:tcW w:w="502" w:type="pct"/>
            <w:tcBorders>
              <w:top w:val="single" w:sz="2" w:space="0" w:color="D9D9D9"/>
              <w:left w:val="single" w:sz="2" w:space="0" w:color="D9D9D9"/>
              <w:bottom w:val="single" w:sz="2" w:space="0" w:color="D9D9D9"/>
              <w:right w:val="single" w:sz="2" w:space="0" w:color="D9D9D9"/>
            </w:tcBorders>
            <w:vAlign w:val="center"/>
          </w:tcPr>
          <w:p w14:paraId="1F7E7E01" w14:textId="77777777" w:rsidR="003E6E16" w:rsidRPr="00B971D6" w:rsidRDefault="00000000">
            <w:pPr>
              <w:spacing w:after="0"/>
              <w:rPr>
                <w:sz w:val="17"/>
                <w:szCs w:val="17"/>
              </w:rPr>
            </w:pPr>
            <w:r w:rsidRPr="00B971D6">
              <w:rPr>
                <w:sz w:val="17"/>
                <w:szCs w:val="17"/>
              </w:rPr>
              <w:t>Test</w:t>
            </w:r>
          </w:p>
        </w:tc>
        <w:tc>
          <w:tcPr>
            <w:tcW w:w="1239" w:type="pct"/>
            <w:gridSpan w:val="2"/>
            <w:tcBorders>
              <w:top w:val="single" w:sz="2" w:space="0" w:color="D9D9D9"/>
              <w:left w:val="single" w:sz="2" w:space="0" w:color="D9D9D9"/>
              <w:bottom w:val="single" w:sz="2" w:space="0" w:color="D9D9D9"/>
              <w:right w:val="single" w:sz="2" w:space="0" w:color="D9D9D9"/>
            </w:tcBorders>
            <w:vAlign w:val="center"/>
          </w:tcPr>
          <w:p w14:paraId="52B4A35C" w14:textId="77777777" w:rsidR="003E6E16" w:rsidRPr="00B971D6" w:rsidRDefault="00000000">
            <w:pPr>
              <w:spacing w:after="0"/>
              <w:rPr>
                <w:sz w:val="17"/>
                <w:szCs w:val="17"/>
              </w:rPr>
            </w:pPr>
            <w:r w:rsidRPr="00B971D6">
              <w:rPr>
                <w:sz w:val="17"/>
                <w:szCs w:val="17"/>
              </w:rPr>
              <w:t>0.718</w:t>
            </w:r>
          </w:p>
        </w:tc>
        <w:tc>
          <w:tcPr>
            <w:tcW w:w="385" w:type="pct"/>
            <w:tcBorders>
              <w:top w:val="single" w:sz="2" w:space="0" w:color="D9D9D9"/>
              <w:left w:val="single" w:sz="2" w:space="0" w:color="D9D9D9"/>
              <w:bottom w:val="single" w:sz="2" w:space="0" w:color="D9D9D9"/>
              <w:right w:val="single" w:sz="2" w:space="0" w:color="D9D9D9"/>
            </w:tcBorders>
            <w:vAlign w:val="center"/>
          </w:tcPr>
          <w:p w14:paraId="76EBE6B2" w14:textId="77777777" w:rsidR="003E6E16" w:rsidRPr="00B971D6" w:rsidRDefault="00000000">
            <w:pPr>
              <w:spacing w:after="0"/>
              <w:rPr>
                <w:sz w:val="17"/>
                <w:szCs w:val="17"/>
              </w:rPr>
            </w:pPr>
            <w:r w:rsidRPr="00B971D6">
              <w:rPr>
                <w:sz w:val="17"/>
                <w:szCs w:val="17"/>
              </w:rPr>
              <w:t>0.436</w:t>
            </w:r>
          </w:p>
        </w:tc>
        <w:tc>
          <w:tcPr>
            <w:tcW w:w="1420" w:type="pct"/>
            <w:gridSpan w:val="2"/>
            <w:tcBorders>
              <w:top w:val="single" w:sz="2" w:space="0" w:color="D9D9D9"/>
              <w:left w:val="single" w:sz="2" w:space="0" w:color="D9D9D9"/>
              <w:bottom w:val="single" w:sz="2" w:space="0" w:color="D9D9D9"/>
              <w:right w:val="single" w:sz="2" w:space="0" w:color="D9D9D9"/>
            </w:tcBorders>
            <w:vAlign w:val="center"/>
          </w:tcPr>
          <w:p w14:paraId="52FE388B" w14:textId="77777777" w:rsidR="003E6E16" w:rsidRPr="00B971D6" w:rsidRDefault="00000000">
            <w:pPr>
              <w:spacing w:after="0"/>
              <w:rPr>
                <w:sz w:val="17"/>
                <w:szCs w:val="17"/>
              </w:rPr>
            </w:pPr>
            <w:r w:rsidRPr="00B971D6">
              <w:rPr>
                <w:sz w:val="17"/>
                <w:szCs w:val="17"/>
              </w:rPr>
              <w:t>0.575</w:t>
            </w:r>
          </w:p>
        </w:tc>
        <w:tc>
          <w:tcPr>
            <w:tcW w:w="447" w:type="pct"/>
            <w:tcBorders>
              <w:top w:val="single" w:sz="2" w:space="0" w:color="D9D9D9"/>
              <w:left w:val="single" w:sz="2" w:space="0" w:color="D9D9D9"/>
              <w:bottom w:val="single" w:sz="2" w:space="0" w:color="D9D9D9"/>
              <w:right w:val="single" w:sz="2" w:space="0" w:color="D9D9D9"/>
            </w:tcBorders>
            <w:vAlign w:val="center"/>
          </w:tcPr>
          <w:p w14:paraId="7DCC0C53" w14:textId="77777777" w:rsidR="003E6E16" w:rsidRPr="00B971D6" w:rsidRDefault="00000000">
            <w:pPr>
              <w:spacing w:after="0"/>
              <w:rPr>
                <w:sz w:val="17"/>
                <w:szCs w:val="17"/>
              </w:rPr>
            </w:pPr>
            <w:r w:rsidRPr="00B971D6">
              <w:rPr>
                <w:sz w:val="17"/>
                <w:szCs w:val="17"/>
              </w:rPr>
              <w:t>0.085</w:t>
            </w:r>
          </w:p>
        </w:tc>
      </w:tr>
    </w:tbl>
    <w:p w14:paraId="19DE1BA7" w14:textId="77777777" w:rsidR="003E6E16" w:rsidRDefault="00000000" w:rsidP="00B971D6">
      <w:pPr>
        <w:pStyle w:val="MemoCaption"/>
        <w:jc w:val="center"/>
      </w:pPr>
      <w:r>
        <w:t>Table 3. Model performance summary.</w:t>
      </w:r>
    </w:p>
    <w:p w14:paraId="78D79B7F" w14:textId="77777777" w:rsidR="003E6E16" w:rsidRDefault="00000000" w:rsidP="00B971D6">
      <w:pPr>
        <w:pStyle w:val="MemoNote"/>
        <w:jc w:val="center"/>
      </w:pPr>
      <w:r>
        <w:rPr>
          <w:i w:val="0"/>
        </w:rPr>
        <w:t>Classification metrics use a 0.50 threshold for transparency. The model is primarily used for PD estimation, calibration, ranking and risk segmentation rather than binary default classification at a fixed threshold. Because the model is used for PD ranking and ECL translation rather than hard binary classification, AUC, Gini, calibration and risk-band separation are more decision-relevant than recall at an arbitrary 0.50 threshold.</w:t>
      </w:r>
    </w:p>
    <w:p w14:paraId="0275626F" w14:textId="77777777" w:rsidR="003E6E16" w:rsidRDefault="00000000">
      <w:pPr>
        <w:jc w:val="center"/>
      </w:pPr>
      <w:r>
        <w:rPr>
          <w:noProof/>
        </w:rPr>
        <w:drawing>
          <wp:inline distT="0" distB="0" distL="0" distR="0" wp14:anchorId="7DF14ACB" wp14:editId="3264D280">
            <wp:extent cx="3483000" cy="232200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_default_by_decile.png"/>
                    <pic:cNvPicPr/>
                  </pic:nvPicPr>
                  <pic:blipFill>
                    <a:blip r:embed="rId8"/>
                    <a:stretch>
                      <a:fillRect/>
                    </a:stretch>
                  </pic:blipFill>
                  <pic:spPr>
                    <a:xfrm>
                      <a:off x="0" y="0"/>
                      <a:ext cx="3483000" cy="2322000"/>
                    </a:xfrm>
                    <a:prstGeom prst="rect">
                      <a:avLst/>
                    </a:prstGeom>
                  </pic:spPr>
                </pic:pic>
              </a:graphicData>
            </a:graphic>
          </wp:inline>
        </w:drawing>
      </w:r>
    </w:p>
    <w:p w14:paraId="6C4DE336" w14:textId="77777777" w:rsidR="003E6E16" w:rsidRDefault="00000000" w:rsidP="00B971D6">
      <w:pPr>
        <w:pStyle w:val="MemoCaption"/>
        <w:jc w:val="center"/>
      </w:pPr>
      <w:r>
        <w:t>Figure 1. Actual versus predicted default rate by PD decile.</w:t>
      </w:r>
    </w:p>
    <w:p w14:paraId="031272E1" w14:textId="77777777" w:rsidR="003E6E16" w:rsidRPr="00B971D6" w:rsidRDefault="00000000" w:rsidP="00E438BD">
      <w:pPr>
        <w:pStyle w:val="Balk1"/>
        <w:spacing w:after="0"/>
        <w:rPr>
          <w:sz w:val="24"/>
          <w:szCs w:val="24"/>
        </w:rPr>
      </w:pPr>
      <w:r w:rsidRPr="00B971D6">
        <w:rPr>
          <w:rFonts w:ascii="Garamond" w:eastAsia="Garamond" w:hAnsi="Garamond"/>
          <w:sz w:val="24"/>
          <w:szCs w:val="24"/>
        </w:rPr>
        <w:t>4. Model Validation and Calibration</w:t>
      </w:r>
    </w:p>
    <w:p w14:paraId="75CDC720" w14:textId="77777777" w:rsidR="003E6E16" w:rsidRDefault="00000000">
      <w:r>
        <w:t>Model validation focuses on both discrimination and calibration. Discrimination is measured through ROC/AUC and Gini. Calibration is evaluated by comparing average predicted PDs with realized default rates by PD decile. The final logistic model shows strong out-of-sample calibration: the first decile has a realized default rate of 4.76% versus an average predicted PD of 4.47%, while the tenth decile has a realized default rate of 47.24% versus an average predicted PD of 46.85%.</w:t>
      </w:r>
    </w:p>
    <w:p w14:paraId="725D08F7" w14:textId="77777777" w:rsidR="003E6E16" w:rsidRDefault="00000000">
      <w:r>
        <w:t xml:space="preserve">This decile-level behavior supports </w:t>
      </w:r>
      <w:r w:rsidR="00B971D6">
        <w:t>the use of</w:t>
      </w:r>
      <w:r>
        <w:t xml:space="preserve"> the logistic model as the primary PD source for risk bands and illustrative ECL. XGBoost produces a modestly higher AUC, but the logistic model is preferred for the main risk workflow because its probability outputs are easier to validate and explain.</w:t>
      </w:r>
    </w:p>
    <w:p w14:paraId="762DE38A" w14:textId="77777777" w:rsidR="003E6E16" w:rsidRDefault="00000000">
      <w:pPr>
        <w:jc w:val="center"/>
      </w:pPr>
      <w:r>
        <w:rPr>
          <w:noProof/>
        </w:rPr>
        <w:lastRenderedPageBreak/>
        <w:drawing>
          <wp:inline distT="0" distB="0" distL="0" distR="0" wp14:anchorId="25C64DDB" wp14:editId="60713737">
            <wp:extent cx="3360000" cy="25200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9"/>
                    <a:stretch>
                      <a:fillRect/>
                    </a:stretch>
                  </pic:blipFill>
                  <pic:spPr>
                    <a:xfrm>
                      <a:off x="0" y="0"/>
                      <a:ext cx="3360000" cy="2520000"/>
                    </a:xfrm>
                    <a:prstGeom prst="rect">
                      <a:avLst/>
                    </a:prstGeom>
                  </pic:spPr>
                </pic:pic>
              </a:graphicData>
            </a:graphic>
          </wp:inline>
        </w:drawing>
      </w:r>
    </w:p>
    <w:p w14:paraId="597F100E" w14:textId="77777777" w:rsidR="003E6E16" w:rsidRDefault="00000000" w:rsidP="00B971D6">
      <w:pPr>
        <w:pStyle w:val="MemoCaption"/>
        <w:jc w:val="center"/>
      </w:pPr>
      <w:r>
        <w:t>Figure 2. ROC curve and discriminatory power of the logistic and XGBoost PD models.</w:t>
      </w:r>
    </w:p>
    <w:p w14:paraId="7A97CAB7" w14:textId="77777777" w:rsidR="003E6E16" w:rsidRPr="00B971D6" w:rsidRDefault="00000000" w:rsidP="00E438BD">
      <w:pPr>
        <w:pStyle w:val="Balk1"/>
        <w:spacing w:after="0"/>
        <w:rPr>
          <w:sz w:val="24"/>
          <w:szCs w:val="24"/>
        </w:rPr>
      </w:pPr>
      <w:r w:rsidRPr="00B971D6">
        <w:rPr>
          <w:rFonts w:ascii="Garamond" w:eastAsia="Garamond" w:hAnsi="Garamond"/>
          <w:sz w:val="24"/>
          <w:szCs w:val="24"/>
        </w:rPr>
        <w:t>5. Risk Segmentation</w:t>
      </w:r>
    </w:p>
    <w:p w14:paraId="2C48C252" w14:textId="77777777" w:rsidR="003E6E16" w:rsidRDefault="00000000">
      <w:r>
        <w:t xml:space="preserve">Borrowers are segmented into four quantile-based risk bands using the primary logistic PD. The bands show a clean monotonic default gradient: Low Risk loans have a 7.37% realized default rate, while Very High Risk loans have a 38.86% realized default rate. The Very High Risk band </w:t>
      </w:r>
      <w:r w:rsidR="00F06E68">
        <w:t xml:space="preserve">accounts for 31.2% of exposure but 45.7% of observed defaults, indicating a material credit </w:t>
      </w:r>
      <w:r>
        <w:t>risk concentration.</w:t>
      </w:r>
    </w:p>
    <w:tbl>
      <w:tblPr>
        <w:tblW w:w="5000" w:type="pct"/>
        <w:jc w:val="center"/>
        <w:tblLook w:val="04A0" w:firstRow="1" w:lastRow="0" w:firstColumn="1" w:lastColumn="0" w:noHBand="0" w:noVBand="1"/>
      </w:tblPr>
      <w:tblGrid>
        <w:gridCol w:w="1675"/>
        <w:gridCol w:w="994"/>
        <w:gridCol w:w="1415"/>
        <w:gridCol w:w="1056"/>
        <w:gridCol w:w="1658"/>
        <w:gridCol w:w="1811"/>
        <w:gridCol w:w="1601"/>
      </w:tblGrid>
      <w:tr w:rsidR="003E6E16" w:rsidRPr="00B971D6" w14:paraId="4CA04846" w14:textId="77777777" w:rsidTr="00B971D6">
        <w:trPr>
          <w:jc w:val="center"/>
        </w:trPr>
        <w:tc>
          <w:tcPr>
            <w:tcW w:w="820"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7E539695" w14:textId="77777777" w:rsidR="003E6E16" w:rsidRPr="00B971D6" w:rsidRDefault="00000000">
            <w:pPr>
              <w:spacing w:after="0"/>
              <w:rPr>
                <w:sz w:val="17"/>
                <w:szCs w:val="17"/>
              </w:rPr>
            </w:pPr>
            <w:r w:rsidRPr="00B971D6">
              <w:rPr>
                <w:b/>
                <w:sz w:val="17"/>
                <w:szCs w:val="17"/>
              </w:rPr>
              <w:t>Risk band</w:t>
            </w:r>
          </w:p>
        </w:tc>
        <w:tc>
          <w:tcPr>
            <w:tcW w:w="487"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67C4C751" w14:textId="77777777" w:rsidR="003E6E16" w:rsidRPr="00B971D6" w:rsidRDefault="00000000">
            <w:pPr>
              <w:spacing w:after="0"/>
              <w:rPr>
                <w:sz w:val="17"/>
                <w:szCs w:val="17"/>
              </w:rPr>
            </w:pPr>
            <w:r w:rsidRPr="00B971D6">
              <w:rPr>
                <w:b/>
                <w:sz w:val="17"/>
                <w:szCs w:val="17"/>
              </w:rPr>
              <w:t>Loans</w:t>
            </w:r>
          </w:p>
        </w:tc>
        <w:tc>
          <w:tcPr>
            <w:tcW w:w="693"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031F4B91" w14:textId="77777777" w:rsidR="003E6E16" w:rsidRPr="00B971D6" w:rsidRDefault="00000000">
            <w:pPr>
              <w:spacing w:after="0"/>
              <w:rPr>
                <w:sz w:val="17"/>
                <w:szCs w:val="17"/>
              </w:rPr>
            </w:pPr>
            <w:r w:rsidRPr="00B971D6">
              <w:rPr>
                <w:b/>
                <w:sz w:val="17"/>
                <w:szCs w:val="17"/>
              </w:rPr>
              <w:t>Exposure</w:t>
            </w:r>
          </w:p>
        </w:tc>
        <w:tc>
          <w:tcPr>
            <w:tcW w:w="517"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62A2A4AF" w14:textId="77777777" w:rsidR="003E6E16" w:rsidRPr="00B971D6" w:rsidRDefault="00000000">
            <w:pPr>
              <w:spacing w:after="0"/>
              <w:rPr>
                <w:sz w:val="17"/>
                <w:szCs w:val="17"/>
              </w:rPr>
            </w:pPr>
            <w:r w:rsidRPr="00B971D6">
              <w:rPr>
                <w:b/>
                <w:sz w:val="17"/>
                <w:szCs w:val="17"/>
              </w:rPr>
              <w:t>Avg PD</w:t>
            </w:r>
          </w:p>
        </w:tc>
        <w:tc>
          <w:tcPr>
            <w:tcW w:w="812"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1494B175" w14:textId="77777777" w:rsidR="003E6E16" w:rsidRPr="00B971D6" w:rsidRDefault="00000000">
            <w:pPr>
              <w:spacing w:after="0"/>
              <w:rPr>
                <w:sz w:val="17"/>
                <w:szCs w:val="17"/>
              </w:rPr>
            </w:pPr>
            <w:r w:rsidRPr="00B971D6">
              <w:rPr>
                <w:b/>
                <w:sz w:val="17"/>
                <w:szCs w:val="17"/>
              </w:rPr>
              <w:t>Actual default</w:t>
            </w:r>
          </w:p>
        </w:tc>
        <w:tc>
          <w:tcPr>
            <w:tcW w:w="887"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2768A4DB" w14:textId="77777777" w:rsidR="003E6E16" w:rsidRPr="00B971D6" w:rsidRDefault="00000000">
            <w:pPr>
              <w:spacing w:after="0"/>
              <w:rPr>
                <w:sz w:val="17"/>
                <w:szCs w:val="17"/>
              </w:rPr>
            </w:pPr>
            <w:r w:rsidRPr="00B971D6">
              <w:rPr>
                <w:b/>
                <w:sz w:val="17"/>
                <w:szCs w:val="17"/>
              </w:rPr>
              <w:t>Exposure share</w:t>
            </w:r>
          </w:p>
        </w:tc>
        <w:tc>
          <w:tcPr>
            <w:tcW w:w="785"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748926BE" w14:textId="77777777" w:rsidR="003E6E16" w:rsidRPr="00B971D6" w:rsidRDefault="00000000">
            <w:pPr>
              <w:spacing w:after="0"/>
              <w:rPr>
                <w:sz w:val="17"/>
                <w:szCs w:val="17"/>
              </w:rPr>
            </w:pPr>
            <w:r w:rsidRPr="00B971D6">
              <w:rPr>
                <w:b/>
                <w:sz w:val="17"/>
                <w:szCs w:val="17"/>
              </w:rPr>
              <w:t>Default share</w:t>
            </w:r>
          </w:p>
        </w:tc>
      </w:tr>
      <w:tr w:rsidR="003E6E16" w:rsidRPr="00B971D6" w14:paraId="4666A52A" w14:textId="77777777" w:rsidTr="00B971D6">
        <w:trPr>
          <w:jc w:val="center"/>
        </w:trPr>
        <w:tc>
          <w:tcPr>
            <w:tcW w:w="820" w:type="pct"/>
            <w:tcBorders>
              <w:top w:val="single" w:sz="2" w:space="0" w:color="D9D9D9"/>
              <w:left w:val="single" w:sz="2" w:space="0" w:color="D9D9D9"/>
              <w:bottom w:val="single" w:sz="2" w:space="0" w:color="D9D9D9"/>
              <w:right w:val="single" w:sz="2" w:space="0" w:color="D9D9D9"/>
            </w:tcBorders>
            <w:vAlign w:val="center"/>
          </w:tcPr>
          <w:p w14:paraId="3C018C02" w14:textId="77777777" w:rsidR="003E6E16" w:rsidRPr="00B971D6" w:rsidRDefault="00000000">
            <w:pPr>
              <w:spacing w:after="0"/>
              <w:rPr>
                <w:sz w:val="17"/>
                <w:szCs w:val="17"/>
              </w:rPr>
            </w:pPr>
            <w:r w:rsidRPr="00B971D6">
              <w:rPr>
                <w:sz w:val="17"/>
                <w:szCs w:val="17"/>
              </w:rPr>
              <w:t>Low Risk</w:t>
            </w:r>
          </w:p>
        </w:tc>
        <w:tc>
          <w:tcPr>
            <w:tcW w:w="487" w:type="pct"/>
            <w:tcBorders>
              <w:top w:val="single" w:sz="2" w:space="0" w:color="D9D9D9"/>
              <w:left w:val="single" w:sz="2" w:space="0" w:color="D9D9D9"/>
              <w:bottom w:val="single" w:sz="2" w:space="0" w:color="D9D9D9"/>
              <w:right w:val="single" w:sz="2" w:space="0" w:color="D9D9D9"/>
            </w:tcBorders>
            <w:vAlign w:val="center"/>
          </w:tcPr>
          <w:p w14:paraId="2264F5C1" w14:textId="77777777" w:rsidR="003E6E16" w:rsidRPr="00B971D6" w:rsidRDefault="00000000">
            <w:pPr>
              <w:spacing w:after="0"/>
              <w:rPr>
                <w:sz w:val="17"/>
                <w:szCs w:val="17"/>
              </w:rPr>
            </w:pPr>
            <w:r w:rsidRPr="00B971D6">
              <w:rPr>
                <w:sz w:val="17"/>
                <w:szCs w:val="17"/>
              </w:rPr>
              <w:t>102,688</w:t>
            </w:r>
          </w:p>
        </w:tc>
        <w:tc>
          <w:tcPr>
            <w:tcW w:w="693" w:type="pct"/>
            <w:tcBorders>
              <w:top w:val="single" w:sz="2" w:space="0" w:color="D9D9D9"/>
              <w:left w:val="single" w:sz="2" w:space="0" w:color="D9D9D9"/>
              <w:bottom w:val="single" w:sz="2" w:space="0" w:color="D9D9D9"/>
              <w:right w:val="single" w:sz="2" w:space="0" w:color="D9D9D9"/>
            </w:tcBorders>
            <w:vAlign w:val="center"/>
          </w:tcPr>
          <w:p w14:paraId="1634BC77" w14:textId="77777777" w:rsidR="003E6E16" w:rsidRPr="00B971D6" w:rsidRDefault="00000000">
            <w:pPr>
              <w:spacing w:after="0"/>
              <w:rPr>
                <w:sz w:val="17"/>
                <w:szCs w:val="17"/>
              </w:rPr>
            </w:pPr>
            <w:r w:rsidRPr="00B971D6">
              <w:rPr>
                <w:sz w:val="17"/>
                <w:szCs w:val="17"/>
              </w:rPr>
              <w:t>USD 1.36bn</w:t>
            </w:r>
          </w:p>
        </w:tc>
        <w:tc>
          <w:tcPr>
            <w:tcW w:w="517" w:type="pct"/>
            <w:tcBorders>
              <w:top w:val="single" w:sz="2" w:space="0" w:color="D9D9D9"/>
              <w:left w:val="single" w:sz="2" w:space="0" w:color="D9D9D9"/>
              <w:bottom w:val="single" w:sz="2" w:space="0" w:color="D9D9D9"/>
              <w:right w:val="single" w:sz="2" w:space="0" w:color="D9D9D9"/>
            </w:tcBorders>
            <w:vAlign w:val="center"/>
          </w:tcPr>
          <w:p w14:paraId="002EE26C" w14:textId="77777777" w:rsidR="003E6E16" w:rsidRPr="00B971D6" w:rsidRDefault="00000000">
            <w:pPr>
              <w:spacing w:after="0"/>
              <w:rPr>
                <w:sz w:val="17"/>
                <w:szCs w:val="17"/>
              </w:rPr>
            </w:pPr>
            <w:r w:rsidRPr="00B971D6">
              <w:rPr>
                <w:sz w:val="17"/>
                <w:szCs w:val="17"/>
              </w:rPr>
              <w:t>7.2%</w:t>
            </w:r>
          </w:p>
        </w:tc>
        <w:tc>
          <w:tcPr>
            <w:tcW w:w="812" w:type="pct"/>
            <w:tcBorders>
              <w:top w:val="single" w:sz="2" w:space="0" w:color="D9D9D9"/>
              <w:left w:val="single" w:sz="2" w:space="0" w:color="D9D9D9"/>
              <w:bottom w:val="single" w:sz="2" w:space="0" w:color="D9D9D9"/>
              <w:right w:val="single" w:sz="2" w:space="0" w:color="D9D9D9"/>
            </w:tcBorders>
            <w:vAlign w:val="center"/>
          </w:tcPr>
          <w:p w14:paraId="21B0FDC3" w14:textId="77777777" w:rsidR="003E6E16" w:rsidRPr="00B971D6" w:rsidRDefault="00000000">
            <w:pPr>
              <w:spacing w:after="0"/>
              <w:rPr>
                <w:sz w:val="17"/>
                <w:szCs w:val="17"/>
              </w:rPr>
            </w:pPr>
            <w:r w:rsidRPr="00B971D6">
              <w:rPr>
                <w:sz w:val="17"/>
                <w:szCs w:val="17"/>
              </w:rPr>
              <w:t>7.4%</w:t>
            </w:r>
          </w:p>
        </w:tc>
        <w:tc>
          <w:tcPr>
            <w:tcW w:w="887" w:type="pct"/>
            <w:tcBorders>
              <w:top w:val="single" w:sz="2" w:space="0" w:color="D9D9D9"/>
              <w:left w:val="single" w:sz="2" w:space="0" w:color="D9D9D9"/>
              <w:bottom w:val="single" w:sz="2" w:space="0" w:color="D9D9D9"/>
              <w:right w:val="single" w:sz="2" w:space="0" w:color="D9D9D9"/>
            </w:tcBorders>
            <w:vAlign w:val="center"/>
          </w:tcPr>
          <w:p w14:paraId="1E03E1FB" w14:textId="77777777" w:rsidR="003E6E16" w:rsidRPr="00B971D6" w:rsidRDefault="00000000">
            <w:pPr>
              <w:spacing w:after="0"/>
              <w:rPr>
                <w:sz w:val="17"/>
                <w:szCs w:val="17"/>
              </w:rPr>
            </w:pPr>
            <w:r w:rsidRPr="00B971D6">
              <w:rPr>
                <w:sz w:val="17"/>
                <w:szCs w:val="17"/>
              </w:rPr>
              <w:t>23.0%</w:t>
            </w:r>
          </w:p>
        </w:tc>
        <w:tc>
          <w:tcPr>
            <w:tcW w:w="785" w:type="pct"/>
            <w:tcBorders>
              <w:top w:val="single" w:sz="2" w:space="0" w:color="D9D9D9"/>
              <w:left w:val="single" w:sz="2" w:space="0" w:color="D9D9D9"/>
              <w:bottom w:val="single" w:sz="2" w:space="0" w:color="D9D9D9"/>
              <w:right w:val="single" w:sz="2" w:space="0" w:color="D9D9D9"/>
            </w:tcBorders>
            <w:vAlign w:val="center"/>
          </w:tcPr>
          <w:p w14:paraId="16012EA1" w14:textId="77777777" w:rsidR="003E6E16" w:rsidRPr="00B971D6" w:rsidRDefault="00000000">
            <w:pPr>
              <w:spacing w:after="0"/>
              <w:rPr>
                <w:sz w:val="17"/>
                <w:szCs w:val="17"/>
              </w:rPr>
            </w:pPr>
            <w:r w:rsidRPr="00B971D6">
              <w:rPr>
                <w:sz w:val="17"/>
                <w:szCs w:val="17"/>
              </w:rPr>
              <w:t>8.7%</w:t>
            </w:r>
          </w:p>
        </w:tc>
      </w:tr>
      <w:tr w:rsidR="003E6E16" w:rsidRPr="00B971D6" w14:paraId="2B2C809E" w14:textId="77777777" w:rsidTr="00B971D6">
        <w:trPr>
          <w:jc w:val="center"/>
        </w:trPr>
        <w:tc>
          <w:tcPr>
            <w:tcW w:w="820" w:type="pct"/>
            <w:tcBorders>
              <w:top w:val="single" w:sz="2" w:space="0" w:color="D9D9D9"/>
              <w:left w:val="single" w:sz="2" w:space="0" w:color="D9D9D9"/>
              <w:bottom w:val="single" w:sz="2" w:space="0" w:color="D9D9D9"/>
              <w:right w:val="single" w:sz="2" w:space="0" w:color="D9D9D9"/>
            </w:tcBorders>
            <w:vAlign w:val="center"/>
          </w:tcPr>
          <w:p w14:paraId="6ADB0B74" w14:textId="77777777" w:rsidR="003E6E16" w:rsidRPr="00B971D6" w:rsidRDefault="00000000">
            <w:pPr>
              <w:spacing w:after="0"/>
              <w:rPr>
                <w:sz w:val="17"/>
                <w:szCs w:val="17"/>
              </w:rPr>
            </w:pPr>
            <w:r w:rsidRPr="00B971D6">
              <w:rPr>
                <w:sz w:val="17"/>
                <w:szCs w:val="17"/>
              </w:rPr>
              <w:t>Medium Risk</w:t>
            </w:r>
          </w:p>
        </w:tc>
        <w:tc>
          <w:tcPr>
            <w:tcW w:w="487" w:type="pct"/>
            <w:tcBorders>
              <w:top w:val="single" w:sz="2" w:space="0" w:color="D9D9D9"/>
              <w:left w:val="single" w:sz="2" w:space="0" w:color="D9D9D9"/>
              <w:bottom w:val="single" w:sz="2" w:space="0" w:color="D9D9D9"/>
              <w:right w:val="single" w:sz="2" w:space="0" w:color="D9D9D9"/>
            </w:tcBorders>
            <w:vAlign w:val="center"/>
          </w:tcPr>
          <w:p w14:paraId="7053611E" w14:textId="77777777" w:rsidR="003E6E16" w:rsidRPr="00B971D6" w:rsidRDefault="00000000">
            <w:pPr>
              <w:spacing w:after="0"/>
              <w:rPr>
                <w:sz w:val="17"/>
                <w:szCs w:val="17"/>
              </w:rPr>
            </w:pPr>
            <w:r w:rsidRPr="00B971D6">
              <w:rPr>
                <w:sz w:val="17"/>
                <w:szCs w:val="17"/>
              </w:rPr>
              <w:t>102,687</w:t>
            </w:r>
          </w:p>
        </w:tc>
        <w:tc>
          <w:tcPr>
            <w:tcW w:w="693" w:type="pct"/>
            <w:tcBorders>
              <w:top w:val="single" w:sz="2" w:space="0" w:color="D9D9D9"/>
              <w:left w:val="single" w:sz="2" w:space="0" w:color="D9D9D9"/>
              <w:bottom w:val="single" w:sz="2" w:space="0" w:color="D9D9D9"/>
              <w:right w:val="single" w:sz="2" w:space="0" w:color="D9D9D9"/>
            </w:tcBorders>
            <w:vAlign w:val="center"/>
          </w:tcPr>
          <w:p w14:paraId="49C19F07" w14:textId="77777777" w:rsidR="003E6E16" w:rsidRPr="00B971D6" w:rsidRDefault="00000000">
            <w:pPr>
              <w:spacing w:after="0"/>
              <w:rPr>
                <w:sz w:val="17"/>
                <w:szCs w:val="17"/>
              </w:rPr>
            </w:pPr>
            <w:r w:rsidRPr="00B971D6">
              <w:rPr>
                <w:sz w:val="17"/>
                <w:szCs w:val="17"/>
              </w:rPr>
              <w:t>USD 1.31bn</w:t>
            </w:r>
          </w:p>
        </w:tc>
        <w:tc>
          <w:tcPr>
            <w:tcW w:w="517" w:type="pct"/>
            <w:tcBorders>
              <w:top w:val="single" w:sz="2" w:space="0" w:color="D9D9D9"/>
              <w:left w:val="single" w:sz="2" w:space="0" w:color="D9D9D9"/>
              <w:bottom w:val="single" w:sz="2" w:space="0" w:color="D9D9D9"/>
              <w:right w:val="single" w:sz="2" w:space="0" w:color="D9D9D9"/>
            </w:tcBorders>
            <w:vAlign w:val="center"/>
          </w:tcPr>
          <w:p w14:paraId="23FEB55F" w14:textId="77777777" w:rsidR="003E6E16" w:rsidRPr="00B971D6" w:rsidRDefault="00000000">
            <w:pPr>
              <w:spacing w:after="0"/>
              <w:rPr>
                <w:sz w:val="17"/>
                <w:szCs w:val="17"/>
              </w:rPr>
            </w:pPr>
            <w:r w:rsidRPr="00B971D6">
              <w:rPr>
                <w:sz w:val="17"/>
                <w:szCs w:val="17"/>
              </w:rPr>
              <w:t>15.3%</w:t>
            </w:r>
          </w:p>
        </w:tc>
        <w:tc>
          <w:tcPr>
            <w:tcW w:w="812" w:type="pct"/>
            <w:tcBorders>
              <w:top w:val="single" w:sz="2" w:space="0" w:color="D9D9D9"/>
              <w:left w:val="single" w:sz="2" w:space="0" w:color="D9D9D9"/>
              <w:bottom w:val="single" w:sz="2" w:space="0" w:color="D9D9D9"/>
              <w:right w:val="single" w:sz="2" w:space="0" w:color="D9D9D9"/>
            </w:tcBorders>
            <w:vAlign w:val="center"/>
          </w:tcPr>
          <w:p w14:paraId="7D80D194" w14:textId="77777777" w:rsidR="003E6E16" w:rsidRPr="00B971D6" w:rsidRDefault="00000000">
            <w:pPr>
              <w:spacing w:after="0"/>
              <w:rPr>
                <w:sz w:val="17"/>
                <w:szCs w:val="17"/>
              </w:rPr>
            </w:pPr>
            <w:r w:rsidRPr="00B971D6">
              <w:rPr>
                <w:sz w:val="17"/>
                <w:szCs w:val="17"/>
              </w:rPr>
              <w:t>15.2%</w:t>
            </w:r>
          </w:p>
        </w:tc>
        <w:tc>
          <w:tcPr>
            <w:tcW w:w="887" w:type="pct"/>
            <w:tcBorders>
              <w:top w:val="single" w:sz="2" w:space="0" w:color="D9D9D9"/>
              <w:left w:val="single" w:sz="2" w:space="0" w:color="D9D9D9"/>
              <w:bottom w:val="single" w:sz="2" w:space="0" w:color="D9D9D9"/>
              <w:right w:val="single" w:sz="2" w:space="0" w:color="D9D9D9"/>
            </w:tcBorders>
            <w:vAlign w:val="center"/>
          </w:tcPr>
          <w:p w14:paraId="51F51353" w14:textId="77777777" w:rsidR="003E6E16" w:rsidRPr="00B971D6" w:rsidRDefault="00000000">
            <w:pPr>
              <w:spacing w:after="0"/>
              <w:rPr>
                <w:sz w:val="17"/>
                <w:szCs w:val="17"/>
              </w:rPr>
            </w:pPr>
            <w:r w:rsidRPr="00B971D6">
              <w:rPr>
                <w:sz w:val="17"/>
                <w:szCs w:val="17"/>
              </w:rPr>
              <w:t>22.1%</w:t>
            </w:r>
          </w:p>
        </w:tc>
        <w:tc>
          <w:tcPr>
            <w:tcW w:w="785" w:type="pct"/>
            <w:tcBorders>
              <w:top w:val="single" w:sz="2" w:space="0" w:color="D9D9D9"/>
              <w:left w:val="single" w:sz="2" w:space="0" w:color="D9D9D9"/>
              <w:bottom w:val="single" w:sz="2" w:space="0" w:color="D9D9D9"/>
              <w:right w:val="single" w:sz="2" w:space="0" w:color="D9D9D9"/>
            </w:tcBorders>
            <w:vAlign w:val="center"/>
          </w:tcPr>
          <w:p w14:paraId="41F33B08" w14:textId="77777777" w:rsidR="003E6E16" w:rsidRPr="00B971D6" w:rsidRDefault="00000000">
            <w:pPr>
              <w:spacing w:after="0"/>
              <w:rPr>
                <w:sz w:val="17"/>
                <w:szCs w:val="17"/>
              </w:rPr>
            </w:pPr>
            <w:r w:rsidRPr="00B971D6">
              <w:rPr>
                <w:sz w:val="17"/>
                <w:szCs w:val="17"/>
              </w:rPr>
              <w:t>17.9%</w:t>
            </w:r>
          </w:p>
        </w:tc>
      </w:tr>
      <w:tr w:rsidR="003E6E16" w:rsidRPr="00B971D6" w14:paraId="736B1867" w14:textId="77777777" w:rsidTr="00B971D6">
        <w:trPr>
          <w:jc w:val="center"/>
        </w:trPr>
        <w:tc>
          <w:tcPr>
            <w:tcW w:w="820" w:type="pct"/>
            <w:tcBorders>
              <w:top w:val="single" w:sz="2" w:space="0" w:color="D9D9D9"/>
              <w:left w:val="single" w:sz="2" w:space="0" w:color="D9D9D9"/>
              <w:bottom w:val="single" w:sz="2" w:space="0" w:color="D9D9D9"/>
              <w:right w:val="single" w:sz="2" w:space="0" w:color="D9D9D9"/>
            </w:tcBorders>
            <w:vAlign w:val="center"/>
          </w:tcPr>
          <w:p w14:paraId="654EF7A7" w14:textId="77777777" w:rsidR="003E6E16" w:rsidRPr="00B971D6" w:rsidRDefault="00000000">
            <w:pPr>
              <w:spacing w:after="0"/>
              <w:rPr>
                <w:sz w:val="17"/>
                <w:szCs w:val="17"/>
              </w:rPr>
            </w:pPr>
            <w:r w:rsidRPr="00B971D6">
              <w:rPr>
                <w:sz w:val="17"/>
                <w:szCs w:val="17"/>
              </w:rPr>
              <w:t>High Risk</w:t>
            </w:r>
          </w:p>
        </w:tc>
        <w:tc>
          <w:tcPr>
            <w:tcW w:w="487" w:type="pct"/>
            <w:tcBorders>
              <w:top w:val="single" w:sz="2" w:space="0" w:color="D9D9D9"/>
              <w:left w:val="single" w:sz="2" w:space="0" w:color="D9D9D9"/>
              <w:bottom w:val="single" w:sz="2" w:space="0" w:color="D9D9D9"/>
              <w:right w:val="single" w:sz="2" w:space="0" w:color="D9D9D9"/>
            </w:tcBorders>
            <w:vAlign w:val="center"/>
          </w:tcPr>
          <w:p w14:paraId="217F9BBC" w14:textId="77777777" w:rsidR="003E6E16" w:rsidRPr="00B971D6" w:rsidRDefault="00000000">
            <w:pPr>
              <w:spacing w:after="0"/>
              <w:rPr>
                <w:sz w:val="17"/>
                <w:szCs w:val="17"/>
              </w:rPr>
            </w:pPr>
            <w:r w:rsidRPr="00B971D6">
              <w:rPr>
                <w:sz w:val="17"/>
                <w:szCs w:val="17"/>
              </w:rPr>
              <w:t>102,687</w:t>
            </w:r>
          </w:p>
        </w:tc>
        <w:tc>
          <w:tcPr>
            <w:tcW w:w="693" w:type="pct"/>
            <w:tcBorders>
              <w:top w:val="single" w:sz="2" w:space="0" w:color="D9D9D9"/>
              <w:left w:val="single" w:sz="2" w:space="0" w:color="D9D9D9"/>
              <w:bottom w:val="single" w:sz="2" w:space="0" w:color="D9D9D9"/>
              <w:right w:val="single" w:sz="2" w:space="0" w:color="D9D9D9"/>
            </w:tcBorders>
            <w:vAlign w:val="center"/>
          </w:tcPr>
          <w:p w14:paraId="37863B83" w14:textId="77777777" w:rsidR="003E6E16" w:rsidRPr="00B971D6" w:rsidRDefault="00000000">
            <w:pPr>
              <w:spacing w:after="0"/>
              <w:rPr>
                <w:sz w:val="17"/>
                <w:szCs w:val="17"/>
              </w:rPr>
            </w:pPr>
            <w:r w:rsidRPr="00B971D6">
              <w:rPr>
                <w:sz w:val="17"/>
                <w:szCs w:val="17"/>
              </w:rPr>
              <w:t>USD 1.40bn</w:t>
            </w:r>
          </w:p>
        </w:tc>
        <w:tc>
          <w:tcPr>
            <w:tcW w:w="517" w:type="pct"/>
            <w:tcBorders>
              <w:top w:val="single" w:sz="2" w:space="0" w:color="D9D9D9"/>
              <w:left w:val="single" w:sz="2" w:space="0" w:color="D9D9D9"/>
              <w:bottom w:val="single" w:sz="2" w:space="0" w:color="D9D9D9"/>
              <w:right w:val="single" w:sz="2" w:space="0" w:color="D9D9D9"/>
            </w:tcBorders>
            <w:vAlign w:val="center"/>
          </w:tcPr>
          <w:p w14:paraId="33A5DD9E" w14:textId="77777777" w:rsidR="003E6E16" w:rsidRPr="00B971D6" w:rsidRDefault="00000000">
            <w:pPr>
              <w:spacing w:after="0"/>
              <w:rPr>
                <w:sz w:val="17"/>
                <w:szCs w:val="17"/>
              </w:rPr>
            </w:pPr>
            <w:r w:rsidRPr="00B971D6">
              <w:rPr>
                <w:sz w:val="17"/>
                <w:szCs w:val="17"/>
              </w:rPr>
              <w:t>23.7%</w:t>
            </w:r>
          </w:p>
        </w:tc>
        <w:tc>
          <w:tcPr>
            <w:tcW w:w="812" w:type="pct"/>
            <w:tcBorders>
              <w:top w:val="single" w:sz="2" w:space="0" w:color="D9D9D9"/>
              <w:left w:val="single" w:sz="2" w:space="0" w:color="D9D9D9"/>
              <w:bottom w:val="single" w:sz="2" w:space="0" w:color="D9D9D9"/>
              <w:right w:val="single" w:sz="2" w:space="0" w:color="D9D9D9"/>
            </w:tcBorders>
            <w:vAlign w:val="center"/>
          </w:tcPr>
          <w:p w14:paraId="7D33C5BE" w14:textId="77777777" w:rsidR="003E6E16" w:rsidRPr="00B971D6" w:rsidRDefault="00000000">
            <w:pPr>
              <w:spacing w:after="0"/>
              <w:rPr>
                <w:sz w:val="17"/>
                <w:szCs w:val="17"/>
              </w:rPr>
            </w:pPr>
            <w:r w:rsidRPr="00B971D6">
              <w:rPr>
                <w:sz w:val="17"/>
                <w:szCs w:val="17"/>
              </w:rPr>
              <w:t>23.5%</w:t>
            </w:r>
          </w:p>
        </w:tc>
        <w:tc>
          <w:tcPr>
            <w:tcW w:w="887" w:type="pct"/>
            <w:tcBorders>
              <w:top w:val="single" w:sz="2" w:space="0" w:color="D9D9D9"/>
              <w:left w:val="single" w:sz="2" w:space="0" w:color="D9D9D9"/>
              <w:bottom w:val="single" w:sz="2" w:space="0" w:color="D9D9D9"/>
              <w:right w:val="single" w:sz="2" w:space="0" w:color="D9D9D9"/>
            </w:tcBorders>
            <w:vAlign w:val="center"/>
          </w:tcPr>
          <w:p w14:paraId="463617F0" w14:textId="77777777" w:rsidR="003E6E16" w:rsidRPr="00B971D6" w:rsidRDefault="00000000">
            <w:pPr>
              <w:spacing w:after="0"/>
              <w:rPr>
                <w:sz w:val="17"/>
                <w:szCs w:val="17"/>
              </w:rPr>
            </w:pPr>
            <w:r w:rsidRPr="00B971D6">
              <w:rPr>
                <w:sz w:val="17"/>
                <w:szCs w:val="17"/>
              </w:rPr>
              <w:t>23.7%</w:t>
            </w:r>
          </w:p>
        </w:tc>
        <w:tc>
          <w:tcPr>
            <w:tcW w:w="785" w:type="pct"/>
            <w:tcBorders>
              <w:top w:val="single" w:sz="2" w:space="0" w:color="D9D9D9"/>
              <w:left w:val="single" w:sz="2" w:space="0" w:color="D9D9D9"/>
              <w:bottom w:val="single" w:sz="2" w:space="0" w:color="D9D9D9"/>
              <w:right w:val="single" w:sz="2" w:space="0" w:color="D9D9D9"/>
            </w:tcBorders>
            <w:vAlign w:val="center"/>
          </w:tcPr>
          <w:p w14:paraId="24412D14" w14:textId="77777777" w:rsidR="003E6E16" w:rsidRPr="00B971D6" w:rsidRDefault="00000000">
            <w:pPr>
              <w:spacing w:after="0"/>
              <w:rPr>
                <w:sz w:val="17"/>
                <w:szCs w:val="17"/>
              </w:rPr>
            </w:pPr>
            <w:r w:rsidRPr="00B971D6">
              <w:rPr>
                <w:sz w:val="17"/>
                <w:szCs w:val="17"/>
              </w:rPr>
              <w:t>27.6%</w:t>
            </w:r>
          </w:p>
        </w:tc>
      </w:tr>
      <w:tr w:rsidR="003E6E16" w:rsidRPr="00B971D6" w14:paraId="46222DCF" w14:textId="77777777" w:rsidTr="00B971D6">
        <w:trPr>
          <w:jc w:val="center"/>
        </w:trPr>
        <w:tc>
          <w:tcPr>
            <w:tcW w:w="820" w:type="pct"/>
            <w:tcBorders>
              <w:top w:val="single" w:sz="2" w:space="0" w:color="D9D9D9"/>
              <w:left w:val="single" w:sz="2" w:space="0" w:color="D9D9D9"/>
              <w:bottom w:val="single" w:sz="2" w:space="0" w:color="D9D9D9"/>
              <w:right w:val="single" w:sz="2" w:space="0" w:color="D9D9D9"/>
            </w:tcBorders>
            <w:vAlign w:val="center"/>
          </w:tcPr>
          <w:p w14:paraId="6E9413D6" w14:textId="77777777" w:rsidR="003E6E16" w:rsidRPr="00B971D6" w:rsidRDefault="00000000">
            <w:pPr>
              <w:spacing w:after="0"/>
              <w:rPr>
                <w:sz w:val="17"/>
                <w:szCs w:val="17"/>
              </w:rPr>
            </w:pPr>
            <w:r w:rsidRPr="00B971D6">
              <w:rPr>
                <w:sz w:val="17"/>
                <w:szCs w:val="17"/>
              </w:rPr>
              <w:t>Very High Risk</w:t>
            </w:r>
          </w:p>
        </w:tc>
        <w:tc>
          <w:tcPr>
            <w:tcW w:w="487" w:type="pct"/>
            <w:tcBorders>
              <w:top w:val="single" w:sz="2" w:space="0" w:color="D9D9D9"/>
              <w:left w:val="single" w:sz="2" w:space="0" w:color="D9D9D9"/>
              <w:bottom w:val="single" w:sz="2" w:space="0" w:color="D9D9D9"/>
              <w:right w:val="single" w:sz="2" w:space="0" w:color="D9D9D9"/>
            </w:tcBorders>
            <w:vAlign w:val="center"/>
          </w:tcPr>
          <w:p w14:paraId="41C9F2A7" w14:textId="77777777" w:rsidR="003E6E16" w:rsidRPr="00B971D6" w:rsidRDefault="00000000">
            <w:pPr>
              <w:spacing w:after="0"/>
              <w:rPr>
                <w:sz w:val="17"/>
                <w:szCs w:val="17"/>
              </w:rPr>
            </w:pPr>
            <w:r w:rsidRPr="00B971D6">
              <w:rPr>
                <w:sz w:val="17"/>
                <w:szCs w:val="17"/>
              </w:rPr>
              <w:t>102,688</w:t>
            </w:r>
          </w:p>
        </w:tc>
        <w:tc>
          <w:tcPr>
            <w:tcW w:w="693" w:type="pct"/>
            <w:tcBorders>
              <w:top w:val="single" w:sz="2" w:space="0" w:color="D9D9D9"/>
              <w:left w:val="single" w:sz="2" w:space="0" w:color="D9D9D9"/>
              <w:bottom w:val="single" w:sz="2" w:space="0" w:color="D9D9D9"/>
              <w:right w:val="single" w:sz="2" w:space="0" w:color="D9D9D9"/>
            </w:tcBorders>
            <w:vAlign w:val="center"/>
          </w:tcPr>
          <w:p w14:paraId="7B6EB885" w14:textId="77777777" w:rsidR="003E6E16" w:rsidRPr="00B971D6" w:rsidRDefault="00000000">
            <w:pPr>
              <w:spacing w:after="0"/>
              <w:rPr>
                <w:sz w:val="17"/>
                <w:szCs w:val="17"/>
              </w:rPr>
            </w:pPr>
            <w:r w:rsidRPr="00B971D6">
              <w:rPr>
                <w:sz w:val="17"/>
                <w:szCs w:val="17"/>
              </w:rPr>
              <w:t>USD 1.85bn</w:t>
            </w:r>
          </w:p>
        </w:tc>
        <w:tc>
          <w:tcPr>
            <w:tcW w:w="517" w:type="pct"/>
            <w:tcBorders>
              <w:top w:val="single" w:sz="2" w:space="0" w:color="D9D9D9"/>
              <w:left w:val="single" w:sz="2" w:space="0" w:color="D9D9D9"/>
              <w:bottom w:val="single" w:sz="2" w:space="0" w:color="D9D9D9"/>
              <w:right w:val="single" w:sz="2" w:space="0" w:color="D9D9D9"/>
            </w:tcBorders>
            <w:vAlign w:val="center"/>
          </w:tcPr>
          <w:p w14:paraId="61A9CDEF" w14:textId="77777777" w:rsidR="003E6E16" w:rsidRPr="00B971D6" w:rsidRDefault="00000000">
            <w:pPr>
              <w:spacing w:after="0"/>
              <w:rPr>
                <w:sz w:val="17"/>
                <w:szCs w:val="17"/>
              </w:rPr>
            </w:pPr>
            <w:r w:rsidRPr="00B971D6">
              <w:rPr>
                <w:sz w:val="17"/>
                <w:szCs w:val="17"/>
              </w:rPr>
              <w:t>38.7%</w:t>
            </w:r>
          </w:p>
        </w:tc>
        <w:tc>
          <w:tcPr>
            <w:tcW w:w="812" w:type="pct"/>
            <w:tcBorders>
              <w:top w:val="single" w:sz="2" w:space="0" w:color="D9D9D9"/>
              <w:left w:val="single" w:sz="2" w:space="0" w:color="D9D9D9"/>
              <w:bottom w:val="single" w:sz="2" w:space="0" w:color="D9D9D9"/>
              <w:right w:val="single" w:sz="2" w:space="0" w:color="D9D9D9"/>
            </w:tcBorders>
            <w:vAlign w:val="center"/>
          </w:tcPr>
          <w:p w14:paraId="4A4E412F" w14:textId="77777777" w:rsidR="003E6E16" w:rsidRPr="00B971D6" w:rsidRDefault="00000000">
            <w:pPr>
              <w:spacing w:after="0"/>
              <w:rPr>
                <w:sz w:val="17"/>
                <w:szCs w:val="17"/>
              </w:rPr>
            </w:pPr>
            <w:r w:rsidRPr="00B971D6">
              <w:rPr>
                <w:sz w:val="17"/>
                <w:szCs w:val="17"/>
              </w:rPr>
              <w:t>38.9%</w:t>
            </w:r>
          </w:p>
        </w:tc>
        <w:tc>
          <w:tcPr>
            <w:tcW w:w="887" w:type="pct"/>
            <w:tcBorders>
              <w:top w:val="single" w:sz="2" w:space="0" w:color="D9D9D9"/>
              <w:left w:val="single" w:sz="2" w:space="0" w:color="D9D9D9"/>
              <w:bottom w:val="single" w:sz="2" w:space="0" w:color="D9D9D9"/>
              <w:right w:val="single" w:sz="2" w:space="0" w:color="D9D9D9"/>
            </w:tcBorders>
            <w:vAlign w:val="center"/>
          </w:tcPr>
          <w:p w14:paraId="37278F7A" w14:textId="77777777" w:rsidR="003E6E16" w:rsidRPr="00B971D6" w:rsidRDefault="00000000">
            <w:pPr>
              <w:spacing w:after="0"/>
              <w:rPr>
                <w:sz w:val="17"/>
                <w:szCs w:val="17"/>
              </w:rPr>
            </w:pPr>
            <w:r w:rsidRPr="00B971D6">
              <w:rPr>
                <w:sz w:val="17"/>
                <w:szCs w:val="17"/>
              </w:rPr>
              <w:t>31.2%</w:t>
            </w:r>
          </w:p>
        </w:tc>
        <w:tc>
          <w:tcPr>
            <w:tcW w:w="785" w:type="pct"/>
            <w:tcBorders>
              <w:top w:val="single" w:sz="2" w:space="0" w:color="D9D9D9"/>
              <w:left w:val="single" w:sz="2" w:space="0" w:color="D9D9D9"/>
              <w:bottom w:val="single" w:sz="2" w:space="0" w:color="D9D9D9"/>
              <w:right w:val="single" w:sz="2" w:space="0" w:color="D9D9D9"/>
            </w:tcBorders>
            <w:vAlign w:val="center"/>
          </w:tcPr>
          <w:p w14:paraId="03B80847" w14:textId="77777777" w:rsidR="003E6E16" w:rsidRPr="00B971D6" w:rsidRDefault="00000000">
            <w:pPr>
              <w:spacing w:after="0"/>
              <w:rPr>
                <w:sz w:val="17"/>
                <w:szCs w:val="17"/>
              </w:rPr>
            </w:pPr>
            <w:r w:rsidRPr="00B971D6">
              <w:rPr>
                <w:sz w:val="17"/>
                <w:szCs w:val="17"/>
              </w:rPr>
              <w:t>45.7%</w:t>
            </w:r>
          </w:p>
        </w:tc>
      </w:tr>
    </w:tbl>
    <w:p w14:paraId="284449DF" w14:textId="77777777" w:rsidR="003E6E16" w:rsidRDefault="00000000" w:rsidP="00B971D6">
      <w:pPr>
        <w:pStyle w:val="MemoCaption"/>
        <w:jc w:val="center"/>
      </w:pPr>
      <w:r>
        <w:t>Table 4. Risk-band summary based on primary logistic PD.</w:t>
      </w:r>
    </w:p>
    <w:p w14:paraId="5ED2CA86" w14:textId="77777777" w:rsidR="003E6E16" w:rsidRDefault="00000000">
      <w:pPr>
        <w:jc w:val="center"/>
      </w:pPr>
      <w:r>
        <w:rPr>
          <w:noProof/>
        </w:rPr>
        <w:drawing>
          <wp:inline distT="0" distB="0" distL="0" distR="0" wp14:anchorId="4372DC4E" wp14:editId="71065819">
            <wp:extent cx="3480000" cy="2610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_rate_by_risk_band.png"/>
                    <pic:cNvPicPr/>
                  </pic:nvPicPr>
                  <pic:blipFill>
                    <a:blip r:embed="rId10"/>
                    <a:stretch>
                      <a:fillRect/>
                    </a:stretch>
                  </pic:blipFill>
                  <pic:spPr>
                    <a:xfrm>
                      <a:off x="0" y="0"/>
                      <a:ext cx="3480000" cy="2610000"/>
                    </a:xfrm>
                    <a:prstGeom prst="rect">
                      <a:avLst/>
                    </a:prstGeom>
                  </pic:spPr>
                </pic:pic>
              </a:graphicData>
            </a:graphic>
          </wp:inline>
        </w:drawing>
      </w:r>
    </w:p>
    <w:p w14:paraId="57B060B4" w14:textId="77777777" w:rsidR="003E6E16" w:rsidRDefault="00000000" w:rsidP="00B971D6">
      <w:pPr>
        <w:pStyle w:val="MemoCaption"/>
        <w:jc w:val="center"/>
      </w:pPr>
      <w:r>
        <w:t>Figure 3. Actual default rate by risk band.</w:t>
      </w:r>
    </w:p>
    <w:p w14:paraId="247AB40E" w14:textId="77777777" w:rsidR="003E6E16" w:rsidRPr="00B971D6" w:rsidRDefault="00000000" w:rsidP="00E438BD">
      <w:pPr>
        <w:pStyle w:val="Balk1"/>
        <w:spacing w:after="0"/>
        <w:rPr>
          <w:sz w:val="24"/>
          <w:szCs w:val="24"/>
        </w:rPr>
      </w:pPr>
      <w:r w:rsidRPr="00B971D6">
        <w:rPr>
          <w:rFonts w:ascii="Garamond" w:eastAsia="Garamond" w:hAnsi="Garamond"/>
          <w:sz w:val="24"/>
          <w:szCs w:val="24"/>
        </w:rPr>
        <w:t>6. IFRS 9-style ECL Framework</w:t>
      </w:r>
    </w:p>
    <w:p w14:paraId="125A4EB0" w14:textId="14F4843C" w:rsidR="00E438BD" w:rsidRDefault="00000000">
      <w:r>
        <w:t>The ECL layer translates calibrated PDs into a simplified expected-loss framework. EAD is proxied using funded loan amount. LGD is assumed at 45% in the base case because the public dataset does not provide a reliable internal recovery, collateral and workout dataset. Stage 1 consists of non-defaulted Low and Medium Risk loans; Stage 2 consists of non-defaulted High and Very High Risk loans; and Stage 3 consists of observed defaulted loans. This is an illustrative IFRS 9-style approximation rather than a regulatory implementation. In a production IFRS 9 framework, Stage 2 assignment would require comparing current lifetime risk against origination risk and applying bank-specific significant-increase-in-credit-risk (SICR) rules; here, high predicted PD is used only as a transparent public-data proxy.</w:t>
      </w:r>
    </w:p>
    <w:p w14:paraId="0381A4FA" w14:textId="77777777" w:rsidR="00E438BD" w:rsidRDefault="00E438BD">
      <w:pPr>
        <w:spacing w:after="200" w:line="276" w:lineRule="auto"/>
      </w:pPr>
      <w:r>
        <w:br w:type="page"/>
      </w:r>
    </w:p>
    <w:tbl>
      <w:tblPr>
        <w:tblW w:w="5000" w:type="pct"/>
        <w:jc w:val="center"/>
        <w:tblLook w:val="04A0" w:firstRow="1" w:lastRow="0" w:firstColumn="1" w:lastColumn="0" w:noHBand="0" w:noVBand="1"/>
      </w:tblPr>
      <w:tblGrid>
        <w:gridCol w:w="1312"/>
        <w:gridCol w:w="907"/>
        <w:gridCol w:w="1291"/>
        <w:gridCol w:w="1442"/>
        <w:gridCol w:w="1299"/>
        <w:gridCol w:w="1652"/>
        <w:gridCol w:w="1223"/>
        <w:gridCol w:w="1084"/>
      </w:tblGrid>
      <w:tr w:rsidR="003E6E16" w:rsidRPr="00B971D6" w14:paraId="1254A21B" w14:textId="77777777" w:rsidTr="00E438BD">
        <w:trPr>
          <w:jc w:val="center"/>
        </w:trPr>
        <w:tc>
          <w:tcPr>
            <w:tcW w:w="643"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2D8961FF" w14:textId="77777777" w:rsidR="003E6E16" w:rsidRPr="00B971D6" w:rsidRDefault="00000000">
            <w:pPr>
              <w:spacing w:after="0"/>
              <w:rPr>
                <w:sz w:val="17"/>
                <w:szCs w:val="17"/>
              </w:rPr>
            </w:pPr>
            <w:r w:rsidRPr="00B971D6">
              <w:rPr>
                <w:b/>
                <w:sz w:val="17"/>
                <w:szCs w:val="17"/>
              </w:rPr>
              <w:lastRenderedPageBreak/>
              <w:t>Stage proxy</w:t>
            </w:r>
          </w:p>
        </w:tc>
        <w:tc>
          <w:tcPr>
            <w:tcW w:w="444"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0A8145FD" w14:textId="77777777" w:rsidR="003E6E16" w:rsidRPr="00B971D6" w:rsidRDefault="00000000">
            <w:pPr>
              <w:spacing w:after="0"/>
              <w:rPr>
                <w:sz w:val="17"/>
                <w:szCs w:val="17"/>
              </w:rPr>
            </w:pPr>
            <w:r w:rsidRPr="00B971D6">
              <w:rPr>
                <w:b/>
                <w:sz w:val="17"/>
                <w:szCs w:val="17"/>
              </w:rPr>
              <w:t>Loans</w:t>
            </w:r>
          </w:p>
        </w:tc>
        <w:tc>
          <w:tcPr>
            <w:tcW w:w="632"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1C669FED" w14:textId="77777777" w:rsidR="003E6E16" w:rsidRPr="00B971D6" w:rsidRDefault="00000000">
            <w:pPr>
              <w:spacing w:after="0"/>
              <w:rPr>
                <w:sz w:val="17"/>
                <w:szCs w:val="17"/>
              </w:rPr>
            </w:pPr>
            <w:r w:rsidRPr="00B971D6">
              <w:rPr>
                <w:b/>
                <w:sz w:val="17"/>
                <w:szCs w:val="17"/>
              </w:rPr>
              <w:t>Exposure</w:t>
            </w:r>
          </w:p>
        </w:tc>
        <w:tc>
          <w:tcPr>
            <w:tcW w:w="706"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28121699" w14:textId="77777777" w:rsidR="003E6E16" w:rsidRPr="00B971D6" w:rsidRDefault="00000000">
            <w:pPr>
              <w:spacing w:after="0"/>
              <w:rPr>
                <w:sz w:val="17"/>
                <w:szCs w:val="17"/>
              </w:rPr>
            </w:pPr>
            <w:r w:rsidRPr="00B971D6">
              <w:rPr>
                <w:b/>
                <w:sz w:val="17"/>
                <w:szCs w:val="17"/>
              </w:rPr>
              <w:t>Avg ECL PD</w:t>
            </w:r>
          </w:p>
        </w:tc>
        <w:tc>
          <w:tcPr>
            <w:tcW w:w="636"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58F9BAB5" w14:textId="77777777" w:rsidR="003E6E16" w:rsidRPr="00B971D6" w:rsidRDefault="00000000">
            <w:pPr>
              <w:spacing w:after="0"/>
              <w:rPr>
                <w:sz w:val="17"/>
                <w:szCs w:val="17"/>
              </w:rPr>
            </w:pPr>
            <w:r w:rsidRPr="00B971D6">
              <w:rPr>
                <w:b/>
                <w:sz w:val="17"/>
                <w:szCs w:val="17"/>
              </w:rPr>
              <w:t>ECL</w:t>
            </w:r>
          </w:p>
        </w:tc>
        <w:tc>
          <w:tcPr>
            <w:tcW w:w="809"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7F7C8465" w14:textId="77777777" w:rsidR="003E6E16" w:rsidRPr="00B971D6" w:rsidRDefault="00000000">
            <w:pPr>
              <w:spacing w:after="0"/>
              <w:rPr>
                <w:sz w:val="17"/>
                <w:szCs w:val="17"/>
              </w:rPr>
            </w:pPr>
            <w:r w:rsidRPr="00B971D6">
              <w:rPr>
                <w:b/>
                <w:sz w:val="17"/>
                <w:szCs w:val="17"/>
              </w:rPr>
              <w:t>Exposure share</w:t>
            </w:r>
          </w:p>
        </w:tc>
        <w:tc>
          <w:tcPr>
            <w:tcW w:w="599"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66F0244E" w14:textId="77777777" w:rsidR="003E6E16" w:rsidRPr="00B971D6" w:rsidRDefault="00000000">
            <w:pPr>
              <w:spacing w:after="0"/>
              <w:rPr>
                <w:sz w:val="17"/>
                <w:szCs w:val="17"/>
              </w:rPr>
            </w:pPr>
            <w:r w:rsidRPr="00B971D6">
              <w:rPr>
                <w:b/>
                <w:sz w:val="17"/>
                <w:szCs w:val="17"/>
              </w:rPr>
              <w:t>ECL share</w:t>
            </w:r>
          </w:p>
        </w:tc>
        <w:tc>
          <w:tcPr>
            <w:tcW w:w="531"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25ADA9B7" w14:textId="77777777" w:rsidR="003E6E16" w:rsidRPr="00B971D6" w:rsidRDefault="00000000">
            <w:pPr>
              <w:spacing w:after="0"/>
              <w:rPr>
                <w:sz w:val="17"/>
                <w:szCs w:val="17"/>
              </w:rPr>
            </w:pPr>
            <w:r w:rsidRPr="00B971D6">
              <w:rPr>
                <w:b/>
                <w:sz w:val="17"/>
                <w:szCs w:val="17"/>
              </w:rPr>
              <w:t>ECL rate</w:t>
            </w:r>
          </w:p>
        </w:tc>
      </w:tr>
      <w:tr w:rsidR="003E6E16" w:rsidRPr="00B971D6" w14:paraId="489C4D1C" w14:textId="77777777" w:rsidTr="00E438BD">
        <w:trPr>
          <w:jc w:val="center"/>
        </w:trPr>
        <w:tc>
          <w:tcPr>
            <w:tcW w:w="643" w:type="pct"/>
            <w:tcBorders>
              <w:top w:val="single" w:sz="2" w:space="0" w:color="D9D9D9"/>
              <w:left w:val="single" w:sz="2" w:space="0" w:color="D9D9D9"/>
              <w:bottom w:val="single" w:sz="2" w:space="0" w:color="D9D9D9"/>
              <w:right w:val="single" w:sz="2" w:space="0" w:color="D9D9D9"/>
            </w:tcBorders>
            <w:vAlign w:val="center"/>
          </w:tcPr>
          <w:p w14:paraId="53DBAA5E" w14:textId="77777777" w:rsidR="003E6E16" w:rsidRPr="00B971D6" w:rsidRDefault="00000000">
            <w:pPr>
              <w:spacing w:after="0"/>
              <w:rPr>
                <w:sz w:val="17"/>
                <w:szCs w:val="17"/>
              </w:rPr>
            </w:pPr>
            <w:r w:rsidRPr="00B971D6">
              <w:rPr>
                <w:sz w:val="17"/>
                <w:szCs w:val="17"/>
              </w:rPr>
              <w:t>Stage 1</w:t>
            </w:r>
          </w:p>
        </w:tc>
        <w:tc>
          <w:tcPr>
            <w:tcW w:w="444" w:type="pct"/>
            <w:tcBorders>
              <w:top w:val="single" w:sz="2" w:space="0" w:color="D9D9D9"/>
              <w:left w:val="single" w:sz="2" w:space="0" w:color="D9D9D9"/>
              <w:bottom w:val="single" w:sz="2" w:space="0" w:color="D9D9D9"/>
              <w:right w:val="single" w:sz="2" w:space="0" w:color="D9D9D9"/>
            </w:tcBorders>
            <w:vAlign w:val="center"/>
          </w:tcPr>
          <w:p w14:paraId="2D23B9B5" w14:textId="77777777" w:rsidR="003E6E16" w:rsidRPr="00B971D6" w:rsidRDefault="00000000">
            <w:pPr>
              <w:spacing w:after="0"/>
              <w:rPr>
                <w:sz w:val="17"/>
                <w:szCs w:val="17"/>
              </w:rPr>
            </w:pPr>
            <w:r w:rsidRPr="00B971D6">
              <w:rPr>
                <w:sz w:val="17"/>
                <w:szCs w:val="17"/>
              </w:rPr>
              <w:t>182,171</w:t>
            </w:r>
          </w:p>
        </w:tc>
        <w:tc>
          <w:tcPr>
            <w:tcW w:w="632" w:type="pct"/>
            <w:tcBorders>
              <w:top w:val="single" w:sz="2" w:space="0" w:color="D9D9D9"/>
              <w:left w:val="single" w:sz="2" w:space="0" w:color="D9D9D9"/>
              <w:bottom w:val="single" w:sz="2" w:space="0" w:color="D9D9D9"/>
              <w:right w:val="single" w:sz="2" w:space="0" w:color="D9D9D9"/>
            </w:tcBorders>
            <w:vAlign w:val="center"/>
          </w:tcPr>
          <w:p w14:paraId="4E981B43" w14:textId="77777777" w:rsidR="003E6E16" w:rsidRPr="00B971D6" w:rsidRDefault="00000000">
            <w:pPr>
              <w:spacing w:after="0"/>
              <w:rPr>
                <w:sz w:val="17"/>
                <w:szCs w:val="17"/>
              </w:rPr>
            </w:pPr>
            <w:r w:rsidRPr="00B971D6">
              <w:rPr>
                <w:sz w:val="17"/>
                <w:szCs w:val="17"/>
              </w:rPr>
              <w:t>USD 2.38bn</w:t>
            </w:r>
          </w:p>
        </w:tc>
        <w:tc>
          <w:tcPr>
            <w:tcW w:w="706" w:type="pct"/>
            <w:tcBorders>
              <w:top w:val="single" w:sz="2" w:space="0" w:color="D9D9D9"/>
              <w:left w:val="single" w:sz="2" w:space="0" w:color="D9D9D9"/>
              <w:bottom w:val="single" w:sz="2" w:space="0" w:color="D9D9D9"/>
              <w:right w:val="single" w:sz="2" w:space="0" w:color="D9D9D9"/>
            </w:tcBorders>
            <w:vAlign w:val="center"/>
          </w:tcPr>
          <w:p w14:paraId="3C5AB042" w14:textId="77777777" w:rsidR="003E6E16" w:rsidRPr="00B971D6" w:rsidRDefault="00000000">
            <w:pPr>
              <w:spacing w:after="0"/>
              <w:rPr>
                <w:sz w:val="17"/>
                <w:szCs w:val="17"/>
              </w:rPr>
            </w:pPr>
            <w:r w:rsidRPr="00B971D6">
              <w:rPr>
                <w:sz w:val="17"/>
                <w:szCs w:val="17"/>
              </w:rPr>
              <w:t>11.0%</w:t>
            </w:r>
          </w:p>
        </w:tc>
        <w:tc>
          <w:tcPr>
            <w:tcW w:w="636" w:type="pct"/>
            <w:tcBorders>
              <w:top w:val="single" w:sz="2" w:space="0" w:color="D9D9D9"/>
              <w:left w:val="single" w:sz="2" w:space="0" w:color="D9D9D9"/>
              <w:bottom w:val="single" w:sz="2" w:space="0" w:color="D9D9D9"/>
              <w:right w:val="single" w:sz="2" w:space="0" w:color="D9D9D9"/>
            </w:tcBorders>
            <w:vAlign w:val="center"/>
          </w:tcPr>
          <w:p w14:paraId="7E28A26C" w14:textId="77777777" w:rsidR="003E6E16" w:rsidRPr="00B971D6" w:rsidRDefault="00000000">
            <w:pPr>
              <w:spacing w:after="0"/>
              <w:rPr>
                <w:sz w:val="17"/>
                <w:szCs w:val="17"/>
              </w:rPr>
            </w:pPr>
            <w:r w:rsidRPr="00B971D6">
              <w:rPr>
                <w:sz w:val="17"/>
                <w:szCs w:val="17"/>
              </w:rPr>
              <w:t>USD 117mn</w:t>
            </w:r>
          </w:p>
        </w:tc>
        <w:tc>
          <w:tcPr>
            <w:tcW w:w="809" w:type="pct"/>
            <w:tcBorders>
              <w:top w:val="single" w:sz="2" w:space="0" w:color="D9D9D9"/>
              <w:left w:val="single" w:sz="2" w:space="0" w:color="D9D9D9"/>
              <w:bottom w:val="single" w:sz="2" w:space="0" w:color="D9D9D9"/>
              <w:right w:val="single" w:sz="2" w:space="0" w:color="D9D9D9"/>
            </w:tcBorders>
            <w:vAlign w:val="center"/>
          </w:tcPr>
          <w:p w14:paraId="77EC1041" w14:textId="77777777" w:rsidR="003E6E16" w:rsidRPr="00B971D6" w:rsidRDefault="00000000">
            <w:pPr>
              <w:spacing w:after="0"/>
              <w:rPr>
                <w:sz w:val="17"/>
                <w:szCs w:val="17"/>
              </w:rPr>
            </w:pPr>
            <w:r w:rsidRPr="00B971D6">
              <w:rPr>
                <w:sz w:val="17"/>
                <w:szCs w:val="17"/>
              </w:rPr>
              <w:t>40.0%</w:t>
            </w:r>
          </w:p>
        </w:tc>
        <w:tc>
          <w:tcPr>
            <w:tcW w:w="599" w:type="pct"/>
            <w:tcBorders>
              <w:top w:val="single" w:sz="2" w:space="0" w:color="D9D9D9"/>
              <w:left w:val="single" w:sz="2" w:space="0" w:color="D9D9D9"/>
              <w:bottom w:val="single" w:sz="2" w:space="0" w:color="D9D9D9"/>
              <w:right w:val="single" w:sz="2" w:space="0" w:color="D9D9D9"/>
            </w:tcBorders>
            <w:vAlign w:val="center"/>
          </w:tcPr>
          <w:p w14:paraId="36387397" w14:textId="77777777" w:rsidR="003E6E16" w:rsidRPr="00B971D6" w:rsidRDefault="00000000">
            <w:pPr>
              <w:spacing w:after="0"/>
              <w:rPr>
                <w:sz w:val="17"/>
                <w:szCs w:val="17"/>
              </w:rPr>
            </w:pPr>
            <w:r w:rsidRPr="00B971D6">
              <w:rPr>
                <w:sz w:val="17"/>
                <w:szCs w:val="17"/>
              </w:rPr>
              <w:t>8.7%</w:t>
            </w:r>
          </w:p>
        </w:tc>
        <w:tc>
          <w:tcPr>
            <w:tcW w:w="531" w:type="pct"/>
            <w:tcBorders>
              <w:top w:val="single" w:sz="2" w:space="0" w:color="D9D9D9"/>
              <w:left w:val="single" w:sz="2" w:space="0" w:color="D9D9D9"/>
              <w:bottom w:val="single" w:sz="2" w:space="0" w:color="D9D9D9"/>
              <w:right w:val="single" w:sz="2" w:space="0" w:color="D9D9D9"/>
            </w:tcBorders>
            <w:vAlign w:val="center"/>
          </w:tcPr>
          <w:p w14:paraId="2EB749F0" w14:textId="77777777" w:rsidR="003E6E16" w:rsidRPr="00B971D6" w:rsidRDefault="00000000">
            <w:pPr>
              <w:spacing w:after="0"/>
              <w:rPr>
                <w:sz w:val="17"/>
                <w:szCs w:val="17"/>
              </w:rPr>
            </w:pPr>
            <w:r w:rsidRPr="00B971D6">
              <w:rPr>
                <w:sz w:val="17"/>
                <w:szCs w:val="17"/>
              </w:rPr>
              <w:t>4.9%</w:t>
            </w:r>
          </w:p>
        </w:tc>
      </w:tr>
      <w:tr w:rsidR="003E6E16" w:rsidRPr="00B971D6" w14:paraId="10E97186" w14:textId="77777777" w:rsidTr="00E438BD">
        <w:trPr>
          <w:jc w:val="center"/>
        </w:trPr>
        <w:tc>
          <w:tcPr>
            <w:tcW w:w="643" w:type="pct"/>
            <w:tcBorders>
              <w:top w:val="single" w:sz="2" w:space="0" w:color="D9D9D9"/>
              <w:left w:val="single" w:sz="2" w:space="0" w:color="D9D9D9"/>
              <w:bottom w:val="single" w:sz="2" w:space="0" w:color="D9D9D9"/>
              <w:right w:val="single" w:sz="2" w:space="0" w:color="D9D9D9"/>
            </w:tcBorders>
            <w:vAlign w:val="center"/>
          </w:tcPr>
          <w:p w14:paraId="2F470B9B" w14:textId="77777777" w:rsidR="003E6E16" w:rsidRPr="00B971D6" w:rsidRDefault="00000000">
            <w:pPr>
              <w:spacing w:after="0"/>
              <w:rPr>
                <w:sz w:val="17"/>
                <w:szCs w:val="17"/>
              </w:rPr>
            </w:pPr>
            <w:r w:rsidRPr="00B971D6">
              <w:rPr>
                <w:sz w:val="17"/>
                <w:szCs w:val="17"/>
              </w:rPr>
              <w:t>Stage 2</w:t>
            </w:r>
          </w:p>
        </w:tc>
        <w:tc>
          <w:tcPr>
            <w:tcW w:w="444" w:type="pct"/>
            <w:tcBorders>
              <w:top w:val="single" w:sz="2" w:space="0" w:color="D9D9D9"/>
              <w:left w:val="single" w:sz="2" w:space="0" w:color="D9D9D9"/>
              <w:bottom w:val="single" w:sz="2" w:space="0" w:color="D9D9D9"/>
              <w:right w:val="single" w:sz="2" w:space="0" w:color="D9D9D9"/>
            </w:tcBorders>
            <w:vAlign w:val="center"/>
          </w:tcPr>
          <w:p w14:paraId="53950A61" w14:textId="77777777" w:rsidR="003E6E16" w:rsidRPr="00B971D6" w:rsidRDefault="00000000">
            <w:pPr>
              <w:spacing w:after="0"/>
              <w:rPr>
                <w:sz w:val="17"/>
                <w:szCs w:val="17"/>
              </w:rPr>
            </w:pPr>
            <w:r w:rsidRPr="00B971D6">
              <w:rPr>
                <w:sz w:val="17"/>
                <w:szCs w:val="17"/>
              </w:rPr>
              <w:t>141,359</w:t>
            </w:r>
          </w:p>
        </w:tc>
        <w:tc>
          <w:tcPr>
            <w:tcW w:w="632" w:type="pct"/>
            <w:tcBorders>
              <w:top w:val="single" w:sz="2" w:space="0" w:color="D9D9D9"/>
              <w:left w:val="single" w:sz="2" w:space="0" w:color="D9D9D9"/>
              <w:bottom w:val="single" w:sz="2" w:space="0" w:color="D9D9D9"/>
              <w:right w:val="single" w:sz="2" w:space="0" w:color="D9D9D9"/>
            </w:tcBorders>
            <w:vAlign w:val="center"/>
          </w:tcPr>
          <w:p w14:paraId="17BC199C" w14:textId="77777777" w:rsidR="003E6E16" w:rsidRPr="00B971D6" w:rsidRDefault="00000000">
            <w:pPr>
              <w:spacing w:after="0"/>
              <w:rPr>
                <w:sz w:val="17"/>
                <w:szCs w:val="17"/>
              </w:rPr>
            </w:pPr>
            <w:r w:rsidRPr="00B971D6">
              <w:rPr>
                <w:sz w:val="17"/>
                <w:szCs w:val="17"/>
              </w:rPr>
              <w:t>USD 2.19bn</w:t>
            </w:r>
          </w:p>
        </w:tc>
        <w:tc>
          <w:tcPr>
            <w:tcW w:w="706" w:type="pct"/>
            <w:tcBorders>
              <w:top w:val="single" w:sz="2" w:space="0" w:color="D9D9D9"/>
              <w:left w:val="single" w:sz="2" w:space="0" w:color="D9D9D9"/>
              <w:bottom w:val="single" w:sz="2" w:space="0" w:color="D9D9D9"/>
              <w:right w:val="single" w:sz="2" w:space="0" w:color="D9D9D9"/>
            </w:tcBorders>
            <w:vAlign w:val="center"/>
          </w:tcPr>
          <w:p w14:paraId="262F3E81" w14:textId="77777777" w:rsidR="003E6E16" w:rsidRPr="00B971D6" w:rsidRDefault="00000000">
            <w:pPr>
              <w:spacing w:after="0"/>
              <w:rPr>
                <w:sz w:val="17"/>
                <w:szCs w:val="17"/>
              </w:rPr>
            </w:pPr>
            <w:r w:rsidRPr="00B971D6">
              <w:rPr>
                <w:sz w:val="17"/>
                <w:szCs w:val="17"/>
              </w:rPr>
              <w:t>59.3%</w:t>
            </w:r>
          </w:p>
        </w:tc>
        <w:tc>
          <w:tcPr>
            <w:tcW w:w="636" w:type="pct"/>
            <w:tcBorders>
              <w:top w:val="single" w:sz="2" w:space="0" w:color="D9D9D9"/>
              <w:left w:val="single" w:sz="2" w:space="0" w:color="D9D9D9"/>
              <w:bottom w:val="single" w:sz="2" w:space="0" w:color="D9D9D9"/>
              <w:right w:val="single" w:sz="2" w:space="0" w:color="D9D9D9"/>
            </w:tcBorders>
            <w:vAlign w:val="center"/>
          </w:tcPr>
          <w:p w14:paraId="7D7DA39D" w14:textId="77777777" w:rsidR="003E6E16" w:rsidRPr="00B971D6" w:rsidRDefault="00000000">
            <w:pPr>
              <w:spacing w:after="0"/>
              <w:rPr>
                <w:sz w:val="17"/>
                <w:szCs w:val="17"/>
              </w:rPr>
            </w:pPr>
            <w:r w:rsidRPr="00B971D6">
              <w:rPr>
                <w:sz w:val="17"/>
                <w:szCs w:val="17"/>
              </w:rPr>
              <w:t>USD 611mn</w:t>
            </w:r>
          </w:p>
        </w:tc>
        <w:tc>
          <w:tcPr>
            <w:tcW w:w="809" w:type="pct"/>
            <w:tcBorders>
              <w:top w:val="single" w:sz="2" w:space="0" w:color="D9D9D9"/>
              <w:left w:val="single" w:sz="2" w:space="0" w:color="D9D9D9"/>
              <w:bottom w:val="single" w:sz="2" w:space="0" w:color="D9D9D9"/>
              <w:right w:val="single" w:sz="2" w:space="0" w:color="D9D9D9"/>
            </w:tcBorders>
            <w:vAlign w:val="center"/>
          </w:tcPr>
          <w:p w14:paraId="57FACC8C" w14:textId="77777777" w:rsidR="003E6E16" w:rsidRPr="00B971D6" w:rsidRDefault="00000000">
            <w:pPr>
              <w:spacing w:after="0"/>
              <w:rPr>
                <w:sz w:val="17"/>
                <w:szCs w:val="17"/>
              </w:rPr>
            </w:pPr>
            <w:r w:rsidRPr="00B971D6">
              <w:rPr>
                <w:sz w:val="17"/>
                <w:szCs w:val="17"/>
              </w:rPr>
              <w:t>37.0%</w:t>
            </w:r>
          </w:p>
        </w:tc>
        <w:tc>
          <w:tcPr>
            <w:tcW w:w="599" w:type="pct"/>
            <w:tcBorders>
              <w:top w:val="single" w:sz="2" w:space="0" w:color="D9D9D9"/>
              <w:left w:val="single" w:sz="2" w:space="0" w:color="D9D9D9"/>
              <w:bottom w:val="single" w:sz="2" w:space="0" w:color="D9D9D9"/>
              <w:right w:val="single" w:sz="2" w:space="0" w:color="D9D9D9"/>
            </w:tcBorders>
            <w:vAlign w:val="center"/>
          </w:tcPr>
          <w:p w14:paraId="4B860321" w14:textId="77777777" w:rsidR="003E6E16" w:rsidRPr="00B971D6" w:rsidRDefault="00000000">
            <w:pPr>
              <w:spacing w:after="0"/>
              <w:rPr>
                <w:sz w:val="17"/>
                <w:szCs w:val="17"/>
              </w:rPr>
            </w:pPr>
            <w:r w:rsidRPr="00B971D6">
              <w:rPr>
                <w:sz w:val="17"/>
                <w:szCs w:val="17"/>
              </w:rPr>
              <w:t>45.5%</w:t>
            </w:r>
          </w:p>
        </w:tc>
        <w:tc>
          <w:tcPr>
            <w:tcW w:w="531" w:type="pct"/>
            <w:tcBorders>
              <w:top w:val="single" w:sz="2" w:space="0" w:color="D9D9D9"/>
              <w:left w:val="single" w:sz="2" w:space="0" w:color="D9D9D9"/>
              <w:bottom w:val="single" w:sz="2" w:space="0" w:color="D9D9D9"/>
              <w:right w:val="single" w:sz="2" w:space="0" w:color="D9D9D9"/>
            </w:tcBorders>
            <w:vAlign w:val="center"/>
          </w:tcPr>
          <w:p w14:paraId="6F32F4E2" w14:textId="77777777" w:rsidR="003E6E16" w:rsidRPr="00B971D6" w:rsidRDefault="00000000">
            <w:pPr>
              <w:spacing w:after="0"/>
              <w:rPr>
                <w:sz w:val="17"/>
                <w:szCs w:val="17"/>
              </w:rPr>
            </w:pPr>
            <w:r w:rsidRPr="00B971D6">
              <w:rPr>
                <w:sz w:val="17"/>
                <w:szCs w:val="17"/>
              </w:rPr>
              <w:t>27.9%</w:t>
            </w:r>
          </w:p>
        </w:tc>
      </w:tr>
      <w:tr w:rsidR="003E6E16" w:rsidRPr="00B971D6" w14:paraId="7F681FEF" w14:textId="77777777" w:rsidTr="00E438BD">
        <w:trPr>
          <w:jc w:val="center"/>
        </w:trPr>
        <w:tc>
          <w:tcPr>
            <w:tcW w:w="643" w:type="pct"/>
            <w:tcBorders>
              <w:top w:val="single" w:sz="2" w:space="0" w:color="D9D9D9"/>
              <w:left w:val="single" w:sz="2" w:space="0" w:color="D9D9D9"/>
              <w:bottom w:val="single" w:sz="2" w:space="0" w:color="D9D9D9"/>
              <w:right w:val="single" w:sz="2" w:space="0" w:color="D9D9D9"/>
            </w:tcBorders>
            <w:vAlign w:val="center"/>
          </w:tcPr>
          <w:p w14:paraId="66B4D90D" w14:textId="77777777" w:rsidR="003E6E16" w:rsidRPr="00B971D6" w:rsidRDefault="00000000">
            <w:pPr>
              <w:spacing w:after="0"/>
              <w:rPr>
                <w:sz w:val="17"/>
                <w:szCs w:val="17"/>
              </w:rPr>
            </w:pPr>
            <w:r w:rsidRPr="00B971D6">
              <w:rPr>
                <w:sz w:val="17"/>
                <w:szCs w:val="17"/>
              </w:rPr>
              <w:t>Stage 3</w:t>
            </w:r>
          </w:p>
        </w:tc>
        <w:tc>
          <w:tcPr>
            <w:tcW w:w="444" w:type="pct"/>
            <w:tcBorders>
              <w:top w:val="single" w:sz="2" w:space="0" w:color="D9D9D9"/>
              <w:left w:val="single" w:sz="2" w:space="0" w:color="D9D9D9"/>
              <w:bottom w:val="single" w:sz="2" w:space="0" w:color="D9D9D9"/>
              <w:right w:val="single" w:sz="2" w:space="0" w:color="D9D9D9"/>
            </w:tcBorders>
            <w:vAlign w:val="center"/>
          </w:tcPr>
          <w:p w14:paraId="42F7AA7A" w14:textId="77777777" w:rsidR="003E6E16" w:rsidRPr="00B971D6" w:rsidRDefault="00000000">
            <w:pPr>
              <w:spacing w:after="0"/>
              <w:rPr>
                <w:sz w:val="17"/>
                <w:szCs w:val="17"/>
              </w:rPr>
            </w:pPr>
            <w:r w:rsidRPr="00B971D6">
              <w:rPr>
                <w:sz w:val="17"/>
                <w:szCs w:val="17"/>
              </w:rPr>
              <w:t>87,220</w:t>
            </w:r>
          </w:p>
        </w:tc>
        <w:tc>
          <w:tcPr>
            <w:tcW w:w="632" w:type="pct"/>
            <w:tcBorders>
              <w:top w:val="single" w:sz="2" w:space="0" w:color="D9D9D9"/>
              <w:left w:val="single" w:sz="2" w:space="0" w:color="D9D9D9"/>
              <w:bottom w:val="single" w:sz="2" w:space="0" w:color="D9D9D9"/>
              <w:right w:val="single" w:sz="2" w:space="0" w:color="D9D9D9"/>
            </w:tcBorders>
            <w:vAlign w:val="center"/>
          </w:tcPr>
          <w:p w14:paraId="3253F399" w14:textId="77777777" w:rsidR="003E6E16" w:rsidRPr="00B971D6" w:rsidRDefault="00000000">
            <w:pPr>
              <w:spacing w:after="0"/>
              <w:rPr>
                <w:sz w:val="17"/>
                <w:szCs w:val="17"/>
              </w:rPr>
            </w:pPr>
            <w:r w:rsidRPr="00B971D6">
              <w:rPr>
                <w:sz w:val="17"/>
                <w:szCs w:val="17"/>
              </w:rPr>
              <w:t>USD 1.36bn</w:t>
            </w:r>
          </w:p>
        </w:tc>
        <w:tc>
          <w:tcPr>
            <w:tcW w:w="706" w:type="pct"/>
            <w:tcBorders>
              <w:top w:val="single" w:sz="2" w:space="0" w:color="D9D9D9"/>
              <w:left w:val="single" w:sz="2" w:space="0" w:color="D9D9D9"/>
              <w:bottom w:val="single" w:sz="2" w:space="0" w:color="D9D9D9"/>
              <w:right w:val="single" w:sz="2" w:space="0" w:color="D9D9D9"/>
            </w:tcBorders>
            <w:vAlign w:val="center"/>
          </w:tcPr>
          <w:p w14:paraId="59B4EFED" w14:textId="77777777" w:rsidR="003E6E16" w:rsidRPr="00B971D6" w:rsidRDefault="00000000">
            <w:pPr>
              <w:spacing w:after="0"/>
              <w:rPr>
                <w:sz w:val="17"/>
                <w:szCs w:val="17"/>
              </w:rPr>
            </w:pPr>
            <w:r w:rsidRPr="00B971D6">
              <w:rPr>
                <w:sz w:val="17"/>
                <w:szCs w:val="17"/>
              </w:rPr>
              <w:t>100.0%</w:t>
            </w:r>
          </w:p>
        </w:tc>
        <w:tc>
          <w:tcPr>
            <w:tcW w:w="636" w:type="pct"/>
            <w:tcBorders>
              <w:top w:val="single" w:sz="2" w:space="0" w:color="D9D9D9"/>
              <w:left w:val="single" w:sz="2" w:space="0" w:color="D9D9D9"/>
              <w:bottom w:val="single" w:sz="2" w:space="0" w:color="D9D9D9"/>
              <w:right w:val="single" w:sz="2" w:space="0" w:color="D9D9D9"/>
            </w:tcBorders>
            <w:vAlign w:val="center"/>
          </w:tcPr>
          <w:p w14:paraId="0D652B8C" w14:textId="77777777" w:rsidR="003E6E16" w:rsidRPr="00B971D6" w:rsidRDefault="00000000">
            <w:pPr>
              <w:spacing w:after="0"/>
              <w:rPr>
                <w:sz w:val="17"/>
                <w:szCs w:val="17"/>
              </w:rPr>
            </w:pPr>
            <w:r w:rsidRPr="00B971D6">
              <w:rPr>
                <w:sz w:val="17"/>
                <w:szCs w:val="17"/>
              </w:rPr>
              <w:t>USD 614mn</w:t>
            </w:r>
          </w:p>
        </w:tc>
        <w:tc>
          <w:tcPr>
            <w:tcW w:w="809" w:type="pct"/>
            <w:tcBorders>
              <w:top w:val="single" w:sz="2" w:space="0" w:color="D9D9D9"/>
              <w:left w:val="single" w:sz="2" w:space="0" w:color="D9D9D9"/>
              <w:bottom w:val="single" w:sz="2" w:space="0" w:color="D9D9D9"/>
              <w:right w:val="single" w:sz="2" w:space="0" w:color="D9D9D9"/>
            </w:tcBorders>
            <w:vAlign w:val="center"/>
          </w:tcPr>
          <w:p w14:paraId="7D44422B" w14:textId="77777777" w:rsidR="003E6E16" w:rsidRPr="00B971D6" w:rsidRDefault="00000000">
            <w:pPr>
              <w:spacing w:after="0"/>
              <w:rPr>
                <w:sz w:val="17"/>
                <w:szCs w:val="17"/>
              </w:rPr>
            </w:pPr>
            <w:r w:rsidRPr="00B971D6">
              <w:rPr>
                <w:sz w:val="17"/>
                <w:szCs w:val="17"/>
              </w:rPr>
              <w:t>23.0%</w:t>
            </w:r>
          </w:p>
        </w:tc>
        <w:tc>
          <w:tcPr>
            <w:tcW w:w="599" w:type="pct"/>
            <w:tcBorders>
              <w:top w:val="single" w:sz="2" w:space="0" w:color="D9D9D9"/>
              <w:left w:val="single" w:sz="2" w:space="0" w:color="D9D9D9"/>
              <w:bottom w:val="single" w:sz="2" w:space="0" w:color="D9D9D9"/>
              <w:right w:val="single" w:sz="2" w:space="0" w:color="D9D9D9"/>
            </w:tcBorders>
            <w:vAlign w:val="center"/>
          </w:tcPr>
          <w:p w14:paraId="3EAB612F" w14:textId="77777777" w:rsidR="003E6E16" w:rsidRPr="00B971D6" w:rsidRDefault="00000000">
            <w:pPr>
              <w:spacing w:after="0"/>
              <w:rPr>
                <w:sz w:val="17"/>
                <w:szCs w:val="17"/>
              </w:rPr>
            </w:pPr>
            <w:r w:rsidRPr="00B971D6">
              <w:rPr>
                <w:sz w:val="17"/>
                <w:szCs w:val="17"/>
              </w:rPr>
              <w:t>45.8%</w:t>
            </w:r>
          </w:p>
        </w:tc>
        <w:tc>
          <w:tcPr>
            <w:tcW w:w="531" w:type="pct"/>
            <w:tcBorders>
              <w:top w:val="single" w:sz="2" w:space="0" w:color="D9D9D9"/>
              <w:left w:val="single" w:sz="2" w:space="0" w:color="D9D9D9"/>
              <w:bottom w:val="single" w:sz="2" w:space="0" w:color="D9D9D9"/>
              <w:right w:val="single" w:sz="2" w:space="0" w:color="D9D9D9"/>
            </w:tcBorders>
            <w:vAlign w:val="center"/>
          </w:tcPr>
          <w:p w14:paraId="4FBC21C3" w14:textId="77777777" w:rsidR="003E6E16" w:rsidRPr="00B971D6" w:rsidRDefault="00000000">
            <w:pPr>
              <w:spacing w:after="0"/>
              <w:rPr>
                <w:sz w:val="17"/>
                <w:szCs w:val="17"/>
              </w:rPr>
            </w:pPr>
            <w:r w:rsidRPr="00B971D6">
              <w:rPr>
                <w:sz w:val="17"/>
                <w:szCs w:val="17"/>
              </w:rPr>
              <w:t>45.0%</w:t>
            </w:r>
          </w:p>
        </w:tc>
      </w:tr>
    </w:tbl>
    <w:p w14:paraId="589E1BD1" w14:textId="77777777" w:rsidR="003E6E16" w:rsidRDefault="00000000" w:rsidP="00B971D6">
      <w:pPr>
        <w:pStyle w:val="MemoCaption"/>
        <w:jc w:val="center"/>
      </w:pPr>
      <w:r>
        <w:t>Table 5. Illustrative IFRS 9-style stage and ECL summary.</w:t>
      </w:r>
    </w:p>
    <w:p w14:paraId="449E14D7" w14:textId="77777777" w:rsidR="003E6E16" w:rsidRDefault="00000000">
      <w:r>
        <w:t>Stage 2 and Stage 3 together account for 91.3% of illustrative ECL, despite representing a smaller share of exposure than the full portfolio. This reinforces the importance of credit monitoring and risk migration analysis in expected-loss management.</w:t>
      </w:r>
    </w:p>
    <w:p w14:paraId="7F9255DE" w14:textId="77777777" w:rsidR="003E6E16" w:rsidRDefault="00000000">
      <w:pPr>
        <w:jc w:val="center"/>
      </w:pPr>
      <w:r>
        <w:rPr>
          <w:noProof/>
        </w:rPr>
        <w:drawing>
          <wp:inline distT="0" distB="0" distL="0" distR="0" wp14:anchorId="7E9E3C4C" wp14:editId="04B2A283">
            <wp:extent cx="3480000" cy="2610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l_by_risk_band.png"/>
                    <pic:cNvPicPr/>
                  </pic:nvPicPr>
                  <pic:blipFill>
                    <a:blip r:embed="rId11"/>
                    <a:stretch>
                      <a:fillRect/>
                    </a:stretch>
                  </pic:blipFill>
                  <pic:spPr>
                    <a:xfrm>
                      <a:off x="0" y="0"/>
                      <a:ext cx="3480000" cy="2610000"/>
                    </a:xfrm>
                    <a:prstGeom prst="rect">
                      <a:avLst/>
                    </a:prstGeom>
                  </pic:spPr>
                </pic:pic>
              </a:graphicData>
            </a:graphic>
          </wp:inline>
        </w:drawing>
      </w:r>
    </w:p>
    <w:p w14:paraId="2BF516B7" w14:textId="77777777" w:rsidR="003E6E16" w:rsidRDefault="00000000" w:rsidP="00A94DAB">
      <w:pPr>
        <w:pStyle w:val="MemoCaption"/>
        <w:spacing w:before="0"/>
        <w:jc w:val="center"/>
      </w:pPr>
      <w:r>
        <w:t>Figure 4. Illustrative ECL by risk band.</w:t>
      </w:r>
    </w:p>
    <w:p w14:paraId="74754810" w14:textId="77777777" w:rsidR="003E6E16" w:rsidRPr="00B971D6" w:rsidRDefault="00000000" w:rsidP="00E438BD">
      <w:pPr>
        <w:pStyle w:val="Balk1"/>
        <w:spacing w:after="0"/>
        <w:rPr>
          <w:sz w:val="24"/>
          <w:szCs w:val="24"/>
        </w:rPr>
      </w:pPr>
      <w:r w:rsidRPr="00B971D6">
        <w:rPr>
          <w:rFonts w:ascii="Garamond" w:eastAsia="Garamond" w:hAnsi="Garamond"/>
          <w:sz w:val="24"/>
          <w:szCs w:val="24"/>
        </w:rPr>
        <w:t>7. Stress Testing and Portfolio Impact</w:t>
      </w:r>
    </w:p>
    <w:p w14:paraId="525A88FE" w14:textId="77777777" w:rsidR="003E6E16" w:rsidRDefault="00000000">
      <w:r>
        <w:t>The stress framework applies scenario-level PD multipliers and LGD assumptions. The base case uses the calibrated ECL PD and a 45% LGD. Mild deterioration, adverse</w:t>
      </w:r>
      <w:r w:rsidR="00F06E68">
        <w:t>,</w:t>
      </w:r>
      <w:r>
        <w:t xml:space="preserve"> and severe stress scenarios increase both PD and LGD. EAD is held constant to isolate credit-quality deterioration rather than balance-sheet growth effects.</w:t>
      </w:r>
    </w:p>
    <w:tbl>
      <w:tblPr>
        <w:tblW w:w="5000" w:type="pct"/>
        <w:jc w:val="center"/>
        <w:tblLook w:val="04A0" w:firstRow="1" w:lastRow="0" w:firstColumn="1" w:lastColumn="0" w:noHBand="0" w:noVBand="1"/>
      </w:tblPr>
      <w:tblGrid>
        <w:gridCol w:w="2090"/>
        <w:gridCol w:w="1728"/>
        <w:gridCol w:w="909"/>
        <w:gridCol w:w="1497"/>
        <w:gridCol w:w="1995"/>
        <w:gridCol w:w="1991"/>
      </w:tblGrid>
      <w:tr w:rsidR="003E6E16" w:rsidRPr="00B971D6" w14:paraId="0E16CDE4" w14:textId="77777777" w:rsidTr="00B971D6">
        <w:trPr>
          <w:jc w:val="center"/>
        </w:trPr>
        <w:tc>
          <w:tcPr>
            <w:tcW w:w="1024"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764669C9" w14:textId="77777777" w:rsidR="003E6E16" w:rsidRPr="00B971D6" w:rsidRDefault="00000000">
            <w:pPr>
              <w:spacing w:after="0"/>
              <w:rPr>
                <w:sz w:val="17"/>
                <w:szCs w:val="17"/>
              </w:rPr>
            </w:pPr>
            <w:r w:rsidRPr="00B971D6">
              <w:rPr>
                <w:b/>
                <w:sz w:val="17"/>
                <w:szCs w:val="17"/>
              </w:rPr>
              <w:t>Scenario</w:t>
            </w:r>
          </w:p>
        </w:tc>
        <w:tc>
          <w:tcPr>
            <w:tcW w:w="846"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06554B58" w14:textId="77777777" w:rsidR="003E6E16" w:rsidRPr="00B971D6" w:rsidRDefault="00000000">
            <w:pPr>
              <w:spacing w:after="0"/>
              <w:rPr>
                <w:sz w:val="17"/>
                <w:szCs w:val="17"/>
              </w:rPr>
            </w:pPr>
            <w:r w:rsidRPr="00B971D6">
              <w:rPr>
                <w:b/>
                <w:sz w:val="17"/>
                <w:szCs w:val="17"/>
              </w:rPr>
              <w:t>PD multiplier</w:t>
            </w:r>
          </w:p>
        </w:tc>
        <w:tc>
          <w:tcPr>
            <w:tcW w:w="445"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11382419" w14:textId="77777777" w:rsidR="003E6E16" w:rsidRPr="00B971D6" w:rsidRDefault="00000000">
            <w:pPr>
              <w:spacing w:after="0"/>
              <w:rPr>
                <w:sz w:val="17"/>
                <w:szCs w:val="17"/>
              </w:rPr>
            </w:pPr>
            <w:r w:rsidRPr="00B971D6">
              <w:rPr>
                <w:b/>
                <w:sz w:val="17"/>
                <w:szCs w:val="17"/>
              </w:rPr>
              <w:t>LGD</w:t>
            </w:r>
          </w:p>
        </w:tc>
        <w:tc>
          <w:tcPr>
            <w:tcW w:w="733"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31CD7E3E" w14:textId="77777777" w:rsidR="003E6E16" w:rsidRPr="00B971D6" w:rsidRDefault="00000000">
            <w:pPr>
              <w:spacing w:after="0"/>
              <w:rPr>
                <w:sz w:val="17"/>
                <w:szCs w:val="17"/>
              </w:rPr>
            </w:pPr>
            <w:r w:rsidRPr="00B971D6">
              <w:rPr>
                <w:b/>
                <w:sz w:val="17"/>
                <w:szCs w:val="17"/>
              </w:rPr>
              <w:t>Total ECL</w:t>
            </w:r>
          </w:p>
        </w:tc>
        <w:tc>
          <w:tcPr>
            <w:tcW w:w="977"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3370DBFA" w14:textId="77777777" w:rsidR="003E6E16" w:rsidRPr="00B971D6" w:rsidRDefault="00000000">
            <w:pPr>
              <w:spacing w:after="0"/>
              <w:rPr>
                <w:sz w:val="17"/>
                <w:szCs w:val="17"/>
              </w:rPr>
            </w:pPr>
            <w:r w:rsidRPr="00B971D6">
              <w:rPr>
                <w:b/>
                <w:sz w:val="17"/>
                <w:szCs w:val="17"/>
              </w:rPr>
              <w:t>ECL / exposure</w:t>
            </w:r>
          </w:p>
        </w:tc>
        <w:tc>
          <w:tcPr>
            <w:tcW w:w="975"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0BB3DC4B" w14:textId="77777777" w:rsidR="003E6E16" w:rsidRPr="00B971D6" w:rsidRDefault="00000000">
            <w:pPr>
              <w:spacing w:after="0"/>
              <w:rPr>
                <w:sz w:val="17"/>
                <w:szCs w:val="17"/>
              </w:rPr>
            </w:pPr>
            <w:r w:rsidRPr="00B971D6">
              <w:rPr>
                <w:b/>
                <w:sz w:val="17"/>
                <w:szCs w:val="17"/>
              </w:rPr>
              <w:t>Increase vs base</w:t>
            </w:r>
          </w:p>
        </w:tc>
      </w:tr>
      <w:tr w:rsidR="003E6E16" w:rsidRPr="00B971D6" w14:paraId="7F4DA0CE" w14:textId="77777777" w:rsidTr="00B971D6">
        <w:trPr>
          <w:jc w:val="center"/>
        </w:trPr>
        <w:tc>
          <w:tcPr>
            <w:tcW w:w="1024" w:type="pct"/>
            <w:tcBorders>
              <w:top w:val="single" w:sz="2" w:space="0" w:color="D9D9D9"/>
              <w:left w:val="single" w:sz="2" w:space="0" w:color="D9D9D9"/>
              <w:bottom w:val="single" w:sz="2" w:space="0" w:color="D9D9D9"/>
              <w:right w:val="single" w:sz="2" w:space="0" w:color="D9D9D9"/>
            </w:tcBorders>
            <w:vAlign w:val="center"/>
          </w:tcPr>
          <w:p w14:paraId="1BE5507D" w14:textId="77777777" w:rsidR="003E6E16" w:rsidRPr="00B971D6" w:rsidRDefault="00000000">
            <w:pPr>
              <w:spacing w:after="0"/>
              <w:rPr>
                <w:sz w:val="17"/>
                <w:szCs w:val="17"/>
              </w:rPr>
            </w:pPr>
            <w:r w:rsidRPr="00B971D6">
              <w:rPr>
                <w:sz w:val="17"/>
                <w:szCs w:val="17"/>
              </w:rPr>
              <w:t>Base</w:t>
            </w:r>
          </w:p>
        </w:tc>
        <w:tc>
          <w:tcPr>
            <w:tcW w:w="846" w:type="pct"/>
            <w:tcBorders>
              <w:top w:val="single" w:sz="2" w:space="0" w:color="D9D9D9"/>
              <w:left w:val="single" w:sz="2" w:space="0" w:color="D9D9D9"/>
              <w:bottom w:val="single" w:sz="2" w:space="0" w:color="D9D9D9"/>
              <w:right w:val="single" w:sz="2" w:space="0" w:color="D9D9D9"/>
            </w:tcBorders>
            <w:vAlign w:val="center"/>
          </w:tcPr>
          <w:p w14:paraId="474D88C7" w14:textId="77777777" w:rsidR="003E6E16" w:rsidRPr="00B971D6" w:rsidRDefault="00000000">
            <w:pPr>
              <w:spacing w:after="0"/>
              <w:rPr>
                <w:sz w:val="17"/>
                <w:szCs w:val="17"/>
              </w:rPr>
            </w:pPr>
            <w:r w:rsidRPr="00B971D6">
              <w:rPr>
                <w:sz w:val="17"/>
                <w:szCs w:val="17"/>
              </w:rPr>
              <w:t>1.00x</w:t>
            </w:r>
          </w:p>
        </w:tc>
        <w:tc>
          <w:tcPr>
            <w:tcW w:w="445" w:type="pct"/>
            <w:tcBorders>
              <w:top w:val="single" w:sz="2" w:space="0" w:color="D9D9D9"/>
              <w:left w:val="single" w:sz="2" w:space="0" w:color="D9D9D9"/>
              <w:bottom w:val="single" w:sz="2" w:space="0" w:color="D9D9D9"/>
              <w:right w:val="single" w:sz="2" w:space="0" w:color="D9D9D9"/>
            </w:tcBorders>
            <w:vAlign w:val="center"/>
          </w:tcPr>
          <w:p w14:paraId="04850B12" w14:textId="77777777" w:rsidR="003E6E16" w:rsidRPr="00B971D6" w:rsidRDefault="00000000">
            <w:pPr>
              <w:spacing w:after="0"/>
              <w:rPr>
                <w:sz w:val="17"/>
                <w:szCs w:val="17"/>
              </w:rPr>
            </w:pPr>
            <w:r w:rsidRPr="00B971D6">
              <w:rPr>
                <w:sz w:val="17"/>
                <w:szCs w:val="17"/>
              </w:rPr>
              <w:t>45.0%</w:t>
            </w:r>
          </w:p>
        </w:tc>
        <w:tc>
          <w:tcPr>
            <w:tcW w:w="733" w:type="pct"/>
            <w:tcBorders>
              <w:top w:val="single" w:sz="2" w:space="0" w:color="D9D9D9"/>
              <w:left w:val="single" w:sz="2" w:space="0" w:color="D9D9D9"/>
              <w:bottom w:val="single" w:sz="2" w:space="0" w:color="D9D9D9"/>
              <w:right w:val="single" w:sz="2" w:space="0" w:color="D9D9D9"/>
            </w:tcBorders>
            <w:vAlign w:val="center"/>
          </w:tcPr>
          <w:p w14:paraId="7F065DAB" w14:textId="77777777" w:rsidR="003E6E16" w:rsidRPr="00B971D6" w:rsidRDefault="00000000">
            <w:pPr>
              <w:spacing w:after="0"/>
              <w:rPr>
                <w:sz w:val="17"/>
                <w:szCs w:val="17"/>
              </w:rPr>
            </w:pPr>
            <w:r w:rsidRPr="00B971D6">
              <w:rPr>
                <w:sz w:val="17"/>
                <w:szCs w:val="17"/>
              </w:rPr>
              <w:t>USD 1.34bn</w:t>
            </w:r>
          </w:p>
        </w:tc>
        <w:tc>
          <w:tcPr>
            <w:tcW w:w="977" w:type="pct"/>
            <w:tcBorders>
              <w:top w:val="single" w:sz="2" w:space="0" w:color="D9D9D9"/>
              <w:left w:val="single" w:sz="2" w:space="0" w:color="D9D9D9"/>
              <w:bottom w:val="single" w:sz="2" w:space="0" w:color="D9D9D9"/>
              <w:right w:val="single" w:sz="2" w:space="0" w:color="D9D9D9"/>
            </w:tcBorders>
            <w:vAlign w:val="center"/>
          </w:tcPr>
          <w:p w14:paraId="324468CD" w14:textId="77777777" w:rsidR="003E6E16" w:rsidRPr="00B971D6" w:rsidRDefault="00000000">
            <w:pPr>
              <w:spacing w:after="0"/>
              <w:rPr>
                <w:sz w:val="17"/>
                <w:szCs w:val="17"/>
              </w:rPr>
            </w:pPr>
            <w:r w:rsidRPr="00B971D6">
              <w:rPr>
                <w:sz w:val="17"/>
                <w:szCs w:val="17"/>
              </w:rPr>
              <w:t>22.6%</w:t>
            </w:r>
          </w:p>
        </w:tc>
        <w:tc>
          <w:tcPr>
            <w:tcW w:w="975" w:type="pct"/>
            <w:tcBorders>
              <w:top w:val="single" w:sz="2" w:space="0" w:color="D9D9D9"/>
              <w:left w:val="single" w:sz="2" w:space="0" w:color="D9D9D9"/>
              <w:bottom w:val="single" w:sz="2" w:space="0" w:color="D9D9D9"/>
              <w:right w:val="single" w:sz="2" w:space="0" w:color="D9D9D9"/>
            </w:tcBorders>
            <w:vAlign w:val="center"/>
          </w:tcPr>
          <w:p w14:paraId="057547BC" w14:textId="77777777" w:rsidR="003E6E16" w:rsidRPr="00B971D6" w:rsidRDefault="00000000">
            <w:pPr>
              <w:spacing w:after="0"/>
              <w:rPr>
                <w:sz w:val="17"/>
                <w:szCs w:val="17"/>
              </w:rPr>
            </w:pPr>
            <w:r w:rsidRPr="00B971D6">
              <w:rPr>
                <w:sz w:val="17"/>
                <w:szCs w:val="17"/>
              </w:rPr>
              <w:t>0.0%</w:t>
            </w:r>
          </w:p>
        </w:tc>
      </w:tr>
      <w:tr w:rsidR="003E6E16" w:rsidRPr="00B971D6" w14:paraId="2543B5C9" w14:textId="77777777" w:rsidTr="00B971D6">
        <w:trPr>
          <w:jc w:val="center"/>
        </w:trPr>
        <w:tc>
          <w:tcPr>
            <w:tcW w:w="1024" w:type="pct"/>
            <w:tcBorders>
              <w:top w:val="single" w:sz="2" w:space="0" w:color="D9D9D9"/>
              <w:left w:val="single" w:sz="2" w:space="0" w:color="D9D9D9"/>
              <w:bottom w:val="single" w:sz="2" w:space="0" w:color="D9D9D9"/>
              <w:right w:val="single" w:sz="2" w:space="0" w:color="D9D9D9"/>
            </w:tcBorders>
            <w:vAlign w:val="center"/>
          </w:tcPr>
          <w:p w14:paraId="601EF0CD" w14:textId="77777777" w:rsidR="003E6E16" w:rsidRPr="00B971D6" w:rsidRDefault="00000000">
            <w:pPr>
              <w:spacing w:after="0"/>
              <w:rPr>
                <w:sz w:val="17"/>
                <w:szCs w:val="17"/>
              </w:rPr>
            </w:pPr>
            <w:r w:rsidRPr="00B971D6">
              <w:rPr>
                <w:sz w:val="17"/>
                <w:szCs w:val="17"/>
              </w:rPr>
              <w:t>Mild Deterioration</w:t>
            </w:r>
          </w:p>
        </w:tc>
        <w:tc>
          <w:tcPr>
            <w:tcW w:w="846" w:type="pct"/>
            <w:tcBorders>
              <w:top w:val="single" w:sz="2" w:space="0" w:color="D9D9D9"/>
              <w:left w:val="single" w:sz="2" w:space="0" w:color="D9D9D9"/>
              <w:bottom w:val="single" w:sz="2" w:space="0" w:color="D9D9D9"/>
              <w:right w:val="single" w:sz="2" w:space="0" w:color="D9D9D9"/>
            </w:tcBorders>
            <w:vAlign w:val="center"/>
          </w:tcPr>
          <w:p w14:paraId="1E08CCF4" w14:textId="77777777" w:rsidR="003E6E16" w:rsidRPr="00B971D6" w:rsidRDefault="00000000">
            <w:pPr>
              <w:spacing w:after="0"/>
              <w:rPr>
                <w:sz w:val="17"/>
                <w:szCs w:val="17"/>
              </w:rPr>
            </w:pPr>
            <w:r w:rsidRPr="00B971D6">
              <w:rPr>
                <w:sz w:val="17"/>
                <w:szCs w:val="17"/>
              </w:rPr>
              <w:t>1.15x</w:t>
            </w:r>
          </w:p>
        </w:tc>
        <w:tc>
          <w:tcPr>
            <w:tcW w:w="445" w:type="pct"/>
            <w:tcBorders>
              <w:top w:val="single" w:sz="2" w:space="0" w:color="D9D9D9"/>
              <w:left w:val="single" w:sz="2" w:space="0" w:color="D9D9D9"/>
              <w:bottom w:val="single" w:sz="2" w:space="0" w:color="D9D9D9"/>
              <w:right w:val="single" w:sz="2" w:space="0" w:color="D9D9D9"/>
            </w:tcBorders>
            <w:vAlign w:val="center"/>
          </w:tcPr>
          <w:p w14:paraId="52AB765F" w14:textId="77777777" w:rsidR="003E6E16" w:rsidRPr="00B971D6" w:rsidRDefault="00000000">
            <w:pPr>
              <w:spacing w:after="0"/>
              <w:rPr>
                <w:sz w:val="17"/>
                <w:szCs w:val="17"/>
              </w:rPr>
            </w:pPr>
            <w:r w:rsidRPr="00B971D6">
              <w:rPr>
                <w:sz w:val="17"/>
                <w:szCs w:val="17"/>
              </w:rPr>
              <w:t>50.0%</w:t>
            </w:r>
          </w:p>
        </w:tc>
        <w:tc>
          <w:tcPr>
            <w:tcW w:w="733" w:type="pct"/>
            <w:tcBorders>
              <w:top w:val="single" w:sz="2" w:space="0" w:color="D9D9D9"/>
              <w:left w:val="single" w:sz="2" w:space="0" w:color="D9D9D9"/>
              <w:bottom w:val="single" w:sz="2" w:space="0" w:color="D9D9D9"/>
              <w:right w:val="single" w:sz="2" w:space="0" w:color="D9D9D9"/>
            </w:tcBorders>
            <w:vAlign w:val="center"/>
          </w:tcPr>
          <w:p w14:paraId="16E8EA2A" w14:textId="77777777" w:rsidR="003E6E16" w:rsidRPr="00B971D6" w:rsidRDefault="00000000">
            <w:pPr>
              <w:spacing w:after="0"/>
              <w:rPr>
                <w:sz w:val="17"/>
                <w:szCs w:val="17"/>
              </w:rPr>
            </w:pPr>
            <w:r w:rsidRPr="00B971D6">
              <w:rPr>
                <w:sz w:val="17"/>
                <w:szCs w:val="17"/>
              </w:rPr>
              <w:t>USD 1.60bn</w:t>
            </w:r>
          </w:p>
        </w:tc>
        <w:tc>
          <w:tcPr>
            <w:tcW w:w="977" w:type="pct"/>
            <w:tcBorders>
              <w:top w:val="single" w:sz="2" w:space="0" w:color="D9D9D9"/>
              <w:left w:val="single" w:sz="2" w:space="0" w:color="D9D9D9"/>
              <w:bottom w:val="single" w:sz="2" w:space="0" w:color="D9D9D9"/>
              <w:right w:val="single" w:sz="2" w:space="0" w:color="D9D9D9"/>
            </w:tcBorders>
            <w:vAlign w:val="center"/>
          </w:tcPr>
          <w:p w14:paraId="006C03F6" w14:textId="77777777" w:rsidR="003E6E16" w:rsidRPr="00B971D6" w:rsidRDefault="00000000">
            <w:pPr>
              <w:spacing w:after="0"/>
              <w:rPr>
                <w:sz w:val="17"/>
                <w:szCs w:val="17"/>
              </w:rPr>
            </w:pPr>
            <w:r w:rsidRPr="00B971D6">
              <w:rPr>
                <w:sz w:val="17"/>
                <w:szCs w:val="17"/>
              </w:rPr>
              <w:t>26.9%</w:t>
            </w:r>
          </w:p>
        </w:tc>
        <w:tc>
          <w:tcPr>
            <w:tcW w:w="975" w:type="pct"/>
            <w:tcBorders>
              <w:top w:val="single" w:sz="2" w:space="0" w:color="D9D9D9"/>
              <w:left w:val="single" w:sz="2" w:space="0" w:color="D9D9D9"/>
              <w:bottom w:val="single" w:sz="2" w:space="0" w:color="D9D9D9"/>
              <w:right w:val="single" w:sz="2" w:space="0" w:color="D9D9D9"/>
            </w:tcBorders>
            <w:vAlign w:val="center"/>
          </w:tcPr>
          <w:p w14:paraId="4AE09868" w14:textId="77777777" w:rsidR="003E6E16" w:rsidRPr="00B971D6" w:rsidRDefault="00000000">
            <w:pPr>
              <w:spacing w:after="0"/>
              <w:rPr>
                <w:sz w:val="17"/>
                <w:szCs w:val="17"/>
              </w:rPr>
            </w:pPr>
            <w:r w:rsidRPr="00B971D6">
              <w:rPr>
                <w:sz w:val="17"/>
                <w:szCs w:val="17"/>
              </w:rPr>
              <w:t>19.2%</w:t>
            </w:r>
          </w:p>
        </w:tc>
      </w:tr>
      <w:tr w:rsidR="003E6E16" w:rsidRPr="00B971D6" w14:paraId="09B0808D" w14:textId="77777777" w:rsidTr="00B971D6">
        <w:trPr>
          <w:jc w:val="center"/>
        </w:trPr>
        <w:tc>
          <w:tcPr>
            <w:tcW w:w="1024" w:type="pct"/>
            <w:tcBorders>
              <w:top w:val="single" w:sz="2" w:space="0" w:color="D9D9D9"/>
              <w:left w:val="single" w:sz="2" w:space="0" w:color="D9D9D9"/>
              <w:bottom w:val="single" w:sz="2" w:space="0" w:color="D9D9D9"/>
              <w:right w:val="single" w:sz="2" w:space="0" w:color="D9D9D9"/>
            </w:tcBorders>
            <w:vAlign w:val="center"/>
          </w:tcPr>
          <w:p w14:paraId="31A1A375" w14:textId="77777777" w:rsidR="003E6E16" w:rsidRPr="00B971D6" w:rsidRDefault="00000000">
            <w:pPr>
              <w:spacing w:after="0"/>
              <w:rPr>
                <w:sz w:val="17"/>
                <w:szCs w:val="17"/>
              </w:rPr>
            </w:pPr>
            <w:r w:rsidRPr="00B971D6">
              <w:rPr>
                <w:sz w:val="17"/>
                <w:szCs w:val="17"/>
              </w:rPr>
              <w:t>Adverse</w:t>
            </w:r>
          </w:p>
        </w:tc>
        <w:tc>
          <w:tcPr>
            <w:tcW w:w="846" w:type="pct"/>
            <w:tcBorders>
              <w:top w:val="single" w:sz="2" w:space="0" w:color="D9D9D9"/>
              <w:left w:val="single" w:sz="2" w:space="0" w:color="D9D9D9"/>
              <w:bottom w:val="single" w:sz="2" w:space="0" w:color="D9D9D9"/>
              <w:right w:val="single" w:sz="2" w:space="0" w:color="D9D9D9"/>
            </w:tcBorders>
            <w:vAlign w:val="center"/>
          </w:tcPr>
          <w:p w14:paraId="21088544" w14:textId="77777777" w:rsidR="003E6E16" w:rsidRPr="00B971D6" w:rsidRDefault="00000000">
            <w:pPr>
              <w:spacing w:after="0"/>
              <w:rPr>
                <w:sz w:val="17"/>
                <w:szCs w:val="17"/>
              </w:rPr>
            </w:pPr>
            <w:r w:rsidRPr="00B971D6">
              <w:rPr>
                <w:sz w:val="17"/>
                <w:szCs w:val="17"/>
              </w:rPr>
              <w:t>1.25x</w:t>
            </w:r>
          </w:p>
        </w:tc>
        <w:tc>
          <w:tcPr>
            <w:tcW w:w="445" w:type="pct"/>
            <w:tcBorders>
              <w:top w:val="single" w:sz="2" w:space="0" w:color="D9D9D9"/>
              <w:left w:val="single" w:sz="2" w:space="0" w:color="D9D9D9"/>
              <w:bottom w:val="single" w:sz="2" w:space="0" w:color="D9D9D9"/>
              <w:right w:val="single" w:sz="2" w:space="0" w:color="D9D9D9"/>
            </w:tcBorders>
            <w:vAlign w:val="center"/>
          </w:tcPr>
          <w:p w14:paraId="5EED394C" w14:textId="77777777" w:rsidR="003E6E16" w:rsidRPr="00B971D6" w:rsidRDefault="00000000">
            <w:pPr>
              <w:spacing w:after="0"/>
              <w:rPr>
                <w:sz w:val="17"/>
                <w:szCs w:val="17"/>
              </w:rPr>
            </w:pPr>
            <w:r w:rsidRPr="00B971D6">
              <w:rPr>
                <w:sz w:val="17"/>
                <w:szCs w:val="17"/>
              </w:rPr>
              <w:t>55.0%</w:t>
            </w:r>
          </w:p>
        </w:tc>
        <w:tc>
          <w:tcPr>
            <w:tcW w:w="733" w:type="pct"/>
            <w:tcBorders>
              <w:top w:val="single" w:sz="2" w:space="0" w:color="D9D9D9"/>
              <w:left w:val="single" w:sz="2" w:space="0" w:color="D9D9D9"/>
              <w:bottom w:val="single" w:sz="2" w:space="0" w:color="D9D9D9"/>
              <w:right w:val="single" w:sz="2" w:space="0" w:color="D9D9D9"/>
            </w:tcBorders>
            <w:vAlign w:val="center"/>
          </w:tcPr>
          <w:p w14:paraId="4DBC1045" w14:textId="77777777" w:rsidR="003E6E16" w:rsidRPr="00B971D6" w:rsidRDefault="00000000">
            <w:pPr>
              <w:spacing w:after="0"/>
              <w:rPr>
                <w:sz w:val="17"/>
                <w:szCs w:val="17"/>
              </w:rPr>
            </w:pPr>
            <w:r w:rsidRPr="00B971D6">
              <w:rPr>
                <w:sz w:val="17"/>
                <w:szCs w:val="17"/>
              </w:rPr>
              <w:t>USD 1.83bn</w:t>
            </w:r>
          </w:p>
        </w:tc>
        <w:tc>
          <w:tcPr>
            <w:tcW w:w="977" w:type="pct"/>
            <w:tcBorders>
              <w:top w:val="single" w:sz="2" w:space="0" w:color="D9D9D9"/>
              <w:left w:val="single" w:sz="2" w:space="0" w:color="D9D9D9"/>
              <w:bottom w:val="single" w:sz="2" w:space="0" w:color="D9D9D9"/>
              <w:right w:val="single" w:sz="2" w:space="0" w:color="D9D9D9"/>
            </w:tcBorders>
            <w:vAlign w:val="center"/>
          </w:tcPr>
          <w:p w14:paraId="42C903FA" w14:textId="77777777" w:rsidR="003E6E16" w:rsidRPr="00B971D6" w:rsidRDefault="00000000">
            <w:pPr>
              <w:spacing w:after="0"/>
              <w:rPr>
                <w:sz w:val="17"/>
                <w:szCs w:val="17"/>
              </w:rPr>
            </w:pPr>
            <w:r w:rsidRPr="00B971D6">
              <w:rPr>
                <w:sz w:val="17"/>
                <w:szCs w:val="17"/>
              </w:rPr>
              <w:t>30.9%</w:t>
            </w:r>
          </w:p>
        </w:tc>
        <w:tc>
          <w:tcPr>
            <w:tcW w:w="975" w:type="pct"/>
            <w:tcBorders>
              <w:top w:val="single" w:sz="2" w:space="0" w:color="D9D9D9"/>
              <w:left w:val="single" w:sz="2" w:space="0" w:color="D9D9D9"/>
              <w:bottom w:val="single" w:sz="2" w:space="0" w:color="D9D9D9"/>
              <w:right w:val="single" w:sz="2" w:space="0" w:color="D9D9D9"/>
            </w:tcBorders>
            <w:vAlign w:val="center"/>
          </w:tcPr>
          <w:p w14:paraId="34AA70A7" w14:textId="77777777" w:rsidR="003E6E16" w:rsidRPr="00B971D6" w:rsidRDefault="00000000">
            <w:pPr>
              <w:spacing w:after="0"/>
              <w:rPr>
                <w:sz w:val="17"/>
                <w:szCs w:val="17"/>
              </w:rPr>
            </w:pPr>
            <w:r w:rsidRPr="00B971D6">
              <w:rPr>
                <w:sz w:val="17"/>
                <w:szCs w:val="17"/>
              </w:rPr>
              <w:t>36.5%</w:t>
            </w:r>
          </w:p>
        </w:tc>
      </w:tr>
      <w:tr w:rsidR="003E6E16" w:rsidRPr="00B971D6" w14:paraId="40F94573" w14:textId="77777777" w:rsidTr="00B971D6">
        <w:trPr>
          <w:jc w:val="center"/>
        </w:trPr>
        <w:tc>
          <w:tcPr>
            <w:tcW w:w="1024" w:type="pct"/>
            <w:tcBorders>
              <w:top w:val="single" w:sz="2" w:space="0" w:color="D9D9D9"/>
              <w:left w:val="single" w:sz="2" w:space="0" w:color="D9D9D9"/>
              <w:bottom w:val="single" w:sz="2" w:space="0" w:color="D9D9D9"/>
              <w:right w:val="single" w:sz="2" w:space="0" w:color="D9D9D9"/>
            </w:tcBorders>
            <w:vAlign w:val="center"/>
          </w:tcPr>
          <w:p w14:paraId="53405872" w14:textId="77777777" w:rsidR="003E6E16" w:rsidRPr="00B971D6" w:rsidRDefault="00000000">
            <w:pPr>
              <w:spacing w:after="0"/>
              <w:rPr>
                <w:sz w:val="17"/>
                <w:szCs w:val="17"/>
              </w:rPr>
            </w:pPr>
            <w:r w:rsidRPr="00B971D6">
              <w:rPr>
                <w:sz w:val="17"/>
                <w:szCs w:val="17"/>
              </w:rPr>
              <w:t>Severe Stress</w:t>
            </w:r>
          </w:p>
        </w:tc>
        <w:tc>
          <w:tcPr>
            <w:tcW w:w="846" w:type="pct"/>
            <w:tcBorders>
              <w:top w:val="single" w:sz="2" w:space="0" w:color="D9D9D9"/>
              <w:left w:val="single" w:sz="2" w:space="0" w:color="D9D9D9"/>
              <w:bottom w:val="single" w:sz="2" w:space="0" w:color="D9D9D9"/>
              <w:right w:val="single" w:sz="2" w:space="0" w:color="D9D9D9"/>
            </w:tcBorders>
            <w:vAlign w:val="center"/>
          </w:tcPr>
          <w:p w14:paraId="668DE23B" w14:textId="77777777" w:rsidR="003E6E16" w:rsidRPr="00B971D6" w:rsidRDefault="00000000">
            <w:pPr>
              <w:spacing w:after="0"/>
              <w:rPr>
                <w:sz w:val="17"/>
                <w:szCs w:val="17"/>
              </w:rPr>
            </w:pPr>
            <w:r w:rsidRPr="00B971D6">
              <w:rPr>
                <w:sz w:val="17"/>
                <w:szCs w:val="17"/>
              </w:rPr>
              <w:t>1.50x</w:t>
            </w:r>
          </w:p>
        </w:tc>
        <w:tc>
          <w:tcPr>
            <w:tcW w:w="445" w:type="pct"/>
            <w:tcBorders>
              <w:top w:val="single" w:sz="2" w:space="0" w:color="D9D9D9"/>
              <w:left w:val="single" w:sz="2" w:space="0" w:color="D9D9D9"/>
              <w:bottom w:val="single" w:sz="2" w:space="0" w:color="D9D9D9"/>
              <w:right w:val="single" w:sz="2" w:space="0" w:color="D9D9D9"/>
            </w:tcBorders>
            <w:vAlign w:val="center"/>
          </w:tcPr>
          <w:p w14:paraId="6C2CE2F3" w14:textId="77777777" w:rsidR="003E6E16" w:rsidRPr="00B971D6" w:rsidRDefault="00000000">
            <w:pPr>
              <w:spacing w:after="0"/>
              <w:rPr>
                <w:sz w:val="17"/>
                <w:szCs w:val="17"/>
              </w:rPr>
            </w:pPr>
            <w:r w:rsidRPr="00B971D6">
              <w:rPr>
                <w:sz w:val="17"/>
                <w:szCs w:val="17"/>
              </w:rPr>
              <w:t>60.0%</w:t>
            </w:r>
          </w:p>
        </w:tc>
        <w:tc>
          <w:tcPr>
            <w:tcW w:w="733" w:type="pct"/>
            <w:tcBorders>
              <w:top w:val="single" w:sz="2" w:space="0" w:color="D9D9D9"/>
              <w:left w:val="single" w:sz="2" w:space="0" w:color="D9D9D9"/>
              <w:bottom w:val="single" w:sz="2" w:space="0" w:color="D9D9D9"/>
              <w:right w:val="single" w:sz="2" w:space="0" w:color="D9D9D9"/>
            </w:tcBorders>
            <w:vAlign w:val="center"/>
          </w:tcPr>
          <w:p w14:paraId="110B653D" w14:textId="77777777" w:rsidR="003E6E16" w:rsidRPr="00B971D6" w:rsidRDefault="00000000">
            <w:pPr>
              <w:spacing w:after="0"/>
              <w:rPr>
                <w:sz w:val="17"/>
                <w:szCs w:val="17"/>
              </w:rPr>
            </w:pPr>
            <w:r w:rsidRPr="00B971D6">
              <w:rPr>
                <w:sz w:val="17"/>
                <w:szCs w:val="17"/>
              </w:rPr>
              <w:t>USD 2.17bn</w:t>
            </w:r>
          </w:p>
        </w:tc>
        <w:tc>
          <w:tcPr>
            <w:tcW w:w="977" w:type="pct"/>
            <w:tcBorders>
              <w:top w:val="single" w:sz="2" w:space="0" w:color="D9D9D9"/>
              <w:left w:val="single" w:sz="2" w:space="0" w:color="D9D9D9"/>
              <w:bottom w:val="single" w:sz="2" w:space="0" w:color="D9D9D9"/>
              <w:right w:val="single" w:sz="2" w:space="0" w:color="D9D9D9"/>
            </w:tcBorders>
            <w:vAlign w:val="center"/>
          </w:tcPr>
          <w:p w14:paraId="7D378A48" w14:textId="77777777" w:rsidR="003E6E16" w:rsidRPr="00B971D6" w:rsidRDefault="00000000">
            <w:pPr>
              <w:spacing w:after="0"/>
              <w:rPr>
                <w:sz w:val="17"/>
                <w:szCs w:val="17"/>
              </w:rPr>
            </w:pPr>
            <w:r w:rsidRPr="00B971D6">
              <w:rPr>
                <w:sz w:val="17"/>
                <w:szCs w:val="17"/>
              </w:rPr>
              <w:t>36.5%</w:t>
            </w:r>
          </w:p>
        </w:tc>
        <w:tc>
          <w:tcPr>
            <w:tcW w:w="975" w:type="pct"/>
            <w:tcBorders>
              <w:top w:val="single" w:sz="2" w:space="0" w:color="D9D9D9"/>
              <w:left w:val="single" w:sz="2" w:space="0" w:color="D9D9D9"/>
              <w:bottom w:val="single" w:sz="2" w:space="0" w:color="D9D9D9"/>
              <w:right w:val="single" w:sz="2" w:space="0" w:color="D9D9D9"/>
            </w:tcBorders>
            <w:vAlign w:val="center"/>
          </w:tcPr>
          <w:p w14:paraId="56C0E40A" w14:textId="77777777" w:rsidR="003E6E16" w:rsidRPr="00B971D6" w:rsidRDefault="00000000">
            <w:pPr>
              <w:spacing w:after="0"/>
              <w:rPr>
                <w:sz w:val="17"/>
                <w:szCs w:val="17"/>
              </w:rPr>
            </w:pPr>
            <w:r w:rsidRPr="00B971D6">
              <w:rPr>
                <w:sz w:val="17"/>
                <w:szCs w:val="17"/>
              </w:rPr>
              <w:t>61.4%</w:t>
            </w:r>
          </w:p>
        </w:tc>
      </w:tr>
    </w:tbl>
    <w:p w14:paraId="35EA233F" w14:textId="77777777" w:rsidR="003E6E16" w:rsidRDefault="00000000" w:rsidP="00B971D6">
      <w:pPr>
        <w:pStyle w:val="MemoCaption"/>
        <w:jc w:val="center"/>
      </w:pPr>
      <w:r>
        <w:t>Table 6. Scenario ECL summary.</w:t>
      </w:r>
    </w:p>
    <w:p w14:paraId="7256F2E3" w14:textId="77777777" w:rsidR="003E6E16" w:rsidRDefault="00000000">
      <w:r>
        <w:t>Under the severe stress scenario, total illustrative ECL rises from USD 1.34bn to USD 2.17bn, a 61.4% increase versus the base case. The result shows how a relatively simple PD-LGD-EAD engine can be used for management-style sensitivity analysis.</w:t>
      </w:r>
    </w:p>
    <w:p w14:paraId="0CB0E7DA" w14:textId="77777777" w:rsidR="003E6E16" w:rsidRDefault="00000000">
      <w:pPr>
        <w:jc w:val="center"/>
      </w:pPr>
      <w:r>
        <w:rPr>
          <w:noProof/>
        </w:rPr>
        <w:drawing>
          <wp:inline distT="0" distB="0" distL="0" distR="0" wp14:anchorId="13D29E43" wp14:editId="0EEAA391">
            <wp:extent cx="3483000" cy="232200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ecl_comparison.png"/>
                    <pic:cNvPicPr/>
                  </pic:nvPicPr>
                  <pic:blipFill>
                    <a:blip r:embed="rId12"/>
                    <a:stretch>
                      <a:fillRect/>
                    </a:stretch>
                  </pic:blipFill>
                  <pic:spPr>
                    <a:xfrm>
                      <a:off x="0" y="0"/>
                      <a:ext cx="3483000" cy="2322000"/>
                    </a:xfrm>
                    <a:prstGeom prst="rect">
                      <a:avLst/>
                    </a:prstGeom>
                  </pic:spPr>
                </pic:pic>
              </a:graphicData>
            </a:graphic>
          </wp:inline>
        </w:drawing>
      </w:r>
    </w:p>
    <w:p w14:paraId="79BB538F" w14:textId="77777777" w:rsidR="003E6E16" w:rsidRDefault="00000000" w:rsidP="00B971D6">
      <w:pPr>
        <w:pStyle w:val="MemoCaption"/>
        <w:jc w:val="center"/>
      </w:pPr>
      <w:r>
        <w:t>Figure 5. Scenario ECL comparison.</w:t>
      </w:r>
    </w:p>
    <w:p w14:paraId="22818C16" w14:textId="77777777" w:rsidR="003E6E16" w:rsidRPr="00B971D6" w:rsidRDefault="00000000" w:rsidP="00E438BD">
      <w:pPr>
        <w:pStyle w:val="Balk1"/>
        <w:spacing w:after="0"/>
        <w:rPr>
          <w:sz w:val="24"/>
          <w:szCs w:val="24"/>
        </w:rPr>
      </w:pPr>
      <w:r w:rsidRPr="00B971D6">
        <w:rPr>
          <w:rFonts w:ascii="Garamond" w:eastAsia="Garamond" w:hAnsi="Garamond"/>
          <w:sz w:val="24"/>
          <w:szCs w:val="24"/>
        </w:rPr>
        <w:lastRenderedPageBreak/>
        <w:t>8. Model Stability and Strategy Simulation</w:t>
      </w:r>
    </w:p>
    <w:p w14:paraId="5EE7FA7D" w14:textId="77777777" w:rsidR="003E6E16" w:rsidRDefault="00000000">
      <w:r>
        <w:t>The train-test PD score PSI is approximately 0.00002, which indicates no material distribution shift between the model development and holdout samples. This supports the stability of the score distribution in the holdout validation setup.</w:t>
      </w:r>
    </w:p>
    <w:p w14:paraId="734EB4D3" w14:textId="18AD0B91" w:rsidR="003E6E16" w:rsidRDefault="00000000" w:rsidP="00A94DAB">
      <w:r>
        <w:t>The threshold simulation is not an underwriting recommendation. It illustrates how a PD model can support risk strategy discussions by showing the trade-off between approval rate, retained exposure and the share of defaults captured in a review or rejection population. At a 20% PD threshold, the model approves 52.5% of loans, retains 47.3% of exposure and captures 71.1% of defaults in the rejected or manual-review segment.</w:t>
      </w:r>
    </w:p>
    <w:tbl>
      <w:tblPr>
        <w:tblW w:w="5000" w:type="pct"/>
        <w:jc w:val="center"/>
        <w:tblLook w:val="04A0" w:firstRow="1" w:lastRow="0" w:firstColumn="1" w:lastColumn="0" w:noHBand="0" w:noVBand="1"/>
      </w:tblPr>
      <w:tblGrid>
        <w:gridCol w:w="1465"/>
        <w:gridCol w:w="1476"/>
        <w:gridCol w:w="2209"/>
        <w:gridCol w:w="1919"/>
        <w:gridCol w:w="3141"/>
      </w:tblGrid>
      <w:tr w:rsidR="003E6E16" w:rsidRPr="00B971D6" w14:paraId="79FCAB31" w14:textId="77777777" w:rsidTr="00B971D6">
        <w:trPr>
          <w:jc w:val="center"/>
        </w:trPr>
        <w:tc>
          <w:tcPr>
            <w:tcW w:w="717"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2D7BF8E4" w14:textId="77777777" w:rsidR="003E6E16" w:rsidRPr="00B971D6" w:rsidRDefault="00000000">
            <w:pPr>
              <w:spacing w:after="0"/>
              <w:rPr>
                <w:sz w:val="17"/>
                <w:szCs w:val="17"/>
              </w:rPr>
            </w:pPr>
            <w:r w:rsidRPr="00B971D6">
              <w:rPr>
                <w:b/>
                <w:sz w:val="17"/>
                <w:szCs w:val="17"/>
              </w:rPr>
              <w:t>PD threshold</w:t>
            </w:r>
          </w:p>
        </w:tc>
        <w:tc>
          <w:tcPr>
            <w:tcW w:w="723"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08080E6F" w14:textId="77777777" w:rsidR="003E6E16" w:rsidRPr="00B971D6" w:rsidRDefault="00000000">
            <w:pPr>
              <w:spacing w:after="0"/>
              <w:rPr>
                <w:sz w:val="17"/>
                <w:szCs w:val="17"/>
              </w:rPr>
            </w:pPr>
            <w:r w:rsidRPr="00B971D6">
              <w:rPr>
                <w:b/>
                <w:sz w:val="17"/>
                <w:szCs w:val="17"/>
              </w:rPr>
              <w:t>Approval rate</w:t>
            </w:r>
          </w:p>
        </w:tc>
        <w:tc>
          <w:tcPr>
            <w:tcW w:w="1082"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381E765E" w14:textId="77777777" w:rsidR="003E6E16" w:rsidRPr="00B971D6" w:rsidRDefault="00000000">
            <w:pPr>
              <w:spacing w:after="0"/>
              <w:rPr>
                <w:sz w:val="17"/>
                <w:szCs w:val="17"/>
              </w:rPr>
            </w:pPr>
            <w:r w:rsidRPr="00B971D6">
              <w:rPr>
                <w:b/>
                <w:sz w:val="17"/>
                <w:szCs w:val="17"/>
              </w:rPr>
              <w:t>Approved default rate</w:t>
            </w:r>
          </w:p>
        </w:tc>
        <w:tc>
          <w:tcPr>
            <w:tcW w:w="940"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03AFB6EA" w14:textId="77777777" w:rsidR="003E6E16" w:rsidRPr="00B971D6" w:rsidRDefault="00000000">
            <w:pPr>
              <w:spacing w:after="0"/>
              <w:rPr>
                <w:sz w:val="17"/>
                <w:szCs w:val="17"/>
              </w:rPr>
            </w:pPr>
            <w:r w:rsidRPr="00B971D6">
              <w:rPr>
                <w:b/>
                <w:sz w:val="17"/>
                <w:szCs w:val="17"/>
              </w:rPr>
              <w:t>Exposure retained</w:t>
            </w:r>
          </w:p>
        </w:tc>
        <w:tc>
          <w:tcPr>
            <w:tcW w:w="1538"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0708DC6B" w14:textId="77777777" w:rsidR="003E6E16" w:rsidRPr="00B971D6" w:rsidRDefault="00000000">
            <w:pPr>
              <w:spacing w:after="0"/>
              <w:rPr>
                <w:sz w:val="17"/>
                <w:szCs w:val="17"/>
              </w:rPr>
            </w:pPr>
            <w:r w:rsidRPr="00B971D6">
              <w:rPr>
                <w:b/>
                <w:sz w:val="17"/>
                <w:szCs w:val="17"/>
              </w:rPr>
              <w:t>Default capture in review/reject</w:t>
            </w:r>
          </w:p>
        </w:tc>
      </w:tr>
      <w:tr w:rsidR="003E6E16" w:rsidRPr="00B971D6" w14:paraId="08E59F16" w14:textId="77777777" w:rsidTr="00B971D6">
        <w:trPr>
          <w:jc w:val="center"/>
        </w:trPr>
        <w:tc>
          <w:tcPr>
            <w:tcW w:w="717" w:type="pct"/>
            <w:tcBorders>
              <w:top w:val="single" w:sz="2" w:space="0" w:color="D9D9D9"/>
              <w:left w:val="single" w:sz="2" w:space="0" w:color="D9D9D9"/>
              <w:bottom w:val="single" w:sz="2" w:space="0" w:color="D9D9D9"/>
              <w:right w:val="single" w:sz="2" w:space="0" w:color="D9D9D9"/>
            </w:tcBorders>
            <w:vAlign w:val="center"/>
          </w:tcPr>
          <w:p w14:paraId="6D406B16" w14:textId="77777777" w:rsidR="003E6E16" w:rsidRPr="00B971D6" w:rsidRDefault="00000000">
            <w:pPr>
              <w:spacing w:after="0"/>
              <w:rPr>
                <w:sz w:val="17"/>
                <w:szCs w:val="17"/>
              </w:rPr>
            </w:pPr>
            <w:r w:rsidRPr="00B971D6">
              <w:rPr>
                <w:sz w:val="17"/>
                <w:szCs w:val="17"/>
              </w:rPr>
              <w:t>10%</w:t>
            </w:r>
          </w:p>
        </w:tc>
        <w:tc>
          <w:tcPr>
            <w:tcW w:w="723" w:type="pct"/>
            <w:tcBorders>
              <w:top w:val="single" w:sz="2" w:space="0" w:color="D9D9D9"/>
              <w:left w:val="single" w:sz="2" w:space="0" w:color="D9D9D9"/>
              <w:bottom w:val="single" w:sz="2" w:space="0" w:color="D9D9D9"/>
              <w:right w:val="single" w:sz="2" w:space="0" w:color="D9D9D9"/>
            </w:tcBorders>
            <w:vAlign w:val="center"/>
          </w:tcPr>
          <w:p w14:paraId="5B592799" w14:textId="77777777" w:rsidR="003E6E16" w:rsidRPr="00B971D6" w:rsidRDefault="00000000">
            <w:pPr>
              <w:spacing w:after="0"/>
              <w:rPr>
                <w:sz w:val="17"/>
                <w:szCs w:val="17"/>
              </w:rPr>
            </w:pPr>
            <w:r w:rsidRPr="00B971D6">
              <w:rPr>
                <w:sz w:val="17"/>
                <w:szCs w:val="17"/>
              </w:rPr>
              <w:t>20.2%</w:t>
            </w:r>
          </w:p>
        </w:tc>
        <w:tc>
          <w:tcPr>
            <w:tcW w:w="1082" w:type="pct"/>
            <w:tcBorders>
              <w:top w:val="single" w:sz="2" w:space="0" w:color="D9D9D9"/>
              <w:left w:val="single" w:sz="2" w:space="0" w:color="D9D9D9"/>
              <w:bottom w:val="single" w:sz="2" w:space="0" w:color="D9D9D9"/>
              <w:right w:val="single" w:sz="2" w:space="0" w:color="D9D9D9"/>
            </w:tcBorders>
            <w:vAlign w:val="center"/>
          </w:tcPr>
          <w:p w14:paraId="0650F51F" w14:textId="77777777" w:rsidR="003E6E16" w:rsidRPr="00B971D6" w:rsidRDefault="00000000">
            <w:pPr>
              <w:spacing w:after="0"/>
              <w:rPr>
                <w:sz w:val="17"/>
                <w:szCs w:val="17"/>
              </w:rPr>
            </w:pPr>
            <w:r w:rsidRPr="00B971D6">
              <w:rPr>
                <w:sz w:val="17"/>
                <w:szCs w:val="17"/>
              </w:rPr>
              <w:t>6.6%</w:t>
            </w:r>
          </w:p>
        </w:tc>
        <w:tc>
          <w:tcPr>
            <w:tcW w:w="940" w:type="pct"/>
            <w:tcBorders>
              <w:top w:val="single" w:sz="2" w:space="0" w:color="D9D9D9"/>
              <w:left w:val="single" w:sz="2" w:space="0" w:color="D9D9D9"/>
              <w:bottom w:val="single" w:sz="2" w:space="0" w:color="D9D9D9"/>
              <w:right w:val="single" w:sz="2" w:space="0" w:color="D9D9D9"/>
            </w:tcBorders>
            <w:vAlign w:val="center"/>
          </w:tcPr>
          <w:p w14:paraId="6AD86640" w14:textId="77777777" w:rsidR="003E6E16" w:rsidRPr="00B971D6" w:rsidRDefault="00000000">
            <w:pPr>
              <w:spacing w:after="0"/>
              <w:rPr>
                <w:sz w:val="17"/>
                <w:szCs w:val="17"/>
              </w:rPr>
            </w:pPr>
            <w:r w:rsidRPr="00B971D6">
              <w:rPr>
                <w:sz w:val="17"/>
                <w:szCs w:val="17"/>
              </w:rPr>
              <w:t>18.8%</w:t>
            </w:r>
          </w:p>
        </w:tc>
        <w:tc>
          <w:tcPr>
            <w:tcW w:w="1538" w:type="pct"/>
            <w:tcBorders>
              <w:top w:val="single" w:sz="2" w:space="0" w:color="D9D9D9"/>
              <w:left w:val="single" w:sz="2" w:space="0" w:color="D9D9D9"/>
              <w:bottom w:val="single" w:sz="2" w:space="0" w:color="D9D9D9"/>
              <w:right w:val="single" w:sz="2" w:space="0" w:color="D9D9D9"/>
            </w:tcBorders>
            <w:vAlign w:val="center"/>
          </w:tcPr>
          <w:p w14:paraId="0AD783BD" w14:textId="77777777" w:rsidR="003E6E16" w:rsidRPr="00B971D6" w:rsidRDefault="00000000">
            <w:pPr>
              <w:spacing w:after="0"/>
              <w:rPr>
                <w:sz w:val="17"/>
                <w:szCs w:val="17"/>
              </w:rPr>
            </w:pPr>
            <w:r w:rsidRPr="00B971D6">
              <w:rPr>
                <w:sz w:val="17"/>
                <w:szCs w:val="17"/>
              </w:rPr>
              <w:t>93.7%</w:t>
            </w:r>
          </w:p>
        </w:tc>
      </w:tr>
      <w:tr w:rsidR="003E6E16" w:rsidRPr="00B971D6" w14:paraId="12C90EC7" w14:textId="77777777" w:rsidTr="00B971D6">
        <w:trPr>
          <w:jc w:val="center"/>
        </w:trPr>
        <w:tc>
          <w:tcPr>
            <w:tcW w:w="717" w:type="pct"/>
            <w:tcBorders>
              <w:top w:val="single" w:sz="2" w:space="0" w:color="D9D9D9"/>
              <w:left w:val="single" w:sz="2" w:space="0" w:color="D9D9D9"/>
              <w:bottom w:val="single" w:sz="2" w:space="0" w:color="D9D9D9"/>
              <w:right w:val="single" w:sz="2" w:space="0" w:color="D9D9D9"/>
            </w:tcBorders>
            <w:vAlign w:val="center"/>
          </w:tcPr>
          <w:p w14:paraId="6C14D606" w14:textId="77777777" w:rsidR="003E6E16" w:rsidRPr="00B971D6" w:rsidRDefault="00000000">
            <w:pPr>
              <w:spacing w:after="0"/>
              <w:rPr>
                <w:sz w:val="17"/>
                <w:szCs w:val="17"/>
              </w:rPr>
            </w:pPr>
            <w:r w:rsidRPr="00B971D6">
              <w:rPr>
                <w:sz w:val="17"/>
                <w:szCs w:val="17"/>
              </w:rPr>
              <w:t>20%</w:t>
            </w:r>
          </w:p>
        </w:tc>
        <w:tc>
          <w:tcPr>
            <w:tcW w:w="723" w:type="pct"/>
            <w:tcBorders>
              <w:top w:val="single" w:sz="2" w:space="0" w:color="D9D9D9"/>
              <w:left w:val="single" w:sz="2" w:space="0" w:color="D9D9D9"/>
              <w:bottom w:val="single" w:sz="2" w:space="0" w:color="D9D9D9"/>
              <w:right w:val="single" w:sz="2" w:space="0" w:color="D9D9D9"/>
            </w:tcBorders>
            <w:vAlign w:val="center"/>
          </w:tcPr>
          <w:p w14:paraId="76638582" w14:textId="77777777" w:rsidR="003E6E16" w:rsidRPr="00B971D6" w:rsidRDefault="00000000">
            <w:pPr>
              <w:spacing w:after="0"/>
              <w:rPr>
                <w:sz w:val="17"/>
                <w:szCs w:val="17"/>
              </w:rPr>
            </w:pPr>
            <w:r w:rsidRPr="00B971D6">
              <w:rPr>
                <w:sz w:val="17"/>
                <w:szCs w:val="17"/>
              </w:rPr>
              <w:t>52.5%</w:t>
            </w:r>
          </w:p>
        </w:tc>
        <w:tc>
          <w:tcPr>
            <w:tcW w:w="1082" w:type="pct"/>
            <w:tcBorders>
              <w:top w:val="single" w:sz="2" w:space="0" w:color="D9D9D9"/>
              <w:left w:val="single" w:sz="2" w:space="0" w:color="D9D9D9"/>
              <w:bottom w:val="single" w:sz="2" w:space="0" w:color="D9D9D9"/>
              <w:right w:val="single" w:sz="2" w:space="0" w:color="D9D9D9"/>
            </w:tcBorders>
            <w:vAlign w:val="center"/>
          </w:tcPr>
          <w:p w14:paraId="6305CAA1" w14:textId="77777777" w:rsidR="003E6E16" w:rsidRPr="00B971D6" w:rsidRDefault="00000000">
            <w:pPr>
              <w:spacing w:after="0"/>
              <w:rPr>
                <w:sz w:val="17"/>
                <w:szCs w:val="17"/>
              </w:rPr>
            </w:pPr>
            <w:r w:rsidRPr="00B971D6">
              <w:rPr>
                <w:sz w:val="17"/>
                <w:szCs w:val="17"/>
              </w:rPr>
              <w:t>11.7%</w:t>
            </w:r>
          </w:p>
        </w:tc>
        <w:tc>
          <w:tcPr>
            <w:tcW w:w="940" w:type="pct"/>
            <w:tcBorders>
              <w:top w:val="single" w:sz="2" w:space="0" w:color="D9D9D9"/>
              <w:left w:val="single" w:sz="2" w:space="0" w:color="D9D9D9"/>
              <w:bottom w:val="single" w:sz="2" w:space="0" w:color="D9D9D9"/>
              <w:right w:val="single" w:sz="2" w:space="0" w:color="D9D9D9"/>
            </w:tcBorders>
            <w:vAlign w:val="center"/>
          </w:tcPr>
          <w:p w14:paraId="703B6CCF" w14:textId="77777777" w:rsidR="003E6E16" w:rsidRPr="00B971D6" w:rsidRDefault="00000000">
            <w:pPr>
              <w:spacing w:after="0"/>
              <w:rPr>
                <w:sz w:val="17"/>
                <w:szCs w:val="17"/>
              </w:rPr>
            </w:pPr>
            <w:r w:rsidRPr="00B971D6">
              <w:rPr>
                <w:sz w:val="17"/>
                <w:szCs w:val="17"/>
              </w:rPr>
              <w:t>47.3%</w:t>
            </w:r>
          </w:p>
        </w:tc>
        <w:tc>
          <w:tcPr>
            <w:tcW w:w="1538" w:type="pct"/>
            <w:tcBorders>
              <w:top w:val="single" w:sz="2" w:space="0" w:color="D9D9D9"/>
              <w:left w:val="single" w:sz="2" w:space="0" w:color="D9D9D9"/>
              <w:bottom w:val="single" w:sz="2" w:space="0" w:color="D9D9D9"/>
              <w:right w:val="single" w:sz="2" w:space="0" w:color="D9D9D9"/>
            </w:tcBorders>
            <w:vAlign w:val="center"/>
          </w:tcPr>
          <w:p w14:paraId="32CA37BD" w14:textId="77777777" w:rsidR="003E6E16" w:rsidRPr="00B971D6" w:rsidRDefault="00000000">
            <w:pPr>
              <w:spacing w:after="0"/>
              <w:rPr>
                <w:sz w:val="17"/>
                <w:szCs w:val="17"/>
              </w:rPr>
            </w:pPr>
            <w:r w:rsidRPr="00B971D6">
              <w:rPr>
                <w:sz w:val="17"/>
                <w:szCs w:val="17"/>
              </w:rPr>
              <w:t>71.1%</w:t>
            </w:r>
          </w:p>
        </w:tc>
      </w:tr>
      <w:tr w:rsidR="003E6E16" w:rsidRPr="00B971D6" w14:paraId="4E5030C6" w14:textId="77777777" w:rsidTr="00B971D6">
        <w:trPr>
          <w:jc w:val="center"/>
        </w:trPr>
        <w:tc>
          <w:tcPr>
            <w:tcW w:w="717" w:type="pct"/>
            <w:tcBorders>
              <w:top w:val="single" w:sz="2" w:space="0" w:color="D9D9D9"/>
              <w:left w:val="single" w:sz="2" w:space="0" w:color="D9D9D9"/>
              <w:bottom w:val="single" w:sz="2" w:space="0" w:color="D9D9D9"/>
              <w:right w:val="single" w:sz="2" w:space="0" w:color="D9D9D9"/>
            </w:tcBorders>
            <w:vAlign w:val="center"/>
          </w:tcPr>
          <w:p w14:paraId="464895D9" w14:textId="77777777" w:rsidR="003E6E16" w:rsidRPr="00B971D6" w:rsidRDefault="00000000">
            <w:pPr>
              <w:spacing w:after="0"/>
              <w:rPr>
                <w:sz w:val="17"/>
                <w:szCs w:val="17"/>
              </w:rPr>
            </w:pPr>
            <w:r w:rsidRPr="00B971D6">
              <w:rPr>
                <w:sz w:val="17"/>
                <w:szCs w:val="17"/>
              </w:rPr>
              <w:t>30%</w:t>
            </w:r>
          </w:p>
        </w:tc>
        <w:tc>
          <w:tcPr>
            <w:tcW w:w="723" w:type="pct"/>
            <w:tcBorders>
              <w:top w:val="single" w:sz="2" w:space="0" w:color="D9D9D9"/>
              <w:left w:val="single" w:sz="2" w:space="0" w:color="D9D9D9"/>
              <w:bottom w:val="single" w:sz="2" w:space="0" w:color="D9D9D9"/>
              <w:right w:val="single" w:sz="2" w:space="0" w:color="D9D9D9"/>
            </w:tcBorders>
            <w:vAlign w:val="center"/>
          </w:tcPr>
          <w:p w14:paraId="69A99074" w14:textId="77777777" w:rsidR="003E6E16" w:rsidRPr="00B971D6" w:rsidRDefault="00000000">
            <w:pPr>
              <w:spacing w:after="0"/>
              <w:rPr>
                <w:sz w:val="17"/>
                <w:szCs w:val="17"/>
              </w:rPr>
            </w:pPr>
            <w:r w:rsidRPr="00B971D6">
              <w:rPr>
                <w:sz w:val="17"/>
                <w:szCs w:val="17"/>
              </w:rPr>
              <w:t>77.5%</w:t>
            </w:r>
          </w:p>
        </w:tc>
        <w:tc>
          <w:tcPr>
            <w:tcW w:w="1082" w:type="pct"/>
            <w:tcBorders>
              <w:top w:val="single" w:sz="2" w:space="0" w:color="D9D9D9"/>
              <w:left w:val="single" w:sz="2" w:space="0" w:color="D9D9D9"/>
              <w:bottom w:val="single" w:sz="2" w:space="0" w:color="D9D9D9"/>
              <w:right w:val="single" w:sz="2" w:space="0" w:color="D9D9D9"/>
            </w:tcBorders>
            <w:vAlign w:val="center"/>
          </w:tcPr>
          <w:p w14:paraId="29179E30" w14:textId="77777777" w:rsidR="003E6E16" w:rsidRPr="00B971D6" w:rsidRDefault="00000000">
            <w:pPr>
              <w:spacing w:after="0"/>
              <w:rPr>
                <w:sz w:val="17"/>
                <w:szCs w:val="17"/>
              </w:rPr>
            </w:pPr>
            <w:r w:rsidRPr="00B971D6">
              <w:rPr>
                <w:sz w:val="17"/>
                <w:szCs w:val="17"/>
              </w:rPr>
              <w:t>15.8%</w:t>
            </w:r>
          </w:p>
        </w:tc>
        <w:tc>
          <w:tcPr>
            <w:tcW w:w="940" w:type="pct"/>
            <w:tcBorders>
              <w:top w:val="single" w:sz="2" w:space="0" w:color="D9D9D9"/>
              <w:left w:val="single" w:sz="2" w:space="0" w:color="D9D9D9"/>
              <w:bottom w:val="single" w:sz="2" w:space="0" w:color="D9D9D9"/>
              <w:right w:val="single" w:sz="2" w:space="0" w:color="D9D9D9"/>
            </w:tcBorders>
            <w:vAlign w:val="center"/>
          </w:tcPr>
          <w:p w14:paraId="0A1C6E6F" w14:textId="77777777" w:rsidR="003E6E16" w:rsidRPr="00B971D6" w:rsidRDefault="00000000">
            <w:pPr>
              <w:spacing w:after="0"/>
              <w:rPr>
                <w:sz w:val="17"/>
                <w:szCs w:val="17"/>
              </w:rPr>
            </w:pPr>
            <w:r w:rsidRPr="00B971D6">
              <w:rPr>
                <w:sz w:val="17"/>
                <w:szCs w:val="17"/>
              </w:rPr>
              <w:t>71.4%</w:t>
            </w:r>
          </w:p>
        </w:tc>
        <w:tc>
          <w:tcPr>
            <w:tcW w:w="1538" w:type="pct"/>
            <w:tcBorders>
              <w:top w:val="single" w:sz="2" w:space="0" w:color="D9D9D9"/>
              <w:left w:val="single" w:sz="2" w:space="0" w:color="D9D9D9"/>
              <w:bottom w:val="single" w:sz="2" w:space="0" w:color="D9D9D9"/>
              <w:right w:val="single" w:sz="2" w:space="0" w:color="D9D9D9"/>
            </w:tcBorders>
            <w:vAlign w:val="center"/>
          </w:tcPr>
          <w:p w14:paraId="7FC54760" w14:textId="77777777" w:rsidR="003E6E16" w:rsidRPr="00B971D6" w:rsidRDefault="00000000">
            <w:pPr>
              <w:spacing w:after="0"/>
              <w:rPr>
                <w:sz w:val="17"/>
                <w:szCs w:val="17"/>
              </w:rPr>
            </w:pPr>
            <w:r w:rsidRPr="00B971D6">
              <w:rPr>
                <w:sz w:val="17"/>
                <w:szCs w:val="17"/>
              </w:rPr>
              <w:t>42.4%</w:t>
            </w:r>
          </w:p>
        </w:tc>
      </w:tr>
      <w:tr w:rsidR="003E6E16" w:rsidRPr="00B971D6" w14:paraId="6ECD10BD" w14:textId="77777777" w:rsidTr="00B971D6">
        <w:trPr>
          <w:jc w:val="center"/>
        </w:trPr>
        <w:tc>
          <w:tcPr>
            <w:tcW w:w="717" w:type="pct"/>
            <w:tcBorders>
              <w:top w:val="single" w:sz="2" w:space="0" w:color="D9D9D9"/>
              <w:left w:val="single" w:sz="2" w:space="0" w:color="D9D9D9"/>
              <w:bottom w:val="single" w:sz="2" w:space="0" w:color="D9D9D9"/>
              <w:right w:val="single" w:sz="2" w:space="0" w:color="D9D9D9"/>
            </w:tcBorders>
            <w:vAlign w:val="center"/>
          </w:tcPr>
          <w:p w14:paraId="756C025B" w14:textId="77777777" w:rsidR="003E6E16" w:rsidRPr="00B971D6" w:rsidRDefault="00000000">
            <w:pPr>
              <w:spacing w:after="0"/>
              <w:rPr>
                <w:sz w:val="17"/>
                <w:szCs w:val="17"/>
              </w:rPr>
            </w:pPr>
            <w:r w:rsidRPr="00B971D6">
              <w:rPr>
                <w:sz w:val="17"/>
                <w:szCs w:val="17"/>
              </w:rPr>
              <w:t>40%</w:t>
            </w:r>
          </w:p>
        </w:tc>
        <w:tc>
          <w:tcPr>
            <w:tcW w:w="723" w:type="pct"/>
            <w:tcBorders>
              <w:top w:val="single" w:sz="2" w:space="0" w:color="D9D9D9"/>
              <w:left w:val="single" w:sz="2" w:space="0" w:color="D9D9D9"/>
              <w:bottom w:val="single" w:sz="2" w:space="0" w:color="D9D9D9"/>
              <w:right w:val="single" w:sz="2" w:space="0" w:color="D9D9D9"/>
            </w:tcBorders>
            <w:vAlign w:val="center"/>
          </w:tcPr>
          <w:p w14:paraId="4BA34283" w14:textId="77777777" w:rsidR="003E6E16" w:rsidRPr="00B971D6" w:rsidRDefault="00000000">
            <w:pPr>
              <w:spacing w:after="0"/>
              <w:rPr>
                <w:sz w:val="17"/>
                <w:szCs w:val="17"/>
              </w:rPr>
            </w:pPr>
            <w:r w:rsidRPr="00B971D6">
              <w:rPr>
                <w:sz w:val="17"/>
                <w:szCs w:val="17"/>
              </w:rPr>
              <w:t>90.9%</w:t>
            </w:r>
          </w:p>
        </w:tc>
        <w:tc>
          <w:tcPr>
            <w:tcW w:w="1082" w:type="pct"/>
            <w:tcBorders>
              <w:top w:val="single" w:sz="2" w:space="0" w:color="D9D9D9"/>
              <w:left w:val="single" w:sz="2" w:space="0" w:color="D9D9D9"/>
              <w:bottom w:val="single" w:sz="2" w:space="0" w:color="D9D9D9"/>
              <w:right w:val="single" w:sz="2" w:space="0" w:color="D9D9D9"/>
            </w:tcBorders>
            <w:vAlign w:val="center"/>
          </w:tcPr>
          <w:p w14:paraId="513B732E" w14:textId="77777777" w:rsidR="003E6E16" w:rsidRPr="00B971D6" w:rsidRDefault="00000000">
            <w:pPr>
              <w:spacing w:after="0"/>
              <w:rPr>
                <w:sz w:val="17"/>
                <w:szCs w:val="17"/>
              </w:rPr>
            </w:pPr>
            <w:r w:rsidRPr="00B971D6">
              <w:rPr>
                <w:sz w:val="17"/>
                <w:szCs w:val="17"/>
              </w:rPr>
              <w:t>18.5%</w:t>
            </w:r>
          </w:p>
        </w:tc>
        <w:tc>
          <w:tcPr>
            <w:tcW w:w="940" w:type="pct"/>
            <w:tcBorders>
              <w:top w:val="single" w:sz="2" w:space="0" w:color="D9D9D9"/>
              <w:left w:val="single" w:sz="2" w:space="0" w:color="D9D9D9"/>
              <w:bottom w:val="single" w:sz="2" w:space="0" w:color="D9D9D9"/>
              <w:right w:val="single" w:sz="2" w:space="0" w:color="D9D9D9"/>
            </w:tcBorders>
            <w:vAlign w:val="center"/>
          </w:tcPr>
          <w:p w14:paraId="70BE9283" w14:textId="77777777" w:rsidR="003E6E16" w:rsidRPr="00B971D6" w:rsidRDefault="00000000">
            <w:pPr>
              <w:spacing w:after="0"/>
              <w:rPr>
                <w:sz w:val="17"/>
                <w:szCs w:val="17"/>
              </w:rPr>
            </w:pPr>
            <w:r w:rsidRPr="00B971D6">
              <w:rPr>
                <w:sz w:val="17"/>
                <w:szCs w:val="17"/>
              </w:rPr>
              <w:t>87.3%</w:t>
            </w:r>
          </w:p>
        </w:tc>
        <w:tc>
          <w:tcPr>
            <w:tcW w:w="1538" w:type="pct"/>
            <w:tcBorders>
              <w:top w:val="single" w:sz="2" w:space="0" w:color="D9D9D9"/>
              <w:left w:val="single" w:sz="2" w:space="0" w:color="D9D9D9"/>
              <w:bottom w:val="single" w:sz="2" w:space="0" w:color="D9D9D9"/>
              <w:right w:val="single" w:sz="2" w:space="0" w:color="D9D9D9"/>
            </w:tcBorders>
            <w:vAlign w:val="center"/>
          </w:tcPr>
          <w:p w14:paraId="5A078D85" w14:textId="77777777" w:rsidR="003E6E16" w:rsidRPr="00B971D6" w:rsidRDefault="00000000">
            <w:pPr>
              <w:spacing w:after="0"/>
              <w:rPr>
                <w:sz w:val="17"/>
                <w:szCs w:val="17"/>
              </w:rPr>
            </w:pPr>
            <w:r w:rsidRPr="00B971D6">
              <w:rPr>
                <w:sz w:val="17"/>
                <w:szCs w:val="17"/>
              </w:rPr>
              <w:t>20.7%</w:t>
            </w:r>
          </w:p>
        </w:tc>
      </w:tr>
      <w:tr w:rsidR="003E6E16" w:rsidRPr="00B971D6" w14:paraId="096CC548" w14:textId="77777777" w:rsidTr="00B971D6">
        <w:trPr>
          <w:jc w:val="center"/>
        </w:trPr>
        <w:tc>
          <w:tcPr>
            <w:tcW w:w="717" w:type="pct"/>
            <w:tcBorders>
              <w:top w:val="single" w:sz="2" w:space="0" w:color="D9D9D9"/>
              <w:left w:val="single" w:sz="2" w:space="0" w:color="D9D9D9"/>
              <w:bottom w:val="single" w:sz="2" w:space="0" w:color="D9D9D9"/>
              <w:right w:val="single" w:sz="2" w:space="0" w:color="D9D9D9"/>
            </w:tcBorders>
            <w:vAlign w:val="center"/>
          </w:tcPr>
          <w:p w14:paraId="4C08124E" w14:textId="77777777" w:rsidR="003E6E16" w:rsidRPr="00B971D6" w:rsidRDefault="00000000">
            <w:pPr>
              <w:spacing w:after="0"/>
              <w:rPr>
                <w:sz w:val="17"/>
                <w:szCs w:val="17"/>
              </w:rPr>
            </w:pPr>
            <w:r w:rsidRPr="00B971D6">
              <w:rPr>
                <w:sz w:val="17"/>
                <w:szCs w:val="17"/>
              </w:rPr>
              <w:t>50%</w:t>
            </w:r>
          </w:p>
        </w:tc>
        <w:tc>
          <w:tcPr>
            <w:tcW w:w="723" w:type="pct"/>
            <w:tcBorders>
              <w:top w:val="single" w:sz="2" w:space="0" w:color="D9D9D9"/>
              <w:left w:val="single" w:sz="2" w:space="0" w:color="D9D9D9"/>
              <w:bottom w:val="single" w:sz="2" w:space="0" w:color="D9D9D9"/>
              <w:right w:val="single" w:sz="2" w:space="0" w:color="D9D9D9"/>
            </w:tcBorders>
            <w:vAlign w:val="center"/>
          </w:tcPr>
          <w:p w14:paraId="6CB30689" w14:textId="77777777" w:rsidR="003E6E16" w:rsidRPr="00B971D6" w:rsidRDefault="00000000">
            <w:pPr>
              <w:spacing w:after="0"/>
              <w:rPr>
                <w:sz w:val="17"/>
                <w:szCs w:val="17"/>
              </w:rPr>
            </w:pPr>
            <w:r w:rsidRPr="00B971D6">
              <w:rPr>
                <w:sz w:val="17"/>
                <w:szCs w:val="17"/>
              </w:rPr>
              <w:t>97.3%</w:t>
            </w:r>
          </w:p>
        </w:tc>
        <w:tc>
          <w:tcPr>
            <w:tcW w:w="1082" w:type="pct"/>
            <w:tcBorders>
              <w:top w:val="single" w:sz="2" w:space="0" w:color="D9D9D9"/>
              <w:left w:val="single" w:sz="2" w:space="0" w:color="D9D9D9"/>
              <w:bottom w:val="single" w:sz="2" w:space="0" w:color="D9D9D9"/>
              <w:right w:val="single" w:sz="2" w:space="0" w:color="D9D9D9"/>
            </w:tcBorders>
            <w:vAlign w:val="center"/>
          </w:tcPr>
          <w:p w14:paraId="2B0EAB8F" w14:textId="77777777" w:rsidR="003E6E16" w:rsidRPr="00B971D6" w:rsidRDefault="00000000">
            <w:pPr>
              <w:spacing w:after="0"/>
              <w:rPr>
                <w:sz w:val="17"/>
                <w:szCs w:val="17"/>
              </w:rPr>
            </w:pPr>
            <w:r w:rsidRPr="00B971D6">
              <w:rPr>
                <w:sz w:val="17"/>
                <w:szCs w:val="17"/>
              </w:rPr>
              <w:t>20.3%</w:t>
            </w:r>
          </w:p>
        </w:tc>
        <w:tc>
          <w:tcPr>
            <w:tcW w:w="940" w:type="pct"/>
            <w:tcBorders>
              <w:top w:val="single" w:sz="2" w:space="0" w:color="D9D9D9"/>
              <w:left w:val="single" w:sz="2" w:space="0" w:color="D9D9D9"/>
              <w:bottom w:val="single" w:sz="2" w:space="0" w:color="D9D9D9"/>
              <w:right w:val="single" w:sz="2" w:space="0" w:color="D9D9D9"/>
            </w:tcBorders>
            <w:vAlign w:val="center"/>
          </w:tcPr>
          <w:p w14:paraId="6CD8551A" w14:textId="77777777" w:rsidR="003E6E16" w:rsidRPr="00B971D6" w:rsidRDefault="00000000">
            <w:pPr>
              <w:spacing w:after="0"/>
              <w:rPr>
                <w:sz w:val="17"/>
                <w:szCs w:val="17"/>
              </w:rPr>
            </w:pPr>
            <w:r w:rsidRPr="00B971D6">
              <w:rPr>
                <w:sz w:val="17"/>
                <w:szCs w:val="17"/>
              </w:rPr>
              <w:t>96.1%</w:t>
            </w:r>
          </w:p>
        </w:tc>
        <w:tc>
          <w:tcPr>
            <w:tcW w:w="1538" w:type="pct"/>
            <w:tcBorders>
              <w:top w:val="single" w:sz="2" w:space="0" w:color="D9D9D9"/>
              <w:left w:val="single" w:sz="2" w:space="0" w:color="D9D9D9"/>
              <w:bottom w:val="single" w:sz="2" w:space="0" w:color="D9D9D9"/>
              <w:right w:val="single" w:sz="2" w:space="0" w:color="D9D9D9"/>
            </w:tcBorders>
            <w:vAlign w:val="center"/>
          </w:tcPr>
          <w:p w14:paraId="4245C393" w14:textId="77777777" w:rsidR="003E6E16" w:rsidRPr="00B971D6" w:rsidRDefault="00000000">
            <w:pPr>
              <w:spacing w:after="0"/>
              <w:rPr>
                <w:sz w:val="17"/>
                <w:szCs w:val="17"/>
              </w:rPr>
            </w:pPr>
            <w:r w:rsidRPr="00B971D6">
              <w:rPr>
                <w:sz w:val="17"/>
                <w:szCs w:val="17"/>
              </w:rPr>
              <w:t>7.0%</w:t>
            </w:r>
          </w:p>
        </w:tc>
      </w:tr>
    </w:tbl>
    <w:p w14:paraId="2CD91DB2" w14:textId="77777777" w:rsidR="003E6E16" w:rsidRDefault="00000000" w:rsidP="00B971D6">
      <w:pPr>
        <w:pStyle w:val="MemoCaption"/>
        <w:jc w:val="center"/>
      </w:pPr>
      <w:r>
        <w:t>Table 7. Approval-threshold simulation summary.</w:t>
      </w:r>
    </w:p>
    <w:p w14:paraId="2054F488" w14:textId="77777777" w:rsidR="003E6E16" w:rsidRDefault="00000000">
      <w:pPr>
        <w:jc w:val="center"/>
      </w:pPr>
      <w:r>
        <w:rPr>
          <w:noProof/>
        </w:rPr>
        <w:drawing>
          <wp:inline distT="0" distB="0" distL="0" distR="0" wp14:anchorId="43D436D9" wp14:editId="51EC6294">
            <wp:extent cx="3483000" cy="232200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_threshold_simulation.png"/>
                    <pic:cNvPicPr/>
                  </pic:nvPicPr>
                  <pic:blipFill>
                    <a:blip r:embed="rId13"/>
                    <a:stretch>
                      <a:fillRect/>
                    </a:stretch>
                  </pic:blipFill>
                  <pic:spPr>
                    <a:xfrm>
                      <a:off x="0" y="0"/>
                      <a:ext cx="3483000" cy="2322000"/>
                    </a:xfrm>
                    <a:prstGeom prst="rect">
                      <a:avLst/>
                    </a:prstGeom>
                  </pic:spPr>
                </pic:pic>
              </a:graphicData>
            </a:graphic>
          </wp:inline>
        </w:drawing>
      </w:r>
    </w:p>
    <w:p w14:paraId="7635C817" w14:textId="77777777" w:rsidR="003E6E16" w:rsidRDefault="00000000" w:rsidP="00B971D6">
      <w:pPr>
        <w:pStyle w:val="MemoCaption"/>
        <w:jc w:val="center"/>
      </w:pPr>
      <w:r>
        <w:t>Figure 6. Approval threshold simulation.</w:t>
      </w:r>
    </w:p>
    <w:p w14:paraId="084A0D86" w14:textId="77777777" w:rsidR="003E6E16" w:rsidRDefault="00000000">
      <w:pPr>
        <w:jc w:val="center"/>
      </w:pPr>
      <w:r>
        <w:rPr>
          <w:noProof/>
        </w:rPr>
        <w:drawing>
          <wp:inline distT="0" distB="0" distL="0" distR="0" wp14:anchorId="6D574C8F" wp14:editId="75FD8E30">
            <wp:extent cx="3120000" cy="23400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erse_risk_band_migration.png"/>
                    <pic:cNvPicPr/>
                  </pic:nvPicPr>
                  <pic:blipFill>
                    <a:blip r:embed="rId14"/>
                    <a:stretch>
                      <a:fillRect/>
                    </a:stretch>
                  </pic:blipFill>
                  <pic:spPr>
                    <a:xfrm>
                      <a:off x="0" y="0"/>
                      <a:ext cx="3120000" cy="2340000"/>
                    </a:xfrm>
                    <a:prstGeom prst="rect">
                      <a:avLst/>
                    </a:prstGeom>
                  </pic:spPr>
                </pic:pic>
              </a:graphicData>
            </a:graphic>
          </wp:inline>
        </w:drawing>
      </w:r>
    </w:p>
    <w:p w14:paraId="1BF58834" w14:textId="77777777" w:rsidR="003E6E16" w:rsidRDefault="00000000" w:rsidP="00B971D6">
      <w:pPr>
        <w:pStyle w:val="MemoCaption"/>
        <w:jc w:val="center"/>
      </w:pPr>
      <w:r>
        <w:t>Figure 7. Risk band migration under adverse stress.</w:t>
      </w:r>
    </w:p>
    <w:p w14:paraId="3576E10C" w14:textId="77777777" w:rsidR="003E6E16" w:rsidRPr="00B971D6" w:rsidRDefault="00000000" w:rsidP="00E438BD">
      <w:pPr>
        <w:pStyle w:val="Balk1"/>
        <w:spacing w:after="0"/>
        <w:rPr>
          <w:sz w:val="24"/>
          <w:szCs w:val="24"/>
        </w:rPr>
      </w:pPr>
      <w:r w:rsidRPr="00B971D6">
        <w:rPr>
          <w:rFonts w:ascii="Garamond" w:eastAsia="Garamond" w:hAnsi="Garamond"/>
          <w:sz w:val="24"/>
          <w:szCs w:val="24"/>
        </w:rPr>
        <w:t>9. Turkey Macro-Sector Overlay</w:t>
      </w:r>
    </w:p>
    <w:p w14:paraId="2CA45F01" w14:textId="77777777" w:rsidR="003E6E16" w:rsidRDefault="00000000">
      <w:r>
        <w:t>The Turkey overlay is included to connect the credit risk workflow to local banking-sector monitoring. It is not used as a model input because the core PD model is estimated on U.S. LendingClub borrower-level data. Instead, public BDDK loan and NPL indicators and TCMB macro variables are used as contextual indicators for how a similar framework would be read in a Turkish banking environment. The overlay demonstrates how the same PD/ECL monitoring logic could be contextualized for a Turkish banking portfolio if institution-level borrower data were available.</w:t>
      </w:r>
    </w:p>
    <w:tbl>
      <w:tblPr>
        <w:tblW w:w="5000" w:type="pct"/>
        <w:jc w:val="center"/>
        <w:tblLook w:val="04A0" w:firstRow="1" w:lastRow="0" w:firstColumn="1" w:lastColumn="0" w:noHBand="0" w:noVBand="1"/>
      </w:tblPr>
      <w:tblGrid>
        <w:gridCol w:w="7707"/>
        <w:gridCol w:w="2503"/>
      </w:tblGrid>
      <w:tr w:rsidR="003E6E16" w:rsidRPr="00B971D6" w14:paraId="113A783F"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38DD7471" w14:textId="77777777" w:rsidR="003E6E16" w:rsidRPr="00B971D6" w:rsidRDefault="00000000">
            <w:pPr>
              <w:spacing w:after="0"/>
              <w:rPr>
                <w:sz w:val="17"/>
                <w:szCs w:val="17"/>
              </w:rPr>
            </w:pPr>
            <w:r w:rsidRPr="00B971D6">
              <w:rPr>
                <w:b/>
                <w:sz w:val="17"/>
                <w:szCs w:val="17"/>
              </w:rPr>
              <w:t>Indicator</w:t>
            </w:r>
          </w:p>
        </w:tc>
        <w:tc>
          <w:tcPr>
            <w:tcW w:w="1226"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22C8ED0B" w14:textId="77777777" w:rsidR="003E6E16" w:rsidRPr="00B971D6" w:rsidRDefault="00000000">
            <w:pPr>
              <w:spacing w:after="0"/>
              <w:rPr>
                <w:sz w:val="17"/>
                <w:szCs w:val="17"/>
              </w:rPr>
            </w:pPr>
            <w:r w:rsidRPr="00B971D6">
              <w:rPr>
                <w:b/>
                <w:sz w:val="17"/>
                <w:szCs w:val="17"/>
              </w:rPr>
              <w:t>Value</w:t>
            </w:r>
          </w:p>
        </w:tc>
      </w:tr>
      <w:tr w:rsidR="003E6E16" w:rsidRPr="00B971D6" w14:paraId="596F1F93"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vAlign w:val="center"/>
          </w:tcPr>
          <w:p w14:paraId="0B23B3AD" w14:textId="77777777" w:rsidR="003E6E16" w:rsidRPr="00B971D6" w:rsidRDefault="00000000">
            <w:pPr>
              <w:spacing w:after="0"/>
              <w:rPr>
                <w:sz w:val="17"/>
                <w:szCs w:val="17"/>
              </w:rPr>
            </w:pPr>
            <w:r w:rsidRPr="00B971D6">
              <w:rPr>
                <w:sz w:val="17"/>
                <w:szCs w:val="17"/>
              </w:rPr>
              <w:t>Latest selected date</w:t>
            </w:r>
          </w:p>
        </w:tc>
        <w:tc>
          <w:tcPr>
            <w:tcW w:w="1226" w:type="pct"/>
            <w:tcBorders>
              <w:top w:val="single" w:sz="2" w:space="0" w:color="D9D9D9"/>
              <w:left w:val="single" w:sz="2" w:space="0" w:color="D9D9D9"/>
              <w:bottom w:val="single" w:sz="2" w:space="0" w:color="D9D9D9"/>
              <w:right w:val="single" w:sz="2" w:space="0" w:color="D9D9D9"/>
            </w:tcBorders>
            <w:vAlign w:val="center"/>
          </w:tcPr>
          <w:p w14:paraId="73B09C75" w14:textId="77777777" w:rsidR="003E6E16" w:rsidRPr="00B971D6" w:rsidRDefault="00000000">
            <w:pPr>
              <w:spacing w:after="0"/>
              <w:rPr>
                <w:sz w:val="17"/>
                <w:szCs w:val="17"/>
              </w:rPr>
            </w:pPr>
            <w:r w:rsidRPr="00B971D6">
              <w:rPr>
                <w:sz w:val="17"/>
                <w:szCs w:val="17"/>
              </w:rPr>
              <w:t>2026-05-08</w:t>
            </w:r>
          </w:p>
        </w:tc>
      </w:tr>
      <w:tr w:rsidR="003E6E16" w:rsidRPr="00B971D6" w14:paraId="2FEBBBD9"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vAlign w:val="center"/>
          </w:tcPr>
          <w:p w14:paraId="171B39F9" w14:textId="77777777" w:rsidR="003E6E16" w:rsidRPr="00B971D6" w:rsidRDefault="00000000">
            <w:pPr>
              <w:spacing w:after="0"/>
              <w:rPr>
                <w:sz w:val="17"/>
                <w:szCs w:val="17"/>
              </w:rPr>
            </w:pPr>
            <w:r w:rsidRPr="00B971D6">
              <w:rPr>
                <w:sz w:val="17"/>
                <w:szCs w:val="17"/>
              </w:rPr>
              <w:t>Latest total NPL ratio</w:t>
            </w:r>
          </w:p>
        </w:tc>
        <w:tc>
          <w:tcPr>
            <w:tcW w:w="1226" w:type="pct"/>
            <w:tcBorders>
              <w:top w:val="single" w:sz="2" w:space="0" w:color="D9D9D9"/>
              <w:left w:val="single" w:sz="2" w:space="0" w:color="D9D9D9"/>
              <w:bottom w:val="single" w:sz="2" w:space="0" w:color="D9D9D9"/>
              <w:right w:val="single" w:sz="2" w:space="0" w:color="D9D9D9"/>
            </w:tcBorders>
            <w:vAlign w:val="center"/>
          </w:tcPr>
          <w:p w14:paraId="0A8BCAB2" w14:textId="77777777" w:rsidR="003E6E16" w:rsidRPr="00B971D6" w:rsidRDefault="00000000">
            <w:pPr>
              <w:spacing w:after="0"/>
              <w:rPr>
                <w:sz w:val="17"/>
                <w:szCs w:val="17"/>
              </w:rPr>
            </w:pPr>
            <w:r w:rsidRPr="00B971D6">
              <w:rPr>
                <w:sz w:val="17"/>
                <w:szCs w:val="17"/>
              </w:rPr>
              <w:t>2.78%</w:t>
            </w:r>
          </w:p>
        </w:tc>
      </w:tr>
      <w:tr w:rsidR="003E6E16" w:rsidRPr="00B971D6" w14:paraId="1415D546"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vAlign w:val="center"/>
          </w:tcPr>
          <w:p w14:paraId="01923B9E" w14:textId="77777777" w:rsidR="003E6E16" w:rsidRPr="00B971D6" w:rsidRDefault="00000000">
            <w:pPr>
              <w:spacing w:after="0"/>
              <w:rPr>
                <w:sz w:val="17"/>
                <w:szCs w:val="17"/>
              </w:rPr>
            </w:pPr>
            <w:r w:rsidRPr="00B971D6">
              <w:rPr>
                <w:sz w:val="17"/>
                <w:szCs w:val="17"/>
              </w:rPr>
              <w:lastRenderedPageBreak/>
              <w:t>Latest consumer NPL ratio</w:t>
            </w:r>
          </w:p>
        </w:tc>
        <w:tc>
          <w:tcPr>
            <w:tcW w:w="1226" w:type="pct"/>
            <w:tcBorders>
              <w:top w:val="single" w:sz="2" w:space="0" w:color="D9D9D9"/>
              <w:left w:val="single" w:sz="2" w:space="0" w:color="D9D9D9"/>
              <w:bottom w:val="single" w:sz="2" w:space="0" w:color="D9D9D9"/>
              <w:right w:val="single" w:sz="2" w:space="0" w:color="D9D9D9"/>
            </w:tcBorders>
            <w:vAlign w:val="center"/>
          </w:tcPr>
          <w:p w14:paraId="6205D052" w14:textId="77777777" w:rsidR="003E6E16" w:rsidRPr="00B971D6" w:rsidRDefault="00000000">
            <w:pPr>
              <w:spacing w:after="0"/>
              <w:rPr>
                <w:sz w:val="17"/>
                <w:szCs w:val="17"/>
              </w:rPr>
            </w:pPr>
            <w:r w:rsidRPr="00B971D6">
              <w:rPr>
                <w:sz w:val="17"/>
                <w:szCs w:val="17"/>
              </w:rPr>
              <w:t>4.63%</w:t>
            </w:r>
          </w:p>
        </w:tc>
      </w:tr>
      <w:tr w:rsidR="003E6E16" w:rsidRPr="00B971D6" w14:paraId="79907A0E"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vAlign w:val="center"/>
          </w:tcPr>
          <w:p w14:paraId="24A3AA8F" w14:textId="77777777" w:rsidR="003E6E16" w:rsidRPr="00B971D6" w:rsidRDefault="00000000">
            <w:pPr>
              <w:spacing w:after="0"/>
              <w:rPr>
                <w:sz w:val="17"/>
                <w:szCs w:val="17"/>
              </w:rPr>
            </w:pPr>
            <w:r w:rsidRPr="00B971D6">
              <w:rPr>
                <w:sz w:val="17"/>
                <w:szCs w:val="17"/>
              </w:rPr>
              <w:t>Latest commercial NPL ratio</w:t>
            </w:r>
          </w:p>
        </w:tc>
        <w:tc>
          <w:tcPr>
            <w:tcW w:w="1226" w:type="pct"/>
            <w:tcBorders>
              <w:top w:val="single" w:sz="2" w:space="0" w:color="D9D9D9"/>
              <w:left w:val="single" w:sz="2" w:space="0" w:color="D9D9D9"/>
              <w:bottom w:val="single" w:sz="2" w:space="0" w:color="D9D9D9"/>
              <w:right w:val="single" w:sz="2" w:space="0" w:color="D9D9D9"/>
            </w:tcBorders>
            <w:vAlign w:val="center"/>
          </w:tcPr>
          <w:p w14:paraId="35D2F868" w14:textId="77777777" w:rsidR="003E6E16" w:rsidRPr="00B971D6" w:rsidRDefault="00000000">
            <w:pPr>
              <w:spacing w:after="0"/>
              <w:rPr>
                <w:sz w:val="17"/>
                <w:szCs w:val="17"/>
              </w:rPr>
            </w:pPr>
            <w:r w:rsidRPr="00B971D6">
              <w:rPr>
                <w:sz w:val="17"/>
                <w:szCs w:val="17"/>
              </w:rPr>
              <w:t>2.18%</w:t>
            </w:r>
          </w:p>
        </w:tc>
      </w:tr>
      <w:tr w:rsidR="003E6E16" w:rsidRPr="00B971D6" w14:paraId="070F44E1"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vAlign w:val="center"/>
          </w:tcPr>
          <w:p w14:paraId="36A767D8" w14:textId="77777777" w:rsidR="003E6E16" w:rsidRPr="00B971D6" w:rsidRDefault="00000000">
            <w:pPr>
              <w:spacing w:after="0"/>
              <w:rPr>
                <w:sz w:val="17"/>
                <w:szCs w:val="17"/>
              </w:rPr>
            </w:pPr>
            <w:r w:rsidRPr="00B971D6">
              <w:rPr>
                <w:sz w:val="17"/>
                <w:szCs w:val="17"/>
              </w:rPr>
              <w:t>Latest SME NPL ratio</w:t>
            </w:r>
          </w:p>
        </w:tc>
        <w:tc>
          <w:tcPr>
            <w:tcW w:w="1226" w:type="pct"/>
            <w:tcBorders>
              <w:top w:val="single" w:sz="2" w:space="0" w:color="D9D9D9"/>
              <w:left w:val="single" w:sz="2" w:space="0" w:color="D9D9D9"/>
              <w:bottom w:val="single" w:sz="2" w:space="0" w:color="D9D9D9"/>
              <w:right w:val="single" w:sz="2" w:space="0" w:color="D9D9D9"/>
            </w:tcBorders>
            <w:vAlign w:val="center"/>
          </w:tcPr>
          <w:p w14:paraId="4F478D94" w14:textId="77777777" w:rsidR="003E6E16" w:rsidRPr="00B971D6" w:rsidRDefault="00000000">
            <w:pPr>
              <w:spacing w:after="0"/>
              <w:rPr>
                <w:sz w:val="17"/>
                <w:szCs w:val="17"/>
              </w:rPr>
            </w:pPr>
            <w:r w:rsidRPr="00B971D6">
              <w:rPr>
                <w:sz w:val="17"/>
                <w:szCs w:val="17"/>
              </w:rPr>
              <w:t>3.61%</w:t>
            </w:r>
          </w:p>
        </w:tc>
      </w:tr>
      <w:tr w:rsidR="003E6E16" w:rsidRPr="00B971D6" w14:paraId="23B17230"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vAlign w:val="center"/>
          </w:tcPr>
          <w:p w14:paraId="6FD2249B" w14:textId="77777777" w:rsidR="003E6E16" w:rsidRPr="00B971D6" w:rsidRDefault="00000000">
            <w:pPr>
              <w:spacing w:after="0"/>
              <w:rPr>
                <w:sz w:val="17"/>
                <w:szCs w:val="17"/>
              </w:rPr>
            </w:pPr>
            <w:r w:rsidRPr="00B971D6">
              <w:rPr>
                <w:sz w:val="17"/>
                <w:szCs w:val="17"/>
              </w:rPr>
              <w:t>Latest coverage ratio</w:t>
            </w:r>
          </w:p>
        </w:tc>
        <w:tc>
          <w:tcPr>
            <w:tcW w:w="1226" w:type="pct"/>
            <w:tcBorders>
              <w:top w:val="single" w:sz="2" w:space="0" w:color="D9D9D9"/>
              <w:left w:val="single" w:sz="2" w:space="0" w:color="D9D9D9"/>
              <w:bottom w:val="single" w:sz="2" w:space="0" w:color="D9D9D9"/>
              <w:right w:val="single" w:sz="2" w:space="0" w:color="D9D9D9"/>
            </w:tcBorders>
            <w:vAlign w:val="center"/>
          </w:tcPr>
          <w:p w14:paraId="6BD34957" w14:textId="77777777" w:rsidR="003E6E16" w:rsidRPr="00B971D6" w:rsidRDefault="00000000">
            <w:pPr>
              <w:spacing w:after="0"/>
              <w:rPr>
                <w:sz w:val="17"/>
                <w:szCs w:val="17"/>
              </w:rPr>
            </w:pPr>
            <w:r w:rsidRPr="00B971D6">
              <w:rPr>
                <w:sz w:val="17"/>
                <w:szCs w:val="17"/>
              </w:rPr>
              <w:t>75.42%</w:t>
            </w:r>
          </w:p>
        </w:tc>
      </w:tr>
      <w:tr w:rsidR="003E6E16" w:rsidRPr="00B971D6" w14:paraId="2B3A7A14"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vAlign w:val="center"/>
          </w:tcPr>
          <w:p w14:paraId="69765E59" w14:textId="77777777" w:rsidR="003E6E16" w:rsidRPr="00B971D6" w:rsidRDefault="00000000">
            <w:pPr>
              <w:spacing w:after="0"/>
              <w:rPr>
                <w:sz w:val="17"/>
                <w:szCs w:val="17"/>
              </w:rPr>
            </w:pPr>
            <w:r w:rsidRPr="00B971D6">
              <w:rPr>
                <w:sz w:val="17"/>
                <w:szCs w:val="17"/>
              </w:rPr>
              <w:t>Latest policy rate</w:t>
            </w:r>
          </w:p>
        </w:tc>
        <w:tc>
          <w:tcPr>
            <w:tcW w:w="1226" w:type="pct"/>
            <w:tcBorders>
              <w:top w:val="single" w:sz="2" w:space="0" w:color="D9D9D9"/>
              <w:left w:val="single" w:sz="2" w:space="0" w:color="D9D9D9"/>
              <w:bottom w:val="single" w:sz="2" w:space="0" w:color="D9D9D9"/>
              <w:right w:val="single" w:sz="2" w:space="0" w:color="D9D9D9"/>
            </w:tcBorders>
            <w:vAlign w:val="center"/>
          </w:tcPr>
          <w:p w14:paraId="7D0E5E09" w14:textId="77777777" w:rsidR="003E6E16" w:rsidRPr="00B971D6" w:rsidRDefault="00000000">
            <w:pPr>
              <w:spacing w:after="0"/>
              <w:rPr>
                <w:sz w:val="17"/>
                <w:szCs w:val="17"/>
              </w:rPr>
            </w:pPr>
            <w:r w:rsidRPr="00B971D6">
              <w:rPr>
                <w:sz w:val="17"/>
                <w:szCs w:val="17"/>
              </w:rPr>
              <w:t>37.00%</w:t>
            </w:r>
          </w:p>
        </w:tc>
      </w:tr>
      <w:tr w:rsidR="003E6E16" w:rsidRPr="00B971D6" w14:paraId="1F731C42"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vAlign w:val="center"/>
          </w:tcPr>
          <w:p w14:paraId="7D6A2003" w14:textId="77777777" w:rsidR="003E6E16" w:rsidRPr="00B971D6" w:rsidRDefault="00000000">
            <w:pPr>
              <w:spacing w:after="0"/>
              <w:rPr>
                <w:sz w:val="17"/>
                <w:szCs w:val="17"/>
              </w:rPr>
            </w:pPr>
            <w:r w:rsidRPr="00B971D6">
              <w:rPr>
                <w:sz w:val="17"/>
                <w:szCs w:val="17"/>
              </w:rPr>
              <w:t>Latest CPI YoY</w:t>
            </w:r>
          </w:p>
        </w:tc>
        <w:tc>
          <w:tcPr>
            <w:tcW w:w="1226" w:type="pct"/>
            <w:tcBorders>
              <w:top w:val="single" w:sz="2" w:space="0" w:color="D9D9D9"/>
              <w:left w:val="single" w:sz="2" w:space="0" w:color="D9D9D9"/>
              <w:bottom w:val="single" w:sz="2" w:space="0" w:color="D9D9D9"/>
              <w:right w:val="single" w:sz="2" w:space="0" w:color="D9D9D9"/>
            </w:tcBorders>
            <w:vAlign w:val="center"/>
          </w:tcPr>
          <w:p w14:paraId="6B5B0F9E" w14:textId="77777777" w:rsidR="003E6E16" w:rsidRPr="00B971D6" w:rsidRDefault="00000000">
            <w:pPr>
              <w:spacing w:after="0"/>
              <w:rPr>
                <w:sz w:val="17"/>
                <w:szCs w:val="17"/>
              </w:rPr>
            </w:pPr>
            <w:r w:rsidRPr="00B971D6">
              <w:rPr>
                <w:sz w:val="17"/>
                <w:szCs w:val="17"/>
              </w:rPr>
              <w:t>32.37%</w:t>
            </w:r>
          </w:p>
        </w:tc>
      </w:tr>
      <w:tr w:rsidR="003E6E16" w:rsidRPr="00B971D6" w14:paraId="2ACF6CBD"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vAlign w:val="center"/>
          </w:tcPr>
          <w:p w14:paraId="1E0FCD32" w14:textId="77777777" w:rsidR="003E6E16" w:rsidRPr="00B971D6" w:rsidRDefault="00000000">
            <w:pPr>
              <w:spacing w:after="0"/>
              <w:rPr>
                <w:sz w:val="17"/>
                <w:szCs w:val="17"/>
              </w:rPr>
            </w:pPr>
            <w:r w:rsidRPr="00B971D6">
              <w:rPr>
                <w:sz w:val="17"/>
                <w:szCs w:val="17"/>
              </w:rPr>
              <w:t>Total loan growth since first selected date</w:t>
            </w:r>
          </w:p>
        </w:tc>
        <w:tc>
          <w:tcPr>
            <w:tcW w:w="1226" w:type="pct"/>
            <w:tcBorders>
              <w:top w:val="single" w:sz="2" w:space="0" w:color="D9D9D9"/>
              <w:left w:val="single" w:sz="2" w:space="0" w:color="D9D9D9"/>
              <w:bottom w:val="single" w:sz="2" w:space="0" w:color="D9D9D9"/>
              <w:right w:val="single" w:sz="2" w:space="0" w:color="D9D9D9"/>
            </w:tcBorders>
            <w:vAlign w:val="center"/>
          </w:tcPr>
          <w:p w14:paraId="5F3FBA00" w14:textId="77777777" w:rsidR="003E6E16" w:rsidRPr="00B971D6" w:rsidRDefault="00000000">
            <w:pPr>
              <w:spacing w:after="0"/>
              <w:rPr>
                <w:sz w:val="17"/>
                <w:szCs w:val="17"/>
              </w:rPr>
            </w:pPr>
            <w:r w:rsidRPr="00B971D6">
              <w:rPr>
                <w:sz w:val="17"/>
                <w:szCs w:val="17"/>
              </w:rPr>
              <w:t>41.93%</w:t>
            </w:r>
          </w:p>
        </w:tc>
      </w:tr>
      <w:tr w:rsidR="003E6E16" w:rsidRPr="00B971D6" w14:paraId="5643114E" w14:textId="77777777" w:rsidTr="00B971D6">
        <w:trPr>
          <w:jc w:val="center"/>
        </w:trPr>
        <w:tc>
          <w:tcPr>
            <w:tcW w:w="3774" w:type="pct"/>
            <w:tcBorders>
              <w:top w:val="single" w:sz="2" w:space="0" w:color="D9D9D9"/>
              <w:left w:val="single" w:sz="2" w:space="0" w:color="D9D9D9"/>
              <w:bottom w:val="single" w:sz="2" w:space="0" w:color="D9D9D9"/>
              <w:right w:val="single" w:sz="2" w:space="0" w:color="D9D9D9"/>
            </w:tcBorders>
            <w:vAlign w:val="center"/>
          </w:tcPr>
          <w:p w14:paraId="728B6739" w14:textId="77777777" w:rsidR="003E6E16" w:rsidRPr="00B971D6" w:rsidRDefault="00000000">
            <w:pPr>
              <w:spacing w:after="0"/>
              <w:rPr>
                <w:sz w:val="17"/>
                <w:szCs w:val="17"/>
              </w:rPr>
            </w:pPr>
            <w:r w:rsidRPr="00B971D6">
              <w:rPr>
                <w:sz w:val="17"/>
                <w:szCs w:val="17"/>
              </w:rPr>
              <w:t>NPL growth since first selected date</w:t>
            </w:r>
          </w:p>
        </w:tc>
        <w:tc>
          <w:tcPr>
            <w:tcW w:w="1226" w:type="pct"/>
            <w:tcBorders>
              <w:top w:val="single" w:sz="2" w:space="0" w:color="D9D9D9"/>
              <w:left w:val="single" w:sz="2" w:space="0" w:color="D9D9D9"/>
              <w:bottom w:val="single" w:sz="2" w:space="0" w:color="D9D9D9"/>
              <w:right w:val="single" w:sz="2" w:space="0" w:color="D9D9D9"/>
            </w:tcBorders>
            <w:vAlign w:val="center"/>
          </w:tcPr>
          <w:p w14:paraId="6903EA5E" w14:textId="77777777" w:rsidR="003E6E16" w:rsidRPr="00B971D6" w:rsidRDefault="00000000">
            <w:pPr>
              <w:spacing w:after="0"/>
              <w:rPr>
                <w:sz w:val="17"/>
                <w:szCs w:val="17"/>
              </w:rPr>
            </w:pPr>
            <w:r w:rsidRPr="00B971D6">
              <w:rPr>
                <w:sz w:val="17"/>
                <w:szCs w:val="17"/>
              </w:rPr>
              <w:t>157.20%</w:t>
            </w:r>
          </w:p>
        </w:tc>
      </w:tr>
    </w:tbl>
    <w:p w14:paraId="65FBD286" w14:textId="77777777" w:rsidR="003E6E16" w:rsidRDefault="00000000" w:rsidP="00B971D6">
      <w:pPr>
        <w:pStyle w:val="MemoCaption"/>
        <w:jc w:val="center"/>
      </w:pPr>
      <w:r>
        <w:t>Table 8. Turkey macro-sector overlay snapshot.</w:t>
      </w:r>
    </w:p>
    <w:p w14:paraId="08C83BD2" w14:textId="77777777" w:rsidR="003E6E16" w:rsidRDefault="00000000">
      <w:r>
        <w:t>The selected Turkey overlay shows that total loans increased by 41.9% while NPL stock increased by 157.2% between the first selected date and 8 May 2026. The latest total NPL ratio is 2.78%, while the consumer NPL ratio is higher at 4.63%. This supports the relevance of portfolio monitoring, risk segmentation, stress testing</w:t>
      </w:r>
      <w:r w:rsidR="00F06E68">
        <w:t>,</w:t>
      </w:r>
      <w:r>
        <w:t xml:space="preserve"> and ECL-style analysis for local credit-risk functions.</w:t>
      </w:r>
    </w:p>
    <w:p w14:paraId="04AB924D" w14:textId="77777777" w:rsidR="003E6E16" w:rsidRDefault="00000000">
      <w:pPr>
        <w:jc w:val="center"/>
      </w:pPr>
      <w:r>
        <w:rPr>
          <w:noProof/>
        </w:rPr>
        <w:drawing>
          <wp:inline distT="0" distB="0" distL="0" distR="0" wp14:anchorId="13642DC8" wp14:editId="1FBCC75F">
            <wp:extent cx="3480000" cy="208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key_loan_growth_vs_npl_growth.png"/>
                    <pic:cNvPicPr/>
                  </pic:nvPicPr>
                  <pic:blipFill>
                    <a:blip r:embed="rId15"/>
                    <a:stretch>
                      <a:fillRect/>
                    </a:stretch>
                  </pic:blipFill>
                  <pic:spPr>
                    <a:xfrm>
                      <a:off x="0" y="0"/>
                      <a:ext cx="3480000" cy="2088000"/>
                    </a:xfrm>
                    <a:prstGeom prst="rect">
                      <a:avLst/>
                    </a:prstGeom>
                  </pic:spPr>
                </pic:pic>
              </a:graphicData>
            </a:graphic>
          </wp:inline>
        </w:drawing>
      </w:r>
    </w:p>
    <w:p w14:paraId="4518517D" w14:textId="77777777" w:rsidR="003E6E16" w:rsidRDefault="00000000" w:rsidP="00B971D6">
      <w:pPr>
        <w:pStyle w:val="MemoCaption"/>
        <w:jc w:val="center"/>
      </w:pPr>
      <w:r>
        <w:t>Figure 8. Turkey banking-sector loan growth versus NPL growth.</w:t>
      </w:r>
    </w:p>
    <w:p w14:paraId="50FB071E" w14:textId="77777777" w:rsidR="003E6E16" w:rsidRDefault="00000000">
      <w:pPr>
        <w:jc w:val="center"/>
      </w:pPr>
      <w:r>
        <w:rPr>
          <w:noProof/>
        </w:rPr>
        <w:drawing>
          <wp:inline distT="0" distB="0" distL="0" distR="0" wp14:anchorId="146D3353" wp14:editId="5670723D">
            <wp:extent cx="3480000" cy="208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key_segment_npl_ratios.png"/>
                    <pic:cNvPicPr/>
                  </pic:nvPicPr>
                  <pic:blipFill>
                    <a:blip r:embed="rId16"/>
                    <a:stretch>
                      <a:fillRect/>
                    </a:stretch>
                  </pic:blipFill>
                  <pic:spPr>
                    <a:xfrm>
                      <a:off x="0" y="0"/>
                      <a:ext cx="3480000" cy="2088000"/>
                    </a:xfrm>
                    <a:prstGeom prst="rect">
                      <a:avLst/>
                    </a:prstGeom>
                  </pic:spPr>
                </pic:pic>
              </a:graphicData>
            </a:graphic>
          </wp:inline>
        </w:drawing>
      </w:r>
    </w:p>
    <w:p w14:paraId="494CFA84" w14:textId="77777777" w:rsidR="003E6E16" w:rsidRDefault="00000000" w:rsidP="00B971D6">
      <w:pPr>
        <w:pStyle w:val="MemoCaption"/>
        <w:jc w:val="center"/>
      </w:pPr>
      <w:r>
        <w:t>Figure 9. Turkey banking-sector NPL ratios by segment.</w:t>
      </w:r>
    </w:p>
    <w:p w14:paraId="29337405" w14:textId="77777777" w:rsidR="003E6E16" w:rsidRPr="00B971D6" w:rsidRDefault="00000000">
      <w:pPr>
        <w:pStyle w:val="Balk1"/>
        <w:rPr>
          <w:sz w:val="24"/>
          <w:szCs w:val="24"/>
        </w:rPr>
      </w:pPr>
      <w:r w:rsidRPr="00B971D6">
        <w:rPr>
          <w:rFonts w:ascii="Garamond" w:eastAsia="Garamond" w:hAnsi="Garamond"/>
          <w:sz w:val="24"/>
          <w:szCs w:val="24"/>
        </w:rPr>
        <w:t>10. Conclusion and Application Relevance</w:t>
      </w:r>
    </w:p>
    <w:p w14:paraId="35F6A408" w14:textId="77777777" w:rsidR="003E6E16" w:rsidRDefault="00000000">
      <w:r>
        <w:t>The case demonstrates a practical credit risk analytics workflow: define a default outcome, build a leakage-controlled modeling dataset, estimate an interpretable PD model, benchmark against a challenger algorithm, validate discrimination and calibration, translate PDs into risk bands and illustrative ECL, and extend the model output into stress, strategy</w:t>
      </w:r>
      <w:r w:rsidR="00F06E68">
        <w:t>,</w:t>
      </w:r>
      <w:r>
        <w:t xml:space="preserve"> and monitoring views.</w:t>
      </w:r>
    </w:p>
    <w:p w14:paraId="51FF93EF" w14:textId="77777777" w:rsidR="003E6E16" w:rsidRDefault="00000000">
      <w:r>
        <w:t>The strongest application signal is the combination of calibrated PD modeling, transparent validation, expected-loss translation, portfolio concentration analysis</w:t>
      </w:r>
      <w:r w:rsidR="00F06E68">
        <w:t>,</w:t>
      </w:r>
      <w:r>
        <w:t xml:space="preserve"> and management-style reporting. The project is deliberately conservative about what cannot be inferred from public data. It does not claim to reproduce a bank</w:t>
      </w:r>
      <w:r w:rsidR="00F06E68">
        <w:t>'s internal IFRS 9 model, internal ratings-based model, production underwriting engine,</w:t>
      </w:r>
      <w:r>
        <w:t xml:space="preserve"> or true regulatory ECL framework.</w:t>
      </w:r>
    </w:p>
    <w:p w14:paraId="54DB072C" w14:textId="77777777" w:rsidR="00F06E68" w:rsidRDefault="00000000" w:rsidP="00F06E68">
      <w:pPr>
        <w:sectPr w:rsidR="00F06E68" w:rsidSect="00034616">
          <w:headerReference w:type="default" r:id="rId17"/>
          <w:footerReference w:type="even" r:id="rId18"/>
          <w:footerReference w:type="default" r:id="rId19"/>
          <w:pgSz w:w="12240" w:h="15840"/>
          <w:pgMar w:top="936" w:right="1123" w:bottom="936" w:left="1123" w:header="720" w:footer="720" w:gutter="0"/>
          <w:cols w:space="720"/>
          <w:docGrid w:linePitch="360"/>
        </w:sectPr>
      </w:pPr>
      <w:r>
        <w:t>For credit risk analyst</w:t>
      </w:r>
      <w:r w:rsidR="00F06E68">
        <w:t>s, risk methodologies, model validation, IFRS 9 analytics, credit portfolio monitoring,</w:t>
      </w:r>
      <w:r>
        <w:t xml:space="preserve"> and financial services advisory roles, the project </w:t>
      </w:r>
      <w:r w:rsidR="00F06E68">
        <w:t>demonstrates how quantitative modeling and reporting skills can be applied to banking risk use cases with</w:t>
      </w:r>
      <w:r>
        <w:t xml:space="preserve"> public data and reproducible Python workflows</w:t>
      </w:r>
      <w:r w:rsidR="00F06E68">
        <w:t>.</w:t>
      </w:r>
    </w:p>
    <w:p w14:paraId="71AF0A88" w14:textId="77777777" w:rsidR="003E6E16" w:rsidRPr="00B971D6" w:rsidRDefault="00000000" w:rsidP="00104186">
      <w:pPr>
        <w:pStyle w:val="Balk1"/>
        <w:spacing w:before="0" w:after="0"/>
        <w:rPr>
          <w:sz w:val="24"/>
          <w:szCs w:val="24"/>
        </w:rPr>
      </w:pPr>
      <w:r w:rsidRPr="00B971D6">
        <w:rPr>
          <w:rFonts w:ascii="Garamond" w:eastAsia="Garamond" w:hAnsi="Garamond"/>
          <w:sz w:val="24"/>
          <w:szCs w:val="24"/>
        </w:rPr>
        <w:lastRenderedPageBreak/>
        <w:t>Appendix A - Additional Model Outputs</w:t>
      </w:r>
    </w:p>
    <w:p w14:paraId="633404A8" w14:textId="77777777" w:rsidR="003E6E16" w:rsidRDefault="00000000">
      <w:pPr>
        <w:jc w:val="center"/>
      </w:pPr>
      <w:r>
        <w:rPr>
          <w:noProof/>
        </w:rPr>
        <w:drawing>
          <wp:inline distT="0" distB="0" distL="0" distR="0" wp14:anchorId="63EB1383" wp14:editId="11ADB739">
            <wp:extent cx="3049200" cy="2613600"/>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by_decile.png"/>
                    <pic:cNvPicPr/>
                  </pic:nvPicPr>
                  <pic:blipFill>
                    <a:blip r:embed="rId20"/>
                    <a:stretch>
                      <a:fillRect/>
                    </a:stretch>
                  </pic:blipFill>
                  <pic:spPr>
                    <a:xfrm>
                      <a:off x="0" y="0"/>
                      <a:ext cx="3049200" cy="2613600"/>
                    </a:xfrm>
                    <a:prstGeom prst="rect">
                      <a:avLst/>
                    </a:prstGeom>
                  </pic:spPr>
                </pic:pic>
              </a:graphicData>
            </a:graphic>
          </wp:inline>
        </w:drawing>
      </w:r>
    </w:p>
    <w:p w14:paraId="5DA3879B" w14:textId="77777777" w:rsidR="003E6E16" w:rsidRDefault="00000000" w:rsidP="00B971D6">
      <w:pPr>
        <w:pStyle w:val="MemoCaption"/>
        <w:jc w:val="center"/>
      </w:pPr>
      <w:r>
        <w:t>Appendix Figure A1. Calibration check by PD decile.</w:t>
      </w:r>
    </w:p>
    <w:p w14:paraId="659638B2" w14:textId="77777777" w:rsidR="003E6E16" w:rsidRDefault="00000000">
      <w:pPr>
        <w:jc w:val="center"/>
      </w:pPr>
      <w:r>
        <w:rPr>
          <w:noProof/>
        </w:rPr>
        <w:drawing>
          <wp:inline distT="0" distB="0" distL="0" distR="0" wp14:anchorId="785CE9C1" wp14:editId="33A4B118">
            <wp:extent cx="3046500" cy="2437200"/>
            <wp:effectExtent l="0" t="0" r="190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_feature_importance.png"/>
                    <pic:cNvPicPr/>
                  </pic:nvPicPr>
                  <pic:blipFill>
                    <a:blip r:embed="rId21"/>
                    <a:stretch>
                      <a:fillRect/>
                    </a:stretch>
                  </pic:blipFill>
                  <pic:spPr>
                    <a:xfrm>
                      <a:off x="0" y="0"/>
                      <a:ext cx="3046500" cy="2437200"/>
                    </a:xfrm>
                    <a:prstGeom prst="rect">
                      <a:avLst/>
                    </a:prstGeom>
                  </pic:spPr>
                </pic:pic>
              </a:graphicData>
            </a:graphic>
          </wp:inline>
        </w:drawing>
      </w:r>
    </w:p>
    <w:p w14:paraId="4F09FA60" w14:textId="77777777" w:rsidR="003E6E16" w:rsidRDefault="00000000" w:rsidP="00B971D6">
      <w:pPr>
        <w:pStyle w:val="MemoCaption"/>
        <w:jc w:val="center"/>
      </w:pPr>
      <w:r>
        <w:t>Appendix Figure A2. XGBoost challenger feature importance.</w:t>
      </w:r>
    </w:p>
    <w:p w14:paraId="4CD71C6D" w14:textId="77777777" w:rsidR="003E6E16" w:rsidRDefault="00000000">
      <w:pPr>
        <w:jc w:val="center"/>
      </w:pPr>
      <w:r>
        <w:rPr>
          <w:noProof/>
        </w:rPr>
        <w:drawing>
          <wp:inline distT="0" distB="0" distL="0" distR="0" wp14:anchorId="23537697" wp14:editId="1BD25F98">
            <wp:extent cx="3051000" cy="203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pd_distribution.png"/>
                    <pic:cNvPicPr/>
                  </pic:nvPicPr>
                  <pic:blipFill>
                    <a:blip r:embed="rId22"/>
                    <a:stretch>
                      <a:fillRect/>
                    </a:stretch>
                  </pic:blipFill>
                  <pic:spPr>
                    <a:xfrm>
                      <a:off x="0" y="0"/>
                      <a:ext cx="3051000" cy="2034000"/>
                    </a:xfrm>
                    <a:prstGeom prst="rect">
                      <a:avLst/>
                    </a:prstGeom>
                  </pic:spPr>
                </pic:pic>
              </a:graphicData>
            </a:graphic>
          </wp:inline>
        </w:drawing>
      </w:r>
    </w:p>
    <w:p w14:paraId="736A5C7C" w14:textId="77777777" w:rsidR="003E6E16" w:rsidRDefault="00000000" w:rsidP="00B971D6">
      <w:pPr>
        <w:pStyle w:val="MemoCaption"/>
        <w:jc w:val="center"/>
      </w:pPr>
      <w:r>
        <w:t>Appendix Figure A3. Train versus test predicted PD distribution.</w:t>
      </w:r>
    </w:p>
    <w:p w14:paraId="526AE78C" w14:textId="77777777" w:rsidR="003E6E16" w:rsidRDefault="00000000">
      <w:pPr>
        <w:jc w:val="center"/>
      </w:pPr>
      <w:r>
        <w:rPr>
          <w:noProof/>
        </w:rPr>
        <w:lastRenderedPageBreak/>
        <w:drawing>
          <wp:inline distT="0" distB="0" distL="0" distR="0" wp14:anchorId="1C823C3B" wp14:editId="58065986">
            <wp:extent cx="2961600" cy="2221200"/>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ere_stress_risk_band_migration.png"/>
                    <pic:cNvPicPr/>
                  </pic:nvPicPr>
                  <pic:blipFill>
                    <a:blip r:embed="rId23"/>
                    <a:stretch>
                      <a:fillRect/>
                    </a:stretch>
                  </pic:blipFill>
                  <pic:spPr>
                    <a:xfrm>
                      <a:off x="0" y="0"/>
                      <a:ext cx="2961600" cy="2221200"/>
                    </a:xfrm>
                    <a:prstGeom prst="rect">
                      <a:avLst/>
                    </a:prstGeom>
                  </pic:spPr>
                </pic:pic>
              </a:graphicData>
            </a:graphic>
          </wp:inline>
        </w:drawing>
      </w:r>
    </w:p>
    <w:p w14:paraId="6A41D247" w14:textId="77777777" w:rsidR="003E6E16" w:rsidRDefault="00000000" w:rsidP="00B971D6">
      <w:pPr>
        <w:pStyle w:val="MemoCaption"/>
        <w:jc w:val="center"/>
      </w:pPr>
      <w:r>
        <w:t>Appendix Figure A4. Risk band migration under severe stress.</w:t>
      </w:r>
    </w:p>
    <w:p w14:paraId="7A2CE7A0" w14:textId="77777777" w:rsidR="003E6E16" w:rsidRDefault="00000000">
      <w:pPr>
        <w:jc w:val="center"/>
      </w:pPr>
      <w:r>
        <w:rPr>
          <w:noProof/>
        </w:rPr>
        <w:drawing>
          <wp:inline distT="0" distB="0" distL="0" distR="0" wp14:anchorId="73B53BAA" wp14:editId="0722097D">
            <wp:extent cx="3060000" cy="1836000"/>
            <wp:effectExtent l="0" t="0" r="127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key_npl_coverage_overlay.png"/>
                    <pic:cNvPicPr/>
                  </pic:nvPicPr>
                  <pic:blipFill>
                    <a:blip r:embed="rId24"/>
                    <a:stretch>
                      <a:fillRect/>
                    </a:stretch>
                  </pic:blipFill>
                  <pic:spPr>
                    <a:xfrm>
                      <a:off x="0" y="0"/>
                      <a:ext cx="3060000" cy="1836000"/>
                    </a:xfrm>
                    <a:prstGeom prst="rect">
                      <a:avLst/>
                    </a:prstGeom>
                  </pic:spPr>
                </pic:pic>
              </a:graphicData>
            </a:graphic>
          </wp:inline>
        </w:drawing>
      </w:r>
    </w:p>
    <w:p w14:paraId="27BECC4E" w14:textId="77777777" w:rsidR="003E6E16" w:rsidRDefault="00000000" w:rsidP="00B971D6">
      <w:pPr>
        <w:pStyle w:val="MemoCaption"/>
        <w:jc w:val="center"/>
      </w:pPr>
      <w:r>
        <w:t>Appendix Figure A5. Turkey banking-sector total NPL ratio and coverage ratio.</w:t>
      </w:r>
    </w:p>
    <w:p w14:paraId="5DB08475" w14:textId="77777777" w:rsidR="003E6E16" w:rsidRDefault="00000000">
      <w:pPr>
        <w:jc w:val="center"/>
      </w:pPr>
      <w:r>
        <w:rPr>
          <w:noProof/>
        </w:rPr>
        <w:drawing>
          <wp:inline distT="0" distB="0" distL="0" distR="0" wp14:anchorId="56473635" wp14:editId="2E7DD21D">
            <wp:extent cx="3060000" cy="1836000"/>
            <wp:effectExtent l="0" t="0" r="127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key_policy_rate_inflation_overlay.png"/>
                    <pic:cNvPicPr/>
                  </pic:nvPicPr>
                  <pic:blipFill>
                    <a:blip r:embed="rId25"/>
                    <a:stretch>
                      <a:fillRect/>
                    </a:stretch>
                  </pic:blipFill>
                  <pic:spPr>
                    <a:xfrm>
                      <a:off x="0" y="0"/>
                      <a:ext cx="3060000" cy="1836000"/>
                    </a:xfrm>
                    <a:prstGeom prst="rect">
                      <a:avLst/>
                    </a:prstGeom>
                  </pic:spPr>
                </pic:pic>
              </a:graphicData>
            </a:graphic>
          </wp:inline>
        </w:drawing>
      </w:r>
    </w:p>
    <w:p w14:paraId="57D65837" w14:textId="77777777" w:rsidR="003E6E16" w:rsidRDefault="00000000" w:rsidP="00B971D6">
      <w:pPr>
        <w:pStyle w:val="MemoCaption"/>
        <w:jc w:val="center"/>
      </w:pPr>
      <w:r>
        <w:t>Appendix Figure A6. Turkey macro backdrop: policy rate and inflation.</w:t>
      </w:r>
    </w:p>
    <w:p w14:paraId="55031C68" w14:textId="77777777" w:rsidR="003E6E16" w:rsidRPr="00B971D6" w:rsidRDefault="00000000" w:rsidP="00104186">
      <w:pPr>
        <w:pStyle w:val="Balk1"/>
        <w:spacing w:before="0" w:after="0"/>
        <w:rPr>
          <w:sz w:val="24"/>
          <w:szCs w:val="24"/>
        </w:rPr>
      </w:pPr>
      <w:r w:rsidRPr="00B971D6">
        <w:rPr>
          <w:rFonts w:ascii="Garamond" w:eastAsia="Garamond" w:hAnsi="Garamond"/>
          <w:sz w:val="24"/>
          <w:szCs w:val="24"/>
        </w:rPr>
        <w:t>Appendix B - Methodology and Caveats</w:t>
      </w:r>
    </w:p>
    <w:tbl>
      <w:tblPr>
        <w:tblW w:w="5000" w:type="pct"/>
        <w:jc w:val="center"/>
        <w:tblLook w:val="04A0" w:firstRow="1" w:lastRow="0" w:firstColumn="1" w:lastColumn="0" w:noHBand="0" w:noVBand="1"/>
      </w:tblPr>
      <w:tblGrid>
        <w:gridCol w:w="1384"/>
        <w:gridCol w:w="4509"/>
        <w:gridCol w:w="4317"/>
      </w:tblGrid>
      <w:tr w:rsidR="003E6E16" w:rsidRPr="00B971D6" w14:paraId="3001ED02" w14:textId="77777777" w:rsidTr="00B971D6">
        <w:trPr>
          <w:jc w:val="center"/>
        </w:trPr>
        <w:tc>
          <w:tcPr>
            <w:tcW w:w="678"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7365A73B" w14:textId="77777777" w:rsidR="003E6E16" w:rsidRPr="00B971D6" w:rsidRDefault="00000000">
            <w:pPr>
              <w:spacing w:after="0"/>
              <w:rPr>
                <w:sz w:val="17"/>
                <w:szCs w:val="17"/>
              </w:rPr>
            </w:pPr>
            <w:r w:rsidRPr="00B971D6">
              <w:rPr>
                <w:b/>
                <w:sz w:val="17"/>
                <w:szCs w:val="17"/>
              </w:rPr>
              <w:t>Component</w:t>
            </w:r>
          </w:p>
        </w:tc>
        <w:tc>
          <w:tcPr>
            <w:tcW w:w="2208"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1DCD8064" w14:textId="77777777" w:rsidR="003E6E16" w:rsidRPr="00B971D6" w:rsidRDefault="00000000">
            <w:pPr>
              <w:spacing w:after="0"/>
              <w:rPr>
                <w:sz w:val="17"/>
                <w:szCs w:val="17"/>
              </w:rPr>
            </w:pPr>
            <w:r w:rsidRPr="00B971D6">
              <w:rPr>
                <w:b/>
                <w:sz w:val="17"/>
                <w:szCs w:val="17"/>
              </w:rPr>
              <w:t>Construction</w:t>
            </w:r>
          </w:p>
        </w:tc>
        <w:tc>
          <w:tcPr>
            <w:tcW w:w="2114" w:type="pct"/>
            <w:tcBorders>
              <w:top w:val="single" w:sz="2" w:space="0" w:color="D9D9D9"/>
              <w:left w:val="single" w:sz="2" w:space="0" w:color="D9D9D9"/>
              <w:bottom w:val="single" w:sz="2" w:space="0" w:color="D9D9D9"/>
              <w:right w:val="single" w:sz="2" w:space="0" w:color="D9D9D9"/>
            </w:tcBorders>
            <w:shd w:val="clear" w:color="auto" w:fill="C6D9F1" w:themeFill="text2" w:themeFillTint="33"/>
            <w:vAlign w:val="center"/>
          </w:tcPr>
          <w:p w14:paraId="6FC33CD7" w14:textId="77777777" w:rsidR="003E6E16" w:rsidRPr="00B971D6" w:rsidRDefault="00000000">
            <w:pPr>
              <w:spacing w:after="0"/>
              <w:rPr>
                <w:sz w:val="17"/>
                <w:szCs w:val="17"/>
              </w:rPr>
            </w:pPr>
            <w:r w:rsidRPr="00B971D6">
              <w:rPr>
                <w:b/>
                <w:sz w:val="17"/>
                <w:szCs w:val="17"/>
              </w:rPr>
              <w:t>Caveat</w:t>
            </w:r>
          </w:p>
        </w:tc>
      </w:tr>
      <w:tr w:rsidR="003E6E16" w:rsidRPr="00B971D6" w14:paraId="2DAFF870" w14:textId="77777777" w:rsidTr="00B971D6">
        <w:trPr>
          <w:jc w:val="center"/>
        </w:trPr>
        <w:tc>
          <w:tcPr>
            <w:tcW w:w="678" w:type="pct"/>
            <w:tcBorders>
              <w:top w:val="single" w:sz="2" w:space="0" w:color="D9D9D9"/>
              <w:left w:val="single" w:sz="2" w:space="0" w:color="D9D9D9"/>
              <w:bottom w:val="single" w:sz="2" w:space="0" w:color="D9D9D9"/>
              <w:right w:val="single" w:sz="2" w:space="0" w:color="D9D9D9"/>
            </w:tcBorders>
            <w:vAlign w:val="center"/>
          </w:tcPr>
          <w:p w14:paraId="54EE2497" w14:textId="77777777" w:rsidR="003E6E16" w:rsidRPr="00B971D6" w:rsidRDefault="00000000">
            <w:pPr>
              <w:spacing w:after="0"/>
              <w:rPr>
                <w:sz w:val="17"/>
                <w:szCs w:val="17"/>
              </w:rPr>
            </w:pPr>
            <w:r w:rsidRPr="00B971D6">
              <w:rPr>
                <w:sz w:val="17"/>
                <w:szCs w:val="17"/>
              </w:rPr>
              <w:t>PD model</w:t>
            </w:r>
          </w:p>
        </w:tc>
        <w:tc>
          <w:tcPr>
            <w:tcW w:w="2208" w:type="pct"/>
            <w:tcBorders>
              <w:top w:val="single" w:sz="2" w:space="0" w:color="D9D9D9"/>
              <w:left w:val="single" w:sz="2" w:space="0" w:color="D9D9D9"/>
              <w:bottom w:val="single" w:sz="2" w:space="0" w:color="D9D9D9"/>
              <w:right w:val="single" w:sz="2" w:space="0" w:color="D9D9D9"/>
            </w:tcBorders>
            <w:vAlign w:val="center"/>
          </w:tcPr>
          <w:p w14:paraId="4EFE9DE8" w14:textId="77777777" w:rsidR="003E6E16" w:rsidRPr="00B971D6" w:rsidRDefault="00000000">
            <w:pPr>
              <w:spacing w:after="0"/>
              <w:rPr>
                <w:sz w:val="17"/>
                <w:szCs w:val="17"/>
              </w:rPr>
            </w:pPr>
            <w:r w:rsidRPr="00B971D6">
              <w:rPr>
                <w:sz w:val="17"/>
                <w:szCs w:val="17"/>
              </w:rPr>
              <w:t>Logistic regression primary model; XGBoost challenger</w:t>
            </w:r>
          </w:p>
        </w:tc>
        <w:tc>
          <w:tcPr>
            <w:tcW w:w="2114" w:type="pct"/>
            <w:tcBorders>
              <w:top w:val="single" w:sz="2" w:space="0" w:color="D9D9D9"/>
              <w:left w:val="single" w:sz="2" w:space="0" w:color="D9D9D9"/>
              <w:bottom w:val="single" w:sz="2" w:space="0" w:color="D9D9D9"/>
              <w:right w:val="single" w:sz="2" w:space="0" w:color="D9D9D9"/>
            </w:tcBorders>
            <w:vAlign w:val="center"/>
          </w:tcPr>
          <w:p w14:paraId="18FC9A16" w14:textId="77777777" w:rsidR="003E6E16" w:rsidRPr="00B971D6" w:rsidRDefault="00000000">
            <w:pPr>
              <w:spacing w:after="0"/>
              <w:rPr>
                <w:sz w:val="17"/>
                <w:szCs w:val="17"/>
              </w:rPr>
            </w:pPr>
            <w:r w:rsidRPr="00B971D6">
              <w:rPr>
                <w:sz w:val="17"/>
                <w:szCs w:val="17"/>
              </w:rPr>
              <w:t>Public loan-level data; not a production underwriting model</w:t>
            </w:r>
          </w:p>
        </w:tc>
      </w:tr>
      <w:tr w:rsidR="003E6E16" w:rsidRPr="00B971D6" w14:paraId="4A8DF6FC" w14:textId="77777777" w:rsidTr="00B971D6">
        <w:trPr>
          <w:jc w:val="center"/>
        </w:trPr>
        <w:tc>
          <w:tcPr>
            <w:tcW w:w="678" w:type="pct"/>
            <w:tcBorders>
              <w:top w:val="single" w:sz="2" w:space="0" w:color="D9D9D9"/>
              <w:left w:val="single" w:sz="2" w:space="0" w:color="D9D9D9"/>
              <w:bottom w:val="single" w:sz="2" w:space="0" w:color="D9D9D9"/>
              <w:right w:val="single" w:sz="2" w:space="0" w:color="D9D9D9"/>
            </w:tcBorders>
            <w:vAlign w:val="center"/>
          </w:tcPr>
          <w:p w14:paraId="52DAAE3D" w14:textId="77777777" w:rsidR="003E6E16" w:rsidRPr="00B971D6" w:rsidRDefault="00000000">
            <w:pPr>
              <w:spacing w:after="0"/>
              <w:rPr>
                <w:sz w:val="17"/>
                <w:szCs w:val="17"/>
              </w:rPr>
            </w:pPr>
            <w:r w:rsidRPr="00B971D6">
              <w:rPr>
                <w:sz w:val="17"/>
                <w:szCs w:val="17"/>
              </w:rPr>
              <w:t>Default definition</w:t>
            </w:r>
          </w:p>
        </w:tc>
        <w:tc>
          <w:tcPr>
            <w:tcW w:w="2208" w:type="pct"/>
            <w:tcBorders>
              <w:top w:val="single" w:sz="2" w:space="0" w:color="D9D9D9"/>
              <w:left w:val="single" w:sz="2" w:space="0" w:color="D9D9D9"/>
              <w:bottom w:val="single" w:sz="2" w:space="0" w:color="D9D9D9"/>
              <w:right w:val="single" w:sz="2" w:space="0" w:color="D9D9D9"/>
            </w:tcBorders>
            <w:vAlign w:val="center"/>
          </w:tcPr>
          <w:p w14:paraId="2A5B33ED" w14:textId="77777777" w:rsidR="003E6E16" w:rsidRPr="00B971D6" w:rsidRDefault="00000000">
            <w:pPr>
              <w:spacing w:after="0"/>
              <w:rPr>
                <w:sz w:val="17"/>
                <w:szCs w:val="17"/>
              </w:rPr>
            </w:pPr>
            <w:r w:rsidRPr="00B971D6">
              <w:rPr>
                <w:sz w:val="17"/>
                <w:szCs w:val="17"/>
              </w:rPr>
              <w:t>Charged-off, default and late 31-120 day loans treated as bad</w:t>
            </w:r>
          </w:p>
        </w:tc>
        <w:tc>
          <w:tcPr>
            <w:tcW w:w="2114" w:type="pct"/>
            <w:tcBorders>
              <w:top w:val="single" w:sz="2" w:space="0" w:color="D9D9D9"/>
              <w:left w:val="single" w:sz="2" w:space="0" w:color="D9D9D9"/>
              <w:bottom w:val="single" w:sz="2" w:space="0" w:color="D9D9D9"/>
              <w:right w:val="single" w:sz="2" w:space="0" w:color="D9D9D9"/>
            </w:tcBorders>
            <w:vAlign w:val="center"/>
          </w:tcPr>
          <w:p w14:paraId="07E3D5CE" w14:textId="77777777" w:rsidR="003E6E16" w:rsidRPr="00B971D6" w:rsidRDefault="00000000">
            <w:pPr>
              <w:spacing w:after="0"/>
              <w:rPr>
                <w:sz w:val="17"/>
                <w:szCs w:val="17"/>
              </w:rPr>
            </w:pPr>
            <w:r w:rsidRPr="00B971D6">
              <w:rPr>
                <w:sz w:val="17"/>
                <w:szCs w:val="17"/>
              </w:rPr>
              <w:t>Resolved-loan sample; current loans excluded</w:t>
            </w:r>
          </w:p>
        </w:tc>
      </w:tr>
      <w:tr w:rsidR="003E6E16" w:rsidRPr="00B971D6" w14:paraId="71E65C17" w14:textId="77777777" w:rsidTr="00B971D6">
        <w:trPr>
          <w:jc w:val="center"/>
        </w:trPr>
        <w:tc>
          <w:tcPr>
            <w:tcW w:w="678" w:type="pct"/>
            <w:tcBorders>
              <w:top w:val="single" w:sz="2" w:space="0" w:color="D9D9D9"/>
              <w:left w:val="single" w:sz="2" w:space="0" w:color="D9D9D9"/>
              <w:bottom w:val="single" w:sz="2" w:space="0" w:color="D9D9D9"/>
              <w:right w:val="single" w:sz="2" w:space="0" w:color="D9D9D9"/>
            </w:tcBorders>
            <w:vAlign w:val="center"/>
          </w:tcPr>
          <w:p w14:paraId="4348EF66" w14:textId="77777777" w:rsidR="003E6E16" w:rsidRPr="00B971D6" w:rsidRDefault="00000000">
            <w:pPr>
              <w:spacing w:after="0"/>
              <w:rPr>
                <w:sz w:val="17"/>
                <w:szCs w:val="17"/>
              </w:rPr>
            </w:pPr>
            <w:r w:rsidRPr="00B971D6">
              <w:rPr>
                <w:sz w:val="17"/>
                <w:szCs w:val="17"/>
              </w:rPr>
              <w:t>EAD proxy</w:t>
            </w:r>
          </w:p>
        </w:tc>
        <w:tc>
          <w:tcPr>
            <w:tcW w:w="2208" w:type="pct"/>
            <w:tcBorders>
              <w:top w:val="single" w:sz="2" w:space="0" w:color="D9D9D9"/>
              <w:left w:val="single" w:sz="2" w:space="0" w:color="D9D9D9"/>
              <w:bottom w:val="single" w:sz="2" w:space="0" w:color="D9D9D9"/>
              <w:right w:val="single" w:sz="2" w:space="0" w:color="D9D9D9"/>
            </w:tcBorders>
            <w:vAlign w:val="center"/>
          </w:tcPr>
          <w:p w14:paraId="6014EB54" w14:textId="77777777" w:rsidR="003E6E16" w:rsidRPr="00B971D6" w:rsidRDefault="00000000">
            <w:pPr>
              <w:spacing w:after="0"/>
              <w:rPr>
                <w:sz w:val="17"/>
                <w:szCs w:val="17"/>
              </w:rPr>
            </w:pPr>
            <w:r w:rsidRPr="00B971D6">
              <w:rPr>
                <w:sz w:val="17"/>
                <w:szCs w:val="17"/>
              </w:rPr>
              <w:t>Funded amount</w:t>
            </w:r>
          </w:p>
        </w:tc>
        <w:tc>
          <w:tcPr>
            <w:tcW w:w="2114" w:type="pct"/>
            <w:tcBorders>
              <w:top w:val="single" w:sz="2" w:space="0" w:color="D9D9D9"/>
              <w:left w:val="single" w:sz="2" w:space="0" w:color="D9D9D9"/>
              <w:bottom w:val="single" w:sz="2" w:space="0" w:color="D9D9D9"/>
              <w:right w:val="single" w:sz="2" w:space="0" w:color="D9D9D9"/>
            </w:tcBorders>
            <w:vAlign w:val="center"/>
          </w:tcPr>
          <w:p w14:paraId="1D94D61A" w14:textId="77777777" w:rsidR="003E6E16" w:rsidRPr="00B971D6" w:rsidRDefault="00000000">
            <w:pPr>
              <w:spacing w:after="0"/>
              <w:rPr>
                <w:sz w:val="17"/>
                <w:szCs w:val="17"/>
              </w:rPr>
            </w:pPr>
            <w:r w:rsidRPr="00B971D6">
              <w:rPr>
                <w:sz w:val="17"/>
                <w:szCs w:val="17"/>
              </w:rPr>
              <w:t>Simplified exposure-at-default proxy</w:t>
            </w:r>
          </w:p>
        </w:tc>
      </w:tr>
      <w:tr w:rsidR="003E6E16" w:rsidRPr="00B971D6" w14:paraId="757AAFB8" w14:textId="77777777" w:rsidTr="00B971D6">
        <w:trPr>
          <w:jc w:val="center"/>
        </w:trPr>
        <w:tc>
          <w:tcPr>
            <w:tcW w:w="678" w:type="pct"/>
            <w:tcBorders>
              <w:top w:val="single" w:sz="2" w:space="0" w:color="D9D9D9"/>
              <w:left w:val="single" w:sz="2" w:space="0" w:color="D9D9D9"/>
              <w:bottom w:val="single" w:sz="2" w:space="0" w:color="D9D9D9"/>
              <w:right w:val="single" w:sz="2" w:space="0" w:color="D9D9D9"/>
            </w:tcBorders>
            <w:vAlign w:val="center"/>
          </w:tcPr>
          <w:p w14:paraId="2D67C47C" w14:textId="77777777" w:rsidR="003E6E16" w:rsidRPr="00B971D6" w:rsidRDefault="00000000">
            <w:pPr>
              <w:spacing w:after="0"/>
              <w:rPr>
                <w:sz w:val="17"/>
                <w:szCs w:val="17"/>
              </w:rPr>
            </w:pPr>
            <w:r w:rsidRPr="00B971D6">
              <w:rPr>
                <w:sz w:val="17"/>
                <w:szCs w:val="17"/>
              </w:rPr>
              <w:t>LGD assumption</w:t>
            </w:r>
          </w:p>
        </w:tc>
        <w:tc>
          <w:tcPr>
            <w:tcW w:w="2208" w:type="pct"/>
            <w:tcBorders>
              <w:top w:val="single" w:sz="2" w:space="0" w:color="D9D9D9"/>
              <w:left w:val="single" w:sz="2" w:space="0" w:color="D9D9D9"/>
              <w:bottom w:val="single" w:sz="2" w:space="0" w:color="D9D9D9"/>
              <w:right w:val="single" w:sz="2" w:space="0" w:color="D9D9D9"/>
            </w:tcBorders>
            <w:vAlign w:val="center"/>
          </w:tcPr>
          <w:p w14:paraId="00E992B5" w14:textId="77777777" w:rsidR="003E6E16" w:rsidRPr="00B971D6" w:rsidRDefault="00000000">
            <w:pPr>
              <w:spacing w:after="0"/>
              <w:rPr>
                <w:sz w:val="17"/>
                <w:szCs w:val="17"/>
              </w:rPr>
            </w:pPr>
            <w:r w:rsidRPr="00B971D6">
              <w:rPr>
                <w:sz w:val="17"/>
                <w:szCs w:val="17"/>
              </w:rPr>
              <w:t>45% base; 50%-60% under stress</w:t>
            </w:r>
          </w:p>
        </w:tc>
        <w:tc>
          <w:tcPr>
            <w:tcW w:w="2114" w:type="pct"/>
            <w:tcBorders>
              <w:top w:val="single" w:sz="2" w:space="0" w:color="D9D9D9"/>
              <w:left w:val="single" w:sz="2" w:space="0" w:color="D9D9D9"/>
              <w:bottom w:val="single" w:sz="2" w:space="0" w:color="D9D9D9"/>
              <w:right w:val="single" w:sz="2" w:space="0" w:color="D9D9D9"/>
            </w:tcBorders>
            <w:vAlign w:val="center"/>
          </w:tcPr>
          <w:p w14:paraId="1BADCC13" w14:textId="77777777" w:rsidR="003E6E16" w:rsidRPr="00B971D6" w:rsidRDefault="00000000">
            <w:pPr>
              <w:spacing w:after="0"/>
              <w:rPr>
                <w:sz w:val="17"/>
                <w:szCs w:val="17"/>
              </w:rPr>
            </w:pPr>
            <w:r w:rsidRPr="00B971D6">
              <w:rPr>
                <w:sz w:val="17"/>
                <w:szCs w:val="17"/>
              </w:rPr>
              <w:t>Assumed due to absence of internal recovery and collateral data</w:t>
            </w:r>
          </w:p>
        </w:tc>
      </w:tr>
      <w:tr w:rsidR="003E6E16" w:rsidRPr="00B971D6" w14:paraId="32D16AFE" w14:textId="77777777" w:rsidTr="00B971D6">
        <w:trPr>
          <w:jc w:val="center"/>
        </w:trPr>
        <w:tc>
          <w:tcPr>
            <w:tcW w:w="678" w:type="pct"/>
            <w:tcBorders>
              <w:top w:val="single" w:sz="2" w:space="0" w:color="D9D9D9"/>
              <w:left w:val="single" w:sz="2" w:space="0" w:color="D9D9D9"/>
              <w:bottom w:val="single" w:sz="2" w:space="0" w:color="D9D9D9"/>
              <w:right w:val="single" w:sz="2" w:space="0" w:color="D9D9D9"/>
            </w:tcBorders>
            <w:vAlign w:val="center"/>
          </w:tcPr>
          <w:p w14:paraId="7EB421BC" w14:textId="77777777" w:rsidR="003E6E16" w:rsidRPr="00B971D6" w:rsidRDefault="00000000">
            <w:pPr>
              <w:spacing w:after="0"/>
              <w:rPr>
                <w:sz w:val="17"/>
                <w:szCs w:val="17"/>
              </w:rPr>
            </w:pPr>
            <w:r w:rsidRPr="00B971D6">
              <w:rPr>
                <w:sz w:val="17"/>
                <w:szCs w:val="17"/>
              </w:rPr>
              <w:t>Stage proxy</w:t>
            </w:r>
          </w:p>
        </w:tc>
        <w:tc>
          <w:tcPr>
            <w:tcW w:w="2208" w:type="pct"/>
            <w:tcBorders>
              <w:top w:val="single" w:sz="2" w:space="0" w:color="D9D9D9"/>
              <w:left w:val="single" w:sz="2" w:space="0" w:color="D9D9D9"/>
              <w:bottom w:val="single" w:sz="2" w:space="0" w:color="D9D9D9"/>
              <w:right w:val="single" w:sz="2" w:space="0" w:color="D9D9D9"/>
            </w:tcBorders>
            <w:vAlign w:val="center"/>
          </w:tcPr>
          <w:p w14:paraId="5F7F2381" w14:textId="77777777" w:rsidR="003E6E16" w:rsidRPr="00B971D6" w:rsidRDefault="00000000">
            <w:pPr>
              <w:spacing w:after="0"/>
              <w:rPr>
                <w:sz w:val="17"/>
                <w:szCs w:val="17"/>
              </w:rPr>
            </w:pPr>
            <w:r w:rsidRPr="00B971D6">
              <w:rPr>
                <w:sz w:val="17"/>
                <w:szCs w:val="17"/>
              </w:rPr>
              <w:t>Risk-band and observed-default based Stage 1/2/3 approximation</w:t>
            </w:r>
          </w:p>
        </w:tc>
        <w:tc>
          <w:tcPr>
            <w:tcW w:w="2114" w:type="pct"/>
            <w:tcBorders>
              <w:top w:val="single" w:sz="2" w:space="0" w:color="D9D9D9"/>
              <w:left w:val="single" w:sz="2" w:space="0" w:color="D9D9D9"/>
              <w:bottom w:val="single" w:sz="2" w:space="0" w:color="D9D9D9"/>
              <w:right w:val="single" w:sz="2" w:space="0" w:color="D9D9D9"/>
            </w:tcBorders>
            <w:vAlign w:val="center"/>
          </w:tcPr>
          <w:p w14:paraId="2B81EF98" w14:textId="77777777" w:rsidR="003E6E16" w:rsidRPr="00B971D6" w:rsidRDefault="00000000">
            <w:pPr>
              <w:spacing w:after="0"/>
              <w:rPr>
                <w:sz w:val="17"/>
                <w:szCs w:val="17"/>
              </w:rPr>
            </w:pPr>
            <w:r w:rsidRPr="00B971D6">
              <w:rPr>
                <w:sz w:val="17"/>
                <w:szCs w:val="17"/>
              </w:rPr>
              <w:t>Illustrative IFRS 9-style framework only</w:t>
            </w:r>
          </w:p>
        </w:tc>
      </w:tr>
      <w:tr w:rsidR="003E6E16" w:rsidRPr="00B971D6" w14:paraId="32604C4C" w14:textId="77777777" w:rsidTr="00B971D6">
        <w:trPr>
          <w:jc w:val="center"/>
        </w:trPr>
        <w:tc>
          <w:tcPr>
            <w:tcW w:w="678" w:type="pct"/>
            <w:tcBorders>
              <w:top w:val="single" w:sz="2" w:space="0" w:color="D9D9D9"/>
              <w:left w:val="single" w:sz="2" w:space="0" w:color="D9D9D9"/>
              <w:bottom w:val="single" w:sz="2" w:space="0" w:color="D9D9D9"/>
              <w:right w:val="single" w:sz="2" w:space="0" w:color="D9D9D9"/>
            </w:tcBorders>
            <w:vAlign w:val="center"/>
          </w:tcPr>
          <w:p w14:paraId="270264C5" w14:textId="77777777" w:rsidR="003E6E16" w:rsidRPr="00B971D6" w:rsidRDefault="00000000">
            <w:pPr>
              <w:spacing w:after="0"/>
              <w:rPr>
                <w:sz w:val="17"/>
                <w:szCs w:val="17"/>
              </w:rPr>
            </w:pPr>
            <w:r w:rsidRPr="00B971D6">
              <w:rPr>
                <w:sz w:val="17"/>
                <w:szCs w:val="17"/>
              </w:rPr>
              <w:t>PSI</w:t>
            </w:r>
          </w:p>
        </w:tc>
        <w:tc>
          <w:tcPr>
            <w:tcW w:w="2208" w:type="pct"/>
            <w:tcBorders>
              <w:top w:val="single" w:sz="2" w:space="0" w:color="D9D9D9"/>
              <w:left w:val="single" w:sz="2" w:space="0" w:color="D9D9D9"/>
              <w:bottom w:val="single" w:sz="2" w:space="0" w:color="D9D9D9"/>
              <w:right w:val="single" w:sz="2" w:space="0" w:color="D9D9D9"/>
            </w:tcBorders>
            <w:vAlign w:val="center"/>
          </w:tcPr>
          <w:p w14:paraId="21E0B2E2" w14:textId="77777777" w:rsidR="003E6E16" w:rsidRPr="00B971D6" w:rsidRDefault="00000000">
            <w:pPr>
              <w:spacing w:after="0"/>
              <w:rPr>
                <w:sz w:val="17"/>
                <w:szCs w:val="17"/>
              </w:rPr>
            </w:pPr>
            <w:r w:rsidRPr="00B971D6">
              <w:rPr>
                <w:sz w:val="17"/>
                <w:szCs w:val="17"/>
              </w:rPr>
              <w:t>Train-test PD score distribution comparison</w:t>
            </w:r>
          </w:p>
        </w:tc>
        <w:tc>
          <w:tcPr>
            <w:tcW w:w="2114" w:type="pct"/>
            <w:tcBorders>
              <w:top w:val="single" w:sz="2" w:space="0" w:color="D9D9D9"/>
              <w:left w:val="single" w:sz="2" w:space="0" w:color="D9D9D9"/>
              <w:bottom w:val="single" w:sz="2" w:space="0" w:color="D9D9D9"/>
              <w:right w:val="single" w:sz="2" w:space="0" w:color="D9D9D9"/>
            </w:tcBorders>
            <w:vAlign w:val="center"/>
          </w:tcPr>
          <w:p w14:paraId="443B4F5C" w14:textId="77777777" w:rsidR="003E6E16" w:rsidRPr="00B971D6" w:rsidRDefault="00000000">
            <w:pPr>
              <w:spacing w:after="0"/>
              <w:rPr>
                <w:sz w:val="17"/>
                <w:szCs w:val="17"/>
              </w:rPr>
            </w:pPr>
            <w:r w:rsidRPr="00B971D6">
              <w:rPr>
                <w:sz w:val="17"/>
                <w:szCs w:val="17"/>
              </w:rPr>
              <w:t xml:space="preserve">Stability </w:t>
            </w:r>
            <w:r w:rsidR="008B2C71" w:rsidRPr="00B971D6">
              <w:rPr>
                <w:sz w:val="17"/>
                <w:szCs w:val="17"/>
              </w:rPr>
              <w:t>checks</w:t>
            </w:r>
            <w:r w:rsidRPr="00B971D6">
              <w:rPr>
                <w:sz w:val="17"/>
                <w:szCs w:val="17"/>
              </w:rPr>
              <w:t xml:space="preserve"> within the sampled holdout design</w:t>
            </w:r>
          </w:p>
        </w:tc>
      </w:tr>
      <w:tr w:rsidR="003E6E16" w:rsidRPr="00B971D6" w14:paraId="43FFCC52" w14:textId="77777777" w:rsidTr="00104186">
        <w:trPr>
          <w:trHeight w:val="68"/>
          <w:jc w:val="center"/>
        </w:trPr>
        <w:tc>
          <w:tcPr>
            <w:tcW w:w="678" w:type="pct"/>
            <w:tcBorders>
              <w:top w:val="single" w:sz="2" w:space="0" w:color="D9D9D9"/>
              <w:left w:val="single" w:sz="2" w:space="0" w:color="D9D9D9"/>
              <w:bottom w:val="single" w:sz="2" w:space="0" w:color="D9D9D9"/>
              <w:right w:val="single" w:sz="2" w:space="0" w:color="D9D9D9"/>
            </w:tcBorders>
            <w:vAlign w:val="center"/>
          </w:tcPr>
          <w:p w14:paraId="335BCB37" w14:textId="77777777" w:rsidR="003E6E16" w:rsidRPr="00B971D6" w:rsidRDefault="00000000">
            <w:pPr>
              <w:spacing w:after="0"/>
              <w:rPr>
                <w:sz w:val="17"/>
                <w:szCs w:val="17"/>
              </w:rPr>
            </w:pPr>
            <w:r w:rsidRPr="00B971D6">
              <w:rPr>
                <w:sz w:val="17"/>
                <w:szCs w:val="17"/>
              </w:rPr>
              <w:t>Turkey overlay</w:t>
            </w:r>
          </w:p>
        </w:tc>
        <w:tc>
          <w:tcPr>
            <w:tcW w:w="2208" w:type="pct"/>
            <w:tcBorders>
              <w:top w:val="single" w:sz="2" w:space="0" w:color="D9D9D9"/>
              <w:left w:val="single" w:sz="2" w:space="0" w:color="D9D9D9"/>
              <w:bottom w:val="single" w:sz="2" w:space="0" w:color="D9D9D9"/>
              <w:right w:val="single" w:sz="2" w:space="0" w:color="D9D9D9"/>
            </w:tcBorders>
            <w:vAlign w:val="center"/>
          </w:tcPr>
          <w:p w14:paraId="638FBB05" w14:textId="77777777" w:rsidR="003E6E16" w:rsidRPr="00B971D6" w:rsidRDefault="00000000">
            <w:pPr>
              <w:spacing w:after="0"/>
              <w:rPr>
                <w:sz w:val="17"/>
                <w:szCs w:val="17"/>
              </w:rPr>
            </w:pPr>
            <w:r w:rsidRPr="00B971D6">
              <w:rPr>
                <w:sz w:val="17"/>
                <w:szCs w:val="17"/>
              </w:rPr>
              <w:t>BDDK loan/NPL indicators and TCMB policy/inflation variables</w:t>
            </w:r>
          </w:p>
        </w:tc>
        <w:tc>
          <w:tcPr>
            <w:tcW w:w="2114" w:type="pct"/>
            <w:tcBorders>
              <w:top w:val="single" w:sz="2" w:space="0" w:color="D9D9D9"/>
              <w:left w:val="single" w:sz="2" w:space="0" w:color="D9D9D9"/>
              <w:bottom w:val="single" w:sz="2" w:space="0" w:color="D9D9D9"/>
              <w:right w:val="single" w:sz="2" w:space="0" w:color="D9D9D9"/>
            </w:tcBorders>
            <w:vAlign w:val="center"/>
          </w:tcPr>
          <w:p w14:paraId="1C0697F1" w14:textId="77777777" w:rsidR="003E6E16" w:rsidRPr="00B971D6" w:rsidRDefault="00000000">
            <w:pPr>
              <w:spacing w:after="0"/>
              <w:rPr>
                <w:sz w:val="17"/>
                <w:szCs w:val="17"/>
              </w:rPr>
            </w:pPr>
            <w:r w:rsidRPr="00B971D6">
              <w:rPr>
                <w:sz w:val="17"/>
                <w:szCs w:val="17"/>
              </w:rPr>
              <w:t>Contextual only; not used as model features</w:t>
            </w:r>
          </w:p>
        </w:tc>
      </w:tr>
    </w:tbl>
    <w:p w14:paraId="474E427A" w14:textId="77777777" w:rsidR="003E6E16" w:rsidRDefault="00000000" w:rsidP="00B971D6">
      <w:pPr>
        <w:pStyle w:val="MemoCaption"/>
        <w:jc w:val="center"/>
      </w:pPr>
      <w:r>
        <w:t>Appendix Table B1. Methodology summary and caveats.</w:t>
      </w:r>
    </w:p>
    <w:sectPr w:rsidR="003E6E16" w:rsidSect="00034616">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C3AF4" w14:textId="77777777" w:rsidR="00CC5354" w:rsidRDefault="00CC5354">
      <w:pPr>
        <w:spacing w:after="0"/>
      </w:pPr>
      <w:r>
        <w:separator/>
      </w:r>
    </w:p>
  </w:endnote>
  <w:endnote w:type="continuationSeparator" w:id="0">
    <w:p w14:paraId="07DD57BD" w14:textId="77777777" w:rsidR="00CC5354" w:rsidRDefault="00CC53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597602175"/>
      <w:docPartObj>
        <w:docPartGallery w:val="Page Numbers (Bottom of Page)"/>
        <w:docPartUnique/>
      </w:docPartObj>
    </w:sdtPr>
    <w:sdtContent>
      <w:p w14:paraId="74951ED4" w14:textId="77777777" w:rsidR="00B971D6" w:rsidRDefault="00B971D6" w:rsidP="00672BA8">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rPr>
          <w:fldChar w:fldCharType="end"/>
        </w:r>
      </w:p>
    </w:sdtContent>
  </w:sdt>
  <w:p w14:paraId="17CC9F02" w14:textId="77777777" w:rsidR="00B971D6" w:rsidRDefault="00B971D6" w:rsidP="00B971D6">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89285761"/>
      <w:docPartObj>
        <w:docPartGallery w:val="Page Numbers (Bottom of Page)"/>
        <w:docPartUnique/>
      </w:docPartObj>
    </w:sdtPr>
    <w:sdtContent>
      <w:p w14:paraId="3FE1E7AA" w14:textId="77777777" w:rsidR="00B971D6" w:rsidRDefault="00B971D6" w:rsidP="00672BA8">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588142A4" w14:textId="77777777" w:rsidR="003E6E16" w:rsidRDefault="00000000" w:rsidP="00B971D6">
    <w:pPr>
      <w:pStyle w:val="AltBilgi"/>
      <w:ind w:right="360"/>
      <w:jc w:val="center"/>
    </w:pPr>
    <w:r>
      <w:rPr>
        <w:i/>
        <w:sz w:val="16"/>
      </w:rPr>
      <w:t>Prepared as a public-data credit risk analytics portfolio case. Not a regulatory model or investment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55CDD" w14:textId="77777777" w:rsidR="00CC5354" w:rsidRDefault="00CC5354">
      <w:pPr>
        <w:spacing w:after="0"/>
      </w:pPr>
      <w:r>
        <w:separator/>
      </w:r>
    </w:p>
  </w:footnote>
  <w:footnote w:type="continuationSeparator" w:id="0">
    <w:p w14:paraId="0381BD67" w14:textId="77777777" w:rsidR="00CC5354" w:rsidRDefault="00CC535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6D1C" w14:textId="77777777" w:rsidR="003E6E16" w:rsidRDefault="00000000">
    <w:pPr>
      <w:pStyle w:val="stBilgi"/>
      <w:jc w:val="right"/>
    </w:pPr>
    <w:r>
      <w:rPr>
        <w:i/>
        <w:sz w:val="16"/>
      </w:rPr>
      <w:t>Credit Risk Analytics Mini-Model | Portfolio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43358982">
    <w:abstractNumId w:val="8"/>
  </w:num>
  <w:num w:numId="2" w16cid:durableId="373818632">
    <w:abstractNumId w:val="6"/>
  </w:num>
  <w:num w:numId="3" w16cid:durableId="747120095">
    <w:abstractNumId w:val="5"/>
  </w:num>
  <w:num w:numId="4" w16cid:durableId="2001496520">
    <w:abstractNumId w:val="4"/>
  </w:num>
  <w:num w:numId="5" w16cid:durableId="2132085567">
    <w:abstractNumId w:val="7"/>
  </w:num>
  <w:num w:numId="6" w16cid:durableId="2032760355">
    <w:abstractNumId w:val="3"/>
  </w:num>
  <w:num w:numId="7" w16cid:durableId="2076194871">
    <w:abstractNumId w:val="2"/>
  </w:num>
  <w:num w:numId="8" w16cid:durableId="1760641252">
    <w:abstractNumId w:val="1"/>
  </w:num>
  <w:num w:numId="9" w16cid:durableId="148570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68"/>
    <w:rsid w:val="00034616"/>
    <w:rsid w:val="0006063C"/>
    <w:rsid w:val="000F298C"/>
    <w:rsid w:val="00104186"/>
    <w:rsid w:val="00106567"/>
    <w:rsid w:val="0015074B"/>
    <w:rsid w:val="00213F92"/>
    <w:rsid w:val="002775CB"/>
    <w:rsid w:val="0029639D"/>
    <w:rsid w:val="00326F90"/>
    <w:rsid w:val="003953CE"/>
    <w:rsid w:val="003E6E16"/>
    <w:rsid w:val="004B7254"/>
    <w:rsid w:val="008B2C71"/>
    <w:rsid w:val="00A94DAB"/>
    <w:rsid w:val="00AA1D8D"/>
    <w:rsid w:val="00B47730"/>
    <w:rsid w:val="00B971D6"/>
    <w:rsid w:val="00BA1890"/>
    <w:rsid w:val="00CB0664"/>
    <w:rsid w:val="00CC5354"/>
    <w:rsid w:val="00E438BD"/>
    <w:rsid w:val="00F06E68"/>
    <w:rsid w:val="00F20CF1"/>
    <w:rsid w:val="00FC693F"/>
    <w:rsid w:val="00FF42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84668"/>
  <w14:defaultImageDpi w14:val="300"/>
  <w15:docId w15:val="{B12FBDF5-85CF-9148-9E44-3DF7E56F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Garamond" w:eastAsia="Garamond" w:hAnsi="Garamond"/>
      <w:sz w:val="20"/>
    </w:rPr>
  </w:style>
  <w:style w:type="paragraph" w:styleId="Balk1">
    <w:name w:val="heading 1"/>
    <w:basedOn w:val="Normal"/>
    <w:next w:val="Normal"/>
    <w:link w:val="Balk1Char"/>
    <w:uiPriority w:val="9"/>
    <w:qFormat/>
    <w:rsid w:val="00FC693F"/>
    <w:pPr>
      <w:keepNext/>
      <w:keepLines/>
      <w:spacing w:before="160" w:after="80"/>
      <w:outlineLvl w:val="0"/>
    </w:pPr>
    <w:rPr>
      <w:rFonts w:asciiTheme="majorHAnsi" w:eastAsiaTheme="majorEastAsia" w:hAnsiTheme="majorHAnsi" w:cstheme="majorBidi"/>
      <w:b/>
      <w:bCs/>
      <w:color w:val="000000"/>
      <w:sz w:val="26"/>
      <w:szCs w:val="28"/>
    </w:rPr>
  </w:style>
  <w:style w:type="paragraph" w:styleId="Balk2">
    <w:name w:val="heading 2"/>
    <w:basedOn w:val="Normal"/>
    <w:next w:val="Normal"/>
    <w:link w:val="Balk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3"/>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Caption">
    <w:name w:val="Memo Caption"/>
    <w:pPr>
      <w:spacing w:before="40" w:after="120"/>
    </w:pPr>
    <w:rPr>
      <w:rFonts w:ascii="Garamond" w:eastAsia="Garamond" w:hAnsi="Garamond"/>
      <w:b/>
      <w:sz w:val="18"/>
    </w:rPr>
  </w:style>
  <w:style w:type="paragraph" w:customStyle="1" w:styleId="MemoNote">
    <w:name w:val="Memo Note"/>
    <w:pPr>
      <w:spacing w:after="100"/>
    </w:pPr>
    <w:rPr>
      <w:rFonts w:ascii="Garamond" w:eastAsia="Garamond" w:hAnsi="Garamond"/>
      <w:i/>
      <w:sz w:val="18"/>
    </w:rPr>
  </w:style>
  <w:style w:type="character" w:styleId="SayfaNumaras">
    <w:name w:val="page number"/>
    <w:basedOn w:val="VarsaylanParagrafYazTipi"/>
    <w:uiPriority w:val="99"/>
    <w:semiHidden/>
    <w:unhideWhenUsed/>
    <w:rsid w:val="00B971D6"/>
  </w:style>
  <w:style w:type="paragraph" w:styleId="SonNotMetni">
    <w:name w:val="endnote text"/>
    <w:basedOn w:val="Normal"/>
    <w:link w:val="SonNotMetniChar"/>
    <w:uiPriority w:val="99"/>
    <w:semiHidden/>
    <w:unhideWhenUsed/>
    <w:rsid w:val="00F06E68"/>
    <w:pPr>
      <w:spacing w:after="0"/>
    </w:pPr>
    <w:rPr>
      <w:szCs w:val="20"/>
    </w:rPr>
  </w:style>
  <w:style w:type="character" w:customStyle="1" w:styleId="SonNotMetniChar">
    <w:name w:val="Son Not Metni Char"/>
    <w:basedOn w:val="VarsaylanParagrafYazTipi"/>
    <w:link w:val="SonNotMetni"/>
    <w:uiPriority w:val="99"/>
    <w:semiHidden/>
    <w:rsid w:val="00F06E68"/>
    <w:rPr>
      <w:rFonts w:ascii="Garamond" w:eastAsia="Garamond" w:hAnsi="Garamond"/>
      <w:sz w:val="20"/>
      <w:szCs w:val="20"/>
    </w:rPr>
  </w:style>
  <w:style w:type="character" w:styleId="SonNotBavurusu">
    <w:name w:val="endnote reference"/>
    <w:basedOn w:val="VarsaylanParagrafYazTipi"/>
    <w:uiPriority w:val="99"/>
    <w:semiHidden/>
    <w:unhideWhenUsed/>
    <w:rsid w:val="00F06E68"/>
    <w:rPr>
      <w:vertAlign w:val="superscript"/>
    </w:rPr>
  </w:style>
  <w:style w:type="paragraph" w:styleId="DipnotMetni">
    <w:name w:val="footnote text"/>
    <w:basedOn w:val="Normal"/>
    <w:link w:val="DipnotMetniChar"/>
    <w:uiPriority w:val="99"/>
    <w:semiHidden/>
    <w:unhideWhenUsed/>
    <w:rsid w:val="00104186"/>
    <w:pPr>
      <w:spacing w:after="0"/>
    </w:pPr>
    <w:rPr>
      <w:szCs w:val="20"/>
    </w:rPr>
  </w:style>
  <w:style w:type="character" w:customStyle="1" w:styleId="DipnotMetniChar">
    <w:name w:val="Dipnot Metni Char"/>
    <w:basedOn w:val="VarsaylanParagrafYazTipi"/>
    <w:link w:val="DipnotMetni"/>
    <w:uiPriority w:val="99"/>
    <w:semiHidden/>
    <w:rsid w:val="00104186"/>
    <w:rPr>
      <w:rFonts w:ascii="Garamond" w:eastAsia="Garamond" w:hAnsi="Garamond"/>
      <w:sz w:val="20"/>
      <w:szCs w:val="20"/>
    </w:rPr>
  </w:style>
  <w:style w:type="character" w:styleId="DipnotBavurusu">
    <w:name w:val="footnote reference"/>
    <w:basedOn w:val="VarsaylanParagrafYazTipi"/>
    <w:uiPriority w:val="99"/>
    <w:semiHidden/>
    <w:unhideWhenUsed/>
    <w:rsid w:val="001041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7fce66-bf2d-46b5-b59a-9f0018501bcd}" enabled="1" method="Standard" siteId="{f8a213d2-8f6c-400d-9e74-4e8b475316c6}"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2375</Words>
  <Characters>13543</Characters>
  <Application>Microsoft Office Word</Application>
  <DocSecurity>0</DocSecurity>
  <Lines>112</Lines>
  <Paragraphs>31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Enes Sari</cp:lastModifiedBy>
  <cp:revision>2</cp:revision>
  <dcterms:created xsi:type="dcterms:W3CDTF">2026-05-20T14:40:00Z</dcterms:created>
  <dcterms:modified xsi:type="dcterms:W3CDTF">2026-05-20T14:40:00Z</dcterms:modified>
  <cp:category/>
</cp:coreProperties>
</file>