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13EC" w14:textId="57B910CD" w:rsidR="00BC270A" w:rsidRPr="00B5298D" w:rsidRDefault="00000000" w:rsidP="00ED2CAC">
      <w:pPr>
        <w:jc w:val="center"/>
        <w:rPr>
          <w:rFonts w:ascii="Garamond" w:hAnsi="Garamond"/>
        </w:rPr>
      </w:pPr>
      <w:r w:rsidRPr="00B5298D">
        <w:rPr>
          <w:rFonts w:ascii="Garamond" w:hAnsi="Garamond"/>
          <w:b/>
          <w:sz w:val="36"/>
        </w:rPr>
        <w:t>Multi-Asset Portfolio Analysis: Türkiye Case Study</w:t>
      </w:r>
      <w:r w:rsidR="00ED2CAC">
        <w:rPr>
          <w:rFonts w:ascii="Garamond" w:hAnsi="Garamond"/>
          <w:i/>
        </w:rPr>
        <w:br/>
      </w:r>
      <w:r w:rsidR="00ED2CAC" w:rsidRPr="00ED2CAC">
        <w:rPr>
          <w:rFonts w:ascii="Garamond" w:hAnsi="Garamond"/>
          <w:b/>
          <w:bCs/>
          <w:i/>
        </w:rPr>
        <w:t>ENES SARI</w:t>
      </w:r>
      <w:r w:rsidR="00ED2CAC">
        <w:rPr>
          <w:rFonts w:ascii="Garamond" w:hAnsi="Garamond"/>
          <w:b/>
          <w:bCs/>
          <w:i/>
        </w:rPr>
        <w:br/>
      </w:r>
      <w:r w:rsidR="00512483" w:rsidRPr="00512483">
        <w:rPr>
          <w:rFonts w:ascii="Garamond" w:hAnsi="Garamond"/>
          <w:i/>
        </w:rPr>
        <w:t>Independent Portfolio Analytics Project</w:t>
      </w:r>
    </w:p>
    <w:p w14:paraId="785D2EE8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Executive Summary</w:t>
      </w:r>
    </w:p>
    <w:p w14:paraId="29DD62F5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This project evaluates a simple Türkiye-focused multi-asset framework using four asset proxies: GAU/TRY (gold), USD/TRY (FX), BIST 30 Futures (equity), and an HST bond fund (fixed income proxy). The analysis covers the common sample from 2 May 2023 to 29 April 2026 and compares both individual assets and three model portfolios.</w:t>
      </w:r>
    </w:p>
    <w:p w14:paraId="2D2A2167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At the asset level, GAU/TRY delivered the strongest annualized return (74.67%), while BIST 30 Futures was the most volatile asset (32.55%). The HST Bond Fund combined the lowest volatility (6.37</w:t>
      </w:r>
      <w:proofErr w:type="gramStart"/>
      <w:r w:rsidRPr="00AD028A">
        <w:rPr>
          <w:rFonts w:ascii="Garamond" w:hAnsi="Garamond"/>
          <w:sz w:val="20"/>
          <w:szCs w:val="20"/>
        </w:rPr>
        <w:t>% )</w:t>
      </w:r>
      <w:proofErr w:type="gramEnd"/>
      <w:r w:rsidRPr="00AD028A">
        <w:rPr>
          <w:rFonts w:ascii="Garamond" w:hAnsi="Garamond"/>
          <w:sz w:val="20"/>
          <w:szCs w:val="20"/>
        </w:rPr>
        <w:t xml:space="preserve"> with the strongest standalone return-to-volatility ratio (4.81).</w:t>
      </w:r>
    </w:p>
    <w:p w14:paraId="44504270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At the portfolio level, FX &amp; Gold Hedge Tilt produced the highest annualized return (46.97%), whereas Conservative / Pension-like delivered the strongest risk-adjusted profile with the lowest annualized volatility (8.29%), the shallowest maximum drawdown (-5.16%), and the highest return-to-volatility ratio (4.98).</w:t>
      </w:r>
    </w:p>
    <w:p w14:paraId="56118A3E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Scenario analysis reinforces the portfolio differentiation. The FX &amp; Gold Hedge Tilt performs best under TRY depreciation and fixed-income stress, while the Conservative / Pension-like portfolio is most resilient during an equity drawdown. Under a more supportive risk-on / disinflation environment, the Balanced portfolio shows the strongest upside among the three stress-tested portfolios.</w:t>
      </w:r>
    </w:p>
    <w:p w14:paraId="79F15844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Historical VaR / Expected Shortfall metrics and an illustrative Monte Carlo simulation point to the same broad conclusion: a more defensive allocation sacrifices some upside but provides superior downside protection, while a hedge-oriented allocation captures more upside in inflation / depreciation-sensitive settings.</w:t>
      </w:r>
    </w:p>
    <w:p w14:paraId="3AD4308C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1. Objective and Data</w:t>
      </w:r>
    </w:p>
    <w:p w14:paraId="795750D5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The objective is to build a compact but credible multi-asset portfolio analysis that demonstrates data handling, portfolio construction, risk-return analysis, stress testing, and presentation of investment-relevant findings.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96"/>
        <w:gridCol w:w="2355"/>
        <w:gridCol w:w="5801"/>
      </w:tblGrid>
      <w:tr w:rsidR="00BC270A" w:rsidRPr="00AD028A" w14:paraId="36DFB39D" w14:textId="77777777" w:rsidTr="00AD028A">
        <w:tc>
          <w:tcPr>
            <w:tcW w:w="983" w:type="pct"/>
          </w:tcPr>
          <w:p w14:paraId="25C503C0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Asset Class</w:t>
            </w:r>
          </w:p>
        </w:tc>
        <w:tc>
          <w:tcPr>
            <w:tcW w:w="1160" w:type="pct"/>
          </w:tcPr>
          <w:p w14:paraId="122DA6B5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Proxy</w:t>
            </w:r>
          </w:p>
        </w:tc>
        <w:tc>
          <w:tcPr>
            <w:tcW w:w="2858" w:type="pct"/>
          </w:tcPr>
          <w:p w14:paraId="7C612BF1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Role in Analysis</w:t>
            </w:r>
          </w:p>
        </w:tc>
      </w:tr>
      <w:tr w:rsidR="00BC270A" w:rsidRPr="00AD028A" w14:paraId="5D34BC73" w14:textId="77777777" w:rsidTr="00AD028A">
        <w:tc>
          <w:tcPr>
            <w:tcW w:w="983" w:type="pct"/>
          </w:tcPr>
          <w:p w14:paraId="3EFA59A3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Gold</w:t>
            </w:r>
          </w:p>
        </w:tc>
        <w:tc>
          <w:tcPr>
            <w:tcW w:w="1160" w:type="pct"/>
          </w:tcPr>
          <w:p w14:paraId="254DA69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GAU/TRY</w:t>
            </w:r>
          </w:p>
        </w:tc>
        <w:tc>
          <w:tcPr>
            <w:tcW w:w="2858" w:type="pct"/>
          </w:tcPr>
          <w:p w14:paraId="2EFDE48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Inflation and depreciation hedge</w:t>
            </w:r>
          </w:p>
        </w:tc>
      </w:tr>
      <w:tr w:rsidR="00BC270A" w:rsidRPr="00AD028A" w14:paraId="64E67B64" w14:textId="77777777" w:rsidTr="00AD028A">
        <w:tc>
          <w:tcPr>
            <w:tcW w:w="983" w:type="pct"/>
          </w:tcPr>
          <w:p w14:paraId="4B2E647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FX</w:t>
            </w:r>
          </w:p>
        </w:tc>
        <w:tc>
          <w:tcPr>
            <w:tcW w:w="1160" w:type="pct"/>
          </w:tcPr>
          <w:p w14:paraId="4DD0F72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USD/TRY</w:t>
            </w:r>
          </w:p>
        </w:tc>
        <w:tc>
          <w:tcPr>
            <w:tcW w:w="2858" w:type="pct"/>
          </w:tcPr>
          <w:p w14:paraId="64A68FC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TRY depreciation exposure / portfolio hedge</w:t>
            </w:r>
          </w:p>
        </w:tc>
      </w:tr>
      <w:tr w:rsidR="00BC270A" w:rsidRPr="00AD028A" w14:paraId="16319C73" w14:textId="77777777" w:rsidTr="00AD028A">
        <w:tc>
          <w:tcPr>
            <w:tcW w:w="983" w:type="pct"/>
          </w:tcPr>
          <w:p w14:paraId="79188AB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Equity</w:t>
            </w:r>
          </w:p>
        </w:tc>
        <w:tc>
          <w:tcPr>
            <w:tcW w:w="1160" w:type="pct"/>
          </w:tcPr>
          <w:p w14:paraId="3D8E4AB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BIST 30 Futures</w:t>
            </w:r>
          </w:p>
        </w:tc>
        <w:tc>
          <w:tcPr>
            <w:tcW w:w="2858" w:type="pct"/>
          </w:tcPr>
          <w:p w14:paraId="16D5768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Risk asset / growth exposure</w:t>
            </w:r>
          </w:p>
        </w:tc>
      </w:tr>
      <w:tr w:rsidR="00BC270A" w:rsidRPr="00AD028A" w14:paraId="05135B3F" w14:textId="77777777" w:rsidTr="00AD028A">
        <w:tc>
          <w:tcPr>
            <w:tcW w:w="983" w:type="pct"/>
          </w:tcPr>
          <w:p w14:paraId="084B951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Fixed Income</w:t>
            </w:r>
          </w:p>
        </w:tc>
        <w:tc>
          <w:tcPr>
            <w:tcW w:w="1160" w:type="pct"/>
          </w:tcPr>
          <w:p w14:paraId="56A428E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HST Bond Fund</w:t>
            </w:r>
          </w:p>
        </w:tc>
        <w:tc>
          <w:tcPr>
            <w:tcW w:w="2858" w:type="pct"/>
          </w:tcPr>
          <w:p w14:paraId="72C184D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Defensive / stabilizing allocation</w:t>
            </w:r>
          </w:p>
        </w:tc>
      </w:tr>
    </w:tbl>
    <w:p w14:paraId="52A03981" w14:textId="0D5C7FFF" w:rsidR="00BC270A" w:rsidRPr="00AD028A" w:rsidRDefault="00AD028A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br/>
      </w:r>
      <w:r w:rsidR="00000000" w:rsidRPr="00AD028A">
        <w:rPr>
          <w:rFonts w:ascii="Garamond" w:hAnsi="Garamond"/>
          <w:sz w:val="20"/>
          <w:szCs w:val="20"/>
        </w:rPr>
        <w:t>Sample period: 02 May 2023 to 29 Apr 2026. Total common price observations: 750. Daily returns are calculated from cleaned price/NAV series and annualized using 252 trading days.</w:t>
      </w:r>
    </w:p>
    <w:p w14:paraId="67CAFDDA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2. Methodology</w:t>
      </w:r>
    </w:p>
    <w:p w14:paraId="717974ED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 xml:space="preserve">The analysis proceeds in five steps: (i) clean and harmonize the </w:t>
      </w:r>
      <w:proofErr w:type="gramStart"/>
      <w:r w:rsidRPr="00AD028A">
        <w:rPr>
          <w:rFonts w:ascii="Garamond" w:hAnsi="Garamond"/>
          <w:sz w:val="20"/>
          <w:szCs w:val="20"/>
        </w:rPr>
        <w:t>four time</w:t>
      </w:r>
      <w:proofErr w:type="gramEnd"/>
      <w:r w:rsidRPr="00AD028A">
        <w:rPr>
          <w:rFonts w:ascii="Garamond" w:hAnsi="Garamond"/>
          <w:sz w:val="20"/>
          <w:szCs w:val="20"/>
        </w:rPr>
        <w:t xml:space="preserve"> series, (ii) compute daily returns and annualized risk-return statistics, (iii) construct three model portfolios with different allocation profiles, (iv) evaluate scenario impacts and historical downside risk, and (v) run an illustrative 1-year Monte Carlo simulation.</w:t>
      </w:r>
    </w:p>
    <w:p w14:paraId="5B87950B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Risk metrics include annualized volatility, maximum drawdown, historical Value-at-Risk (VaR), and Expected Shortfall (ES). Dynamic monitoring is supplemented with 60-day rolling volatility and rolling correlation measures.</w:t>
      </w:r>
    </w:p>
    <w:p w14:paraId="7B6DA4E1" w14:textId="18E0F09E" w:rsidR="00F9708B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The three model portfolios are intentionally simple. They are designed to illustrate different allocation logics rather than optimize weights through an efficient frontier approach.</w:t>
      </w:r>
    </w:p>
    <w:p w14:paraId="087B9D17" w14:textId="77777777" w:rsidR="00F9708B" w:rsidRDefault="00F9708B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1638B769" w14:textId="77777777" w:rsidR="00BC270A" w:rsidRPr="00B5298D" w:rsidRDefault="00BC270A">
      <w:pPr>
        <w:rPr>
          <w:rFonts w:ascii="Garamond" w:hAnsi="Garamond"/>
        </w:rPr>
      </w:pPr>
    </w:p>
    <w:p w14:paraId="385B3C6E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3. Portfolio Construction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3018"/>
        <w:gridCol w:w="1500"/>
        <w:gridCol w:w="1478"/>
        <w:gridCol w:w="2057"/>
        <w:gridCol w:w="2099"/>
      </w:tblGrid>
      <w:tr w:rsidR="00BC270A" w:rsidRPr="00AD028A" w14:paraId="54DEE2CF" w14:textId="77777777" w:rsidTr="00AD028A">
        <w:tc>
          <w:tcPr>
            <w:tcW w:w="1486" w:type="pct"/>
          </w:tcPr>
          <w:p w14:paraId="1F2A28FF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Portfolio</w:t>
            </w:r>
          </w:p>
        </w:tc>
        <w:tc>
          <w:tcPr>
            <w:tcW w:w="739" w:type="pct"/>
          </w:tcPr>
          <w:p w14:paraId="2F737ABB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GAU/TRY</w:t>
            </w:r>
          </w:p>
        </w:tc>
        <w:tc>
          <w:tcPr>
            <w:tcW w:w="728" w:type="pct"/>
          </w:tcPr>
          <w:p w14:paraId="7C382555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USD/TRY</w:t>
            </w:r>
          </w:p>
        </w:tc>
        <w:tc>
          <w:tcPr>
            <w:tcW w:w="1013" w:type="pct"/>
          </w:tcPr>
          <w:p w14:paraId="10FD2013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BIST 30 Futures</w:t>
            </w:r>
          </w:p>
        </w:tc>
        <w:tc>
          <w:tcPr>
            <w:tcW w:w="1034" w:type="pct"/>
          </w:tcPr>
          <w:p w14:paraId="59C4257C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HST Bond Fund</w:t>
            </w:r>
          </w:p>
        </w:tc>
      </w:tr>
      <w:tr w:rsidR="00BC270A" w:rsidRPr="00AD028A" w14:paraId="00979B71" w14:textId="77777777" w:rsidTr="00AD028A">
        <w:tc>
          <w:tcPr>
            <w:tcW w:w="1486" w:type="pct"/>
          </w:tcPr>
          <w:p w14:paraId="05AFF41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 xml:space="preserve">Balanced </w:t>
            </w:r>
            <w:proofErr w:type="gramStart"/>
            <w:r w:rsidRPr="00AD028A">
              <w:rPr>
                <w:rFonts w:ascii="Garamond" w:hAnsi="Garamond"/>
                <w:sz w:val="18"/>
                <w:szCs w:val="18"/>
              </w:rPr>
              <w:t>Multi-Asset</w:t>
            </w:r>
            <w:proofErr w:type="gramEnd"/>
          </w:p>
        </w:tc>
        <w:tc>
          <w:tcPr>
            <w:tcW w:w="739" w:type="pct"/>
          </w:tcPr>
          <w:p w14:paraId="4A340ED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15.00%</w:t>
            </w:r>
          </w:p>
        </w:tc>
        <w:tc>
          <w:tcPr>
            <w:tcW w:w="728" w:type="pct"/>
          </w:tcPr>
          <w:p w14:paraId="4A2A2AF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20.00%</w:t>
            </w:r>
          </w:p>
        </w:tc>
        <w:tc>
          <w:tcPr>
            <w:tcW w:w="1013" w:type="pct"/>
          </w:tcPr>
          <w:p w14:paraId="4EBE3B6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35.00%</w:t>
            </w:r>
          </w:p>
        </w:tc>
        <w:tc>
          <w:tcPr>
            <w:tcW w:w="1034" w:type="pct"/>
          </w:tcPr>
          <w:p w14:paraId="72FA1F8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30.00%</w:t>
            </w:r>
          </w:p>
        </w:tc>
      </w:tr>
      <w:tr w:rsidR="00BC270A" w:rsidRPr="00AD028A" w14:paraId="0E4847C1" w14:textId="77777777" w:rsidTr="00AD028A">
        <w:tc>
          <w:tcPr>
            <w:tcW w:w="1486" w:type="pct"/>
          </w:tcPr>
          <w:p w14:paraId="5332F00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Conservative / Pension-like</w:t>
            </w:r>
          </w:p>
        </w:tc>
        <w:tc>
          <w:tcPr>
            <w:tcW w:w="739" w:type="pct"/>
          </w:tcPr>
          <w:p w14:paraId="642F1C4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15.00%</w:t>
            </w:r>
          </w:p>
        </w:tc>
        <w:tc>
          <w:tcPr>
            <w:tcW w:w="728" w:type="pct"/>
          </w:tcPr>
          <w:p w14:paraId="7E5DA08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15.00%</w:t>
            </w:r>
          </w:p>
        </w:tc>
        <w:tc>
          <w:tcPr>
            <w:tcW w:w="1013" w:type="pct"/>
          </w:tcPr>
          <w:p w14:paraId="68E3F36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20.00%</w:t>
            </w:r>
          </w:p>
        </w:tc>
        <w:tc>
          <w:tcPr>
            <w:tcW w:w="1034" w:type="pct"/>
          </w:tcPr>
          <w:p w14:paraId="0BFD44E2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50.00%</w:t>
            </w:r>
          </w:p>
        </w:tc>
      </w:tr>
      <w:tr w:rsidR="00BC270A" w:rsidRPr="00AD028A" w14:paraId="50A7D841" w14:textId="77777777" w:rsidTr="00AD028A">
        <w:tc>
          <w:tcPr>
            <w:tcW w:w="1486" w:type="pct"/>
          </w:tcPr>
          <w:p w14:paraId="05F56CB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FX &amp; Gold Hedge Tilt</w:t>
            </w:r>
          </w:p>
        </w:tc>
        <w:tc>
          <w:tcPr>
            <w:tcW w:w="739" w:type="pct"/>
          </w:tcPr>
          <w:p w14:paraId="335770E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25.00%</w:t>
            </w:r>
          </w:p>
        </w:tc>
        <w:tc>
          <w:tcPr>
            <w:tcW w:w="728" w:type="pct"/>
          </w:tcPr>
          <w:p w14:paraId="3C934D5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30.00%</w:t>
            </w:r>
          </w:p>
        </w:tc>
        <w:tc>
          <w:tcPr>
            <w:tcW w:w="1013" w:type="pct"/>
          </w:tcPr>
          <w:p w14:paraId="7A0C0E3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25.00%</w:t>
            </w:r>
          </w:p>
        </w:tc>
        <w:tc>
          <w:tcPr>
            <w:tcW w:w="1034" w:type="pct"/>
          </w:tcPr>
          <w:p w14:paraId="3B8AA34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20.00%</w:t>
            </w:r>
          </w:p>
        </w:tc>
      </w:tr>
    </w:tbl>
    <w:p w14:paraId="52200530" w14:textId="215519F9" w:rsidR="00BC270A" w:rsidRPr="00AD028A" w:rsidRDefault="00B5298D" w:rsidP="00DD2804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</w:rPr>
        <w:br/>
      </w:r>
      <w:r w:rsidRPr="00AD028A">
        <w:rPr>
          <w:rFonts w:ascii="Garamond" w:hAnsi="Garamond"/>
          <w:sz w:val="20"/>
          <w:szCs w:val="20"/>
        </w:rPr>
        <w:t>Balanced multi-asset aims to distribute risk more evenly across asset classes. Conservative / Pension-like prioritizes capital preservation with a heavier fixed-income allocation. FX &amp; Gold Hedge Tilt increases protection against inflation and TRY weakness.</w:t>
      </w:r>
    </w:p>
    <w:p w14:paraId="721D153B" w14:textId="17882A43" w:rsidR="002F0BCF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4. Asset-Level Performance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780"/>
        <w:gridCol w:w="2122"/>
        <w:gridCol w:w="2335"/>
        <w:gridCol w:w="1838"/>
        <w:gridCol w:w="2077"/>
      </w:tblGrid>
      <w:tr w:rsidR="00BC270A" w:rsidRPr="00AD028A" w14:paraId="1DF2B375" w14:textId="77777777" w:rsidTr="00AD028A">
        <w:tc>
          <w:tcPr>
            <w:tcW w:w="877" w:type="pct"/>
          </w:tcPr>
          <w:p w14:paraId="4446A7EE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Asset</w:t>
            </w:r>
          </w:p>
        </w:tc>
        <w:tc>
          <w:tcPr>
            <w:tcW w:w="1045" w:type="pct"/>
          </w:tcPr>
          <w:p w14:paraId="65A53D16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Annualized Return</w:t>
            </w:r>
          </w:p>
        </w:tc>
        <w:tc>
          <w:tcPr>
            <w:tcW w:w="1150" w:type="pct"/>
          </w:tcPr>
          <w:p w14:paraId="0F2556DA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Annualized Volatility</w:t>
            </w:r>
          </w:p>
        </w:tc>
        <w:tc>
          <w:tcPr>
            <w:tcW w:w="905" w:type="pct"/>
          </w:tcPr>
          <w:p w14:paraId="2681A537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Max Drawdown</w:t>
            </w:r>
          </w:p>
        </w:tc>
        <w:tc>
          <w:tcPr>
            <w:tcW w:w="1024" w:type="pct"/>
          </w:tcPr>
          <w:p w14:paraId="56ABF569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Return / Volatility</w:t>
            </w:r>
          </w:p>
        </w:tc>
      </w:tr>
      <w:tr w:rsidR="00BC270A" w:rsidRPr="00AD028A" w14:paraId="655ABDFC" w14:textId="77777777" w:rsidTr="00AD028A">
        <w:tc>
          <w:tcPr>
            <w:tcW w:w="877" w:type="pct"/>
          </w:tcPr>
          <w:p w14:paraId="02DB621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GAU/TRY</w:t>
            </w:r>
          </w:p>
        </w:tc>
        <w:tc>
          <w:tcPr>
            <w:tcW w:w="1045" w:type="pct"/>
          </w:tcPr>
          <w:p w14:paraId="354E533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74.67%</w:t>
            </w:r>
          </w:p>
        </w:tc>
        <w:tc>
          <w:tcPr>
            <w:tcW w:w="1150" w:type="pct"/>
          </w:tcPr>
          <w:p w14:paraId="18DA1B9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21.17%</w:t>
            </w:r>
          </w:p>
        </w:tc>
        <w:tc>
          <w:tcPr>
            <w:tcW w:w="905" w:type="pct"/>
          </w:tcPr>
          <w:p w14:paraId="0260BDA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-19.05%</w:t>
            </w:r>
          </w:p>
        </w:tc>
        <w:tc>
          <w:tcPr>
            <w:tcW w:w="1024" w:type="pct"/>
          </w:tcPr>
          <w:p w14:paraId="5458950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3.53</w:t>
            </w:r>
          </w:p>
        </w:tc>
      </w:tr>
      <w:tr w:rsidR="00BC270A" w:rsidRPr="00AD028A" w14:paraId="24B5B574" w14:textId="77777777" w:rsidTr="00AD028A">
        <w:tc>
          <w:tcPr>
            <w:tcW w:w="877" w:type="pct"/>
          </w:tcPr>
          <w:p w14:paraId="6537481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USD/TRY</w:t>
            </w:r>
          </w:p>
        </w:tc>
        <w:tc>
          <w:tcPr>
            <w:tcW w:w="1045" w:type="pct"/>
          </w:tcPr>
          <w:p w14:paraId="14D632A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32.79%</w:t>
            </w:r>
          </w:p>
        </w:tc>
        <w:tc>
          <w:tcPr>
            <w:tcW w:w="1150" w:type="pct"/>
          </w:tcPr>
          <w:p w14:paraId="78626B1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8.38%</w:t>
            </w:r>
          </w:p>
        </w:tc>
        <w:tc>
          <w:tcPr>
            <w:tcW w:w="905" w:type="pct"/>
          </w:tcPr>
          <w:p w14:paraId="72B32832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-5.17%</w:t>
            </w:r>
          </w:p>
        </w:tc>
        <w:tc>
          <w:tcPr>
            <w:tcW w:w="1024" w:type="pct"/>
          </w:tcPr>
          <w:p w14:paraId="5E19F41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3.91</w:t>
            </w:r>
          </w:p>
        </w:tc>
      </w:tr>
      <w:tr w:rsidR="00BC270A" w:rsidRPr="00AD028A" w14:paraId="472DA409" w14:textId="77777777" w:rsidTr="00AD028A">
        <w:tc>
          <w:tcPr>
            <w:tcW w:w="877" w:type="pct"/>
          </w:tcPr>
          <w:p w14:paraId="69FEE53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BIST 30 Futures</w:t>
            </w:r>
          </w:p>
        </w:tc>
        <w:tc>
          <w:tcPr>
            <w:tcW w:w="1045" w:type="pct"/>
          </w:tcPr>
          <w:p w14:paraId="72ACC3D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44.84%</w:t>
            </w:r>
          </w:p>
        </w:tc>
        <w:tc>
          <w:tcPr>
            <w:tcW w:w="1150" w:type="pct"/>
          </w:tcPr>
          <w:p w14:paraId="68E25D9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32.55%</w:t>
            </w:r>
          </w:p>
        </w:tc>
        <w:tc>
          <w:tcPr>
            <w:tcW w:w="905" w:type="pct"/>
          </w:tcPr>
          <w:p w14:paraId="4F2DF43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-24.32%</w:t>
            </w:r>
          </w:p>
        </w:tc>
        <w:tc>
          <w:tcPr>
            <w:tcW w:w="1024" w:type="pct"/>
          </w:tcPr>
          <w:p w14:paraId="30FF24A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1.38</w:t>
            </w:r>
          </w:p>
        </w:tc>
      </w:tr>
      <w:tr w:rsidR="00BC270A" w:rsidRPr="00AD028A" w14:paraId="3875630E" w14:textId="77777777" w:rsidTr="00AD028A">
        <w:tc>
          <w:tcPr>
            <w:tcW w:w="877" w:type="pct"/>
          </w:tcPr>
          <w:p w14:paraId="3CFABBC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HST Bond Fund</w:t>
            </w:r>
          </w:p>
        </w:tc>
        <w:tc>
          <w:tcPr>
            <w:tcW w:w="1045" w:type="pct"/>
          </w:tcPr>
          <w:p w14:paraId="7A03425E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30.62%</w:t>
            </w:r>
          </w:p>
        </w:tc>
        <w:tc>
          <w:tcPr>
            <w:tcW w:w="1150" w:type="pct"/>
          </w:tcPr>
          <w:p w14:paraId="6A16185E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6.37%</w:t>
            </w:r>
          </w:p>
        </w:tc>
        <w:tc>
          <w:tcPr>
            <w:tcW w:w="905" w:type="pct"/>
          </w:tcPr>
          <w:p w14:paraId="6CB1B08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-6.81%</w:t>
            </w:r>
          </w:p>
        </w:tc>
        <w:tc>
          <w:tcPr>
            <w:tcW w:w="1024" w:type="pct"/>
          </w:tcPr>
          <w:p w14:paraId="77CE17D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4.81</w:t>
            </w:r>
          </w:p>
        </w:tc>
      </w:tr>
    </w:tbl>
    <w:p w14:paraId="6CE4907E" w14:textId="77777777" w:rsidR="002F0BCF" w:rsidRDefault="002F0BCF" w:rsidP="00B5298D">
      <w:pPr>
        <w:rPr>
          <w:rFonts w:ascii="Garamond" w:hAnsi="Garamond"/>
          <w:b/>
          <w:bCs/>
          <w:iCs/>
          <w:szCs w:val="21"/>
        </w:rPr>
      </w:pPr>
    </w:p>
    <w:p w14:paraId="01B80730" w14:textId="60C47C61" w:rsidR="00BC270A" w:rsidRPr="00B5298D" w:rsidRDefault="00000000" w:rsidP="00B5298D">
      <w:pPr>
        <w:rPr>
          <w:rFonts w:ascii="Garamond" w:hAnsi="Garamond"/>
          <w:b/>
          <w:bCs/>
          <w:iCs/>
          <w:szCs w:val="21"/>
        </w:rPr>
      </w:pPr>
      <w:r w:rsidRPr="00B5298D">
        <w:rPr>
          <w:rFonts w:ascii="Garamond" w:hAnsi="Garamond"/>
          <w:b/>
          <w:bCs/>
          <w:iCs/>
          <w:szCs w:val="21"/>
        </w:rPr>
        <w:t>Figure 1. Asset performance indexed to 100.</w:t>
      </w:r>
    </w:p>
    <w:p w14:paraId="0F2E6DDD" w14:textId="045F1D74" w:rsidR="00B5298D" w:rsidRPr="00B5298D" w:rsidRDefault="00B5298D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4FF9A12A" wp14:editId="3112B898">
            <wp:extent cx="4392000" cy="2340000"/>
            <wp:effectExtent l="0" t="0" r="2540" b="0"/>
            <wp:docPr id="1446808955" name="Resi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08955" name="Resim 14468089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B75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Gold (GAU/TRY) clearly dominates cumulative performance over the sample, while BIST 30 Futures offers strong nominal return but with the largest volatility and drawdown. USD/TRY and the HST Bond Fund exhibit lower drawdowns and help explain why diversified portfolios perform much more smoothly than a single-asset allocation.</w:t>
      </w:r>
    </w:p>
    <w:p w14:paraId="210D8B2B" w14:textId="23E54582" w:rsidR="002F0BCF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</w:rPr>
      </w:pPr>
      <w:r w:rsidRPr="00ED2CAC">
        <w:rPr>
          <w:rFonts w:ascii="Garamond" w:hAnsi="Garamond"/>
          <w:color w:val="000000" w:themeColor="text1"/>
        </w:rPr>
        <w:t>5. Portfolio Performance and Risk-Return Trade-Off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2532"/>
        <w:gridCol w:w="1931"/>
        <w:gridCol w:w="2126"/>
        <w:gridCol w:w="1673"/>
        <w:gridCol w:w="1890"/>
      </w:tblGrid>
      <w:tr w:rsidR="00BC270A" w:rsidRPr="00AD028A" w14:paraId="1D649AC8" w14:textId="77777777" w:rsidTr="00AD028A">
        <w:tc>
          <w:tcPr>
            <w:tcW w:w="1247" w:type="pct"/>
          </w:tcPr>
          <w:p w14:paraId="0E75F7C2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Portfolio</w:t>
            </w:r>
          </w:p>
        </w:tc>
        <w:tc>
          <w:tcPr>
            <w:tcW w:w="951" w:type="pct"/>
          </w:tcPr>
          <w:p w14:paraId="5EAE96AE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Annualized Return</w:t>
            </w:r>
          </w:p>
        </w:tc>
        <w:tc>
          <w:tcPr>
            <w:tcW w:w="1047" w:type="pct"/>
          </w:tcPr>
          <w:p w14:paraId="6AD77CCE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Annualized Volatility</w:t>
            </w:r>
          </w:p>
        </w:tc>
        <w:tc>
          <w:tcPr>
            <w:tcW w:w="824" w:type="pct"/>
          </w:tcPr>
          <w:p w14:paraId="67DBE4BE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Max Drawdown</w:t>
            </w:r>
          </w:p>
        </w:tc>
        <w:tc>
          <w:tcPr>
            <w:tcW w:w="932" w:type="pct"/>
          </w:tcPr>
          <w:p w14:paraId="79E33B3D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Return / Volatility</w:t>
            </w:r>
          </w:p>
        </w:tc>
      </w:tr>
      <w:tr w:rsidR="00BC270A" w:rsidRPr="00AD028A" w14:paraId="06B84BB3" w14:textId="77777777" w:rsidTr="00AD028A">
        <w:tc>
          <w:tcPr>
            <w:tcW w:w="1247" w:type="pct"/>
          </w:tcPr>
          <w:p w14:paraId="3792BBA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 xml:space="preserve">Balanced </w:t>
            </w:r>
            <w:proofErr w:type="gramStart"/>
            <w:r w:rsidRPr="00AD028A">
              <w:rPr>
                <w:rFonts w:ascii="Garamond" w:hAnsi="Garamond"/>
                <w:sz w:val="18"/>
                <w:szCs w:val="18"/>
              </w:rPr>
              <w:t>Multi-Asset</w:t>
            </w:r>
            <w:proofErr w:type="gramEnd"/>
          </w:p>
        </w:tc>
        <w:tc>
          <w:tcPr>
            <w:tcW w:w="951" w:type="pct"/>
          </w:tcPr>
          <w:p w14:paraId="1335DD12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44.13%</w:t>
            </w:r>
          </w:p>
        </w:tc>
        <w:tc>
          <w:tcPr>
            <w:tcW w:w="1047" w:type="pct"/>
          </w:tcPr>
          <w:p w14:paraId="146EC87E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12.41%</w:t>
            </w:r>
          </w:p>
        </w:tc>
        <w:tc>
          <w:tcPr>
            <w:tcW w:w="824" w:type="pct"/>
          </w:tcPr>
          <w:p w14:paraId="790E522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-7.03%</w:t>
            </w:r>
          </w:p>
        </w:tc>
        <w:tc>
          <w:tcPr>
            <w:tcW w:w="932" w:type="pct"/>
          </w:tcPr>
          <w:p w14:paraId="35728DD7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3.56</w:t>
            </w:r>
          </w:p>
        </w:tc>
      </w:tr>
      <w:tr w:rsidR="00BC270A" w:rsidRPr="00AD028A" w14:paraId="27407B6D" w14:textId="77777777" w:rsidTr="00AD028A">
        <w:tc>
          <w:tcPr>
            <w:tcW w:w="1247" w:type="pct"/>
          </w:tcPr>
          <w:p w14:paraId="673CB64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Conservative / Pension-like</w:t>
            </w:r>
          </w:p>
        </w:tc>
        <w:tc>
          <w:tcPr>
            <w:tcW w:w="951" w:type="pct"/>
          </w:tcPr>
          <w:p w14:paraId="1F2A31C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41.32%</w:t>
            </w:r>
          </w:p>
        </w:tc>
        <w:tc>
          <w:tcPr>
            <w:tcW w:w="1047" w:type="pct"/>
          </w:tcPr>
          <w:p w14:paraId="30C4E45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8.29%</w:t>
            </w:r>
          </w:p>
        </w:tc>
        <w:tc>
          <w:tcPr>
            <w:tcW w:w="824" w:type="pct"/>
          </w:tcPr>
          <w:p w14:paraId="0C7945F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-5.16%</w:t>
            </w:r>
          </w:p>
        </w:tc>
        <w:tc>
          <w:tcPr>
            <w:tcW w:w="932" w:type="pct"/>
          </w:tcPr>
          <w:p w14:paraId="237DAC1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4.98</w:t>
            </w:r>
          </w:p>
        </w:tc>
      </w:tr>
      <w:tr w:rsidR="00BC270A" w:rsidRPr="00AD028A" w14:paraId="292660AF" w14:textId="77777777" w:rsidTr="00AD028A">
        <w:tc>
          <w:tcPr>
            <w:tcW w:w="1247" w:type="pct"/>
          </w:tcPr>
          <w:p w14:paraId="6FCBC27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FX &amp; Gold Hedge Tilt</w:t>
            </w:r>
          </w:p>
        </w:tc>
        <w:tc>
          <w:tcPr>
            <w:tcW w:w="951" w:type="pct"/>
          </w:tcPr>
          <w:p w14:paraId="76F1109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46.97%</w:t>
            </w:r>
          </w:p>
        </w:tc>
        <w:tc>
          <w:tcPr>
            <w:tcW w:w="1047" w:type="pct"/>
          </w:tcPr>
          <w:p w14:paraId="191699A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10.70%</w:t>
            </w:r>
          </w:p>
        </w:tc>
        <w:tc>
          <w:tcPr>
            <w:tcW w:w="824" w:type="pct"/>
          </w:tcPr>
          <w:p w14:paraId="1312181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-5.94%</w:t>
            </w:r>
          </w:p>
        </w:tc>
        <w:tc>
          <w:tcPr>
            <w:tcW w:w="932" w:type="pct"/>
          </w:tcPr>
          <w:p w14:paraId="38337543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4.39</w:t>
            </w:r>
          </w:p>
        </w:tc>
      </w:tr>
    </w:tbl>
    <w:p w14:paraId="15FE872B" w14:textId="77777777" w:rsidR="00F9708B" w:rsidRDefault="00F9708B" w:rsidP="00B5298D">
      <w:pPr>
        <w:rPr>
          <w:rFonts w:ascii="Garamond" w:hAnsi="Garamond"/>
          <w:b/>
          <w:bCs/>
          <w:iCs/>
          <w:szCs w:val="21"/>
        </w:rPr>
      </w:pPr>
      <w:r>
        <w:rPr>
          <w:rFonts w:ascii="Garamond" w:hAnsi="Garamond"/>
          <w:b/>
          <w:bCs/>
          <w:iCs/>
          <w:szCs w:val="21"/>
        </w:rPr>
        <w:br/>
      </w:r>
    </w:p>
    <w:p w14:paraId="33C055D2" w14:textId="77777777" w:rsidR="00F9708B" w:rsidRDefault="00F9708B">
      <w:pPr>
        <w:rPr>
          <w:rFonts w:ascii="Garamond" w:hAnsi="Garamond"/>
          <w:b/>
          <w:bCs/>
          <w:iCs/>
          <w:szCs w:val="21"/>
        </w:rPr>
      </w:pPr>
      <w:r>
        <w:rPr>
          <w:rFonts w:ascii="Garamond" w:hAnsi="Garamond"/>
          <w:b/>
          <w:bCs/>
          <w:iCs/>
          <w:szCs w:val="21"/>
        </w:rPr>
        <w:br w:type="page"/>
      </w:r>
    </w:p>
    <w:p w14:paraId="087E228E" w14:textId="609448F9" w:rsidR="00BC270A" w:rsidRPr="00B5298D" w:rsidRDefault="00000000" w:rsidP="00B5298D">
      <w:pPr>
        <w:rPr>
          <w:rFonts w:ascii="Garamond" w:hAnsi="Garamond"/>
          <w:b/>
          <w:bCs/>
          <w:iCs/>
          <w:szCs w:val="21"/>
        </w:rPr>
      </w:pPr>
      <w:r w:rsidRPr="00B5298D">
        <w:rPr>
          <w:rFonts w:ascii="Garamond" w:hAnsi="Garamond"/>
          <w:b/>
          <w:bCs/>
          <w:iCs/>
          <w:szCs w:val="21"/>
        </w:rPr>
        <w:lastRenderedPageBreak/>
        <w:t>Figure 2. Model portfolio performance indexed to 100.</w:t>
      </w:r>
    </w:p>
    <w:p w14:paraId="503DB5FD" w14:textId="70C0B46C" w:rsidR="00B5298D" w:rsidRPr="00B5298D" w:rsidRDefault="00B5298D" w:rsidP="00B5298D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2D11F77E" wp14:editId="60306D30">
            <wp:extent cx="4392000" cy="2340000"/>
            <wp:effectExtent l="0" t="0" r="2540" b="0"/>
            <wp:docPr id="174328675" name="Resi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675" name="Resim 1743286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11D" w14:textId="77777777" w:rsidR="00BC270A" w:rsidRPr="00B5298D" w:rsidRDefault="00000000" w:rsidP="00B5298D">
      <w:pPr>
        <w:rPr>
          <w:rFonts w:ascii="Garamond" w:hAnsi="Garamond"/>
          <w:b/>
          <w:bCs/>
          <w:iCs/>
          <w:szCs w:val="21"/>
        </w:rPr>
      </w:pPr>
      <w:r w:rsidRPr="00B5298D">
        <w:rPr>
          <w:rFonts w:ascii="Garamond" w:hAnsi="Garamond"/>
          <w:b/>
          <w:bCs/>
          <w:iCs/>
          <w:szCs w:val="21"/>
        </w:rPr>
        <w:t>Figure 3. Portfolio drawdowns.</w:t>
      </w:r>
    </w:p>
    <w:p w14:paraId="3FD9D644" w14:textId="190465AC" w:rsidR="002F0BCF" w:rsidRPr="002F0BCF" w:rsidRDefault="00B5298D" w:rsidP="002F0BCF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7CB73745" wp14:editId="4FBE4177">
            <wp:extent cx="4392000" cy="2340000"/>
            <wp:effectExtent l="0" t="0" r="2540" b="0"/>
            <wp:docPr id="840680210" name="Resi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0210" name="Resim 840680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4078" w14:textId="798AB338" w:rsidR="00BC270A" w:rsidRDefault="00000000" w:rsidP="00B5298D">
      <w:pPr>
        <w:rPr>
          <w:rFonts w:ascii="Garamond" w:hAnsi="Garamond"/>
          <w:b/>
          <w:bCs/>
          <w:iCs/>
          <w:szCs w:val="21"/>
        </w:rPr>
      </w:pPr>
      <w:r w:rsidRPr="00B5298D">
        <w:rPr>
          <w:rFonts w:ascii="Garamond" w:hAnsi="Garamond"/>
          <w:b/>
          <w:bCs/>
          <w:iCs/>
          <w:szCs w:val="21"/>
        </w:rPr>
        <w:t>Figure 4. Risk-return map for assets and model portfolios.</w:t>
      </w:r>
    </w:p>
    <w:p w14:paraId="1B6C3EAF" w14:textId="72FB4D34" w:rsidR="00B5298D" w:rsidRPr="00B5298D" w:rsidRDefault="00B5298D" w:rsidP="00B5298D">
      <w:pPr>
        <w:jc w:val="center"/>
        <w:rPr>
          <w:rFonts w:ascii="Garamond" w:hAnsi="Garamond"/>
          <w:b/>
          <w:bCs/>
          <w:iCs/>
          <w:szCs w:val="21"/>
        </w:rPr>
      </w:pPr>
      <w:r>
        <w:rPr>
          <w:rFonts w:ascii="Garamond" w:hAnsi="Garamond"/>
          <w:b/>
          <w:bCs/>
          <w:iCs/>
          <w:noProof/>
          <w:szCs w:val="21"/>
        </w:rPr>
        <w:drawing>
          <wp:inline distT="0" distB="0" distL="0" distR="0" wp14:anchorId="2DCDB09D" wp14:editId="1F088283">
            <wp:extent cx="4392000" cy="2340000"/>
            <wp:effectExtent l="0" t="0" r="2540" b="0"/>
            <wp:docPr id="499884974" name="Resi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4974" name="Resim 4998849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7834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lastRenderedPageBreak/>
        <w:t>6. Scenario and Stress Testing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3070"/>
        <w:gridCol w:w="2144"/>
        <w:gridCol w:w="2692"/>
        <w:gridCol w:w="2246"/>
      </w:tblGrid>
      <w:tr w:rsidR="00BC270A" w:rsidRPr="00AD028A" w14:paraId="440CFC25" w14:textId="77777777" w:rsidTr="00AD028A">
        <w:tc>
          <w:tcPr>
            <w:tcW w:w="1512" w:type="pct"/>
          </w:tcPr>
          <w:p w14:paraId="3D8B57DB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056" w:type="pct"/>
          </w:tcPr>
          <w:p w14:paraId="25B634DE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 xml:space="preserve">Balanced </w:t>
            </w:r>
            <w:proofErr w:type="gramStart"/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Multi-Asset</w:t>
            </w:r>
            <w:proofErr w:type="gramEnd"/>
          </w:p>
        </w:tc>
        <w:tc>
          <w:tcPr>
            <w:tcW w:w="1326" w:type="pct"/>
          </w:tcPr>
          <w:p w14:paraId="5A16E6FD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Conservative / Pension-like</w:t>
            </w:r>
          </w:p>
        </w:tc>
        <w:tc>
          <w:tcPr>
            <w:tcW w:w="1106" w:type="pct"/>
          </w:tcPr>
          <w:p w14:paraId="3BA8568C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FX &amp; Gold Hedge Tilt</w:t>
            </w:r>
          </w:p>
        </w:tc>
      </w:tr>
      <w:tr w:rsidR="00BC270A" w:rsidRPr="00AD028A" w14:paraId="7F9F0DE1" w14:textId="77777777" w:rsidTr="00AD028A">
        <w:tc>
          <w:tcPr>
            <w:tcW w:w="1512" w:type="pct"/>
          </w:tcPr>
          <w:p w14:paraId="4131F5A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Base Case</w:t>
            </w:r>
          </w:p>
        </w:tc>
        <w:tc>
          <w:tcPr>
            <w:tcW w:w="1056" w:type="pct"/>
          </w:tcPr>
          <w:p w14:paraId="34A8E15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42.64%</w:t>
            </w:r>
          </w:p>
        </w:tc>
        <w:tc>
          <w:tcPr>
            <w:tcW w:w="1326" w:type="pct"/>
          </w:tcPr>
          <w:p w14:paraId="4DD9241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40.40%</w:t>
            </w:r>
          </w:p>
        </w:tc>
        <w:tc>
          <w:tcPr>
            <w:tcW w:w="1106" w:type="pct"/>
          </w:tcPr>
          <w:p w14:paraId="1E495DC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45.84%</w:t>
            </w:r>
          </w:p>
        </w:tc>
      </w:tr>
      <w:tr w:rsidR="00BC270A" w:rsidRPr="00AD028A" w14:paraId="26A83868" w14:textId="77777777" w:rsidTr="00AD028A">
        <w:tc>
          <w:tcPr>
            <w:tcW w:w="1512" w:type="pct"/>
          </w:tcPr>
          <w:p w14:paraId="13E45D3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TRY Depreciation Shock</w:t>
            </w:r>
          </w:p>
        </w:tc>
        <w:tc>
          <w:tcPr>
            <w:tcW w:w="1056" w:type="pct"/>
          </w:tcPr>
          <w:p w14:paraId="3AD9A13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8.15%</w:t>
            </w:r>
          </w:p>
        </w:tc>
        <w:tc>
          <w:tcPr>
            <w:tcW w:w="1326" w:type="pct"/>
          </w:tcPr>
          <w:p w14:paraId="4A0B5DD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6.20%</w:t>
            </w:r>
          </w:p>
        </w:tc>
        <w:tc>
          <w:tcPr>
            <w:tcW w:w="1106" w:type="pct"/>
          </w:tcPr>
          <w:p w14:paraId="311C52F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11.55%</w:t>
            </w:r>
          </w:p>
        </w:tc>
      </w:tr>
      <w:tr w:rsidR="00BC270A" w:rsidRPr="00AD028A" w14:paraId="69076143" w14:textId="77777777" w:rsidTr="00AD028A">
        <w:tc>
          <w:tcPr>
            <w:tcW w:w="1512" w:type="pct"/>
          </w:tcPr>
          <w:p w14:paraId="1E88C3B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Equity Drawdown Shock</w:t>
            </w:r>
          </w:p>
        </w:tc>
        <w:tc>
          <w:tcPr>
            <w:tcW w:w="1056" w:type="pct"/>
          </w:tcPr>
          <w:p w14:paraId="7FC9772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-5.05%</w:t>
            </w:r>
          </w:p>
        </w:tc>
        <w:tc>
          <w:tcPr>
            <w:tcW w:w="1326" w:type="pct"/>
          </w:tcPr>
          <w:p w14:paraId="6EED296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-1.30%</w:t>
            </w:r>
          </w:p>
        </w:tc>
        <w:tc>
          <w:tcPr>
            <w:tcW w:w="1106" w:type="pct"/>
          </w:tcPr>
          <w:p w14:paraId="1B5A0F3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-0.95%</w:t>
            </w:r>
          </w:p>
        </w:tc>
      </w:tr>
      <w:tr w:rsidR="00BC270A" w:rsidRPr="00AD028A" w14:paraId="7A58AFA6" w14:textId="77777777" w:rsidTr="00AD028A">
        <w:tc>
          <w:tcPr>
            <w:tcW w:w="1512" w:type="pct"/>
          </w:tcPr>
          <w:p w14:paraId="5B2B39D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Rate-Sensitive Fixed Income Stress</w:t>
            </w:r>
          </w:p>
        </w:tc>
        <w:tc>
          <w:tcPr>
            <w:tcW w:w="1056" w:type="pct"/>
          </w:tcPr>
          <w:p w14:paraId="245668D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-1.40%</w:t>
            </w:r>
          </w:p>
        </w:tc>
        <w:tc>
          <w:tcPr>
            <w:tcW w:w="1326" w:type="pct"/>
          </w:tcPr>
          <w:p w14:paraId="2200A60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-1.90%</w:t>
            </w:r>
          </w:p>
        </w:tc>
        <w:tc>
          <w:tcPr>
            <w:tcW w:w="1106" w:type="pct"/>
          </w:tcPr>
          <w:p w14:paraId="0DEDE43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1.80%</w:t>
            </w:r>
          </w:p>
        </w:tc>
      </w:tr>
      <w:tr w:rsidR="00BC270A" w:rsidRPr="00AD028A" w14:paraId="7420F0BF" w14:textId="77777777" w:rsidTr="00AD028A">
        <w:tc>
          <w:tcPr>
            <w:tcW w:w="1512" w:type="pct"/>
          </w:tcPr>
          <w:p w14:paraId="375770C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Risk-On / Disinflation</w:t>
            </w:r>
          </w:p>
        </w:tc>
        <w:tc>
          <w:tcPr>
            <w:tcW w:w="1056" w:type="pct"/>
          </w:tcPr>
          <w:p w14:paraId="308F98A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8.10%</w:t>
            </w:r>
          </w:p>
        </w:tc>
        <w:tc>
          <w:tcPr>
            <w:tcW w:w="1326" w:type="pct"/>
          </w:tcPr>
          <w:p w14:paraId="0FDF33C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7.15%</w:t>
            </w:r>
          </w:p>
        </w:tc>
        <w:tc>
          <w:tcPr>
            <w:tcW w:w="1106" w:type="pct"/>
          </w:tcPr>
          <w:p w14:paraId="00D12FB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5.20%</w:t>
            </w:r>
          </w:p>
        </w:tc>
      </w:tr>
    </w:tbl>
    <w:p w14:paraId="353C38C0" w14:textId="0FC41FCD" w:rsidR="00BC270A" w:rsidRDefault="00ED2CAC" w:rsidP="00B5298D">
      <w:pPr>
        <w:rPr>
          <w:rFonts w:ascii="Garamond" w:hAnsi="Garamond"/>
          <w:b/>
          <w:bCs/>
          <w:iCs/>
          <w:szCs w:val="21"/>
        </w:rPr>
      </w:pPr>
      <w:r>
        <w:rPr>
          <w:rFonts w:ascii="Garamond" w:hAnsi="Garamond"/>
          <w:b/>
          <w:bCs/>
          <w:iCs/>
          <w:szCs w:val="21"/>
        </w:rPr>
        <w:br/>
      </w:r>
      <w:r w:rsidRPr="00B5298D">
        <w:rPr>
          <w:rFonts w:ascii="Garamond" w:hAnsi="Garamond"/>
          <w:b/>
          <w:bCs/>
          <w:iCs/>
          <w:szCs w:val="21"/>
        </w:rPr>
        <w:t>Figure 5. Portfolio impact under alternative scenarios.</w:t>
      </w:r>
    </w:p>
    <w:p w14:paraId="02D94F25" w14:textId="42FC55C9" w:rsidR="00B5298D" w:rsidRPr="00B5298D" w:rsidRDefault="00B5298D" w:rsidP="002F0BCF">
      <w:pPr>
        <w:jc w:val="center"/>
        <w:rPr>
          <w:rFonts w:ascii="Garamond" w:hAnsi="Garamond"/>
          <w:b/>
          <w:bCs/>
          <w:iCs/>
          <w:szCs w:val="21"/>
        </w:rPr>
      </w:pPr>
      <w:r>
        <w:rPr>
          <w:rFonts w:ascii="Garamond" w:hAnsi="Garamond"/>
          <w:b/>
          <w:bCs/>
          <w:iCs/>
          <w:noProof/>
          <w:szCs w:val="21"/>
        </w:rPr>
        <w:drawing>
          <wp:inline distT="0" distB="0" distL="0" distR="0" wp14:anchorId="6573E82B" wp14:editId="53858444">
            <wp:extent cx="4392000" cy="2340000"/>
            <wp:effectExtent l="0" t="0" r="2540" b="0"/>
            <wp:docPr id="1677581977" name="Resi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1977" name="Resim 16775819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034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Under a TRY Depreciation Shock, FX &amp; Gold Hedge Tilt performs best at 11.55%. This is the most intuitive outcome and validates the portfolio design logic.</w:t>
      </w:r>
    </w:p>
    <w:p w14:paraId="31C6BEA8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Under an Equity Drawdown Shock, Conservative / Pension-like proves most defensive with an estimated return of -1.30% versus -5.05% for the Balanced portfolio.</w:t>
      </w:r>
    </w:p>
    <w:p w14:paraId="308CFEDC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Under a Rate-Sensitive Fixed Income Stress scenario, FX &amp; Gold Hedge Tilt remains positive at 1.80% thanks to higher FX and gold exposure. In a Risk-On / Disinflation environment, the Balanced allocation performs best (8.10%).</w:t>
      </w:r>
    </w:p>
    <w:p w14:paraId="2C1A10DE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7. Downside Risk: Historical VaR and Expected Shortfall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3910"/>
        <w:gridCol w:w="1661"/>
        <w:gridCol w:w="1460"/>
        <w:gridCol w:w="1661"/>
        <w:gridCol w:w="1460"/>
      </w:tblGrid>
      <w:tr w:rsidR="00BC270A" w:rsidRPr="00AD028A" w14:paraId="31D40C48" w14:textId="77777777" w:rsidTr="00AD028A">
        <w:tc>
          <w:tcPr>
            <w:tcW w:w="1925" w:type="pct"/>
          </w:tcPr>
          <w:p w14:paraId="7F05F168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Portfolio</w:t>
            </w:r>
          </w:p>
        </w:tc>
        <w:tc>
          <w:tcPr>
            <w:tcW w:w="818" w:type="pct"/>
          </w:tcPr>
          <w:p w14:paraId="220B1E0A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VaR 95%</w:t>
            </w:r>
          </w:p>
        </w:tc>
        <w:tc>
          <w:tcPr>
            <w:tcW w:w="719" w:type="pct"/>
          </w:tcPr>
          <w:p w14:paraId="1F8C37D5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ES 95%</w:t>
            </w:r>
          </w:p>
        </w:tc>
        <w:tc>
          <w:tcPr>
            <w:tcW w:w="818" w:type="pct"/>
          </w:tcPr>
          <w:p w14:paraId="6146A3D2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VaR 99%</w:t>
            </w:r>
          </w:p>
        </w:tc>
        <w:tc>
          <w:tcPr>
            <w:tcW w:w="719" w:type="pct"/>
          </w:tcPr>
          <w:p w14:paraId="6E078707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ES 99%</w:t>
            </w:r>
          </w:p>
        </w:tc>
      </w:tr>
      <w:tr w:rsidR="00BC270A" w:rsidRPr="00AD028A" w14:paraId="57A8B257" w14:textId="77777777" w:rsidTr="00AD028A">
        <w:tc>
          <w:tcPr>
            <w:tcW w:w="1925" w:type="pct"/>
          </w:tcPr>
          <w:p w14:paraId="2EE7FFD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 xml:space="preserve">Balanced </w:t>
            </w:r>
            <w:proofErr w:type="gramStart"/>
            <w:r w:rsidRPr="00AD028A">
              <w:rPr>
                <w:rFonts w:ascii="Garamond" w:hAnsi="Garamond"/>
                <w:sz w:val="18"/>
                <w:szCs w:val="18"/>
              </w:rPr>
              <w:t>Multi-Asset</w:t>
            </w:r>
            <w:proofErr w:type="gramEnd"/>
          </w:p>
        </w:tc>
        <w:tc>
          <w:tcPr>
            <w:tcW w:w="818" w:type="pct"/>
          </w:tcPr>
          <w:p w14:paraId="154EEB92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-0.87%</w:t>
            </w:r>
          </w:p>
        </w:tc>
        <w:tc>
          <w:tcPr>
            <w:tcW w:w="719" w:type="pct"/>
          </w:tcPr>
          <w:p w14:paraId="0FAFFB5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-1.37%</w:t>
            </w:r>
          </w:p>
        </w:tc>
        <w:tc>
          <w:tcPr>
            <w:tcW w:w="818" w:type="pct"/>
          </w:tcPr>
          <w:p w14:paraId="6D48D32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-1.64%</w:t>
            </w:r>
          </w:p>
        </w:tc>
        <w:tc>
          <w:tcPr>
            <w:tcW w:w="719" w:type="pct"/>
          </w:tcPr>
          <w:p w14:paraId="1DDA382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-2.45%</w:t>
            </w:r>
          </w:p>
        </w:tc>
      </w:tr>
      <w:tr w:rsidR="00BC270A" w:rsidRPr="00AD028A" w14:paraId="4B3D27D2" w14:textId="77777777" w:rsidTr="00AD028A">
        <w:tc>
          <w:tcPr>
            <w:tcW w:w="1925" w:type="pct"/>
          </w:tcPr>
          <w:p w14:paraId="7DCE97B5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Conservative / Pension-like</w:t>
            </w:r>
          </w:p>
        </w:tc>
        <w:tc>
          <w:tcPr>
            <w:tcW w:w="818" w:type="pct"/>
          </w:tcPr>
          <w:p w14:paraId="799EEE5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-0.58%</w:t>
            </w:r>
          </w:p>
        </w:tc>
        <w:tc>
          <w:tcPr>
            <w:tcW w:w="719" w:type="pct"/>
          </w:tcPr>
          <w:p w14:paraId="612B707A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-0.92%</w:t>
            </w:r>
          </w:p>
        </w:tc>
        <w:tc>
          <w:tcPr>
            <w:tcW w:w="818" w:type="pct"/>
          </w:tcPr>
          <w:p w14:paraId="5A86DA8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-1.09%</w:t>
            </w:r>
          </w:p>
        </w:tc>
        <w:tc>
          <w:tcPr>
            <w:tcW w:w="719" w:type="pct"/>
          </w:tcPr>
          <w:p w14:paraId="027B321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-1.65%</w:t>
            </w:r>
          </w:p>
        </w:tc>
      </w:tr>
      <w:tr w:rsidR="00BC270A" w:rsidRPr="00AD028A" w14:paraId="40EF57D9" w14:textId="77777777" w:rsidTr="00AD028A">
        <w:tc>
          <w:tcPr>
            <w:tcW w:w="1925" w:type="pct"/>
          </w:tcPr>
          <w:p w14:paraId="042D751E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FX &amp; Gold Hedge Tilt</w:t>
            </w:r>
          </w:p>
        </w:tc>
        <w:tc>
          <w:tcPr>
            <w:tcW w:w="818" w:type="pct"/>
          </w:tcPr>
          <w:p w14:paraId="5EF2B18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-0.74%</w:t>
            </w:r>
          </w:p>
        </w:tc>
        <w:tc>
          <w:tcPr>
            <w:tcW w:w="719" w:type="pct"/>
          </w:tcPr>
          <w:p w14:paraId="1F905EC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-1.21%</w:t>
            </w:r>
          </w:p>
        </w:tc>
        <w:tc>
          <w:tcPr>
            <w:tcW w:w="818" w:type="pct"/>
          </w:tcPr>
          <w:p w14:paraId="0090EBF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-1.35%</w:t>
            </w:r>
          </w:p>
        </w:tc>
        <w:tc>
          <w:tcPr>
            <w:tcW w:w="719" w:type="pct"/>
          </w:tcPr>
          <w:p w14:paraId="52B9E76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-2.17%</w:t>
            </w:r>
          </w:p>
        </w:tc>
      </w:tr>
    </w:tbl>
    <w:p w14:paraId="3317EDD1" w14:textId="64A79DA7" w:rsidR="00ED2CAC" w:rsidRPr="00AD028A" w:rsidRDefault="00ED2CAC" w:rsidP="00DD2804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</w:rPr>
        <w:br/>
      </w:r>
      <w:r w:rsidR="00A56D56" w:rsidRPr="00AD028A">
        <w:rPr>
          <w:rFonts w:ascii="Garamond" w:hAnsi="Garamond"/>
          <w:sz w:val="20"/>
          <w:szCs w:val="20"/>
        </w:rPr>
        <w:t>Historical downside risk metrics confirm the same ranking seen in volatility and drawdown analysis. The Conservative / Pension-like portfolio has the smallest tail-loss estimates, while the Balanced portfolio is the most exposed of the three at both the 95% and 99% confidence levels. The FX &amp; Gold Hedge Tilt sits between the two.</w:t>
      </w:r>
    </w:p>
    <w:p w14:paraId="20A13CD6" w14:textId="060C93B2" w:rsidR="00A56D56" w:rsidRPr="00ED2CAC" w:rsidRDefault="00ED2CAC" w:rsidP="00A56D56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50D594F9" w14:textId="6642FE05" w:rsidR="00BC270A" w:rsidRPr="00A56D56" w:rsidRDefault="00000000" w:rsidP="00A56D56">
      <w:pPr>
        <w:rPr>
          <w:rFonts w:ascii="Garamond" w:hAnsi="Garamond"/>
          <w:b/>
          <w:bCs/>
          <w:iCs/>
          <w:szCs w:val="21"/>
        </w:rPr>
      </w:pPr>
      <w:r w:rsidRPr="00A56D56">
        <w:rPr>
          <w:rFonts w:ascii="Garamond" w:hAnsi="Garamond"/>
          <w:b/>
          <w:bCs/>
          <w:iCs/>
          <w:szCs w:val="21"/>
        </w:rPr>
        <w:lastRenderedPageBreak/>
        <w:t>Figure 6. Historical VaR and Expected Shortfall for model portfolios</w:t>
      </w:r>
      <w:r w:rsidR="00A56D56">
        <w:rPr>
          <w:rFonts w:ascii="Garamond" w:hAnsi="Garamond"/>
          <w:b/>
          <w:bCs/>
          <w:iCs/>
          <w:szCs w:val="21"/>
        </w:rPr>
        <w:t>.</w:t>
      </w:r>
    </w:p>
    <w:p w14:paraId="60BF8240" w14:textId="48FFE13A" w:rsidR="00A56D56" w:rsidRPr="00B5298D" w:rsidRDefault="00A56D56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1B704224" wp14:editId="7F806A30">
            <wp:extent cx="4392000" cy="2340000"/>
            <wp:effectExtent l="0" t="0" r="2540" b="0"/>
            <wp:docPr id="116537710" name="Resim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710" name="Resim 1165377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AA1F" w14:textId="541A7E5E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8. Dynamic Risk Monitoring</w:t>
      </w:r>
    </w:p>
    <w:p w14:paraId="408D48BE" w14:textId="5AE30180" w:rsidR="00BC270A" w:rsidRPr="00A56D56" w:rsidRDefault="00000000" w:rsidP="00A56D56">
      <w:pPr>
        <w:rPr>
          <w:rFonts w:ascii="Garamond" w:hAnsi="Garamond"/>
          <w:b/>
          <w:bCs/>
          <w:iCs/>
          <w:szCs w:val="21"/>
        </w:rPr>
      </w:pPr>
      <w:r w:rsidRPr="00A56D56">
        <w:rPr>
          <w:rFonts w:ascii="Garamond" w:hAnsi="Garamond"/>
          <w:b/>
          <w:bCs/>
          <w:iCs/>
          <w:szCs w:val="21"/>
        </w:rPr>
        <w:t>Figure 7. 60-day annualized rolling volatility of model portfolios</w:t>
      </w:r>
      <w:r w:rsidR="00A56D56">
        <w:rPr>
          <w:rFonts w:ascii="Garamond" w:hAnsi="Garamond"/>
          <w:b/>
          <w:bCs/>
          <w:iCs/>
          <w:szCs w:val="21"/>
        </w:rPr>
        <w:t>.</w:t>
      </w:r>
    </w:p>
    <w:p w14:paraId="072C86EE" w14:textId="697B4810" w:rsidR="00BC270A" w:rsidRPr="00B5298D" w:rsidRDefault="00A56D56" w:rsidP="00A56D56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0F8C8F0F" wp14:editId="66679C5F">
            <wp:extent cx="4392000" cy="2340000"/>
            <wp:effectExtent l="0" t="0" r="2540" b="0"/>
            <wp:docPr id="1163482262" name="Resim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2262" name="Resim 11634822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0D22" w14:textId="77777777" w:rsidR="00BC270A" w:rsidRPr="00A56D56" w:rsidRDefault="00000000" w:rsidP="00A56D56">
      <w:pPr>
        <w:rPr>
          <w:rFonts w:ascii="Garamond" w:hAnsi="Garamond"/>
          <w:b/>
          <w:bCs/>
          <w:iCs/>
          <w:szCs w:val="21"/>
        </w:rPr>
      </w:pPr>
      <w:r w:rsidRPr="00A56D56">
        <w:rPr>
          <w:rFonts w:ascii="Garamond" w:hAnsi="Garamond"/>
          <w:b/>
          <w:bCs/>
          <w:iCs/>
          <w:szCs w:val="21"/>
        </w:rPr>
        <w:t>Figure 8. 60-day rolling correlations of selected asset pairs.</w:t>
      </w:r>
    </w:p>
    <w:p w14:paraId="452A933B" w14:textId="4B7995F3" w:rsidR="00A56D56" w:rsidRPr="00B5298D" w:rsidRDefault="00A56D56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127A6D96" wp14:editId="4F200918">
            <wp:extent cx="4392000" cy="2340000"/>
            <wp:effectExtent l="0" t="0" r="2540" b="0"/>
            <wp:docPr id="550700526" name="Resim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00526" name="Resim 5507005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C5CB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lastRenderedPageBreak/>
        <w:t xml:space="preserve">Rolling volatility shows that risk is not static: even the most conservative allocation experiences periods of higher realized volatility, but these spikes remain meaningfully smaller than in the Balanced portfolio. Rolling correlations fluctuate around low-to-moderate levels, supporting the idea that combining equity, bonds, FX and gold </w:t>
      </w:r>
      <w:proofErr w:type="gramStart"/>
      <w:r w:rsidRPr="00AD028A">
        <w:rPr>
          <w:rFonts w:ascii="Garamond" w:hAnsi="Garamond"/>
          <w:sz w:val="20"/>
          <w:szCs w:val="20"/>
        </w:rPr>
        <w:t>improves</w:t>
      </w:r>
      <w:proofErr w:type="gramEnd"/>
      <w:r w:rsidRPr="00AD028A">
        <w:rPr>
          <w:rFonts w:ascii="Garamond" w:hAnsi="Garamond"/>
          <w:sz w:val="20"/>
          <w:szCs w:val="20"/>
        </w:rPr>
        <w:t xml:space="preserve"> diversification relative to concentrated exposure.</w:t>
      </w:r>
    </w:p>
    <w:p w14:paraId="6D2DBA8F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9. Illustrative Monte Carlo Simulation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2677"/>
        <w:gridCol w:w="2175"/>
        <w:gridCol w:w="1572"/>
        <w:gridCol w:w="1677"/>
        <w:gridCol w:w="2051"/>
      </w:tblGrid>
      <w:tr w:rsidR="00BC270A" w:rsidRPr="00AD028A" w14:paraId="47442320" w14:textId="77777777" w:rsidTr="00AD028A">
        <w:tc>
          <w:tcPr>
            <w:tcW w:w="1319" w:type="pct"/>
          </w:tcPr>
          <w:p w14:paraId="0E5AFA89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Portfolio</w:t>
            </w:r>
          </w:p>
        </w:tc>
        <w:tc>
          <w:tcPr>
            <w:tcW w:w="1071" w:type="pct"/>
          </w:tcPr>
          <w:p w14:paraId="534A138A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Mean Ending Value</w:t>
            </w:r>
          </w:p>
        </w:tc>
        <w:tc>
          <w:tcPr>
            <w:tcW w:w="774" w:type="pct"/>
          </w:tcPr>
          <w:p w14:paraId="5BDC70B2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5th Percentile</w:t>
            </w:r>
          </w:p>
        </w:tc>
        <w:tc>
          <w:tcPr>
            <w:tcW w:w="826" w:type="pct"/>
          </w:tcPr>
          <w:p w14:paraId="32DC3528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95th Percentile</w:t>
            </w:r>
          </w:p>
        </w:tc>
        <w:tc>
          <w:tcPr>
            <w:tcW w:w="1010" w:type="pct"/>
          </w:tcPr>
          <w:p w14:paraId="44F006DD" w14:textId="77777777" w:rsidR="00BC270A" w:rsidRPr="00AD028A" w:rsidRDefault="00000000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AD028A">
              <w:rPr>
                <w:rFonts w:ascii="Garamond" w:hAnsi="Garamond"/>
                <w:b/>
                <w:bCs/>
                <w:sz w:val="18"/>
                <w:szCs w:val="18"/>
              </w:rPr>
              <w:t>Probability of Loss</w:t>
            </w:r>
          </w:p>
        </w:tc>
      </w:tr>
      <w:tr w:rsidR="00BC270A" w:rsidRPr="00AD028A" w14:paraId="13D6BB32" w14:textId="77777777" w:rsidTr="00AD028A">
        <w:tc>
          <w:tcPr>
            <w:tcW w:w="1319" w:type="pct"/>
          </w:tcPr>
          <w:p w14:paraId="1C04707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 xml:space="preserve">Balanced </w:t>
            </w:r>
            <w:proofErr w:type="gramStart"/>
            <w:r w:rsidRPr="00AD028A">
              <w:rPr>
                <w:rFonts w:ascii="Garamond" w:hAnsi="Garamond"/>
                <w:sz w:val="18"/>
                <w:szCs w:val="18"/>
              </w:rPr>
              <w:t>Multi-Asset</w:t>
            </w:r>
            <w:proofErr w:type="gramEnd"/>
          </w:p>
        </w:tc>
        <w:tc>
          <w:tcPr>
            <w:tcW w:w="1071" w:type="pct"/>
          </w:tcPr>
          <w:p w14:paraId="715B905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145.45</w:t>
            </w:r>
          </w:p>
        </w:tc>
        <w:tc>
          <w:tcPr>
            <w:tcW w:w="774" w:type="pct"/>
          </w:tcPr>
          <w:p w14:paraId="60BE721D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118.39</w:t>
            </w:r>
          </w:p>
        </w:tc>
        <w:tc>
          <w:tcPr>
            <w:tcW w:w="826" w:type="pct"/>
          </w:tcPr>
          <w:p w14:paraId="052CA811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176.70</w:t>
            </w:r>
          </w:p>
        </w:tc>
        <w:tc>
          <w:tcPr>
            <w:tcW w:w="1010" w:type="pct"/>
          </w:tcPr>
          <w:p w14:paraId="1D384C60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0.04%</w:t>
            </w:r>
          </w:p>
        </w:tc>
      </w:tr>
      <w:tr w:rsidR="00BC270A" w:rsidRPr="00AD028A" w14:paraId="29062543" w14:textId="77777777" w:rsidTr="00AD028A">
        <w:tc>
          <w:tcPr>
            <w:tcW w:w="1319" w:type="pct"/>
          </w:tcPr>
          <w:p w14:paraId="2FD8291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Conservative / Pension-like</w:t>
            </w:r>
          </w:p>
        </w:tc>
        <w:tc>
          <w:tcPr>
            <w:tcW w:w="1071" w:type="pct"/>
          </w:tcPr>
          <w:p w14:paraId="12ADD6A4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141.87</w:t>
            </w:r>
          </w:p>
        </w:tc>
        <w:tc>
          <w:tcPr>
            <w:tcW w:w="774" w:type="pct"/>
          </w:tcPr>
          <w:p w14:paraId="320FFF4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123.11</w:t>
            </w:r>
          </w:p>
        </w:tc>
        <w:tc>
          <w:tcPr>
            <w:tcW w:w="826" w:type="pct"/>
          </w:tcPr>
          <w:p w14:paraId="2AC165B8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162.65</w:t>
            </w:r>
          </w:p>
        </w:tc>
        <w:tc>
          <w:tcPr>
            <w:tcW w:w="1010" w:type="pct"/>
          </w:tcPr>
          <w:p w14:paraId="5868014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0.02%</w:t>
            </w:r>
          </w:p>
        </w:tc>
      </w:tr>
      <w:tr w:rsidR="00BC270A" w:rsidRPr="00AD028A" w14:paraId="7D3AEC1B" w14:textId="77777777" w:rsidTr="00AD028A">
        <w:tc>
          <w:tcPr>
            <w:tcW w:w="1319" w:type="pct"/>
          </w:tcPr>
          <w:p w14:paraId="6BD049B6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FX &amp; Gold Hedge Tilt</w:t>
            </w:r>
          </w:p>
        </w:tc>
        <w:tc>
          <w:tcPr>
            <w:tcW w:w="1071" w:type="pct"/>
          </w:tcPr>
          <w:p w14:paraId="30A8CB2C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148.22</w:t>
            </w:r>
          </w:p>
        </w:tc>
        <w:tc>
          <w:tcPr>
            <w:tcW w:w="774" w:type="pct"/>
          </w:tcPr>
          <w:p w14:paraId="56871ACB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123.19</w:t>
            </w:r>
          </w:p>
        </w:tc>
        <w:tc>
          <w:tcPr>
            <w:tcW w:w="826" w:type="pct"/>
          </w:tcPr>
          <w:p w14:paraId="181BC659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176.42</w:t>
            </w:r>
          </w:p>
        </w:tc>
        <w:tc>
          <w:tcPr>
            <w:tcW w:w="1010" w:type="pct"/>
          </w:tcPr>
          <w:p w14:paraId="7C950DAF" w14:textId="77777777" w:rsidR="00BC270A" w:rsidRPr="00AD028A" w:rsidRDefault="00000000">
            <w:pPr>
              <w:rPr>
                <w:rFonts w:ascii="Garamond" w:hAnsi="Garamond"/>
                <w:sz w:val="18"/>
                <w:szCs w:val="18"/>
              </w:rPr>
            </w:pPr>
            <w:r w:rsidRPr="00AD028A">
              <w:rPr>
                <w:rFonts w:ascii="Garamond" w:hAnsi="Garamond"/>
                <w:sz w:val="18"/>
                <w:szCs w:val="18"/>
              </w:rPr>
              <w:t>0.04%</w:t>
            </w:r>
          </w:p>
        </w:tc>
      </w:tr>
    </w:tbl>
    <w:p w14:paraId="5D5845ED" w14:textId="2EF0B647" w:rsidR="00BC270A" w:rsidRDefault="00ED2CAC" w:rsidP="00ED2CAC">
      <w:pPr>
        <w:rPr>
          <w:rFonts w:ascii="Garamond" w:hAnsi="Garamond"/>
          <w:b/>
          <w:bCs/>
          <w:iCs/>
          <w:sz w:val="20"/>
          <w:szCs w:val="20"/>
        </w:rPr>
      </w:pPr>
      <w:r>
        <w:rPr>
          <w:rFonts w:ascii="Garamond" w:hAnsi="Garamond"/>
          <w:b/>
          <w:bCs/>
          <w:iCs/>
          <w:sz w:val="20"/>
          <w:szCs w:val="20"/>
        </w:rPr>
        <w:br/>
      </w:r>
      <w:r w:rsidRPr="00ED2CAC">
        <w:rPr>
          <w:rFonts w:ascii="Garamond" w:hAnsi="Garamond"/>
          <w:b/>
          <w:bCs/>
          <w:iCs/>
          <w:sz w:val="20"/>
          <w:szCs w:val="20"/>
        </w:rPr>
        <w:t>Figure 9. Illustrative Monte Carlo results over a 1-year horizon.</w:t>
      </w:r>
    </w:p>
    <w:p w14:paraId="42DE55B3" w14:textId="58F91B01" w:rsidR="00ED2CAC" w:rsidRPr="00ED2CAC" w:rsidRDefault="00ED2CAC" w:rsidP="00ED2CAC">
      <w:pPr>
        <w:jc w:val="center"/>
        <w:rPr>
          <w:rFonts w:ascii="Garamond" w:hAnsi="Garamond"/>
          <w:b/>
          <w:bCs/>
          <w:iCs/>
          <w:sz w:val="20"/>
          <w:szCs w:val="20"/>
        </w:rPr>
      </w:pPr>
      <w:r>
        <w:rPr>
          <w:rFonts w:ascii="Garamond" w:hAnsi="Garamond"/>
          <w:b/>
          <w:bCs/>
          <w:iCs/>
          <w:noProof/>
          <w:sz w:val="20"/>
          <w:szCs w:val="20"/>
        </w:rPr>
        <w:drawing>
          <wp:inline distT="0" distB="0" distL="0" distR="0" wp14:anchorId="678DE54E" wp14:editId="712E26A9">
            <wp:extent cx="4392000" cy="2340000"/>
            <wp:effectExtent l="0" t="0" r="2540" b="0"/>
            <wp:docPr id="22552617" name="Resim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2617" name="Resim 225526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F50" w14:textId="77777777" w:rsidR="00BC270A" w:rsidRPr="00AD028A" w:rsidRDefault="00000000" w:rsidP="00DD2804">
      <w:pPr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The simulation, based on historical daily mean and volatility and 5,000 random paths, indicates a favorable medium-term profile for all three portfolios. FX &amp; Gold Hedge Tilt shows the highest mean ending value, while Conservative / Pension-like has the strongest lower-tail protection with the highest 5th percentile outcome. Probability of loss is very low across all three portfolios, but lowest for the more defensive allocations.</w:t>
      </w:r>
    </w:p>
    <w:p w14:paraId="19DE1E37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10. Investment Implications</w:t>
      </w:r>
    </w:p>
    <w:p w14:paraId="7939E8C3" w14:textId="491818FF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For a Türkiye-focused multi-asset framework, diversification across equity, fixed income, FX</w:t>
      </w:r>
      <w:r w:rsidR="00DD2804" w:rsidRPr="00AD028A">
        <w:rPr>
          <w:rFonts w:ascii="Garamond" w:hAnsi="Garamond"/>
          <w:sz w:val="20"/>
          <w:szCs w:val="20"/>
        </w:rPr>
        <w:t>,</w:t>
      </w:r>
      <w:r w:rsidRPr="00AD028A">
        <w:rPr>
          <w:rFonts w:ascii="Garamond" w:hAnsi="Garamond"/>
          <w:sz w:val="20"/>
          <w:szCs w:val="20"/>
        </w:rPr>
        <w:t xml:space="preserve"> and gold materially improves portfolio stability relative to holding a single risk asset.</w:t>
      </w:r>
    </w:p>
    <w:p w14:paraId="3DA3774D" w14:textId="3C83BB70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A conservative allocation appears more appropriate when capital preservation, smoother performance</w:t>
      </w:r>
      <w:r w:rsidR="00DD2804" w:rsidRPr="00AD028A">
        <w:rPr>
          <w:rFonts w:ascii="Garamond" w:hAnsi="Garamond"/>
          <w:sz w:val="20"/>
          <w:szCs w:val="20"/>
        </w:rPr>
        <w:t>,</w:t>
      </w:r>
      <w:r w:rsidRPr="00AD028A">
        <w:rPr>
          <w:rFonts w:ascii="Garamond" w:hAnsi="Garamond"/>
          <w:sz w:val="20"/>
          <w:szCs w:val="20"/>
        </w:rPr>
        <w:t xml:space="preserve"> and lower tail risk are the priority.</w:t>
      </w:r>
    </w:p>
    <w:p w14:paraId="4324A58E" w14:textId="300EF2B4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 xml:space="preserve">A hedge-oriented allocation is more suitable when the investment view emphasizes inflation persistence and </w:t>
      </w:r>
      <w:r w:rsidR="00DD2804" w:rsidRPr="00AD028A">
        <w:rPr>
          <w:rFonts w:ascii="Garamond" w:hAnsi="Garamond"/>
          <w:sz w:val="20"/>
          <w:szCs w:val="20"/>
        </w:rPr>
        <w:t>the risk of TRY depreciation</w:t>
      </w:r>
      <w:r w:rsidRPr="00AD028A">
        <w:rPr>
          <w:rFonts w:ascii="Garamond" w:hAnsi="Garamond"/>
          <w:sz w:val="20"/>
          <w:szCs w:val="20"/>
        </w:rPr>
        <w:t>.</w:t>
      </w:r>
    </w:p>
    <w:p w14:paraId="6FF01798" w14:textId="77777777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A balanced allocation remains attractive when the objective is to retain more equity upside while keeping risk below that of a pure equity position.</w:t>
      </w:r>
    </w:p>
    <w:p w14:paraId="68C60858" w14:textId="77777777" w:rsidR="00BC270A" w:rsidRPr="00ED2CAC" w:rsidRDefault="00000000" w:rsidP="00ED2CAC">
      <w:pPr>
        <w:pStyle w:val="Balk1"/>
        <w:spacing w:before="0"/>
        <w:rPr>
          <w:rFonts w:ascii="Garamond" w:hAnsi="Garamond"/>
          <w:color w:val="000000" w:themeColor="text1"/>
          <w:sz w:val="24"/>
          <w:szCs w:val="24"/>
        </w:rPr>
      </w:pPr>
      <w:r w:rsidRPr="00ED2CAC">
        <w:rPr>
          <w:rFonts w:ascii="Garamond" w:hAnsi="Garamond"/>
          <w:color w:val="000000" w:themeColor="text1"/>
          <w:sz w:val="24"/>
          <w:szCs w:val="24"/>
        </w:rPr>
        <w:t>11. Limitations</w:t>
      </w:r>
    </w:p>
    <w:p w14:paraId="103B07FD" w14:textId="77777777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The exercise uses a compact set of market proxies rather than investable institutional share classes or benchmark indices for each sleeve.</w:t>
      </w:r>
    </w:p>
    <w:p w14:paraId="43AE3D97" w14:textId="77777777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>Scenario analysis is intentionally stylized and should be read as sensitivity testing rather than as a formal macro forecast.</w:t>
      </w:r>
    </w:p>
    <w:p w14:paraId="0E7DAB0A" w14:textId="76133B67" w:rsidR="00BC270A" w:rsidRPr="00AD028A" w:rsidRDefault="00000000" w:rsidP="00DD2804">
      <w:pPr>
        <w:pStyle w:val="ListeMaddemi"/>
        <w:jc w:val="both"/>
        <w:rPr>
          <w:rFonts w:ascii="Garamond" w:hAnsi="Garamond"/>
          <w:sz w:val="20"/>
          <w:szCs w:val="20"/>
        </w:rPr>
      </w:pPr>
      <w:r w:rsidRPr="00AD028A">
        <w:rPr>
          <w:rFonts w:ascii="Garamond" w:hAnsi="Garamond"/>
          <w:sz w:val="20"/>
          <w:szCs w:val="20"/>
        </w:rPr>
        <w:t xml:space="preserve">The Monte Carlo section is illustrative; it relies on historical mean and volatility and does not </w:t>
      </w:r>
      <w:r w:rsidR="00DD2804" w:rsidRPr="00AD028A">
        <w:rPr>
          <w:rFonts w:ascii="Garamond" w:hAnsi="Garamond"/>
          <w:sz w:val="20"/>
          <w:szCs w:val="20"/>
        </w:rPr>
        <w:t>explicitly model regime shifts, time-varying correlations, or fat tails</w:t>
      </w:r>
      <w:r w:rsidRPr="00AD028A">
        <w:rPr>
          <w:rFonts w:ascii="Garamond" w:hAnsi="Garamond"/>
          <w:sz w:val="20"/>
          <w:szCs w:val="20"/>
        </w:rPr>
        <w:t>.</w:t>
      </w:r>
    </w:p>
    <w:sectPr w:rsidR="00BC270A" w:rsidRPr="00AD028A" w:rsidSect="00034616">
      <w:headerReference w:type="default" r:id="rId17"/>
      <w:footerReference w:type="even" r:id="rId18"/>
      <w:footerReference w:type="default" r:id="rId1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DF01" w14:textId="77777777" w:rsidR="00DD7D7C" w:rsidRDefault="00DD7D7C" w:rsidP="00503BB9">
      <w:pPr>
        <w:spacing w:after="0" w:line="240" w:lineRule="auto"/>
      </w:pPr>
      <w:r>
        <w:separator/>
      </w:r>
    </w:p>
  </w:endnote>
  <w:endnote w:type="continuationSeparator" w:id="0">
    <w:p w14:paraId="3AFBDB11" w14:textId="77777777" w:rsidR="00DD7D7C" w:rsidRDefault="00DD7D7C" w:rsidP="00503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418513730"/>
      <w:docPartObj>
        <w:docPartGallery w:val="Page Numbers (Bottom of Page)"/>
        <w:docPartUnique/>
      </w:docPartObj>
    </w:sdtPr>
    <w:sdtContent>
      <w:p w14:paraId="18BB0631" w14:textId="6627095B" w:rsidR="00503BB9" w:rsidRDefault="00503BB9" w:rsidP="00EF3820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1BFECAE9" w14:textId="77777777" w:rsidR="00503BB9" w:rsidRDefault="00503BB9" w:rsidP="00503BB9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  <w:rFonts w:ascii="Garamond" w:hAnsi="Garamond"/>
        <w:sz w:val="20"/>
        <w:szCs w:val="20"/>
      </w:rPr>
      <w:id w:val="-728150378"/>
      <w:docPartObj>
        <w:docPartGallery w:val="Page Numbers (Bottom of Page)"/>
        <w:docPartUnique/>
      </w:docPartObj>
    </w:sdtPr>
    <w:sdtContent>
      <w:p w14:paraId="265F6ABA" w14:textId="10A94B00" w:rsidR="00EF3820" w:rsidRPr="00EF3820" w:rsidRDefault="00EF3820" w:rsidP="00336935">
        <w:pPr>
          <w:pStyle w:val="AltBilgi"/>
          <w:framePr w:wrap="none" w:vAnchor="text" w:hAnchor="margin" w:xAlign="right" w:y="1"/>
          <w:rPr>
            <w:rStyle w:val="SayfaNumaras"/>
            <w:rFonts w:ascii="Garamond" w:hAnsi="Garamond"/>
            <w:sz w:val="20"/>
            <w:szCs w:val="20"/>
          </w:rPr>
        </w:pPr>
        <w:r w:rsidRPr="00EF3820">
          <w:rPr>
            <w:rStyle w:val="SayfaNumaras"/>
            <w:rFonts w:ascii="Garamond" w:hAnsi="Garamond"/>
            <w:sz w:val="20"/>
            <w:szCs w:val="20"/>
          </w:rPr>
          <w:fldChar w:fldCharType="begin"/>
        </w:r>
        <w:r w:rsidRPr="00EF3820">
          <w:rPr>
            <w:rStyle w:val="SayfaNumaras"/>
            <w:rFonts w:ascii="Garamond" w:hAnsi="Garamond"/>
            <w:sz w:val="20"/>
            <w:szCs w:val="20"/>
          </w:rPr>
          <w:instrText xml:space="preserve"> PAGE </w:instrText>
        </w:r>
        <w:r w:rsidRPr="00EF3820">
          <w:rPr>
            <w:rStyle w:val="SayfaNumaras"/>
            <w:rFonts w:ascii="Garamond" w:hAnsi="Garamond"/>
            <w:sz w:val="20"/>
            <w:szCs w:val="20"/>
          </w:rPr>
          <w:fldChar w:fldCharType="separate"/>
        </w:r>
        <w:r w:rsidRPr="00EF3820">
          <w:rPr>
            <w:rStyle w:val="SayfaNumaras"/>
            <w:rFonts w:ascii="Garamond" w:hAnsi="Garamond"/>
            <w:noProof/>
            <w:sz w:val="20"/>
            <w:szCs w:val="20"/>
          </w:rPr>
          <w:t>3</w:t>
        </w:r>
        <w:r w:rsidRPr="00EF3820">
          <w:rPr>
            <w:rStyle w:val="SayfaNumaras"/>
            <w:rFonts w:ascii="Garamond" w:hAnsi="Garamond"/>
            <w:sz w:val="20"/>
            <w:szCs w:val="20"/>
          </w:rPr>
          <w:fldChar w:fldCharType="end"/>
        </w:r>
      </w:p>
    </w:sdtContent>
  </w:sdt>
  <w:p w14:paraId="76214A28" w14:textId="1E4B2828" w:rsidR="00EF3820" w:rsidRPr="00EF3820" w:rsidRDefault="00EF3820" w:rsidP="00EF3820">
    <w:pPr>
      <w:pStyle w:val="AltBilgi"/>
      <w:ind w:right="360"/>
      <w:jc w:val="center"/>
      <w:rPr>
        <w:rFonts w:ascii="Garamond" w:hAnsi="Garamond"/>
        <w:sz w:val="18"/>
        <w:szCs w:val="18"/>
      </w:rPr>
    </w:pPr>
    <w:r w:rsidRPr="00EF3820">
      <w:rPr>
        <w:rFonts w:ascii="Garamond" w:hAnsi="Garamond"/>
        <w:i/>
        <w:sz w:val="18"/>
        <w:szCs w:val="18"/>
      </w:rPr>
      <w:t xml:space="preserve">Prepared as a public-data </w:t>
    </w:r>
    <w:r w:rsidRPr="00EF3820">
      <w:rPr>
        <w:rFonts w:ascii="Garamond" w:hAnsi="Garamond"/>
        <w:i/>
        <w:sz w:val="18"/>
        <w:szCs w:val="18"/>
      </w:rPr>
      <w:t>multi-asset</w:t>
    </w:r>
    <w:r w:rsidRPr="00EF3820">
      <w:rPr>
        <w:rFonts w:ascii="Garamond" w:hAnsi="Garamond"/>
        <w:i/>
        <w:sz w:val="18"/>
        <w:szCs w:val="18"/>
      </w:rPr>
      <w:t xml:space="preserve"> portfolio case. Not a regulatory model or investment advice.</w:t>
    </w:r>
  </w:p>
  <w:p w14:paraId="70A5BE83" w14:textId="77777777" w:rsidR="00503BB9" w:rsidRDefault="00503BB9" w:rsidP="00503BB9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3AE5" w14:textId="77777777" w:rsidR="00DD7D7C" w:rsidRDefault="00DD7D7C" w:rsidP="00503BB9">
      <w:pPr>
        <w:spacing w:after="0" w:line="240" w:lineRule="auto"/>
      </w:pPr>
      <w:r>
        <w:separator/>
      </w:r>
    </w:p>
  </w:footnote>
  <w:footnote w:type="continuationSeparator" w:id="0">
    <w:p w14:paraId="69C6E1F0" w14:textId="77777777" w:rsidR="00DD7D7C" w:rsidRDefault="00DD7D7C" w:rsidP="00503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08F7" w14:textId="37E0ED69" w:rsidR="00AD028A" w:rsidRPr="00AD028A" w:rsidRDefault="00AD028A" w:rsidP="00AD028A">
    <w:pPr>
      <w:pStyle w:val="stBilgi"/>
      <w:jc w:val="right"/>
      <w:rPr>
        <w:rFonts w:ascii="Garamond" w:hAnsi="Garamond"/>
        <w:i/>
        <w:iCs/>
        <w:color w:val="000000" w:themeColor="text1"/>
        <w:sz w:val="18"/>
        <w:szCs w:val="18"/>
      </w:rPr>
    </w:pPr>
    <w:r w:rsidRPr="00AD028A">
      <w:rPr>
        <w:rFonts w:ascii="Garamond" w:hAnsi="Garamond"/>
        <w:i/>
        <w:iCs/>
        <w:color w:val="000000" w:themeColor="text1"/>
        <w:sz w:val="18"/>
        <w:szCs w:val="18"/>
      </w:rPr>
      <w:t>Multi-Asset Portfolio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000953">
    <w:abstractNumId w:val="8"/>
  </w:num>
  <w:num w:numId="2" w16cid:durableId="1441991372">
    <w:abstractNumId w:val="6"/>
  </w:num>
  <w:num w:numId="3" w16cid:durableId="1514151416">
    <w:abstractNumId w:val="5"/>
  </w:num>
  <w:num w:numId="4" w16cid:durableId="1559170948">
    <w:abstractNumId w:val="4"/>
  </w:num>
  <w:num w:numId="5" w16cid:durableId="856894300">
    <w:abstractNumId w:val="7"/>
  </w:num>
  <w:num w:numId="6" w16cid:durableId="1875069055">
    <w:abstractNumId w:val="3"/>
  </w:num>
  <w:num w:numId="7" w16cid:durableId="1853451545">
    <w:abstractNumId w:val="2"/>
  </w:num>
  <w:num w:numId="8" w16cid:durableId="828785970">
    <w:abstractNumId w:val="1"/>
  </w:num>
  <w:num w:numId="9" w16cid:durableId="158683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5A6"/>
    <w:rsid w:val="0029639D"/>
    <w:rsid w:val="002F0BCF"/>
    <w:rsid w:val="00326F90"/>
    <w:rsid w:val="00337764"/>
    <w:rsid w:val="0038018E"/>
    <w:rsid w:val="00503BB9"/>
    <w:rsid w:val="00512483"/>
    <w:rsid w:val="008659D0"/>
    <w:rsid w:val="008E3B9D"/>
    <w:rsid w:val="00A56D56"/>
    <w:rsid w:val="00AA1D8D"/>
    <w:rsid w:val="00AD028A"/>
    <w:rsid w:val="00B47730"/>
    <w:rsid w:val="00B5298D"/>
    <w:rsid w:val="00BC270A"/>
    <w:rsid w:val="00CB0664"/>
    <w:rsid w:val="00DD2804"/>
    <w:rsid w:val="00DD7D7C"/>
    <w:rsid w:val="00ED2CAC"/>
    <w:rsid w:val="00EF3820"/>
    <w:rsid w:val="00F970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A7474"/>
  <w14:defaultImageDpi w14:val="300"/>
  <w15:docId w15:val="{A77387F9-2079-274C-BCA3-CE39F53E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ayfaNumaras">
    <w:name w:val="page number"/>
    <w:basedOn w:val="VarsaylanParagrafYazTipi"/>
    <w:uiPriority w:val="99"/>
    <w:semiHidden/>
    <w:unhideWhenUsed/>
    <w:rsid w:val="0050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7fce66-bf2d-46b5-b59a-9f0018501bcd}" enabled="1" method="Standard" siteId="{f8a213d2-8f6c-400d-9e74-4e8b475316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1310</Words>
  <Characters>7468</Characters>
  <Application>Microsoft Office Word</Application>
  <DocSecurity>0</DocSecurity>
  <Lines>62</Lines>
  <Paragraphs>17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Enes Sari</cp:lastModifiedBy>
  <cp:revision>5</cp:revision>
  <dcterms:created xsi:type="dcterms:W3CDTF">2026-05-18T09:24:00Z</dcterms:created>
  <dcterms:modified xsi:type="dcterms:W3CDTF">2026-05-21T13:17:00Z</dcterms:modified>
  <cp:category/>
</cp:coreProperties>
</file>