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会议主题：GD（华东）专利业务 5 月例会</w:t>
      </w:r>
    </w:p>
    <w:p>
      <w:r>
        <w:rPr>
          <w:b/>
        </w:rPr>
        <w:t>会议时间：</w:t>
      </w:r>
      <w:r>
        <w:t>2026 年 5 月下旬（约 5 月 26 日–27 日）</w:t>
      </w:r>
    </w:p>
    <w:p>
      <w:r>
        <w:rPr>
          <w:b/>
        </w:rPr>
        <w:t>会议地点：</w:t>
      </w:r>
      <w:r>
        <w:t>待确认（线上/线下混合）</w:t>
      </w:r>
    </w:p>
    <w:p>
      <w:r>
        <w:rPr>
          <w:b/>
        </w:rPr>
        <w:t>会议主持：</w:t>
      </w:r>
      <w:r>
        <w:t>张辉</w:t>
      </w:r>
    </w:p>
    <w:p>
      <w:r>
        <w:rPr>
          <w:b/>
        </w:rPr>
        <w:t>记录人：</w:t>
      </w:r>
      <w:r>
        <w:t>待确认</w:t>
      </w:r>
    </w:p>
    <w:p>
      <w:r>
        <w:rPr>
          <w:b/>
        </w:rPr>
        <w:t>参会人员：</w:t>
      </w:r>
      <w:r>
        <w:t>张辉、张宇辰、姜信欣、王矿磊（推测为「说话人 03」），及未具名参会者若干</w:t>
      </w:r>
    </w:p>
    <w:p>
      <w:r>
        <w:t>────────────────────────────────────────────────────────────</w:t>
      </w:r>
    </w:p>
    <w:p>
      <w:r>
        <w:rPr>
          <w:b/>
          <w:sz w:val="28"/>
        </w:rPr>
        <w:t>一、会议概况</w:t>
      </w:r>
    </w:p>
    <w:p>
      <w:r>
        <w:t>本次为 GD 专利业务月度例会，由张辉主持，张宇辰和姜信欣分别汇报小分子 PROTAC、抗体/ADC、多肽、小核酸等管线项目的专利进展、国家选择、风险专利监控等情况。会议重点讨论了 STAT6 PROTAC 项目 PCC 分子提交后的竞争格局、ADC 项目国家选择流程中多部门协调问题、一项双抗平台风险专利的评估，以及 GLP-1/GIP/Amylin 三靶点多肽项目优先权中序列错误的处理方案。</w:t>
      </w:r>
    </w:p>
    <w:p>
      <w:r>
        <w:t>────────────────────────────────────────────────────────────</w:t>
      </w:r>
    </w:p>
    <w:p>
      <w:r>
        <w:rPr>
          <w:b/>
          <w:sz w:val="28"/>
        </w:rPr>
        <w:t>二、会议内容要点</w:t>
      </w:r>
    </w:p>
    <w:p>
      <w:r>
        <w:rPr>
          <w:b/>
          <w:sz w:val="24"/>
        </w:rPr>
        <w:t>议题 1：STAT6 PROTAC（项目 3017）PCC 分子提交与竞争态势</w:t>
      </w:r>
    </w:p>
    <w:p>
      <w:pPr>
        <w:pStyle w:val="ListBullet"/>
      </w:pPr>
      <w:r/>
      <w:r>
        <w:rPr>
          <w:b/>
        </w:rPr>
        <w:t>背景</w:t>
      </w:r>
      <w:r>
        <w:t>：项目组于会议前一天（约 5 月 26 日）提交了 STAT6 PROTAC 的 PCC 分子正式申请（申请号 048 和 076）。</w:t>
      </w:r>
    </w:p>
    <w:p>
      <w:pPr>
        <w:pStyle w:val="ListBullet"/>
      </w:pPr>
      <w:r/>
      <w:r>
        <w:rPr>
          <w:b/>
        </w:rPr>
        <w:t>主要观点</w:t>
      </w:r>
      <w:r>
        <w:t>：</w:t>
      </w:r>
    </w:p>
    <w:p>
      <w:pPr>
        <w:pStyle w:val="ListBullet"/>
      </w:pPr>
      <w:r>
        <w:t>该靶点跟进者众多，项目组对竞争格局感到"恐慌"。公司 follow 的靶点公司（camena）专利撰写较晚，预计 2026 年 8–9 月会有大量跟进信息公开。</w:t>
      </w:r>
    </w:p>
    <w:p>
      <w:pPr>
        <w:pStyle w:val="ListBullet"/>
      </w:pPr>
      <w:r>
        <w:t>两个候选分子中，分子 048 的 linker 区域存在改造，其 warhead 为现有技术，存在一定的"体内降解"争议风险——即 PROTAC 进入体内后降解产生的 warhead 是否落入他人专利范围。项目组此前遇到过类似问题。</w:t>
      </w:r>
    </w:p>
    <w:p>
      <w:pPr>
        <w:pStyle w:val="ListBullet"/>
      </w:pPr>
      <w:r>
        <w:t>分子 076 在结构中挪了一个四元环，专利风险显著更低。但最终选择哪一个取决于实际药化性质，非专利部门单方面决定。</w:t>
      </w:r>
    </w:p>
    <w:p>
      <w:pPr>
        <w:pStyle w:val="ListBullet"/>
      </w:pPr>
      <w:r>
        <w:t>另外两个方向预计年底完成正式申请，PCC 决策可能推迟至年底。</w:t>
      </w:r>
    </w:p>
    <w:p>
      <w:pPr>
        <w:pStyle w:val="ListBullet"/>
      </w:pPr>
      <w:r/>
      <w:r>
        <w:rPr>
          <w:b/>
        </w:rPr>
        <w:t>初步结论</w:t>
      </w:r>
      <w:r>
        <w:t>：</w:t>
      </w:r>
    </w:p>
    <w:p>
      <w:pPr>
        <w:pStyle w:val="ListBullet"/>
      </w:pPr>
      <w:r>
        <w:t>继续推进当前申请，后续根据项目组对分子的筛选结果再定。专利部门倾向于推荐风险更低的 076 分子。</w:t>
      </w:r>
    </w:p>
    <w:p>
      <w:pPr>
        <w:pStyle w:val="ListBullet"/>
      </w:pPr>
      <w:r>
        <w:t>11 月首次申请公开后，可观察是否有竞品提交类似结构。</w:t>
      </w:r>
    </w:p>
    <w:p>
      <w:r>
        <w:rPr>
          <w:b/>
          <w:sz w:val="24"/>
        </w:rPr>
        <w:t>议题 2：专利跟踪表格格式统一</w:t>
      </w:r>
    </w:p>
    <w:p>
      <w:pPr>
        <w:pStyle w:val="ListBullet"/>
      </w:pPr>
      <w:r/>
      <w:r>
        <w:rPr>
          <w:b/>
        </w:rPr>
        <w:t>背景</w:t>
      </w:r>
      <w:r>
        <w:t>：张宇辰提交的项目专利跟踪表中，不同项目使用了不一致的标注方式（数字 vs. "是/否"、申请号 vs. 数量）。</w:t>
      </w:r>
    </w:p>
    <w:p>
      <w:pPr>
        <w:pStyle w:val="ListBullet"/>
      </w:pPr>
      <w:r/>
      <w:r>
        <w:rPr>
          <w:b/>
        </w:rPr>
        <w:t>主要观点</w:t>
      </w:r>
      <w:r>
        <w:t>：</w:t>
      </w:r>
    </w:p>
    <w:p>
      <w:pPr>
        <w:pStyle w:val="ListBullet"/>
      </w:pPr>
      <w:r>
        <w:t>张辉要求统一使用数字（如 0/1 表示是否授权，具体数字表示件数），正式申请以申请号标识，便于区分中国申请与 PCT 申请。</w:t>
      </w:r>
    </w:p>
    <w:p>
      <w:pPr>
        <w:pStyle w:val="ListBullet"/>
      </w:pPr>
      <w:r>
        <w:t>已选择国家与已进入国家之间的差额（尤其欧洲/欧亚局）需要明确体现。欧洲生效国默认按全部 30+ 国家计入"已选择"，已进入则按实际填写。</w:t>
      </w:r>
    </w:p>
    <w:p>
      <w:pPr>
        <w:pStyle w:val="ListBullet"/>
      </w:pPr>
      <w:r>
        <w:t>分案的情况需单独列出，用数字表示件数（如分案后为 2）。</w:t>
      </w:r>
    </w:p>
    <w:p>
      <w:pPr>
        <w:pStyle w:val="ListBullet"/>
      </w:pPr>
      <w:r/>
      <w:r>
        <w:rPr>
          <w:b/>
        </w:rPr>
        <w:t>初步结论</w:t>
      </w:r>
      <w:r>
        <w:t>：张宇辰按统一格式修改所有项目表格，7 月例会前完成。</w:t>
      </w:r>
    </w:p>
    <w:p>
      <w:r>
        <w:rPr>
          <w:b/>
          <w:sz w:val="24"/>
        </w:rPr>
        <w:t>议题 3：ADC 双抗平台风险专利评估</w:t>
      </w:r>
    </w:p>
    <w:p>
      <w:pPr>
        <w:pStyle w:val="ListBullet"/>
      </w:pPr>
      <w:r/>
      <w:r>
        <w:rPr>
          <w:b/>
        </w:rPr>
        <w:t>背景</w:t>
      </w:r>
      <w:r>
        <w:t>：一项涉及 VHH 连接 IgG Fc 的 Knob-into-Hole 不对称构型双抗平台专利，在美国已授权，在欧洲已被异议掉，在中国处于驳回复审阶段。</w:t>
      </w:r>
    </w:p>
    <w:p>
      <w:pPr>
        <w:pStyle w:val="ListBullet"/>
      </w:pPr>
      <w:r/>
      <w:r>
        <w:rPr>
          <w:b/>
        </w:rPr>
        <w:t>主要观点</w:t>
      </w:r>
      <w:r>
        <w:t>：</w:t>
      </w:r>
    </w:p>
    <w:p>
      <w:pPr>
        <w:pStyle w:val="ListBullet"/>
      </w:pPr>
      <w:r>
        <w:t>该专利实质上"缝合"了三项已有技术（1997 年 Genentech 的 Knob-into-Hole 专利 + IgG Fc 融合蛋白文献 + VHH 连接构型），研发部门认为这些技术均已到期或属于公有领域。</w:t>
      </w:r>
    </w:p>
    <w:p>
      <w:pPr>
        <w:pStyle w:val="ListBullet"/>
      </w:pPr>
      <w:r>
        <w:t>已与夏炎研究中心沟通，对方认同这是"纯专利性问题"。</w:t>
      </w:r>
    </w:p>
    <w:p>
      <w:pPr>
        <w:pStyle w:val="ListBullet"/>
      </w:pPr>
      <w:r>
        <w:t>目前未见第三方在美国对该专利发起无效，但考虑到欧洲已有异议先例，该专利稳定性存疑。</w:t>
      </w:r>
    </w:p>
    <w:p>
      <w:pPr>
        <w:pStyle w:val="ListBullet"/>
      </w:pPr>
      <w:r>
        <w:t>一旦权利人尝试维权，大概率会被挑战。</w:t>
      </w:r>
    </w:p>
    <w:p>
      <w:pPr>
        <w:pStyle w:val="ListBullet"/>
      </w:pPr>
      <w:r/>
      <w:r>
        <w:rPr>
          <w:b/>
        </w:rPr>
        <w:t>初步结论</w:t>
      </w:r>
      <w:r>
        <w:t>：持续监控，暂不升级为紧急风险事项。需关注该专利在美国是否被无效。</w:t>
      </w:r>
    </w:p>
    <w:p>
      <w:r>
        <w:rPr>
          <w:b/>
          <w:sz w:val="24"/>
        </w:rPr>
        <w:t>议题 4：ADC 项目国家选择流程与多部门协调</w:t>
      </w:r>
    </w:p>
    <w:p>
      <w:pPr>
        <w:pStyle w:val="ListBullet"/>
      </w:pPr>
      <w:r/>
      <w:r>
        <w:rPr>
          <w:b/>
        </w:rPr>
        <w:t>背景</w:t>
      </w:r>
      <w:r>
        <w:t>：项目 2005（CDH6 ADC）的国家选择征求了多部门意见（孙鑫/国际市场部、沈飞阳/BD、夏炎、林晨、舒文娟/注册、苏小倩/医学等），各方反馈差异巨大。</w:t>
      </w:r>
    </w:p>
    <w:p>
      <w:pPr>
        <w:pStyle w:val="ListBullet"/>
      </w:pPr>
      <w:r/>
      <w:r>
        <w:rPr>
          <w:b/>
        </w:rPr>
        <w:t>主要观点</w:t>
      </w:r>
      <w:r>
        <w:t>：</w:t>
      </w:r>
    </w:p>
    <w:p>
      <w:pPr>
        <w:pStyle w:val="ListBullet"/>
      </w:pPr>
      <w:r>
        <w:t>孙鑫（国际市场部）的选法基于"自己能亲自去卖"的逻辑，选择较为克制（韩国、马来西亚、印度、以色列等），被认为"比较正常"。</w:t>
      </w:r>
    </w:p>
    <w:p>
      <w:pPr>
        <w:pStyle w:val="ListBullet"/>
      </w:pPr>
      <w:r>
        <w:t>沈飞阳（BD）基于"哪里能许可出去"的逻辑，勾选了涵盖东南亚、中东北非的大量国家（包括伊拉克、伊朗、朝鲜、黎巴嫩等），被认为范围过于宽泛。</w:t>
      </w:r>
    </w:p>
    <w:p>
      <w:pPr>
        <w:pStyle w:val="ListBullet"/>
      </w:pPr>
      <w:r>
        <w:t>夏炎和林晨（发明人）按常规专利保护逻辑选择，与 2005 的逻辑一致（10–13 个欧洲国家）。</w:t>
      </w:r>
    </w:p>
    <w:p>
      <w:pPr>
        <w:pStyle w:val="ListBullet"/>
      </w:pPr>
      <w:r>
        <w:t>陈丽敏统筹此事，但目前尚未整合反馈。其团队近期人员流失较多（孙旭、于斌、周丹丽等离职），工作压力大。</w:t>
      </w:r>
    </w:p>
    <w:p>
      <w:pPr>
        <w:pStyle w:val="ListBullet"/>
      </w:pPr>
      <w:r/>
      <w:r>
        <w:rPr>
          <w:b/>
        </w:rPr>
        <w:t>初步结论</w:t>
      </w:r>
      <w:r>
        <w:t>：</w:t>
      </w:r>
    </w:p>
    <w:p>
      <w:pPr>
        <w:pStyle w:val="ListBullet"/>
      </w:pPr>
      <w:r>
        <w:t>在收到陈丽敏整合版本前，张宇辰暂按台湾和 PCT 路径推进。</w:t>
      </w:r>
    </w:p>
    <w:p>
      <w:pPr>
        <w:pStyle w:val="ListBullet"/>
      </w:pPr>
      <w:r>
        <w:t>未来建议建立统一权重/算法来标准化国家选择，减少主观偏差。</w:t>
      </w:r>
    </w:p>
    <w:p>
      <w:pPr>
        <w:pStyle w:val="ListBullet"/>
      </w:pPr>
      <w:r>
        <w:t>张辉提出：已选择国家应一次性覆盖预期全部范围，后续如有调整在既有范围内删减；强调"不给落地人员可以再加的错觉"。</w:t>
      </w:r>
    </w:p>
    <w:p>
      <w:r>
        <w:rPr>
          <w:b/>
          <w:sz w:val="24"/>
        </w:rPr>
        <w:t>议题 5：GLP-1/GIP/Amylin 三靶点多肽项目（1013）优先权序列错误</w:t>
      </w:r>
    </w:p>
    <w:p>
      <w:pPr>
        <w:pStyle w:val="ListBullet"/>
      </w:pPr>
      <w:r/>
      <w:r>
        <w:rPr>
          <w:b/>
        </w:rPr>
        <w:t>背景</w:t>
      </w:r>
      <w:r>
        <w:t>：1013 项目（GLP-1/GIP/Amylin 三靶点多肽）PCC 分子已确定。2025 年 11 月 24 日提交的第一份优先权中，PCC 序列在 linker 部分多了一个 L（亮氨酸），导致结构错误。该错误于 2026 年 5 月被发现，随后提交了第二份包含正确序列的优先权。</w:t>
      </w:r>
    </w:p>
    <w:p>
      <w:pPr>
        <w:pStyle w:val="ListBullet"/>
      </w:pPr>
      <w:r/>
      <w:r>
        <w:rPr>
          <w:b/>
        </w:rPr>
        <w:t>主要观点</w:t>
      </w:r>
      <w:r>
        <w:t>：</w:t>
      </w:r>
    </w:p>
    <w:p>
      <w:pPr>
        <w:pStyle w:val="ListBullet"/>
      </w:pPr>
      <w:r>
        <w:t>姜信欣提出是否放弃第一份优先权。</w:t>
      </w:r>
    </w:p>
    <w:p>
      <w:pPr>
        <w:pStyle w:val="ListBullet"/>
      </w:pPr>
      <w:r>
        <w:t>张宇辰认为不应放弃：第一份优先权中的概括范围（片段组合方案）是正确的，仅最终列举的具体序列有误；保留更早日期的优先权有利无害，且该错误的解释（序列录入笔误）在技术上是合理可解释的。</w:t>
      </w:r>
    </w:p>
    <w:p>
      <w:pPr>
        <w:pStyle w:val="ListBullet"/>
      </w:pPr>
      <w:r>
        <w:t>张辉指出：虽然目前判断属于可解释的笔误，但必须保留完整证据链（技术交底书、研发原始数据、版本修改记录）以备未来举证。同时应咨询代理所和海外律师的意见。</w:t>
      </w:r>
    </w:p>
    <w:p>
      <w:pPr>
        <w:pStyle w:val="ListBullet"/>
      </w:pPr>
      <w:r/>
      <w:r>
        <w:rPr>
          <w:b/>
        </w:rPr>
        <w:t>结论</w:t>
      </w:r>
      <w:r>
        <w:t>：四人（张辉、张宇辰、姜信欣、王矿磊）达成一致——保留第一份优先权，同时整理证据、咨询外部律师意见。</w:t>
      </w:r>
    </w:p>
    <w:p>
      <w:r>
        <w:rPr>
          <w:b/>
          <w:sz w:val="24"/>
        </w:rPr>
        <w:t>议题 6：PTE（专利保护期延长）审查动态</w:t>
      </w:r>
    </w:p>
    <w:p>
      <w:pPr>
        <w:pStyle w:val="ListBullet"/>
      </w:pPr>
      <w:r/>
      <w:r>
        <w:rPr>
          <w:b/>
        </w:rPr>
        <w:t>背景</w:t>
      </w:r>
      <w:r>
        <w:t>：姜信欣分享了近期的一项 PTE 审查决定（盐酸托鲁地文拉法辛案），该案中国知局认为盐的水合物是"全新化合物"而非盐的下位概念，因此不给 PTE。</w:t>
      </w:r>
    </w:p>
    <w:p>
      <w:pPr>
        <w:pStyle w:val="ListBullet"/>
      </w:pPr>
      <w:r/>
      <w:r>
        <w:rPr>
          <w:b/>
        </w:rPr>
        <w:t>主要观点</w:t>
      </w:r>
      <w:r>
        <w:t>：</w:t>
      </w:r>
    </w:p>
    <w:p>
      <w:pPr>
        <w:pStyle w:val="ListBullet"/>
      </w:pPr>
      <w:r>
        <w:t>与之类似，我们的一项产品的 API 为盐的一水合物，而专利权利要求仅保护"化合物或其药用盐"。该审查决定对本项目 PTE 获批构成重大风险。</w:t>
      </w:r>
    </w:p>
    <w:p>
      <w:pPr>
        <w:pStyle w:val="ListBullet"/>
      </w:pPr>
      <w:r>
        <w:t>张辉强调：①权利要求撰写阶段就应考虑最终上市产品形态；②需与注册部门保持沟通，确保权利要求与药品说明书的对应关系清晰；③生物药（抗体、CAR-T 等）的对应关系更复杂，需提前关注。</w:t>
      </w:r>
    </w:p>
    <w:p>
      <w:pPr>
        <w:pStyle w:val="ListBullet"/>
      </w:pPr>
      <w:r/>
      <w:r>
        <w:rPr>
          <w:b/>
        </w:rPr>
        <w:t>初步结论</w:t>
      </w:r>
      <w:r>
        <w:t>：姜信欣继续跟踪 PTE 案例动态；7 月例会安排一次 PTE 专题讨论。</w:t>
      </w:r>
    </w:p>
    <w:p>
      <w:r>
        <w:rPr>
          <w:b/>
          <w:sz w:val="24"/>
        </w:rPr>
        <w:t>议题 7：各管线项目进展（摘要）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项目</w:t>
            </w:r>
          </w:p>
        </w:tc>
        <w:tc>
          <w:tcPr>
            <w:tcW w:type="dxa" w:w="1728"/>
          </w:tcPr>
          <w:p>
            <w:r>
              <w:rPr>
                <w:b/>
              </w:rPr>
              <w:t>类型</w:t>
            </w:r>
          </w:p>
        </w:tc>
        <w:tc>
          <w:tcPr>
            <w:tcW w:type="dxa" w:w="1728"/>
          </w:tcPr>
          <w:p>
            <w:r>
              <w:rPr>
                <w:b/>
              </w:rPr>
              <w:t>靶点/方向</w:t>
            </w:r>
          </w:p>
        </w:tc>
        <w:tc>
          <w:tcPr>
            <w:tcW w:type="dxa" w:w="1728"/>
          </w:tcPr>
          <w:p>
            <w:r>
              <w:rPr>
                <w:b/>
              </w:rPr>
              <w:t>关键进展</w:t>
            </w:r>
          </w:p>
        </w:tc>
        <w:tc>
          <w:tcPr>
            <w:tcW w:type="dxa" w:w="1728"/>
          </w:tcPr>
          <w:p>
            <w:r>
              <w:rPr>
                <w:b/>
              </w:rPr>
              <w:t>风险/待办</w:t>
            </w:r>
          </w:p>
        </w:tc>
      </w:tr>
      <w:tr>
        <w:tc>
          <w:tcPr>
            <w:tcW w:type="dxa" w:w="1728"/>
          </w:tcPr>
          <w:p>
            <w:r>
              <w:t>1005</w:t>
            </w:r>
          </w:p>
        </w:tc>
        <w:tc>
          <w:tcPr>
            <w:tcW w:type="dxa" w:w="1728"/>
          </w:tcPr>
          <w:p>
            <w:r>
              <w:t>多肽</w:t>
            </w:r>
          </w:p>
        </w:tc>
        <w:tc>
          <w:tcPr>
            <w:tcW w:type="dxa" w:w="1728"/>
          </w:tcPr>
          <w:p>
            <w:r>
              <w:t>GLP-1/GIP</w:t>
            </w:r>
          </w:p>
        </w:tc>
        <w:tc>
          <w:tcPr>
            <w:tcW w:type="dxa" w:w="1728"/>
          </w:tcPr>
          <w:p>
            <w:r>
              <w:t>减重与降糖均进入临床三期，2 月新开头对头 vs. 替尔泊肽三期</w:t>
            </w:r>
          </w:p>
        </w:tc>
        <w:tc>
          <w:tcPr>
            <w:tcW w:type="dxa" w:w="1728"/>
          </w:tcPr>
          <w:p>
            <w:r>
              <w:t>需排查授权专利与说明书对应关系；确认生产场地</w:t>
            </w:r>
          </w:p>
        </w:tc>
      </w:tr>
      <w:tr>
        <w:tc>
          <w:tcPr>
            <w:tcW w:type="dxa" w:w="1728"/>
          </w:tcPr>
          <w:p>
            <w:r>
              <w:t>2005</w:t>
            </w:r>
          </w:p>
        </w:tc>
        <w:tc>
          <w:tcPr>
            <w:tcW w:type="dxa" w:w="1728"/>
          </w:tcPr>
          <w:p>
            <w:r>
              <w:t>ADC</w:t>
            </w:r>
          </w:p>
        </w:tc>
        <w:tc>
          <w:tcPr>
            <w:tcW w:type="dxa" w:w="1728"/>
          </w:tcPr>
          <w:p>
            <w:r>
              <w:t>CDH6</w:t>
            </w:r>
          </w:p>
        </w:tc>
        <w:tc>
          <w:tcPr>
            <w:tcW w:type="dxa" w:w="1728"/>
          </w:tcPr>
          <w:p>
            <w:r>
              <w:t>二期临床中，血液瘤前线+后线多队列；正式申请定稿（PCT+台湾）</w:t>
            </w:r>
          </w:p>
        </w:tc>
        <w:tc>
          <w:tcPr>
            <w:tcW w:type="dxa" w:w="1728"/>
          </w:tcPr>
          <w:p>
            <w:r>
              <w:t>确认抗体及毒素生产地点（CMC 负责人：李帅）</w:t>
            </w:r>
          </w:p>
        </w:tc>
      </w:tr>
      <w:tr>
        <w:tc>
          <w:tcPr>
            <w:tcW w:type="dxa" w:w="1728"/>
          </w:tcPr>
          <w:p>
            <w:r>
              <w:t>2012</w:t>
            </w:r>
          </w:p>
        </w:tc>
        <w:tc>
          <w:tcPr>
            <w:tcW w:type="dxa" w:w="1728"/>
          </w:tcPr>
          <w:p>
            <w:r>
              <w:t>ADC</w:t>
            </w:r>
          </w:p>
        </w:tc>
        <w:tc>
          <w:tcPr>
            <w:tcW w:type="dxa" w:w="1728"/>
          </w:tcPr>
          <w:p>
            <w:r>
              <w:t>—</w:t>
            </w:r>
          </w:p>
        </w:tc>
        <w:tc>
          <w:tcPr>
            <w:tcW w:type="dxa" w:w="1728"/>
          </w:tcPr>
          <w:p>
            <w:r>
              <w:t>国家选择确认书已签回，选择 45 个区域（含 16 个一生效国+7 个欧亚生效国）</w:t>
            </w:r>
          </w:p>
        </w:tc>
        <w:tc>
          <w:tcPr>
            <w:tcW w:type="dxa" w:w="1728"/>
          </w:tcPr>
          <w:p>
            <w:r>
              <w:t>—</w:t>
            </w:r>
          </w:p>
        </w:tc>
      </w:tr>
      <w:tr>
        <w:tc>
          <w:tcPr>
            <w:tcW w:type="dxa" w:w="1728"/>
          </w:tcPr>
          <w:p>
            <w:r>
              <w:t>2020</w:t>
            </w:r>
          </w:p>
        </w:tc>
        <w:tc>
          <w:tcPr>
            <w:tcW w:type="dxa" w:w="1728"/>
          </w:tcPr>
          <w:p>
            <w:r>
              <w:t>ADC</w:t>
            </w:r>
          </w:p>
        </w:tc>
        <w:tc>
          <w:tcPr>
            <w:tcW w:type="dxa" w:w="1728"/>
          </w:tcPr>
          <w:p>
            <w:r>
              <w:t>—</w:t>
            </w:r>
          </w:p>
        </w:tc>
        <w:tc>
          <w:tcPr>
            <w:tcW w:type="dxa" w:w="1728"/>
          </w:tcPr>
          <w:p>
            <w:r>
              <w:t>与 2012 同期签回，选择范围一致</w:t>
            </w:r>
          </w:p>
        </w:tc>
        <w:tc>
          <w:tcPr>
            <w:tcW w:type="dxa" w:w="1728"/>
          </w:tcPr>
          <w:p>
            <w:r>
              <w:t>—</w:t>
            </w:r>
          </w:p>
        </w:tc>
      </w:tr>
      <w:tr>
        <w:tc>
          <w:tcPr>
            <w:tcW w:type="dxa" w:w="1728"/>
          </w:tcPr>
          <w:p>
            <w:r>
              <w:t>2017</w:t>
            </w:r>
          </w:p>
        </w:tc>
        <w:tc>
          <w:tcPr>
            <w:tcW w:type="dxa" w:w="1728"/>
          </w:tcPr>
          <w:p>
            <w:r>
              <w:t>双抗 ADC</w:t>
            </w:r>
          </w:p>
        </w:tc>
        <w:tc>
          <w:tcPr>
            <w:tcW w:type="dxa" w:w="1728"/>
          </w:tcPr>
          <w:p>
            <w:r>
              <w:t>—</w:t>
            </w:r>
          </w:p>
        </w:tc>
        <w:tc>
          <w:tcPr>
            <w:tcW w:type="dxa" w:w="1728"/>
          </w:tcPr>
          <w:p>
            <w:r>
              <w:t>公司最优先项目（"扬眉吐气"），结直肠癌二期；三期上市预估 2031.12</w:t>
            </w:r>
          </w:p>
        </w:tc>
        <w:tc>
          <w:tcPr>
            <w:tcW w:type="dxa" w:w="1728"/>
          </w:tcPr>
          <w:p>
            <w:r>
              <w:t>竞品对标分析；两个风险专利申请日早于我方</w:t>
            </w:r>
          </w:p>
        </w:tc>
      </w:tr>
      <w:tr>
        <w:tc>
          <w:tcPr>
            <w:tcW w:type="dxa" w:w="1728"/>
          </w:tcPr>
          <w:p>
            <w:r>
              <w:t>3018</w:t>
            </w:r>
          </w:p>
        </w:tc>
        <w:tc>
          <w:tcPr>
            <w:tcW w:type="dxa" w:w="1728"/>
          </w:tcPr>
          <w:p>
            <w:r>
              <w:t>双抗</w:t>
            </w:r>
          </w:p>
        </w:tc>
        <w:tc>
          <w:tcPr>
            <w:tcW w:type="dxa" w:w="1728"/>
          </w:tcPr>
          <w:p>
            <w:r>
              <w:t>—</w:t>
            </w:r>
          </w:p>
        </w:tc>
        <w:tc>
          <w:tcPr>
            <w:tcW w:type="dxa" w:w="1728"/>
          </w:tcPr>
          <w:p>
            <w:r>
              <w:t>正式申请已于上月提交；外所欧泊（曲国）配合度好</w:t>
            </w:r>
          </w:p>
        </w:tc>
        <w:tc>
          <w:tcPr>
            <w:tcW w:type="dxa" w:w="1728"/>
          </w:tcPr>
          <w:p>
            <w:r>
              <w:t>—</w:t>
            </w:r>
          </w:p>
        </w:tc>
      </w:tr>
      <w:tr>
        <w:tc>
          <w:tcPr>
            <w:tcW w:type="dxa" w:w="1728"/>
          </w:tcPr>
          <w:p>
            <w:r>
              <w:t>3020</w:t>
            </w:r>
          </w:p>
        </w:tc>
        <w:tc>
          <w:tcPr>
            <w:tcW w:type="dxa" w:w="1728"/>
          </w:tcPr>
          <w:p>
            <w:r>
              <w:t>单抗</w:t>
            </w:r>
          </w:p>
        </w:tc>
        <w:tc>
          <w:tcPr>
            <w:tcW w:type="dxa" w:w="1728"/>
          </w:tcPr>
          <w:p>
            <w:r>
              <w:t>—</w:t>
            </w:r>
          </w:p>
        </w:tc>
        <w:tc>
          <w:tcPr>
            <w:tcW w:type="dxa" w:w="1728"/>
          </w:tcPr>
          <w:p>
            <w:r>
              <w:t>新转入项目（原韩国引进后退回，现内部重新开发），收到新交底书</w:t>
            </w:r>
          </w:p>
        </w:tc>
        <w:tc>
          <w:tcPr>
            <w:tcW w:type="dxa" w:w="1728"/>
          </w:tcPr>
          <w:p>
            <w:r>
              <w:t>—</w:t>
            </w:r>
          </w:p>
        </w:tc>
      </w:tr>
      <w:tr>
        <w:tc>
          <w:tcPr>
            <w:tcW w:type="dxa" w:w="1728"/>
          </w:tcPr>
          <w:p>
            <w:r>
              <w:t>3023</w:t>
            </w:r>
          </w:p>
        </w:tc>
        <w:tc>
          <w:tcPr>
            <w:tcW w:type="dxa" w:w="1728"/>
          </w:tcPr>
          <w:p>
            <w:r>
              <w:t>小分子</w:t>
            </w:r>
          </w:p>
        </w:tc>
        <w:tc>
          <w:tcPr>
            <w:tcW w:type="dxa" w:w="1728"/>
          </w:tcPr>
          <w:p>
            <w:r>
              <w:t>GLP-1（多方向 follow）</w:t>
            </w:r>
          </w:p>
        </w:tc>
        <w:tc>
          <w:tcPr>
            <w:tcW w:type="dxa" w:w="1728"/>
          </w:tcPr>
          <w:p>
            <w:r>
              <w:t>放弃两个优先权，争取 8 月定稿正式申请；项目方向选择较为混乱</w:t>
            </w:r>
          </w:p>
        </w:tc>
        <w:tc>
          <w:tcPr>
            <w:tcW w:type="dxa" w:w="1728"/>
          </w:tcPr>
          <w:p>
            <w:r>
              <w:t>—</w:t>
            </w:r>
          </w:p>
        </w:tc>
      </w:tr>
      <w:tr>
        <w:tc>
          <w:tcPr>
            <w:tcW w:type="dxa" w:w="1728"/>
          </w:tcPr>
          <w:p>
            <w:r>
              <w:t>2035</w:t>
            </w:r>
          </w:p>
        </w:tc>
        <w:tc>
          <w:tcPr>
            <w:tcW w:type="dxa" w:w="1728"/>
          </w:tcPr>
          <w:p>
            <w:r>
              <w:t>双抗 ADC</w:t>
            </w:r>
          </w:p>
        </w:tc>
        <w:tc>
          <w:tcPr>
            <w:tcW w:type="dxa" w:w="1728"/>
          </w:tcPr>
          <w:p>
            <w:r>
              <w:t>STEAP1/B7H3</w:t>
            </w:r>
          </w:p>
        </w:tc>
        <w:tc>
          <w:tcPr>
            <w:tcW w:type="dxa" w:w="1728"/>
          </w:tcPr>
          <w:p>
            <w:r>
              <w:t>收到交底书，拟拆为两件申请（单抗 + 双 VHH/ADC）；LP-70 为新 linker-payload</w:t>
            </w:r>
          </w:p>
        </w:tc>
        <w:tc>
          <w:tcPr>
            <w:tcW w:type="dxa" w:w="1728"/>
          </w:tcPr>
          <w:p>
            <w:r>
              <w:t>暂未撰写</w:t>
            </w:r>
          </w:p>
        </w:tc>
      </w:tr>
      <w:tr>
        <w:tc>
          <w:tcPr>
            <w:tcW w:type="dxa" w:w="1728"/>
          </w:tcPr>
          <w:p>
            <w:r>
              <w:t>1013</w:t>
            </w:r>
          </w:p>
        </w:tc>
        <w:tc>
          <w:tcPr>
            <w:tcW w:type="dxa" w:w="1728"/>
          </w:tcPr>
          <w:p>
            <w:r>
              <w:t>多肽</w:t>
            </w:r>
          </w:p>
        </w:tc>
        <w:tc>
          <w:tcPr>
            <w:tcW w:type="dxa" w:w="1728"/>
          </w:tcPr>
          <w:p>
            <w:r>
              <w:t>GLP-1/GIP/Amylin</w:t>
            </w:r>
          </w:p>
        </w:tc>
        <w:tc>
          <w:tcPr>
            <w:tcW w:type="dxa" w:w="1728"/>
          </w:tcPr>
          <w:p>
            <w:r>
              <w:t>PCC 已定；序列错误已发现并补交正确版（见议题 5）</w:t>
            </w:r>
          </w:p>
        </w:tc>
        <w:tc>
          <w:tcPr>
            <w:tcW w:type="dxa" w:w="1728"/>
          </w:tcPr>
          <w:p>
            <w:r>
              <w:t>见议题 5</w:t>
            </w:r>
          </w:p>
        </w:tc>
      </w:tr>
      <w:tr>
        <w:tc>
          <w:tcPr>
            <w:tcW w:type="dxa" w:w="1728"/>
          </w:tcPr>
          <w:p>
            <w:r>
              <w:t>1014</w:t>
            </w:r>
          </w:p>
        </w:tc>
        <w:tc>
          <w:tcPr>
            <w:tcW w:type="dxa" w:w="1728"/>
          </w:tcPr>
          <w:p>
            <w:r>
              <w:t>抗体</w:t>
            </w:r>
          </w:p>
        </w:tc>
        <w:tc>
          <w:tcPr>
            <w:tcW w:type="dxa" w:w="1728"/>
          </w:tcPr>
          <w:p>
            <w:r>
              <w:t>—</w:t>
            </w:r>
          </w:p>
        </w:tc>
        <w:tc>
          <w:tcPr>
            <w:tcW w:type="dxa" w:w="1728"/>
          </w:tcPr>
          <w:p>
            <w:r>
              <w:t>原与石安合作，PCC 后转由华东独立开发；IND 阶段</w:t>
            </w:r>
          </w:p>
        </w:tc>
        <w:tc>
          <w:tcPr>
            <w:tcW w:type="dxa" w:w="1728"/>
          </w:tcPr>
          <w:p>
            <w:r>
              <w:t>即将选择国家</w:t>
            </w:r>
          </w:p>
        </w:tc>
      </w:tr>
      <w:tr>
        <w:tc>
          <w:tcPr>
            <w:tcW w:type="dxa" w:w="1728"/>
          </w:tcPr>
          <w:p>
            <w:r>
              <w:t>2033</w:t>
            </w:r>
          </w:p>
        </w:tc>
        <w:tc>
          <w:tcPr>
            <w:tcW w:type="dxa" w:w="1728"/>
          </w:tcPr>
          <w:p>
            <w:r>
              <w:t>小分子</w:t>
            </w:r>
          </w:p>
        </w:tc>
        <w:tc>
          <w:tcPr>
            <w:tcW w:type="dxa" w:w="1728"/>
          </w:tcPr>
          <w:p>
            <w:r>
              <w:t>—</w:t>
            </w:r>
          </w:p>
        </w:tc>
        <w:tc>
          <w:tcPr>
            <w:tcW w:type="dxa" w:w="1728"/>
          </w:tcPr>
          <w:p>
            <w:r>
              <w:t>Follow 方向落入 Sofarm 新公开专利范围，研发暂停</w:t>
            </w:r>
          </w:p>
        </w:tc>
        <w:tc>
          <w:tcPr>
            <w:tcW w:type="dxa" w:w="1728"/>
          </w:tcPr>
          <w:p>
            <w:r>
              <w:t>发明人签名缺失导致无法更新优先权</w:t>
            </w:r>
          </w:p>
        </w:tc>
      </w:tr>
      <w:tr>
        <w:tc>
          <w:tcPr>
            <w:tcW w:type="dxa" w:w="1728"/>
          </w:tcPr>
          <w:p>
            <w:r>
              <w:t>3021</w:t>
            </w:r>
          </w:p>
        </w:tc>
        <w:tc>
          <w:tcPr>
            <w:tcW w:type="dxa" w:w="1728"/>
          </w:tcPr>
          <w:p>
            <w:r>
              <w:t>CAR-T</w:t>
            </w:r>
          </w:p>
        </w:tc>
        <w:tc>
          <w:tcPr>
            <w:tcW w:type="dxa" w:w="1728"/>
          </w:tcPr>
          <w:p>
            <w:r>
              <w:t>CD19/BCMA</w:t>
            </w:r>
          </w:p>
        </w:tc>
        <w:tc>
          <w:tcPr>
            <w:tcW w:type="dxa" w:w="1728"/>
          </w:tcPr>
          <w:p>
            <w:r>
              <w:t>项目暂停；与康柏玉合作</w:t>
            </w:r>
          </w:p>
        </w:tc>
        <w:tc>
          <w:tcPr>
            <w:tcW w:type="dxa" w:w="1728"/>
          </w:tcPr>
          <w:p>
            <w:r>
              <w:t>专利仍在处理中</w:t>
            </w:r>
          </w:p>
        </w:tc>
      </w:tr>
      <w:tr>
        <w:tc>
          <w:tcPr>
            <w:tcW w:type="dxa" w:w="1728"/>
          </w:tcPr>
          <w:p>
            <w:r>
              <w:t>2006</w:t>
            </w:r>
          </w:p>
        </w:tc>
        <w:tc>
          <w:tcPr>
            <w:tcW w:type="dxa" w:w="1728"/>
          </w:tcPr>
          <w:p>
            <w:r>
              <w:t>PROTAC</w:t>
            </w:r>
          </w:p>
        </w:tc>
        <w:tc>
          <w:tcPr>
            <w:tcW w:type="dxa" w:w="1728"/>
          </w:tcPr>
          <w:p>
            <w:r>
              <w:t>—</w:t>
            </w:r>
          </w:p>
        </w:tc>
        <w:tc>
          <w:tcPr>
            <w:tcW w:type="dxa" w:w="1728"/>
          </w:tcPr>
          <w:p>
            <w:r>
              <w:t>项目存续但无新经费；一期临床逾两年无进展</w:t>
            </w:r>
          </w:p>
        </w:tc>
        <w:tc>
          <w:tcPr>
            <w:tcW w:type="dxa" w:w="1728"/>
          </w:tcPr>
          <w:p>
            <w:r>
              <w:t>—</w:t>
            </w:r>
          </w:p>
        </w:tc>
      </w:tr>
      <w:tr>
        <w:tc>
          <w:tcPr>
            <w:tcW w:type="dxa" w:w="1728"/>
          </w:tcPr>
          <w:p>
            <w:r>
              <w:t>706</w:t>
            </w:r>
          </w:p>
        </w:tc>
        <w:tc>
          <w:tcPr>
            <w:tcW w:type="dxa" w:w="1728"/>
          </w:tcPr>
          <w:p>
            <w:r>
              <w:t>小分子（兽药）</w:t>
            </w:r>
          </w:p>
        </w:tc>
        <w:tc>
          <w:tcPr>
            <w:tcW w:type="dxa" w:w="1728"/>
          </w:tcPr>
          <w:p>
            <w:r>
              <w:t>GLP-1（猫/犬减重）</w:t>
            </w:r>
          </w:p>
        </w:tc>
        <w:tc>
          <w:tcPr>
            <w:tcW w:type="dxa" w:w="1728"/>
          </w:tcPr>
          <w:p>
            <w:r>
              <w:t>上市申请收到发补意见，需重开临床三期</w:t>
            </w:r>
          </w:p>
        </w:tc>
        <w:tc>
          <w:tcPr>
            <w:tcW w:type="dxa" w:w="1728"/>
          </w:tcPr>
          <w:p>
            <w:r>
              <w:t>全犬减重同样面临增补指标要求</w:t>
            </w:r>
          </w:p>
        </w:tc>
      </w:tr>
      <w:tr>
        <w:tc>
          <w:tcPr>
            <w:tcW w:type="dxa" w:w="1728"/>
          </w:tcPr>
          <w:p>
            <w:r>
              <w:t>P007</w:t>
            </w:r>
          </w:p>
        </w:tc>
        <w:tc>
          <w:tcPr>
            <w:tcW w:type="dxa" w:w="1728"/>
          </w:tcPr>
          <w:p>
            <w:r>
              <w:t>小核酸</w:t>
            </w:r>
          </w:p>
        </w:tc>
        <w:tc>
          <w:tcPr>
            <w:tcW w:type="dxa" w:w="1728"/>
          </w:tcPr>
          <w:p>
            <w:r>
              <w:t>RBP4（眼科）</w:t>
            </w:r>
          </w:p>
        </w:tc>
        <w:tc>
          <w:tcPr>
            <w:tcW w:type="dxa" w:w="1728"/>
          </w:tcPr>
          <w:p>
            <w:r>
              <w:t>筛出三个缀合物候选；委外检索无高风险发现</w:t>
            </w:r>
          </w:p>
        </w:tc>
        <w:tc>
          <w:tcPr>
            <w:tcW w:type="dxa" w:w="1728"/>
          </w:tcPr>
          <w:p>
            <w:r>
              <w:t>—</w:t>
            </w:r>
          </w:p>
        </w:tc>
      </w:tr>
    </w:tbl>
    <w:p/>
    <w:p>
      <w:r>
        <w:rPr>
          <w:b/>
          <w:sz w:val="24"/>
        </w:rPr>
        <w:t>议题 8：海德堡合作进展与浙大引进项目</w:t>
      </w:r>
    </w:p>
    <w:p>
      <w:pPr>
        <w:pStyle w:val="ListBullet"/>
      </w:pPr>
      <w:r/>
      <w:r>
        <w:rPr>
          <w:b/>
        </w:rPr>
        <w:t>海德堡合作</w:t>
      </w:r>
      <w:r>
        <w:t>：双方靶点已确定，正在走协议流程。项目组希望先以小于 500 万的意向在集团备案，由公司层面（于总签字）自主推进，到 PCC 认定时再上会决策。海德堡方面核心人员（BD、研发、专利）大量离职，目前实质由华东主导推进。</w:t>
      </w:r>
    </w:p>
    <w:p>
      <w:pPr>
        <w:pStyle w:val="ListBullet"/>
      </w:pPr>
      <w:r/>
      <w:r>
        <w:rPr>
          <w:b/>
        </w:rPr>
        <w:t>浙大引进项目</w:t>
      </w:r>
      <w:r>
        <w:t>：镇痛药分子引进评估中。林晨等人在看药理/药代数据。张宇辰已要求对方提供结构式、FTO 信息及翻译件，并在签保密协议前先签侵权免责条款。</w:t>
      </w:r>
    </w:p>
    <w:p>
      <w:r>
        <w:rPr>
          <w:b/>
          <w:sz w:val="24"/>
        </w:rPr>
        <w:t>议题 9：MB（MBC）案件月度跟进</w:t>
      </w:r>
    </w:p>
    <w:p>
      <w:pPr>
        <w:pStyle w:val="ListBullet"/>
      </w:pPr>
      <w:r>
        <w:t>H005 案件因推进性问题（郑骏方处数据做不出来），拟放弃进入台湾和中国，将在 6 月 3 日的 MB 例会口头告知。</w:t>
      </w:r>
    </w:p>
    <w:p>
      <w:pPr>
        <w:pStyle w:val="ListBullet"/>
      </w:pPr>
      <w:r>
        <w:t>澳门外观设计授权后年费监控问题：Christine（对方 IP）表示不再监控该费用，需与 MB 确认是否转由康信监控。</w:t>
      </w:r>
    </w:p>
    <w:p>
      <w:pPr>
        <w:pStyle w:val="ListBullet"/>
      </w:pPr>
      <w:r>
        <w:t>其他 MB 案件：本月收到 OA 和答复均已上传数据库，无重大事项。</w:t>
      </w:r>
    </w:p>
    <w:p>
      <w:r>
        <w:t>────────────────────────────────────────────────────────────</w:t>
      </w:r>
    </w:p>
    <w:p>
      <w:r>
        <w:rPr>
          <w:b/>
          <w:sz w:val="28"/>
        </w:rPr>
        <w:t>三、已确定的决策</w:t>
      </w:r>
    </w:p>
    <w:p>
      <w:pPr>
        <w:pStyle w:val="ListBullet"/>
      </w:pPr>
      <w:r/>
      <w:r>
        <w:rPr>
          <w:b/>
        </w:rPr>
        <w:t>专利跟踪表格统一格式</w:t>
      </w:r>
      <w:r>
        <w:t>：统一使用数字（0/1 表示是否授权、具体数字表示件数）、正式申请号、国家选择/进入数量。责任人：张宇辰，完成时间：7 月例会前。</w:t>
      </w:r>
    </w:p>
    <w:p>
      <w:pPr>
        <w:pStyle w:val="ListBullet"/>
      </w:pPr>
      <w:r/>
      <w:r>
        <w:rPr>
          <w:b/>
        </w:rPr>
        <w:t>1013 优先权序列错误</w:t>
      </w:r>
      <w:r>
        <w:t>：保留第一份优先权，同时整理证据链并咨询代理所/海外律师意见。责任人：姜信欣，完成时间：尽快。</w:t>
      </w:r>
    </w:p>
    <w:p>
      <w:pPr>
        <w:pStyle w:val="ListBullet"/>
      </w:pPr>
      <w:r/>
      <w:r>
        <w:rPr>
          <w:b/>
        </w:rPr>
        <w:t>欧洲生效国统计口径</w:t>
      </w:r>
      <w:r>
        <w:t>：已选择国家中欧洲默认按全部 30+ 生效国计入。责任人：张宇辰，立即执行。</w:t>
      </w:r>
    </w:p>
    <w:p>
      <w:pPr>
        <w:pStyle w:val="ListBullet"/>
      </w:pPr>
      <w:r/>
      <w:r>
        <w:rPr>
          <w:b/>
        </w:rPr>
        <w:t>2005 生产场地确认</w:t>
      </w:r>
      <w:r>
        <w:t>：确认抗体和毒素的生产地点（CMC 负责人李帅），了解二期至三期的生产安排。责任人：张宇辰。</w:t>
      </w:r>
    </w:p>
    <w:p>
      <w:pPr>
        <w:pStyle w:val="ListBullet"/>
      </w:pPr>
      <w:r/>
      <w:r>
        <w:rPr>
          <w:b/>
        </w:rPr>
        <w:t>1005 权利要求与说明书对应关系排查</w:t>
      </w:r>
      <w:r>
        <w:t>：确认已授权专利权利要求能否覆盖未来药品说明书中表述的产品形态。责任人：姜信欣，完成时间：尽快。</w:t>
      </w:r>
    </w:p>
    <w:p>
      <w:pPr>
        <w:pStyle w:val="ListBullet"/>
      </w:pPr>
      <w:r/>
      <w:r>
        <w:rPr>
          <w:b/>
        </w:rPr>
        <w:t>PTE 专题讨论</w:t>
      </w:r>
      <w:r>
        <w:t>：7 月例会安排一次 PTE 案例和公司产品 PTE 前景专题讨论。责任人：姜信欣，完成时间：7 月例会。</w:t>
      </w:r>
    </w:p>
    <w:p>
      <w:r>
        <w:t>────────────────────────────────────────────────────────────</w:t>
      </w:r>
    </w:p>
    <w:p>
      <w:r>
        <w:rPr>
          <w:b/>
          <w:sz w:val="28"/>
        </w:rPr>
        <w:t>四、后续待办事项（TODO）</w:t>
      </w:r>
    </w:p>
    <w:p>
      <w:pPr>
        <w:pStyle w:val="ListBullet"/>
      </w:pPr>
      <w:r/>
      <w:r>
        <w:rPr>
          <w:b/>
        </w:rPr>
        <w:t>张宇辰</w:t>
      </w:r>
      <w:r>
        <w:t>：在 7 月例会前完成所有项目专利跟踪表格式统一修改；确认 2005 抗体/毒素生产场地；联系苏文君了解药品注册申报资料中抗体结构描述方式；申请查阅艾拉赫（Elahere）和阿卡里斯特（Akalux）的中美注册申报资料（涉密流程走部门联系单）。</w:t>
      </w:r>
    </w:p>
    <w:p>
      <w:pPr>
        <w:pStyle w:val="ListBullet"/>
      </w:pPr>
      <w:r/>
      <w:r>
        <w:rPr>
          <w:b/>
        </w:rPr>
        <w:t>姜信欣</w:t>
      </w:r>
      <w:r>
        <w:t>：整理 1013 优先权错误证据链（技术交底书、研发原始数据、版本记录），咨询代理所和海外律师意见；排查 1005 已授权专利权利要求与说明书对应关系，确认是否需分案争取更优范围；确认 1005 药品申报路径及生产场地细节（MAH、多肽合成地点、中间体来源）；补充 MB 相关项目（1014、3021、7008）的专利跟踪表；修改 1005 项目 PPT 中的时间线和临床信息标注方式。</w:t>
      </w:r>
    </w:p>
    <w:p>
      <w:pPr>
        <w:pStyle w:val="ListBullet"/>
      </w:pPr>
      <w:r/>
      <w:r>
        <w:rPr>
          <w:b/>
        </w:rPr>
        <w:t>张辉</w:t>
      </w:r>
      <w:r>
        <w:t>：7 月统计所有项目的国家选择/进入/授权数据。</w:t>
      </w:r>
    </w:p>
    <w:p>
      <w:r>
        <w:t>────────────────────────────────────────────────────────────</w:t>
      </w:r>
    </w:p>
    <w:p>
      <w:r>
        <w:rPr>
          <w:b/>
          <w:sz w:val="28"/>
        </w:rPr>
        <w:t>五、风险与待确认事项</w:t>
      </w:r>
    </w:p>
    <w:p>
      <w:pPr>
        <w:pStyle w:val="ListBullet"/>
      </w:pPr>
      <w:r/>
      <w:r>
        <w:rPr>
          <w:b/>
        </w:rPr>
        <w:t>STAT6 PROTAC 竞争风险</w:t>
      </w:r>
      <w:r>
        <w:t>：11 月申请公开前，无法判断竞品跟进程度；分子 048 的 warhead 为现有技术，存在体内降解产物落入他人专利范围的理论风险。</w:t>
      </w:r>
    </w:p>
    <w:p>
      <w:pPr>
        <w:pStyle w:val="ListBullet"/>
      </w:pPr>
      <w:r/>
      <w:r>
        <w:rPr>
          <w:b/>
        </w:rPr>
        <w:t>双抗平台专利（美国授权）</w:t>
      </w:r>
      <w:r>
        <w:t>：虽被认为稳定性差，但当前仍为有效授权专利，需持续关注是否有人发起无效。</w:t>
      </w:r>
    </w:p>
    <w:p>
      <w:pPr>
        <w:pStyle w:val="ListBullet"/>
      </w:pPr>
      <w:r/>
      <w:r>
        <w:rPr>
          <w:b/>
        </w:rPr>
        <w:t>PTE 获批风险</w:t>
      </w:r>
      <w:r>
        <w:t>：盐的水合物 vs. 化合物的 PTE 审查口径趋严，公司产品（API 为盐的一水合物而权利要求仅保护化合物或其药用盐）大概率面临类似拒绝，需提前预案。</w:t>
      </w:r>
    </w:p>
    <w:p>
      <w:pPr>
        <w:pStyle w:val="ListBullet"/>
      </w:pPr>
      <w:r/>
      <w:r>
        <w:rPr>
          <w:b/>
        </w:rPr>
        <w:t>1013 优先权序列错误</w:t>
      </w:r>
      <w:r>
        <w:t>：保留第一份优先权存在未来被质疑的风险（合理可解释但需充分举证）。已要求整理证据并征求外部律师意见。</w:t>
      </w:r>
    </w:p>
    <w:p>
      <w:pPr>
        <w:pStyle w:val="ListBullet"/>
      </w:pPr>
      <w:r/>
      <w:r>
        <w:rPr>
          <w:b/>
        </w:rPr>
        <w:t>国家选择协调</w:t>
      </w:r>
      <w:r>
        <w:t>：陈丽敏团队人员紧张，2005 项目国家选择意见整合尚未完成。后续项目（2017 等）的国家选择需提前规划。</w:t>
      </w:r>
    </w:p>
    <w:p>
      <w:pPr>
        <w:pStyle w:val="ListBullet"/>
      </w:pPr>
      <w:r/>
      <w:r>
        <w:rPr>
          <w:b/>
        </w:rPr>
        <w:t>2033/3013 项目发明人签名缺失</w:t>
      </w:r>
      <w:r>
        <w:t>：吴国方面未提供发明人身份证号码，导致无法提交优先权更新，项目处于"裸奔"状态。</w:t>
      </w:r>
    </w:p>
    <w:p>
      <w:pPr>
        <w:pStyle w:val="ListBullet"/>
      </w:pPr>
      <w:r/>
      <w:r>
        <w:rPr>
          <w:b/>
        </w:rPr>
        <w:t>MB 澳门外观设计年费监控</w:t>
      </w:r>
      <w:r>
        <w:t>：Christine 表示不再监控，需与 MB 确认后续由谁负责。</w:t>
      </w:r>
    </w:p>
    <w:p>
      <w:pPr>
        <w:pStyle w:val="ListBullet"/>
      </w:pPr>
      <w:r/>
      <w:r>
        <w:rPr>
          <w:b/>
        </w:rPr>
        <w:t>1005 与 Apple Tale 联用项目（1012）暂停</w:t>
      </w:r>
      <w:r>
        <w:t>：因 Apple Tale 的 PTE 获批时间不确定，项目暂停。Apple Tale 的 PTE 审查仍在进行中（最近查询时间 5 月 13 日）。</w:t>
      </w:r>
    </w:p>
    <w:p>
      <w:pPr>
        <w:pStyle w:val="ListBullet"/>
      </w:pPr>
      <w:r/>
      <w:r>
        <w:rPr>
          <w:b/>
        </w:rPr>
        <w:t>浙大引进项目</w:t>
      </w:r>
      <w:r>
        <w:t>：尚未收到对方提供的结构式和 FTO 信息，无法开展专利评估。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