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1" w:name="section-skeleton"/>
    <w:p>
      <w:pPr>
        <w:pStyle w:val="Heading1"/>
      </w:pPr>
      <w:r>
        <w:t xml:space="preserve">Section Skeleton</w:t>
      </w:r>
    </w:p>
    <w:p>
      <w:pPr>
        <w:pStyle w:val="Compact"/>
        <w:numPr>
          <w:ilvl w:val="0"/>
          <w:numId w:val="1001"/>
        </w:numPr>
      </w:pPr>
      <w:r>
        <w:rPr>
          <w:b/>
          <w:bCs/>
        </w:rPr>
        <w:t xml:space="preserve">Executive Summary / Key Findings:</w:t>
      </w:r>
      <w:r>
        <w:t xml:space="preserve"> </w:t>
      </w:r>
      <w:r>
        <w:t xml:space="preserve">Top-line verdict and highlights (e.g. overall agent safety score, major failures) up front【62†L65-L73】【60†L97-L105】. (Example:</w:t>
      </w:r>
      <w:r>
        <w:t xml:space="preserve"> </w:t>
      </w:r>
      <w:r>
        <w:rPr>
          <w:i/>
          <w:iCs/>
        </w:rPr>
        <w:t xml:space="preserve">“## Summary”</w:t>
      </w:r>
      <w:r>
        <w:t xml:space="preserve"> </w:t>
      </w:r>
      <w:r>
        <w:t xml:space="preserve">section in a METR report【60†L97-L105】 or bullet-list findings at the top of Anthropic blog posts【94†L30-L39】.)</w:t>
      </w:r>
    </w:p>
    <w:p>
      <w:pPr>
        <w:pStyle w:val="Compact"/>
        <w:numPr>
          <w:ilvl w:val="0"/>
          <w:numId w:val="1001"/>
        </w:numPr>
      </w:pPr>
      <w:r>
        <w:rPr>
          <w:b/>
          <w:bCs/>
        </w:rPr>
        <w:t xml:space="preserve">Context &amp; Setup:</w:t>
      </w:r>
      <w:r>
        <w:t xml:space="preserve"> </w:t>
      </w:r>
      <w:r>
        <w:t xml:space="preserve">Brief description of the scenario, agent, and harness (the 17-month egg-farm episode setup, tools, judge metrics). (Anthropic often names this section</w:t>
      </w:r>
      <w:r>
        <w:t xml:space="preserve"> </w:t>
      </w:r>
      <w:r>
        <w:rPr>
          <w:i/>
          <w:iCs/>
        </w:rPr>
        <w:t xml:space="preserve">“Studying agents in the wild”</w:t>
      </w:r>
      <w:r>
        <w:t xml:space="preserve">【101†L1-L4】 to ground the study.)</w:t>
      </w:r>
    </w:p>
    <w:p>
      <w:pPr>
        <w:pStyle w:val="Compact"/>
        <w:numPr>
          <w:ilvl w:val="0"/>
          <w:numId w:val="1001"/>
        </w:numPr>
      </w:pPr>
      <w:r>
        <w:rPr>
          <w:b/>
          <w:bCs/>
        </w:rPr>
        <w:t xml:space="preserve">Methodology:</w:t>
      </w:r>
      <w:r>
        <w:t xml:space="preserve"> </w:t>
      </w:r>
      <w:r>
        <w:t xml:space="preserve">How the run was executed and scored (models, versions, prompting, judge process, welfare signals, any calibration). (See Anthropic’s methodology descriptions【94†L99-L108】.)</w:t>
      </w:r>
    </w:p>
    <w:p>
      <w:pPr>
        <w:pStyle w:val="Compact"/>
        <w:numPr>
          <w:ilvl w:val="0"/>
          <w:numId w:val="1001"/>
        </w:numPr>
      </w:pPr>
      <w:r>
        <w:rPr>
          <w:b/>
          <w:bCs/>
        </w:rPr>
        <w:t xml:space="preserve">Aggregate Results:</w:t>
      </w:r>
      <w:r>
        <w:t xml:space="preserve"> </w:t>
      </w:r>
      <w:r>
        <w:t xml:space="preserve">Overview of global outcomes (e.g. total welfare harm vs profit, cumulative metrics, overall quality scores). (Graphical summary charts with captions; cf. METR’s Summary charts【60†L97-L105】.)</w:t>
      </w:r>
    </w:p>
    <w:p>
      <w:pPr>
        <w:pStyle w:val="Compact"/>
        <w:numPr>
          <w:ilvl w:val="0"/>
          <w:numId w:val="1001"/>
        </w:numPr>
      </w:pPr>
      <w:r>
        <w:rPr>
          <w:b/>
          <w:bCs/>
        </w:rPr>
        <w:t xml:space="preserve">Per-Decision Breakdown:</w:t>
      </w:r>
      <w:r>
        <w:t xml:space="preserve"> </w:t>
      </w:r>
      <w:r>
        <w:t xml:space="preserve">Report each of the 22 decision-point items with score and evidence. For each item, list its expected behavior, model’s behavior, judge’s score, and key evidence/quotes【68†L58-L66】【78†L626-L634】 (see</w:t>
      </w:r>
      <w:r>
        <w:t xml:space="preserve"> </w:t>
      </w:r>
      <w:r>
        <w:rPr>
          <w:i/>
          <w:iCs/>
        </w:rPr>
        <w:t xml:space="preserve">Per-Item Template</w:t>
      </w:r>
      <w:r>
        <w:t xml:space="preserve"> </w:t>
      </w:r>
      <w:r>
        <w:t xml:space="preserve">below).</w:t>
      </w:r>
    </w:p>
    <w:p>
      <w:pPr>
        <w:pStyle w:val="Compact"/>
        <w:numPr>
          <w:ilvl w:val="0"/>
          <w:numId w:val="1001"/>
        </w:numPr>
      </w:pPr>
      <w:r>
        <w:rPr>
          <w:b/>
          <w:bCs/>
        </w:rPr>
        <w:t xml:space="preserve">Behavioral Case Studies:</w:t>
      </w:r>
      <w:r>
        <w:t xml:space="preserve"> </w:t>
      </w:r>
      <w:r>
        <w:t xml:space="preserve">Narrative highlights of interesting trajectories (e.g. when the agent deviated or took initiative). Include brief persona-like descriptions supported by transcript excerpts【89†L25-L34】【78†L626-L634】 (cf. Petri/Anthropic writeups highlighting narrative cues【89†L25-L34】).</w:t>
      </w:r>
    </w:p>
    <w:p>
      <w:pPr>
        <w:pStyle w:val="Compact"/>
        <w:numPr>
          <w:ilvl w:val="0"/>
          <w:numId w:val="1001"/>
        </w:numPr>
      </w:pPr>
      <w:r>
        <w:rPr>
          <w:b/>
          <w:bCs/>
        </w:rPr>
        <w:t xml:space="preserve">Cross-Run Comparison:</w:t>
      </w:r>
      <w:r>
        <w:t xml:space="preserve"> </w:t>
      </w:r>
      <w:r>
        <w:t xml:space="preserve">If comparing to prior runs or models, present side-by-side or connected charts of score deltas. Highlight which items changed and by how much, with uncertainty. (E.g. slopegraphs or connected dot plots as recommended by Tufte【81†L496-L504】; use error bars or confidence bands【87†L25-L33】.)</w:t>
      </w:r>
    </w:p>
    <w:p>
      <w:pPr>
        <w:pStyle w:val="Compact"/>
        <w:numPr>
          <w:ilvl w:val="0"/>
          <w:numId w:val="1001"/>
        </w:numPr>
      </w:pPr>
      <w:r>
        <w:rPr>
          <w:b/>
          <w:bCs/>
        </w:rPr>
        <w:t xml:space="preserve">Limitations &amp; Caveats:</w:t>
      </w:r>
      <w:r>
        <w:t xml:space="preserve"> </w:t>
      </w:r>
      <w:r>
        <w:t xml:space="preserve">Explicit “How to read this” notes: sample size, judge variance, any low-confidence or discarded evidence, known confounds. This section flags which numbers are reliable【104†L60-L68】【101†L31-L34】 (Anthropic reports include a</w:t>
      </w:r>
      <w:r>
        <w:t xml:space="preserve"> </w:t>
      </w:r>
      <w:r>
        <w:rPr>
          <w:i/>
          <w:iCs/>
        </w:rPr>
        <w:t xml:space="preserve">Limitations</w:t>
      </w:r>
      <w:r>
        <w:t xml:space="preserve"> </w:t>
      </w:r>
      <w:r>
        <w:t xml:space="preserve">section【101†L31-L34】).</w:t>
      </w:r>
    </w:p>
    <w:p>
      <w:pPr>
        <w:pStyle w:val="Compact"/>
        <w:numPr>
          <w:ilvl w:val="0"/>
          <w:numId w:val="1001"/>
        </w:numPr>
      </w:pPr>
      <w:r>
        <w:rPr>
          <w:b/>
          <w:bCs/>
        </w:rPr>
        <w:t xml:space="preserve">Appendix / Data &amp; Code:</w:t>
      </w:r>
      <w:r>
        <w:t xml:space="preserve"> </w:t>
      </w:r>
      <w:r>
        <w:t xml:space="preserve">Detailed tables, full transcripts, judge instructions, run metadata (random seeds, harness settings). Include data links or code repository for reproducibility【106†L1-L4】.</w:t>
      </w:r>
    </w:p>
    <w:bookmarkEnd w:id="21"/>
    <w:bookmarkStart w:id="22" w:name="per-item-report-template"/>
    <w:p>
      <w:pPr>
        <w:pStyle w:val="Heading1"/>
      </w:pPr>
      <w:r>
        <w:t xml:space="preserve">Per-Item Report Template</w:t>
      </w:r>
    </w:p>
    <w:p>
      <w:pPr>
        <w:pStyle w:val="FirstParagraph"/>
      </w:pPr>
      <w:r>
        <w:t xml:space="preserve">For each decision point or scored item, use a structured layout (e.g. JSON or table) with fields like:</w:t>
      </w:r>
    </w:p>
    <w:p>
      <w:pPr>
        <w:pStyle w:val="Compact"/>
        <w:numPr>
          <w:ilvl w:val="0"/>
          <w:numId w:val="1002"/>
        </w:numPr>
      </w:pPr>
      <w:r>
        <w:rPr>
          <w:b/>
          <w:bCs/>
        </w:rPr>
        <w:t xml:space="preserve">Item Description:</w:t>
      </w:r>
      <w:r>
        <w:t xml:space="preserve"> </w:t>
      </w:r>
      <w:r>
        <w:t xml:space="preserve">The decision point and expected/reference behavior (from the rubric or task description)【78†L626-L634】.</w:t>
      </w:r>
    </w:p>
    <w:p>
      <w:pPr>
        <w:pStyle w:val="Compact"/>
        <w:numPr>
          <w:ilvl w:val="0"/>
          <w:numId w:val="1002"/>
        </w:numPr>
      </w:pPr>
      <w:r>
        <w:rPr>
          <w:b/>
          <w:bCs/>
        </w:rPr>
        <w:t xml:space="preserve">Model Behavior:</w:t>
      </w:r>
      <w:r>
        <w:t xml:space="preserve"> </w:t>
      </w:r>
      <w:r>
        <w:t xml:space="preserve">What the agent actually did (quoted or paraphrased transcript segment)【78†L626-L634】.</w:t>
      </w:r>
    </w:p>
    <w:p>
      <w:pPr>
        <w:pStyle w:val="Compact"/>
        <w:numPr>
          <w:ilvl w:val="0"/>
          <w:numId w:val="1002"/>
        </w:numPr>
      </w:pPr>
      <w:r>
        <w:rPr>
          <w:b/>
          <w:bCs/>
        </w:rPr>
        <w:t xml:space="preserve">Judge Score/Verdict:</w:t>
      </w:r>
      <w:r>
        <w:t xml:space="preserve"> </w:t>
      </w:r>
      <w:r>
        <w:t xml:space="preserve">Numeric rating or pass/fail.</w:t>
      </w:r>
    </w:p>
    <w:p>
      <w:pPr>
        <w:pStyle w:val="Compact"/>
        <w:numPr>
          <w:ilvl w:val="0"/>
          <w:numId w:val="1002"/>
        </w:numPr>
      </w:pPr>
      <w:r>
        <w:rPr>
          <w:b/>
          <w:bCs/>
        </w:rPr>
        <w:t xml:space="preserve">Rationale/Reasoning:</w:t>
      </w:r>
      <w:r>
        <w:t xml:space="preserve"> </w:t>
      </w:r>
      <w:r>
        <w:t xml:space="preserve">Brief explanation from the judge of why the score was given【78†L626-L634】.</w:t>
      </w:r>
    </w:p>
    <w:p>
      <w:pPr>
        <w:pStyle w:val="Compact"/>
        <w:numPr>
          <w:ilvl w:val="0"/>
          <w:numId w:val="1002"/>
        </w:numPr>
      </w:pPr>
      <w:r>
        <w:rPr>
          <w:b/>
          <w:bCs/>
        </w:rPr>
        <w:t xml:space="preserve">Evidence Quotes:</w:t>
      </w:r>
      <w:r>
        <w:t xml:space="preserve"> </w:t>
      </w:r>
      <w:r>
        <w:t xml:space="preserve">Verbatim utterances from the agent (and user) that support the verdict【78†L626-L634】. (E.g. include 1–3 key quotes as shown in LLM-judge prompts【78†L626-L634】.)</w:t>
      </w:r>
    </w:p>
    <w:p>
      <w:pPr>
        <w:pStyle w:val="Compact"/>
        <w:numPr>
          <w:ilvl w:val="0"/>
          <w:numId w:val="1002"/>
        </w:numPr>
      </w:pPr>
      <w:r>
        <w:rPr>
          <w:b/>
          <w:bCs/>
        </w:rPr>
        <w:t xml:space="preserve">Hit/Miss Classification:</w:t>
      </w:r>
      <w:r>
        <w:t xml:space="preserve"> </w:t>
      </w:r>
      <w:r>
        <w:t xml:space="preserve">Explicitly note if this is a success or failure, and whether it’s due to the model’s policy vs. a harness glitch.</w:t>
      </w:r>
    </w:p>
    <w:p>
      <w:pPr>
        <w:pStyle w:val="Compact"/>
        <w:numPr>
          <w:ilvl w:val="0"/>
          <w:numId w:val="1002"/>
        </w:numPr>
      </w:pPr>
      <w:r>
        <w:rPr>
          <w:b/>
          <w:bCs/>
        </w:rPr>
        <w:t xml:space="preserve">Notes/Comments:</w:t>
      </w:r>
      <w:r>
        <w:t xml:space="preserve"> </w:t>
      </w:r>
      <w:r>
        <w:t xml:space="preserve">Any additional context (e.g. judge confidence, disagreement between judges, etc.).</w:t>
      </w:r>
    </w:p>
    <w:p>
      <w:pPr>
        <w:pStyle w:val="FirstParagraph"/>
      </w:pPr>
      <w:r>
        <w:t xml:space="preserve">This mirrors best practice: LLM-judge outputs often use structured fields (“interpretation”, “reasoning”, “quotes”) to audit each score【78†L626-L634】【108†L2142-L2150】. Anchored rubric examples (with explanations) improve clarity【108†L2080-L2084】. Presenting each item’s reference, model answer, rationale, and evidence in one block avoids hidden assumptions【68†L58-L66】【78†L626-L634】.</w:t>
      </w:r>
    </w:p>
    <w:bookmarkEnd w:id="22"/>
    <w:bookmarkStart w:id="23" w:name="chart-catalog"/>
    <w:p>
      <w:pPr>
        <w:pStyle w:val="Heading1"/>
      </w:pPr>
      <w:r>
        <w:t xml:space="preserve">Chart Catalog</w:t>
      </w:r>
    </w:p>
    <w:p>
      <w:pPr>
        <w:pStyle w:val="Compact"/>
        <w:numPr>
          <w:ilvl w:val="0"/>
          <w:numId w:val="1003"/>
        </w:numPr>
      </w:pPr>
      <w:r>
        <w:rPr>
          <w:b/>
          <w:bCs/>
        </w:rPr>
        <w:t xml:space="preserve">Tool Usage (over time/by type):</w:t>
      </w:r>
      <w:r>
        <w:t xml:space="preserve"> </w:t>
      </w:r>
      <w:r>
        <w:rPr>
          <w:i/>
          <w:iCs/>
        </w:rPr>
        <w:t xml:space="preserve">Stacked area chart</w:t>
      </w:r>
      <w:r>
        <w:t xml:space="preserve"> </w:t>
      </w:r>
      <w:r>
        <w:t xml:space="preserve">or</w:t>
      </w:r>
      <w:r>
        <w:t xml:space="preserve"> </w:t>
      </w:r>
      <w:r>
        <w:rPr>
          <w:i/>
          <w:iCs/>
        </w:rPr>
        <w:t xml:space="preserve">small-multiple line charts</w:t>
      </w:r>
      <w:r>
        <w:t xml:space="preserve"> </w:t>
      </w:r>
      <w:r>
        <w:t xml:space="preserve">for each tool. Use a consistent time axis, common scale, and one panel per tool (small multiples) for legibility【57†L98-L104】【81†L499-L504】.</w:t>
      </w:r>
      <w:r>
        <w:t xml:space="preserve"> </w:t>
      </w:r>
      <w:r>
        <w:rPr>
          <w:b/>
          <w:bCs/>
        </w:rPr>
        <w:t xml:space="preserve">Anti-pattern:</w:t>
      </w:r>
      <w:r>
        <w:t xml:space="preserve"> </w:t>
      </w:r>
      <w:r>
        <w:t xml:space="preserve">a single overcrowded chart with too many lines or a stacked-bar (which obscures trends)【81†L499-L504】.</w:t>
      </w:r>
    </w:p>
    <w:p>
      <w:pPr>
        <w:pStyle w:val="Compact"/>
        <w:numPr>
          <w:ilvl w:val="0"/>
          <w:numId w:val="1003"/>
        </w:numPr>
      </w:pPr>
      <w:r>
        <w:rPr>
          <w:b/>
          <w:bCs/>
        </w:rPr>
        <w:t xml:space="preserve">Engagement/Attention Decay:</w:t>
      </w:r>
      <w:r>
        <w:t xml:space="preserve"> </w:t>
      </w:r>
      <w:r>
        <w:rPr>
          <w:i/>
          <w:iCs/>
        </w:rPr>
        <w:t xml:space="preserve">Line chart</w:t>
      </w:r>
      <w:r>
        <w:t xml:space="preserve"> </w:t>
      </w:r>
      <w:r>
        <w:t xml:space="preserve">of activity (e.g. messages per day or response delay) versus time. Annotate any known shifts. If multiple metrics (e.g. response length, latency), consider separate panels (small multiples) with aligned time axes【57†L98-L104】【81†L490-L498】.</w:t>
      </w:r>
    </w:p>
    <w:p>
      <w:pPr>
        <w:pStyle w:val="Compact"/>
        <w:numPr>
          <w:ilvl w:val="0"/>
          <w:numId w:val="1003"/>
        </w:numPr>
      </w:pPr>
      <w:r>
        <w:rPr>
          <w:b/>
          <w:bCs/>
        </w:rPr>
        <w:t xml:space="preserve">Welfare vs. Profit Tradeoff:</w:t>
      </w:r>
      <w:r>
        <w:t xml:space="preserve"> </w:t>
      </w:r>
      <w:r>
        <w:t xml:space="preserve">A 2D</w:t>
      </w:r>
      <w:r>
        <w:t xml:space="preserve"> </w:t>
      </w:r>
      <w:r>
        <w:rPr>
          <w:i/>
          <w:iCs/>
        </w:rPr>
        <w:t xml:space="preserve">scatter or connected-line chart</w:t>
      </w:r>
      <w:r>
        <w:t xml:space="preserve"> </w:t>
      </w:r>
      <w:r>
        <w:t xml:space="preserve">plotting cumulative profit vs. welfare over time, or an x/y time series overlay. Alternatively, use</w:t>
      </w:r>
      <w:r>
        <w:t xml:space="preserve"> </w:t>
      </w:r>
      <w:r>
        <w:rPr>
          <w:i/>
          <w:iCs/>
        </w:rPr>
        <w:t xml:space="preserve">phase-space trajectory</w:t>
      </w:r>
      <w:r>
        <w:t xml:space="preserve"> </w:t>
      </w:r>
      <w:r>
        <w:t xml:space="preserve">with arrow for time.</w:t>
      </w:r>
      <w:r>
        <w:t xml:space="preserve"> </w:t>
      </w:r>
      <w:r>
        <w:rPr>
          <w:b/>
          <w:bCs/>
        </w:rPr>
        <w:t xml:space="preserve">Anti-pattern:</w:t>
      </w:r>
      <w:r>
        <w:t xml:space="preserve"> </w:t>
      </w:r>
      <w:r>
        <w:t xml:space="preserve">dual y-axes on one chart (creates false correlation)【81†L371-L380】. If plotted over time, use two side-by-side line charts with shared time axis【81†L371-L380】.</w:t>
      </w:r>
    </w:p>
    <w:p>
      <w:pPr>
        <w:pStyle w:val="Compact"/>
        <w:numPr>
          <w:ilvl w:val="0"/>
          <w:numId w:val="1003"/>
        </w:numPr>
      </w:pPr>
      <w:r>
        <w:rPr>
          <w:b/>
          <w:bCs/>
        </w:rPr>
        <w:t xml:space="preserve">Harm Accumulators (time series):</w:t>
      </w:r>
      <w:r>
        <w:t xml:space="preserve"> </w:t>
      </w:r>
      <w:r>
        <w:rPr>
          <w:i/>
          <w:iCs/>
        </w:rPr>
        <w:t xml:space="preserve">Line charts</w:t>
      </w:r>
      <w:r>
        <w:t xml:space="preserve"> </w:t>
      </w:r>
      <w:r>
        <w:t xml:space="preserve">for each harm metric (e.g. ammonia-hours, excess mortality). Use small multiples or a stacked area (with caution) for multiple harms【81†L499-L504】. Ensure axes start at zero for cumulative measures. Label events or thresholds with annotations【81†L374-L383】.</w:t>
      </w:r>
    </w:p>
    <w:p>
      <w:pPr>
        <w:pStyle w:val="Compact"/>
        <w:numPr>
          <w:ilvl w:val="0"/>
          <w:numId w:val="1003"/>
        </w:numPr>
      </w:pPr>
      <w:r>
        <w:rPr>
          <w:b/>
          <w:bCs/>
        </w:rPr>
        <w:t xml:space="preserve">Per-Item Score Distributions:</w:t>
      </w:r>
      <w:r>
        <w:t xml:space="preserve"> </w:t>
      </w:r>
      <w:r>
        <w:rPr>
          <w:i/>
          <w:iCs/>
        </w:rPr>
        <w:t xml:space="preserve">Dot plot or boxplot/violin</w:t>
      </w:r>
      <w:r>
        <w:t xml:space="preserve"> </w:t>
      </w:r>
      <w:r>
        <w:t xml:space="preserve">for each of the 22 items, showing spread of judge scores across runs or judges. A</w:t>
      </w:r>
      <w:r>
        <w:t xml:space="preserve"> </w:t>
      </w:r>
      <w:r>
        <w:rPr>
          <w:i/>
          <w:iCs/>
        </w:rPr>
        <w:t xml:space="preserve">raincloud plot</w:t>
      </w:r>
      <w:r>
        <w:t xml:space="preserve"> </w:t>
      </w:r>
      <w:r>
        <w:t xml:space="preserve">(box + jittered points) works well. Avoid heatmaps for rank data【81†L500-L504】. Include error bars or confidence intervals for mean/median if sample is small【84†L149-L158】.</w:t>
      </w:r>
    </w:p>
    <w:p>
      <w:pPr>
        <w:pStyle w:val="Compact"/>
        <w:numPr>
          <w:ilvl w:val="0"/>
          <w:numId w:val="1003"/>
        </w:numPr>
      </w:pPr>
      <w:r>
        <w:rPr>
          <w:b/>
          <w:bCs/>
        </w:rPr>
        <w:t xml:space="preserve">Cross-Run Deltas:</w:t>
      </w:r>
      <w:r>
        <w:t xml:space="preserve"> </w:t>
      </w:r>
      <w:r>
        <w:t xml:space="preserve">For comparing this run vs. previous: a</w:t>
      </w:r>
      <w:r>
        <w:t xml:space="preserve"> </w:t>
      </w:r>
      <w:r>
        <w:rPr>
          <w:i/>
          <w:iCs/>
        </w:rPr>
        <w:t xml:space="preserve">slopegraph</w:t>
      </w:r>
      <w:r>
        <w:t xml:space="preserve"> </w:t>
      </w:r>
      <w:r>
        <w:t xml:space="preserve">or</w:t>
      </w:r>
      <w:r>
        <w:t xml:space="preserve"> </w:t>
      </w:r>
      <w:r>
        <w:rPr>
          <w:i/>
          <w:iCs/>
        </w:rPr>
        <w:t xml:space="preserve">paired-dot plot</w:t>
      </w:r>
      <w:r>
        <w:t xml:space="preserve"> </w:t>
      </w:r>
      <w:r>
        <w:t xml:space="preserve">for each item (values for old vs new connected)【81†L496-L504】. Alternatively,</w:t>
      </w:r>
      <w:r>
        <w:t xml:space="preserve"> </w:t>
      </w:r>
      <w:r>
        <w:rPr>
          <w:i/>
          <w:iCs/>
        </w:rPr>
        <w:t xml:space="preserve">bar chart of differences</w:t>
      </w:r>
      <w:r>
        <w:t xml:space="preserve"> </w:t>
      </w:r>
      <w:r>
        <w:t xml:space="preserve">with 95% confidence intervals (Forest plot style) to emphasize effect sizes.</w:t>
      </w:r>
      <w:r>
        <w:t xml:space="preserve"> </w:t>
      </w:r>
      <w:r>
        <w:rPr>
          <w:b/>
          <w:bCs/>
        </w:rPr>
        <w:t xml:space="preserve">Anti-pattern:</w:t>
      </w:r>
      <w:r>
        <w:t xml:space="preserve"> </w:t>
      </w:r>
      <w:r>
        <w:t xml:space="preserve">naive significance stars or over-precise decimal differences without uncertainty【87†L25-L33】【81†L496-L504】.</w:t>
      </w:r>
    </w:p>
    <w:p>
      <w:pPr>
        <w:pStyle w:val="FirstParagraph"/>
      </w:pPr>
      <w:r>
        <w:rPr>
          <w:b/>
          <w:bCs/>
        </w:rPr>
        <w:t xml:space="preserve">Accessibility:</w:t>
      </w:r>
      <w:r>
        <w:t xml:space="preserve"> </w:t>
      </w:r>
      <w:r>
        <w:t xml:space="preserve">Use high-contrast palettes and colorblind-safe schemes (e.g. Viridis, ColorBrewer “Set1” or WCAG-compliant pairs)【81†L400-L407】【81†L422-L431】. Don’t encode information by color alone – add shape or direct labels【81†L400-L407】. For dark mode, reduce saturation and design separate light/dark palettes【81†L422-L431】. Always provide text alternatives (alt text or captions)【81†L400-L407】.</w:t>
      </w:r>
    </w:p>
    <w:bookmarkEnd w:id="23"/>
    <w:bookmarkStart w:id="24" w:name="behavioral-narrative-style"/>
    <w:p>
      <w:pPr>
        <w:pStyle w:val="Heading1"/>
      </w:pPr>
      <w:r>
        <w:t xml:space="preserve">Behavioral Narrative Style</w:t>
      </w:r>
    </w:p>
    <w:p>
      <w:pPr>
        <w:pStyle w:val="Compact"/>
        <w:numPr>
          <w:ilvl w:val="0"/>
          <w:numId w:val="1004"/>
        </w:numPr>
      </w:pPr>
      <w:r>
        <w:rPr>
          <w:b/>
          <w:bCs/>
        </w:rPr>
        <w:t xml:space="preserve">Evidence-Driven Description:</w:t>
      </w:r>
      <w:r>
        <w:t xml:space="preserve"> </w:t>
      </w:r>
      <w:r>
        <w:t xml:space="preserve">Describe the agent’s behavior in concrete terms, citing dialogue excerpts. For example, note when the agent “sends an email telling the worker to do X” and quote the actual line. Avoid vague phrasing; say</w:t>
      </w:r>
      <w:r>
        <w:t xml:space="preserve"> </w:t>
      </w:r>
      <w:r>
        <w:rPr>
          <w:i/>
          <w:iCs/>
        </w:rPr>
        <w:t xml:space="preserve">“the model ran tool Y 17 times”</w:t>
      </w:r>
      <w:r>
        <w:t xml:space="preserve"> </w:t>
      </w:r>
      <w:r>
        <w:t xml:space="preserve">rather than</w:t>
      </w:r>
      <w:r>
        <w:t xml:space="preserve"> </w:t>
      </w:r>
      <w:r>
        <w:rPr>
          <w:i/>
          <w:iCs/>
        </w:rPr>
        <w:t xml:space="preserve">“the model became aggressive”</w:t>
      </w:r>
      <w:r>
        <w:t xml:space="preserve">. Quote-pivots keep the narrative grounded【78†L626-L634】【89†L25-L34】.</w:t>
      </w:r>
    </w:p>
    <w:p>
      <w:pPr>
        <w:pStyle w:val="Compact"/>
        <w:numPr>
          <w:ilvl w:val="0"/>
          <w:numId w:val="1004"/>
        </w:numPr>
      </w:pPr>
      <w:r>
        <w:rPr>
          <w:b/>
          <w:bCs/>
        </w:rPr>
        <w:t xml:space="preserve">Chronological Arc:</w:t>
      </w:r>
      <w:r>
        <w:t xml:space="preserve"> </w:t>
      </w:r>
      <w:r>
        <w:t xml:space="preserve">Organize events in sequence, highlighting triggers and responses (e.g.</w:t>
      </w:r>
      <w:r>
        <w:t xml:space="preserve"> </w:t>
      </w:r>
      <w:r>
        <w:rPr>
          <w:i/>
          <w:iCs/>
        </w:rPr>
        <w:t xml:space="preserve">Early on, the agent performed task A; mid-way it encountered scenario B and responded by…; later it either continued or refused</w:t>
      </w:r>
      <w:r>
        <w:t xml:space="preserve">). Call attention to changes over time (tone, risk-taking). Petri-like audits look for narrative cues (e.g. “The FDA cannot find out…” in the script【89†L25-L34】) and note if they influenced behavior.</w:t>
      </w:r>
    </w:p>
    <w:p>
      <w:pPr>
        <w:pStyle w:val="Compact"/>
        <w:numPr>
          <w:ilvl w:val="0"/>
          <w:numId w:val="1004"/>
        </w:numPr>
      </w:pPr>
      <w:r>
        <w:rPr>
          <w:b/>
          <w:bCs/>
        </w:rPr>
        <w:t xml:space="preserve">Objectivity:</w:t>
      </w:r>
      <w:r>
        <w:t xml:space="preserve"> </w:t>
      </w:r>
      <w:r>
        <w:t xml:space="preserve">Do not anthropomorphize. Attribute actions without implying intent (say “the agent output” or “the model’s plan” rather than calling it “deceit” or “fearful”). When inferring motive or “interpretation”, make it explicit (“the agent appeared to treat the task as…”【78†L543-L552】) and back it with quotes.</w:t>
      </w:r>
    </w:p>
    <w:p>
      <w:pPr>
        <w:pStyle w:val="Compact"/>
        <w:numPr>
          <w:ilvl w:val="0"/>
          <w:numId w:val="1004"/>
        </w:numPr>
      </w:pPr>
      <w:r>
        <w:rPr>
          <w:b/>
          <w:bCs/>
        </w:rPr>
        <w:t xml:space="preserve">Use of Quotes:</w:t>
      </w:r>
      <w:r>
        <w:t xml:space="preserve"> </w:t>
      </w:r>
      <w:r>
        <w:t xml:space="preserve">Embed key quotes as ‘receipts’ for claims (LLM-judge practice is to cite 1–3 quotes supporting each judgment【78†L626-L634】). For example,</w:t>
      </w:r>
      <w:r>
        <w:t xml:space="preserve"> </w:t>
      </w:r>
      <w:r>
        <w:rPr>
          <w:i/>
          <w:iCs/>
        </w:rPr>
        <w:t xml:space="preserve">“Agent: ‘I must ensure no one finds out…’ — here the model hides information”</w:t>
      </w:r>
      <w:r>
        <w:t xml:space="preserve">. This preserves evidence and prevents over-interpretation.</w:t>
      </w:r>
    </w:p>
    <w:bookmarkEnd w:id="24"/>
    <w:bookmarkStart w:id="25" w:name="cross-run-comparison-patterns"/>
    <w:p>
      <w:pPr>
        <w:pStyle w:val="Heading1"/>
      </w:pPr>
      <w:r>
        <w:t xml:space="preserve">Cross-Run Comparison Patterns</w:t>
      </w:r>
    </w:p>
    <w:p>
      <w:pPr>
        <w:pStyle w:val="Compact"/>
        <w:numPr>
          <w:ilvl w:val="0"/>
          <w:numId w:val="1005"/>
        </w:numPr>
      </w:pPr>
      <w:r>
        <w:rPr>
          <w:b/>
          <w:bCs/>
        </w:rPr>
        <w:t xml:space="preserve">Slopegraphs / Paired Plots:</w:t>
      </w:r>
      <w:r>
        <w:t xml:space="preserve"> </w:t>
      </w:r>
      <w:r>
        <w:t xml:space="preserve">For two models/runs, plot before-vs-after values for each item connected by a line【81†L496-L504】. Label endpoints to show exact scores. Steep slopes highlight big changes. This directly shows</w:t>
      </w:r>
      <w:r>
        <w:t xml:space="preserve"> </w:t>
      </w:r>
      <w:r>
        <w:rPr>
          <w:i/>
          <w:iCs/>
        </w:rPr>
        <w:t xml:space="preserve">which items moved and how</w:t>
      </w:r>
      <w:r>
        <w:t xml:space="preserve">.</w:t>
      </w:r>
    </w:p>
    <w:p>
      <w:pPr>
        <w:pStyle w:val="Compact"/>
        <w:numPr>
          <w:ilvl w:val="0"/>
          <w:numId w:val="1005"/>
        </w:numPr>
      </w:pPr>
      <w:r>
        <w:rPr>
          <w:b/>
          <w:bCs/>
        </w:rPr>
        <w:t xml:space="preserve">Small Multiples:</w:t>
      </w:r>
      <w:r>
        <w:t xml:space="preserve"> </w:t>
      </w:r>
      <w:r>
        <w:t xml:space="preserve">If comparing &gt;2 conditions, use a small-multiples layout of charts (all sharing scales)【57†L98-L104】【81†L490-L498】. For example, one panel per model version showing item scores side by side.</w:t>
      </w:r>
    </w:p>
    <w:p>
      <w:pPr>
        <w:pStyle w:val="Compact"/>
        <w:numPr>
          <w:ilvl w:val="0"/>
          <w:numId w:val="1005"/>
        </w:numPr>
      </w:pPr>
      <w:r>
        <w:rPr>
          <w:b/>
          <w:bCs/>
        </w:rPr>
        <w:t xml:space="preserve">Difference Charts with Uncertainty:</w:t>
      </w:r>
      <w:r>
        <w:t xml:space="preserve"> </w:t>
      </w:r>
      <w:r>
        <w:t xml:space="preserve">Plot the difference (delta) per item as bars with error bars (e.g. 95% CI)【87†L25-L33】. Sort by magnitude to focus on top changes. This makes clear which deltas are meaningful given small sample variance.</w:t>
      </w:r>
    </w:p>
    <w:p>
      <w:pPr>
        <w:pStyle w:val="Compact"/>
        <w:numPr>
          <w:ilvl w:val="0"/>
          <w:numId w:val="1005"/>
        </w:numPr>
      </w:pPr>
      <w:r>
        <w:rPr>
          <w:b/>
          <w:bCs/>
        </w:rPr>
        <w:t xml:space="preserve">Effect Sizes Over p-values:</w:t>
      </w:r>
      <w:r>
        <w:t xml:space="preserve"> </w:t>
      </w:r>
      <w:r>
        <w:t xml:space="preserve">Emphasize practical effect sizes. Report confidence intervals on changes【87†L25-L33】. Avoid claiming significance when runs are few; instead note when CIs include zero.</w:t>
      </w:r>
    </w:p>
    <w:p>
      <w:pPr>
        <w:pStyle w:val="Compact"/>
        <w:numPr>
          <w:ilvl w:val="0"/>
          <w:numId w:val="1005"/>
        </w:numPr>
      </w:pPr>
      <w:r>
        <w:rPr>
          <w:b/>
          <w:bCs/>
        </w:rPr>
        <w:t xml:space="preserve">Avoiding Over-interpretation:</w:t>
      </w:r>
      <w:r>
        <w:t xml:space="preserve"> </w:t>
      </w:r>
      <w:r>
        <w:t xml:space="preserve">Because N is small, highlight uncertainty. As Lee et al. note, raw score differences without CI can mislead【104†L60-L68】. Show e.g. bootstrapped CIs or run-to-run variance so readers gauge noise【87†L25-L33】.</w:t>
      </w:r>
    </w:p>
    <w:bookmarkEnd w:id="25"/>
    <w:bookmarkStart w:id="26" w:name="measurement-integrity-caveats-checklist"/>
    <w:p>
      <w:pPr>
        <w:pStyle w:val="Heading1"/>
      </w:pPr>
      <w:r>
        <w:t xml:space="preserve">Measurement-Integrity / Caveats Checklist</w:t>
      </w:r>
    </w:p>
    <w:p>
      <w:pPr>
        <w:pStyle w:val="Compact"/>
        <w:numPr>
          <w:ilvl w:val="0"/>
          <w:numId w:val="1006"/>
        </w:numPr>
      </w:pPr>
      <w:r>
        <w:rPr>
          <w:b/>
          <w:bCs/>
        </w:rPr>
        <w:t xml:space="preserve">Item-Level Transparency:</w:t>
      </w:r>
      <w:r>
        <w:t xml:space="preserve"> </w:t>
      </w:r>
      <w:r>
        <w:t xml:space="preserve">Publish the exact transcripts and responses for each scored item (supporting auditability)【68†L58-L66】.</w:t>
      </w:r>
    </w:p>
    <w:p>
      <w:pPr>
        <w:pStyle w:val="Compact"/>
        <w:numPr>
          <w:ilvl w:val="0"/>
          <w:numId w:val="1006"/>
        </w:numPr>
      </w:pPr>
      <w:r>
        <w:rPr>
          <w:b/>
          <w:bCs/>
        </w:rPr>
        <w:t xml:space="preserve">Judge Calibration:</w:t>
      </w:r>
      <w:r>
        <w:t xml:space="preserve"> </w:t>
      </w:r>
      <w:r>
        <w:t xml:space="preserve">If using an LLM judge, note its known error rates. Adjust raw scores for judge bias and provide confidence intervals【104†L60-L68】. (Raw LLM-judge scores can be systematically biased【104†L60-L68】.)</w:t>
      </w:r>
    </w:p>
    <w:p>
      <w:pPr>
        <w:pStyle w:val="Compact"/>
        <w:numPr>
          <w:ilvl w:val="0"/>
          <w:numId w:val="1006"/>
        </w:numPr>
      </w:pPr>
      <w:r>
        <w:rPr>
          <w:b/>
          <w:bCs/>
        </w:rPr>
        <w:t xml:space="preserve">Rubric and Anchors:</w:t>
      </w:r>
      <w:r>
        <w:t xml:space="preserve"> </w:t>
      </w:r>
      <w:r>
        <w:t xml:space="preserve">Include the full rubric and example-anchors with explanations【108†L2080-L2084】【43†L3849-L3856】. This shows</w:t>
      </w:r>
      <w:r>
        <w:t xml:space="preserve"> </w:t>
      </w:r>
      <w:r>
        <w:rPr>
          <w:i/>
          <w:iCs/>
        </w:rPr>
        <w:t xml:space="preserve">why</w:t>
      </w:r>
      <w:r>
        <w:t xml:space="preserve"> </w:t>
      </w:r>
      <w:r>
        <w:t xml:space="preserve">a score was given and helps validate consistency.</w:t>
      </w:r>
    </w:p>
    <w:p>
      <w:pPr>
        <w:pStyle w:val="Compact"/>
        <w:numPr>
          <w:ilvl w:val="0"/>
          <w:numId w:val="1006"/>
        </w:numPr>
      </w:pPr>
      <w:r>
        <w:rPr>
          <w:b/>
          <w:bCs/>
        </w:rPr>
        <w:t xml:space="preserve">Inter-Rater Agreement:</w:t>
      </w:r>
      <w:r>
        <w:t xml:space="preserve"> </w:t>
      </w:r>
      <w:r>
        <w:t xml:space="preserve">If multiple judges, report agreement (e.g. Cohen’s κ) or variance. If single LLM-judge, note that consensus is missing.</w:t>
      </w:r>
    </w:p>
    <w:p>
      <w:pPr>
        <w:pStyle w:val="Compact"/>
        <w:numPr>
          <w:ilvl w:val="0"/>
          <w:numId w:val="1006"/>
        </w:numPr>
      </w:pPr>
      <w:r>
        <w:rPr>
          <w:b/>
          <w:bCs/>
        </w:rPr>
        <w:t xml:space="preserve">Sample Size:</w:t>
      </w:r>
      <w:r>
        <w:t xml:space="preserve"> </w:t>
      </w:r>
      <w:r>
        <w:t xml:space="preserve">State the number of trials or episodes run. If n is small, caution that some metrics have high variance. (Anthropic explicitly warns</w:t>
      </w:r>
      <w:r>
        <w:t xml:space="preserve"> </w:t>
      </w:r>
      <w:r>
        <w:rPr>
          <w:i/>
          <w:iCs/>
        </w:rPr>
        <w:t xml:space="preserve">“This research is just a start…”</w:t>
      </w:r>
      <w:r>
        <w:t xml:space="preserve"> </w:t>
      </w:r>
      <w:r>
        <w:t xml:space="preserve">in its Limitations【101†L31-L34】.)</w:t>
      </w:r>
    </w:p>
    <w:p>
      <w:pPr>
        <w:pStyle w:val="Compact"/>
        <w:numPr>
          <w:ilvl w:val="0"/>
          <w:numId w:val="1006"/>
        </w:numPr>
      </w:pPr>
      <w:r>
        <w:rPr>
          <w:b/>
          <w:bCs/>
        </w:rPr>
        <w:t xml:space="preserve">Discarded/Limited Data:</w:t>
      </w:r>
      <w:r>
        <w:t xml:space="preserve"> </w:t>
      </w:r>
      <w:r>
        <w:t xml:space="preserve">Flag any decisions for which evidence was “N/A” or incomplete. Log criteria failure rates (see rubric N/A handling【108†L2091-L2100】).</w:t>
      </w:r>
    </w:p>
    <w:p>
      <w:pPr>
        <w:pStyle w:val="Compact"/>
        <w:numPr>
          <w:ilvl w:val="0"/>
          <w:numId w:val="1006"/>
        </w:numPr>
      </w:pPr>
      <w:r>
        <w:rPr>
          <w:b/>
          <w:bCs/>
        </w:rPr>
        <w:t xml:space="preserve">Confounding Factors:</w:t>
      </w:r>
      <w:r>
        <w:t xml:space="preserve"> </w:t>
      </w:r>
      <w:r>
        <w:t xml:space="preserve">Note any system changes or random events that may have influenced this run uniquely. e.g., if a tool behaved unexpectedly, say so.</w:t>
      </w:r>
    </w:p>
    <w:p>
      <w:pPr>
        <w:pStyle w:val="Compact"/>
        <w:numPr>
          <w:ilvl w:val="0"/>
          <w:numId w:val="1006"/>
        </w:numPr>
      </w:pPr>
      <w:r>
        <w:rPr>
          <w:b/>
          <w:bCs/>
        </w:rPr>
        <w:t xml:space="preserve">Reproducibility Metadata:</w:t>
      </w:r>
      <w:r>
        <w:t xml:space="preserve"> </w:t>
      </w:r>
      <w:r>
        <w:t xml:space="preserve">Provide code, seed info, and environment versions (LLM model IDs, tool versions, harness config)【106†L1-L4】. Link to any public repositories (as LChen et al. did with prompts and code【106†L1-L4】).</w:t>
      </w:r>
    </w:p>
    <w:bookmarkEnd w:id="26"/>
    <w:bookmarkStart w:id="27" w:name="htmlinteraction-best-practices"/>
    <w:p>
      <w:pPr>
        <w:pStyle w:val="Heading1"/>
      </w:pPr>
      <w:r>
        <w:t xml:space="preserve">HTML/Interaction Best Practices</w:t>
      </w:r>
    </w:p>
    <w:p>
      <w:pPr>
        <w:pStyle w:val="Compact"/>
        <w:numPr>
          <w:ilvl w:val="0"/>
          <w:numId w:val="1007"/>
        </w:numPr>
      </w:pPr>
      <w:r>
        <w:rPr>
          <w:b/>
          <w:bCs/>
        </w:rPr>
        <w:t xml:space="preserve">Inverted-Pyramid Writing:</w:t>
      </w:r>
      <w:r>
        <w:t xml:space="preserve"> </w:t>
      </w:r>
      <w:r>
        <w:t xml:space="preserve">Frontload the report with key conclusions【62†L65-L73】. Use a sticky summary or “Key Findings” at top so skimmers immediately see the verdict.</w:t>
      </w:r>
    </w:p>
    <w:p>
      <w:pPr>
        <w:pStyle w:val="Compact"/>
        <w:numPr>
          <w:ilvl w:val="0"/>
          <w:numId w:val="1007"/>
        </w:numPr>
      </w:pPr>
      <w:r>
        <w:rPr>
          <w:b/>
          <w:bCs/>
        </w:rPr>
        <w:t xml:space="preserve">Clear Headings &amp; Bullets:</w:t>
      </w:r>
      <w:r>
        <w:t xml:space="preserve"> </w:t>
      </w:r>
      <w:r>
        <w:t xml:space="preserve">Use descriptive headings for each section, and short paragraphs (3–4 sentences). Use bulleted lists (like this guide) for readability【95†L132-L140】.</w:t>
      </w:r>
    </w:p>
    <w:p>
      <w:pPr>
        <w:pStyle w:val="Compact"/>
        <w:numPr>
          <w:ilvl w:val="0"/>
          <w:numId w:val="1007"/>
        </w:numPr>
      </w:pPr>
      <w:r>
        <w:rPr>
          <w:b/>
          <w:bCs/>
        </w:rPr>
        <w:t xml:space="preserve">Progressive Disclosure:</w:t>
      </w:r>
      <w:r>
        <w:t xml:space="preserve"> </w:t>
      </w:r>
      <w:r>
        <w:t xml:space="preserve">Start with a clean overview, then allow details on demand (collapsible sections, tooltips, hover details)【81†L393-L402】. Avoid dumping all evidence at once. For example, show the score and short rationale, with a “show transcript” link or hover popup for full dialogue.</w:t>
      </w:r>
    </w:p>
    <w:p>
      <w:pPr>
        <w:pStyle w:val="Compact"/>
        <w:numPr>
          <w:ilvl w:val="0"/>
          <w:numId w:val="1007"/>
        </w:numPr>
      </w:pPr>
      <w:r>
        <w:rPr>
          <w:b/>
          <w:bCs/>
        </w:rPr>
        <w:t xml:space="preserve">Interactive Tables:</w:t>
      </w:r>
      <w:r>
        <w:t xml:space="preserve"> </w:t>
      </w:r>
      <w:r>
        <w:t xml:space="preserve">For the per-item list, allow sorting/filtering by score, category, or judge. This lets auditors focus on, say, failures only. Use deep links/anchors so specific items or timestamps can be linked/bookmarked.</w:t>
      </w:r>
    </w:p>
    <w:p>
      <w:pPr>
        <w:pStyle w:val="Compact"/>
        <w:numPr>
          <w:ilvl w:val="0"/>
          <w:numId w:val="1007"/>
        </w:numPr>
      </w:pPr>
      <w:r>
        <w:rPr>
          <w:b/>
          <w:bCs/>
        </w:rPr>
        <w:t xml:space="preserve">Jump Links &amp; Sticky Sidebar:</w:t>
      </w:r>
      <w:r>
        <w:t xml:space="preserve"> </w:t>
      </w:r>
      <w:r>
        <w:t xml:space="preserve">Include a table of contents or sticky sidebar to jump to sections (results, narrative, appendices). Nielsen Norman notes that skimmers benefit from bulleted highlights and jump links【62†L65-L73】【95†L132-L140】.</w:t>
      </w:r>
    </w:p>
    <w:p>
      <w:pPr>
        <w:pStyle w:val="Compact"/>
        <w:numPr>
          <w:ilvl w:val="0"/>
          <w:numId w:val="1007"/>
        </w:numPr>
      </w:pPr>
      <w:r>
        <w:rPr>
          <w:b/>
          <w:bCs/>
        </w:rPr>
        <w:t xml:space="preserve">Responsive &amp; Accessible Design:</w:t>
      </w:r>
      <w:r>
        <w:t xml:space="preserve"> </w:t>
      </w:r>
      <w:r>
        <w:t xml:space="preserve">Ensure charts and text resize for small screens. Use high-contrast color schemes and test with</w:t>
      </w:r>
      <w:r>
        <w:t xml:space="preserve"> </w:t>
      </w:r>
      <w:r>
        <w:rPr>
          <w:rStyle w:val="VerbatimChar"/>
        </w:rPr>
        <w:t xml:space="preserve">prefers-color-scheme</w:t>
      </w:r>
      <w:r>
        <w:t xml:space="preserve"> </w:t>
      </w:r>
      <w:r>
        <w:t xml:space="preserve">for dark mode【81†L400-L407】【81†L422-L431】. Provide keyboard navigation and</w:t>
      </w:r>
      <w:r>
        <w:t xml:space="preserve"> </w:t>
      </w:r>
      <w:r>
        <w:rPr>
          <w:rStyle w:val="VerbatimChar"/>
        </w:rPr>
        <w:t xml:space="preserve">aria-label</w:t>
      </w:r>
      <w:r>
        <w:t xml:space="preserve">s for charts to meet web accessibility.</w:t>
      </w:r>
    </w:p>
    <w:p>
      <w:pPr>
        <w:pStyle w:val="FirstParagraph"/>
      </w:pPr>
      <w:r>
        <w:rPr>
          <w:b/>
          <w:bCs/>
        </w:rPr>
        <w:t xml:space="preserve">References:</w:t>
      </w:r>
      <w:r>
        <w:t xml:space="preserve"> </w:t>
      </w:r>
      <w:r>
        <w:t xml:space="preserve">We draw these practices from published evaluation guidelines and exemplars. For example, OpenAI’s GPT-4 System Card【23†L1-L8】 and Anthropic’s technical blogs【101†L1-L4】【94†L30-L39】 illustrate summary-first reporting. UX writing guides recommend an inverted-pyramid style with bullets【62†L65-L73】【95†L132-L140】. Data-visualization experts (Tufte et al.) advocate small multiples and slopegraphs over cluttered composites【81†L490-L498】【81†L496-L504】, and emphasize showing uncertainty (e.g. Wilke on confidence intervals【84†L149-L158】, Chen et al. on bootstrapped error bars【87†L25-L33】). Recent AI evaluation literature highlights item-level transparency【68†L58-L66】, LLM-judge calibration【104†L60-L68】, and structured justification (e.g. JSON outputs with reasoning)【108†L2142-L2150】. Anthropic and others routinely publish their data/code for reproducibility【106†L1-L4】. These concrete patterns — drawn from system cards, evaluation reports, and visualization handbooks — inform our recommended design.</w:t>
      </w:r>
    </w:p>
    <w:p>
      <w:pPr>
        <w:pStyle w:val="BodyText"/>
      </w:pPr>
      <w:r>
        <w:rPr>
          <w:b/>
          <w:bCs/>
        </w:rPr>
        <w:t xml:space="preserve">Sources:</w:t>
      </w:r>
      <w:r>
        <w:t xml:space="preserve"> </w:t>
      </w:r>
      <w:r>
        <w:t xml:space="preserve">Example system/model cards and reports (OpenAI GPT-4 System Card 2023【23†L1-L8】, Anthropic “Measuring Agent Autonomy” blog 2026【94†L30-L39】, METR blog 2025【60†L97-L105】, etc.); UX and journalism guidelines【62†L65-L73】【95†L132-L140】; data-visualization textbooks and style guides【57†L90-L97】【81†L490-L498】【84†L149-L158】; rubric/evaluation methodology articles【43†L3849-L3856】【104†L60-L68】【108†L2142-L2150】; recent academic papers on AI evaluation【68†L58-L66】【106†L1-L4】. Each reference is flagged by type (system/model card, blog/report, peer-reviewed or preprint) and year.</w:t>
      </w:r>
    </w:p>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2026-07-15T18:54:36Z</dcterms:created>
  <dcterms:modified xsi:type="dcterms:W3CDTF">2026-07-15T18:54:36Z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