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both"/>
        <w:rPr>
          <w:rFonts w:hint="eastAsia"/>
          <w:b/>
          <w:bCs/>
          <w:sz w:val="40"/>
          <w:szCs w:val="48"/>
          <w:lang w:val="en-US" w:eastAsia="zh-CN"/>
        </w:rPr>
      </w:pPr>
    </w:p>
    <w:p>
      <w:pPr>
        <w:spacing w:line="360" w:lineRule="auto"/>
        <w:jc w:val="center"/>
        <w:rPr>
          <w:rFonts w:hint="eastAsia" w:ascii="华文楷体" w:hAnsi="华文楷体" w:eastAsia="华文楷体" w:cs="华文楷体"/>
          <w:b w:val="0"/>
          <w:bCs w:val="0"/>
          <w:sz w:val="21"/>
          <w:szCs w:val="24"/>
          <w:lang w:val="en-US" w:eastAsia="zh-Hans"/>
        </w:rPr>
      </w:pPr>
      <w:r>
        <w:rPr>
          <w:rFonts w:hint="eastAsia"/>
          <w:b/>
          <w:bCs/>
          <w:sz w:val="36"/>
          <w:szCs w:val="44"/>
          <w:lang w:val="en-US" w:eastAsia="zh-Hans"/>
        </w:rPr>
        <w:t>机器学习模型的结果解读</w:t>
      </w:r>
    </w:p>
    <w:p>
      <w:pPr>
        <w:pStyle w:val="2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模型的主要参数说明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1289"/>
        <w:gridCol w:w="4503"/>
        <w:gridCol w:w="11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主要参数</w:t>
            </w:r>
          </w:p>
        </w:tc>
        <w:tc>
          <w:tcPr>
            <w:tcW w:w="1289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含义</w:t>
            </w:r>
          </w:p>
        </w:tc>
        <w:tc>
          <w:tcPr>
            <w:tcW w:w="4503" w:type="dxa"/>
            <w:shd w:val="clear" w:color="auto" w:fill="D7D7D7" w:themeFill="background1" w:themeFillShade="D8"/>
          </w:tcPr>
          <w:p>
            <w:pPr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意义</w:t>
            </w:r>
          </w:p>
        </w:tc>
        <w:tc>
          <w:tcPr>
            <w:tcW w:w="1133" w:type="dxa"/>
            <w:shd w:val="clear" w:color="auto" w:fill="D7D7D7" w:themeFill="background1" w:themeFillShade="D8"/>
          </w:tcPr>
          <w:p>
            <w:pPr>
              <w:ind w:left="0" w:leftChars="0" w:firstLine="210" w:firstLineChars="100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29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AUC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ROC曲线下面积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随机抽取一个正样本和一个负样本，算法对其进行评分，正样本得到的评分高于负样本的概率</w:t>
            </w:r>
          </w:p>
        </w:tc>
        <w:tc>
          <w:tcPr>
            <w:tcW w:w="1133" w:type="dxa"/>
            <w:vMerge w:val="restart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不出现过拟合情况时</w:t>
            </w:r>
            <w:r>
              <w:rPr>
                <w:rFonts w:hint="default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，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约接近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eastAsia="zh-Hans"/>
              </w:rPr>
              <w:t>1</w:t>
            </w:r>
            <w: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  <w:t>越好</w:t>
            </w:r>
          </w:p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89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准确度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ACC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算法在当前数据集上做出正确判断的几率，受正负样本分布影响较大</w:t>
            </w:r>
          </w:p>
        </w:tc>
        <w:tc>
          <w:tcPr>
            <w:tcW w:w="1133" w:type="dxa"/>
            <w:vMerge w:val="continue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精确度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Precision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模型预测的正样本中，确为正样本的概率，等价于PPV</w:t>
            </w:r>
          </w:p>
        </w:tc>
        <w:tc>
          <w:tcPr>
            <w:tcW w:w="1133" w:type="dxa"/>
            <w:vMerge w:val="continue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5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召回率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Recall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正样本被正确识别的比例，等价于敏感性</w:t>
            </w:r>
          </w:p>
        </w:tc>
        <w:tc>
          <w:tcPr>
            <w:tcW w:w="1133" w:type="dxa"/>
            <w:vMerge w:val="continue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7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F1分数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F1_score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Precision和Sensitivity的调和平均</w:t>
            </w:r>
          </w:p>
        </w:tc>
        <w:tc>
          <w:tcPr>
            <w:tcW w:w="1133" w:type="dxa"/>
            <w:vMerge w:val="continue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8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敏感性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Sensitivity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正样本被正确识别的比例（如患病人员得到阳性诊断的概率）</w:t>
            </w:r>
          </w:p>
        </w:tc>
        <w:tc>
          <w:tcPr>
            <w:tcW w:w="1133" w:type="dxa"/>
            <w:vMerge w:val="continue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43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特异性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Specifity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负样本被正确识别的比例（如无病人员得到阴性诊断的概率）</w:t>
            </w:r>
          </w:p>
        </w:tc>
        <w:tc>
          <w:tcPr>
            <w:tcW w:w="1133" w:type="dxa"/>
            <w:vMerge w:val="continue"/>
          </w:tcPr>
          <w:p>
            <w:pPr>
              <w:jc w:val="left"/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3" w:hRule="atLeast"/>
        </w:trPr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PPV</w:t>
            </w:r>
            <w:r>
              <w:rPr>
                <w:rFonts w:hint="eastAsia" w:ascii="华文楷体" w:hAnsi="华文楷体" w:eastAsia="华文楷体" w:cs="华文楷体"/>
                <w:sz w:val="15"/>
                <w:szCs w:val="18"/>
                <w:lang w:eastAsia="zh-Hans"/>
              </w:rPr>
              <w:t>（</w:t>
            </w:r>
            <w:r>
              <w:rPr>
                <w:rFonts w:hint="eastAsia" w:ascii="华文楷体" w:hAnsi="华文楷体" w:eastAsia="华文楷体" w:cs="华文楷体"/>
                <w:sz w:val="15"/>
                <w:szCs w:val="18"/>
                <w:lang w:val="en-US" w:eastAsia="zh-Hans"/>
              </w:rPr>
              <w:t>Positive predictive value</w:t>
            </w:r>
            <w:r>
              <w:rPr>
                <w:rFonts w:hint="eastAsia" w:ascii="华文楷体" w:hAnsi="华文楷体" w:eastAsia="华文楷体" w:cs="华文楷体"/>
                <w:sz w:val="15"/>
                <w:szCs w:val="18"/>
                <w:lang w:eastAsia="zh-Hans"/>
              </w:rPr>
              <w:t>）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阳性预测值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模型预测的正样本中，确为正样本的概率</w:t>
            </w:r>
          </w:p>
        </w:tc>
        <w:tc>
          <w:tcPr>
            <w:tcW w:w="1133" w:type="dxa"/>
            <w:vMerge w:val="continue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97" w:type="dxa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NP</w:t>
            </w:r>
            <w:r>
              <w:rPr>
                <w:rFonts w:hint="eastAsia" w:ascii="华文楷体" w:hAnsi="华文楷体" w:eastAsia="华文楷体" w:cs="华文楷体"/>
                <w:sz w:val="15"/>
                <w:szCs w:val="15"/>
                <w:lang w:eastAsia="zh-Hans"/>
              </w:rPr>
              <w:t>（</w:t>
            </w:r>
            <w:r>
              <w:rPr>
                <w:rFonts w:hint="eastAsia" w:ascii="华文楷体" w:hAnsi="华文楷体" w:eastAsia="华文楷体" w:cs="华文楷体"/>
                <w:sz w:val="15"/>
                <w:szCs w:val="15"/>
                <w:lang w:val="en-US" w:eastAsia="zh-Hans"/>
              </w:rPr>
              <w:t>Negative predictive value</w:t>
            </w:r>
            <w:r>
              <w:rPr>
                <w:rFonts w:hint="eastAsia" w:ascii="华文楷体" w:hAnsi="华文楷体" w:eastAsia="华文楷体" w:cs="华文楷体"/>
                <w:sz w:val="15"/>
                <w:szCs w:val="15"/>
                <w:lang w:eastAsia="zh-Hans"/>
              </w:rPr>
              <w:t>）</w:t>
            </w:r>
          </w:p>
        </w:tc>
        <w:tc>
          <w:tcPr>
            <w:tcW w:w="1289" w:type="dxa"/>
          </w:tcPr>
          <w:p>
            <w:pPr>
              <w:ind w:left="0" w:leftChars="0" w:firstLine="0" w:firstLineChars="0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阴性预测值</w:t>
            </w:r>
          </w:p>
        </w:tc>
        <w:tc>
          <w:tcPr>
            <w:tcW w:w="4503" w:type="dxa"/>
          </w:tcPr>
          <w:p>
            <w:pPr>
              <w:ind w:left="0" w:leftChars="0" w:firstLine="0" w:firstLineChars="0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  <w:r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  <w:t>模型预测的负样本中，确为负样本的概率</w:t>
            </w:r>
          </w:p>
          <w:p>
            <w:pPr>
              <w:ind w:left="0" w:leftChars="0" w:firstLine="0" w:firstLineChars="0"/>
              <w:rPr>
                <w:rFonts w:hint="eastAsia" w:ascii="华文楷体" w:hAnsi="华文楷体" w:eastAsia="华文楷体" w:cs="华文楷体"/>
                <w:sz w:val="20"/>
                <w:szCs w:val="22"/>
                <w:lang w:val="en-US" w:eastAsia="zh-Hans"/>
              </w:rPr>
            </w:pPr>
          </w:p>
        </w:tc>
        <w:tc>
          <w:tcPr>
            <w:tcW w:w="1133" w:type="dxa"/>
            <w:vMerge w:val="continue"/>
          </w:tcPr>
          <w:p>
            <w:pPr>
              <w:rPr>
                <w:rFonts w:hint="eastAsia" w:ascii="华文楷体" w:hAnsi="华文楷体" w:eastAsia="华文楷体" w:cs="华文楷体"/>
                <w:sz w:val="20"/>
                <w:szCs w:val="22"/>
                <w:vertAlign w:val="baseline"/>
                <w:lang w:val="en-US" w:eastAsia="zh-Hans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STHeiti Light">
    <w:altName w:val="华文宋体"/>
    <w:panose1 w:val="02010600040101010101"/>
    <w:charset w:val="86"/>
    <w:family w:val="auto"/>
    <w:pitch w:val="default"/>
    <w:sig w:usb0="00000000" w:usb1="00000000" w:usb2="00000000" w:usb3="00000000" w:csb0="00040001" w:csb1="00000000"/>
  </w:font>
  <w:font w:name="Yuanti SC Regular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Yuanti TC Regular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￥ﾮﾋ￤ﾽﾓ">
    <w:altName w:val="苹方-简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Xingkai TC Light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Xingkai SC Light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Kaiti TC Regular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Kaiti SC Regular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Kaiti SC Bold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儷黑 Pro">
    <w:altName w:val="苹方-简"/>
    <w:panose1 w:val="020B0500000000000000"/>
    <w:charset w:val="88"/>
    <w:family w:val="auto"/>
    <w:pitch w:val="default"/>
    <w:sig w:usb0="00000000" w:usb1="00000000" w:usb2="00000016" w:usb3="00000000" w:csb0="00100000" w:csb1="00000000"/>
  </w:font>
  <w:font w:name="儷宋 Pro">
    <w:altName w:val="苹方-简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ymbol">
    <w:altName w:val="Kingsoft Sign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Yu Gothic Light">
    <w:altName w:val="苹方-简"/>
    <w:panose1 w:val="00000000000000000000"/>
    <w:charset w:val="00"/>
    <w:family w:val="auto"/>
    <w:pitch w:val="default"/>
    <w:sig w:usb0="00000000" w:usb1="00000000" w:usb2="00000016" w:usb3="00000000" w:csb0="0002009F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ongti TC Regular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annotate SC Regular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MS Mincho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EU-BZ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凌慧体-繁">
    <w:altName w:val="宋体-简"/>
    <w:panose1 w:val="03050602040302020204"/>
    <w:charset w:val="86"/>
    <w:family w:val="auto"/>
    <w:pitch w:val="default"/>
    <w:sig w:usb0="00000000" w:usb1="00000000" w:usb2="0000001E" w:usb3="00000000" w:csb0="20140183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Hannotate TC Regular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9D9BD3"/>
    <w:rsid w:val="3FFF545E"/>
    <w:rsid w:val="77EF286C"/>
    <w:rsid w:val="7A9D9BD3"/>
    <w:rsid w:val="7FFBD996"/>
    <w:rsid w:val="BF5FCDE2"/>
    <w:rsid w:val="E6B2D3B8"/>
    <w:rsid w:val="FFDE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" w:beforeLines="0" w:beforeAutospacing="0" w:after="1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Office_3.9.6.6441_F1E327BC-269C-435d-A152-05C5408002CA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2020-09-12T00:34:00Z</dcterms:created>
  <dc:creator>momozi1996</dc:creator>
  <cp:lastModifiedBy>momozi1996</cp:lastModifiedBy>
  <dcterms:modified xsi:type="dcterms:W3CDTF">2022-04-09T18:46:08Z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2052-3.9.6.6441</vt:lpwstr>
  </property>
</Properties>
</file>