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SUMMARY:</w:t>
      </w:r>
    </w:p>
    <w:p>
      <w:r>
        <w:t>EXECUTIVE SUMMARY:</w:t>
        <w:br/>
        <w:t>Background: Non-small cell lung cancer (NSCLC) remains a primary arena for immunotherapy, with initial gains from PD-1/PD-L1 and CTLA-4 blockade. The current landscape (through 2026) shows a shift toward neoadjuvant immunotherapy, cellular immunotherapies (e.g., dendritic-cell vaccines, T-cell vaccines, NK-cell therapies), and rapidly expanding combination strategies guided by biomarker-driven patient selection. Key evidence suggests neoadjuvant approaches may improve resectability and prime systemic anti-tumor immunity, while cellular modalities offer complementary mechanisms to overcome resistance to checkpoint inhibitors. The field is also advancing to include novel checkpoints (e.g., TIGIT) and multi-omics biomarker strategies, all aiming to personalize therapy. However, challenges remain in maturation of survival data, standardization of response metrics (notably major pathological response in neoadjuvant settings), and robust NSCLC-specific predictive biomarkers. Cross-tumor biomarker signals (e.g., SIRT7 context-dependence) highlight predictive complexity and the need for NSCLC-centric validation. Practical implications emphasize biomarker-informed patient selection, careful integration with surgical planning in neoadjuvant settings, and thoughtful toxicity management in cellular and combination regimens. Overall, the trajectory points to earlier systemic control, broadened responder populations, and more nuanced sequencing of therapies, but meaningful practice change awaits robust long-term endpoints and harmonized trial standards.</w:t>
        <w:br/>
        <w:br/>
        <w:t>DETAILED REPORT:</w:t>
        <w:br/>
        <w:t>*Background and Context*\nNon-small cell lung cancer (NSCLC) remains a central focus for immunotherapy development, with historic advances driven by PD-1/PD-L1 and CTLA-4 inhibitors. The current landscape through 2026 shows intensified exploration of neoadjuvant immunotherapy, cellular immunotherapies (including dendritic-cell vaccines, T-cell vaccines, and NK-cell therapies), and rapid expansion of combination strategies and biomarker-guided patient selection. Gaps persist in mature survival data, standardization of response metrics (e.g., major pathological response in neoadjuvant settings), and NSCLC-specific predictive biomarkers. The emergence of TIGIT inhibitors and broader multi-checkpoint strategies signals a trend toward personalization. Broader biomarker work (e.g., context-dependent signals like SIRT7) underscores the complexity of predicting response across cancers and the need for NSCLC-specific validation.\n\n*Synthesis of Current Evidence*\n- Converging themes: (1) Growing interest in neoadjuvant immunotherapy for NSCLC with ongoing assessment of feasibility, safety, and potential advantages such as higher pathological response rates and immune priming; (2) Diversification of cellular immunotherapies (DC vaccines, T-cell vaccines, NK-cell therapies) as complements or alternatives to PD-(L)1 blockade; (3) Emphasis on biomarker-driven patient selection and monitoring, with exploration of TIGIT and gene-expression signatures to refine who benefits from combinations.\n- Divergent notes: While NSCLC-specific data are central, broader biomarker research (e.g., SIRT7) illustrates cross-tumor predictive challenges and reinforces the need for NSCLC-centric validation. Radiopharmaceutical approaches in other tumors expand combinatorial strategies, though NSCLC-specific evidence for such combinations remains limited in the cited sources.\n\n*Detailed Findings and Analysis*\n- *Neoadjuvant immunotherapy for NSCLC*: Current limitations include immature durability data, variability in pathological response assessment, and challenges aligning timing with surgery and perioperative safety. There is cautious optimism about improved resectability and potential survival benefits, yet long-term outcomes are pending. Future prospects include better patient selection, integration with surgical planning, and standardized endpoints (e.g., major pathological response, event-free survival) to translate early signals into meaningful benefits.\n- *Cellular immunotherapy advances*: Dendritic-cell and T-cell vaccine approaches show immunostimulatory activity and potential to elicit antigen-specific responses; NK-cell therapies demonstrate innate immune engagement and potential synergy with other modalities. The overall interpretation is that cellular approaches may address resistance to checkpoint inhibitors and broaden immunotherapy reach, but durable benefit requires rigorous trial design, biomarker-guided selection, and management of unique toxicities.\n- *Biomarkers and patient stratification*: PD-L1 expression, tumor mutational burden (TMB), and tumor-infiltrating lymphocytes (TILs) influence response interpretation but have predictive limitations. Contextual biomarkers (e.g., SIRT7) emphasize the need for NSCLC-specific panels, dynamic monitoring, and integration of multi-omic data.\n- *TIGIT inhibitors and checkpoint-combination strategies*: TIGIT inhibitor pipelines reflect a strategic shift to parallel inhibitory pathway blockade alongside PD-1/PD-L1, with early development focusing on identifying responsive subsets, sequencing, and safety considerations in combinations.\n- *Cross-cutting considerations*: Integrating neoadjuvant immunotherapy, cellular approaches, and new checkpoints requires harmonized trial frameworks, standardized endpoints, and robust biospecimen programs to disentangle mechanistic effects from clinical outcomes.\n\n*Emerging Hypotheses*\n1) Combining TIGIT inhibitors with PD-1 blockade in biomarker-selected NSCLC (e.g., tumors with high T-cell infiltration and favorable PD-L1) will improve objective response rates and progression-free survival versus PD-1 inhibition alone by reversing T-cell exhaustion and enhancing effector function.\n2) In resectable NSCLC, neoadjuvant immunotherapy guided by integrated biomarker signatures (PD-L1, TMB, TIL density, gene-expression profiles) will yield higher major pathological response rates and improved event-free survival versus standard approaches, enabling better surgical and long-term control.\n3) NK-cell–based therapies augmented by dendritic-cell vaccines will synergistically enhance cytotoxic immunity and reduce recurrence after resection by combining innate and adaptive responses and mitigating tumor-induced immunosuppression.\n\n*Identified Trends and Future Directions*\n- Trend 1: Neoadjuvant immunotherapy as a central pillar. Implication: expanded trials with standardized endpoints and biomarker-guided patient selection could translate to earlier systemic control and potential survival gains in resectable NSCLC.\n- Trend 2: Diversification beyond traditional checkpoint blockade. Implication: cellular immunotherapies are entering earlier-phase testing, offering potential to overcome resistance and broaden responder populations when combined with vaccines or innate-immune activators.\n- Trend 3: Biomarker-driven personalization and combination expansion. Implication: stratified trial designs and multi-omic/temporal biomarker monitoring will refine therapy sequencing and selection to maximize benefit while managing toxicity.\n\n*Clinical Implications and Recommendations*\n- For clinicians and trial designers: prioritize NSCLC-specific biomarker programs (PD-L1, TMB, TIL profiling, gene-expression signatures) in neoadjuvant/adjuvant trials to enable robust responder definitions; cautiously explore cellular therapies in early-phase settings with attention to toxicity and logistics; consider TIGIT-inclusive strategies in biomarker-enriched cohorts using adaptive trial designs.\n- For researchers: invest in longitudinal biomarker validation across NSCLC subtypes; develop composite endpoints and standardized pathology/radiology criteria for neoadjuvant immunotherapy; pursue integrative strategies pairing cellular therapies with checkpoint inhibitors or radiopharmaceuticals, with rigorous safety monitoring.\n- For stakeholders/policy: fund NSCLC-focused biomarker development and translational programs; support consortia to harmonize endpoints, data sharing, and biomarker validation to accelerate evidence generation.\nNote: While some sources discuss broader oncology biomarkers and radiopharmaceuticals, the synthesis emphasizes NSCLC-specific implications where directly informative.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