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SUMMARY:</w:t>
      </w:r>
    </w:p>
    <w:p>
      <w:r>
        <w:t>EXECUTIVE SUMMARY:</w:t>
        <w:br/>
        <w:t>Research Background: Immunotherapy has transformed NSCLC management, led by PD-1/PD-L1 inhibitors. The field has expanded from frontline chemo-immunotherapy combinations in advanced disease to neoadjuvant approaches in resectable disease and ongoing adjuvant investigations. Emerging checkpoints (TIGIT, LAG-3, TIM-3) and epigenetic modifiers are being explored to overcome resistance and broaden applicability across histology and molecular subgroups. Biomarkers such as PD-L1, tumor mutational burden (TMB), circulating tumor DNA (ctDNA), and tumor microenvironment features are central to patient selection and monitoring, though predictive value remains imperfect and data are heterogeneous across settings. Safety, particularly immune-related adverse events (irAEs), continues to shape practice. Practical clinical integration hinges on biomarker-informed sequencing, timely response assessment, and trial enrollment for novel combinations. Practical Clinical Conclusions: Continued use of chemo-immunotherapy as standard of care in metastatic NSCLC, with biomarker-guided selection (PD-L1, TMB, ctDNA) and consideration of single-agent ICI in selected high PD-L1 patients or chemotherapy-ineligible individuals. Neoadjuvant immunotherapy (with or without chemotherapy) shows promise for deeper pathologic responses and potential long-term benefit in resectable disease, pending mature survival data. For EGFR-mutant/ALK-rearranged NSCLC, exercise caution with ICI monotherapy and prioritize targeted therapy or trial-based strategies. Enroll patients in trials investigating TIGIT/LAG-3/TIM-3 and epigenetic modulators and emphasize long-term outcomes (OS, durability, quality of life) in future studies.</w:t>
        <w:br/>
        <w:br/>
        <w:t>DETAILED REPORT:</w:t>
        <w:br/>
        <w:t>*Background and Context*</w:t>
        <w:br/>
        <w:t>Non-small cell lung cancer (NSCLC) has emerged as a paradigm for immunotherapy, particularly with PD-1/PD-L1 targeting agents. The therapeutic landscape now includes first-line chemo-immunotherapy combinations for many patients with advanced disease, neoadjuvant immunotherapy in resectable disease, and adjuvant settings under investigation. Emerging checkpoints (e.g., TIGIT, LAG-3, TIM-3) and epigenetic modulators are being explored to overcome resistance and broaden applicability across histologic and molecular subgroups. While transformative, the evidence base remains heterogeneous across stages, histologies, and biomarker-defined subgroups. Contextual biomarkers such as PD-L1, tumor mutational burden (TMB), circulating tumor DNA (ctDNA), and the tumor microenvironment are central to optimizing patient selection and monitoring.</w:t>
        <w:br/>
        <w:br/>
        <w:t>*Synthesis of Current Evidence*</w:t>
        <w:br/>
        <w:t>- Substantial convergence: PD-1/PD-L1 inhibitors, particularly in combination with chemotherapy, are standard-of-care in first-line advanced NSCLC, with improved response rates and survival in many populations. Trials in adjuvant and neoadjuvant settings show ongoing interest and early signals of deeper pathologic responses, though long-term outcomes are still maturing.</w:t>
        <w:br/>
        <w:t>- Neoadjuvant immunotherapy: Trials in resectable NSCLC suggest higher major pathological response (MPR/pCR) rates with ICIs (with or without chemotherapy) before surgery, supporting preoperative strategies, but OS data and endpoint standardization remain evolving.</w:t>
        <w:br/>
        <w:t>- Adjuvant and perioperative settings: Early signals of disease-free survival benefits exist in selected cohorts, but consistency and biomarker-specific benefits require longer follow-up.</w:t>
        <w:br/>
        <w:t>- Novel checkpoints and combinations: TIGIT inhibitors, often with PD-1/PD-L1 blockade, show early potential, especially in PD-L1–positive tumors, but results are not uniformly practice-changing. Other targets (LAG-3, TIM-3) and microenvironment strategies are in early stages.</w:t>
        <w:br/>
        <w:t>- Biomarkers and biology: PD-L1 and TMB guide decisions but are imperfect predictors. ctDNA dynamics and microenvironment profiling offer real-time response monitoring and trial stratification. Epigenetic biomarkers (e.g., SIRT7) are under study for response modulation and prediction.</w:t>
        <w:br/>
        <w:t>- Evidence gaps and context: Extrapolation from other tumor types (e.g., PRRT neuroendocrine data) is inappropriate. EGFR-mutant and ALK-rearranged NSCLC show reduced benefit from ICI monotherapy, highlighting the need for alternative strategies and trials.</w:t>
        <w:br/>
        <w:br/>
        <w:t>*Detailed Findings and Analysis*</w:t>
        <w:br/>
        <w:t>- First-line regimens: In advanced NSCLC, PD-1/PD-L1 inhibitors can be used as monotherapy or with platinum-based chemotherapy, with regimen choice guided by PD-L1 status, histology, and performance status. Chemo-immunotherapy regimens yield higher response rates and longer PFS broadly; single-agent ICI may be favored in high PD-L1, low tumor burden, or chemotherapy-ineligible patients.</w:t>
        <w:br/>
        <w:t>- Neoadjuvant strategies: CheckMate 816-like paradigms show improved pCR/MPR with nivolumab plus chemotherapy versus chemotherapy alone in resectable cases, enabling feasible resections and potential downstream survival benefits. Uncertainties include translating pathologic response to durable OS, histology- and PD-L1-associated differences, and optimal regimens.</w:t>
        <w:br/>
        <w:t>- TIGIT and novel targets: Early-phase TIGIT inhibitor data show potential synergy with PD-1/PD-L1 blockade, especially in PD-L1–positive tumors, but inconsistent trial results and need for predictive biomarkers limit immediate clinical adoption.</w:t>
        <w:br/>
        <w:t>- Biomarkers and monitoring: PD-L1 remains useful but imperfect; TMB has variable predictive value. ctDNA kinetics and tumor immune microenvironment features offer promise for real-time assessment and early decision-making.</w:t>
        <w:br/>
        <w:t xml:space="preserve">- Safety considerations: irAEs are central, particularly with combination regimens. Perioperative irAEs require careful multidisciplinary coordination to optimize timing and outcomes. </w:t>
        <w:br/>
        <w:t>- Epigenetic context: Emerging data on SIRT7 and related regulators suggest context-dependent effects on antigen presentation and immune signaling, warranting further validation and integration into trial designs.</w:t>
        <w:br/>
        <w:br/>
        <w:t>*Emerging Hypotheses*</w:t>
        <w:br/>
        <w:t>- Hypothesis 1: In PD-L1–positive NSCLC, adding TIGIT inhibition to PD-1/PD-L1 blockade will improve objective response rate and progression-free survival vs PD-1/PD-L1 blockade alone across squamous and non-squamous histologies.</w:t>
        <w:br/>
        <w:t xml:space="preserve">  Rationale: Early-phase signals indicate synergy in PD-L1–driven microenvironments, potentially overcoming adaptive resistance.</w:t>
        <w:br/>
        <w:t>- Hypothesis 2: In resectable NSCLC, neoadjuvant immunotherapy plus chemotherapy will increase major pathological response across molecular subgroups and translate into superior long-term disease-free and overall survival, independent of PD-L1 status, with standardized ctDNA-guided endpoints.</w:t>
        <w:br/>
        <w:t xml:space="preserve">  Rationale: Consistent MPR/pCR improvements and prognostic value of early pathologic response support this survival hypothesis, pending mature OS data and robust biomarker stratification.</w:t>
        <w:br/>
        <w:t>- Hypothesis 3: Epigenetic modulation (e.g., targeting SIRT7) will reprogram the tumor immune microenvironment to enhance sensitivity to PD-1/PD-L1 blockade, especially in PD-L1–low NSCLC, enabling conversion of non-responders to responders when combined with ICIs.</w:t>
        <w:br/>
        <w:t xml:space="preserve">  Rationale: Epigenetic regulators influence antigen presentation, interferon signaling, and immune infiltration; manipulating these pathways may broaden ICI efficacy.</w:t>
        <w:br/>
        <w:br/>
        <w:t>*Identified Trends and Future Directions*</w:t>
        <w:br/>
        <w:t>- Trend 1: Expansion of neoadjuvant and adjuvant immunotherapy in NSCLC, focusing on deep pathologic responses as surrogates for long-term outcomes. Trials are refining regimens (ICI alone vs ICI with chemotherapy) and standardizing endpoints for cross-trial comparability.</w:t>
        <w:br/>
        <w:t>- Trend 2: Emergence and maturation of novel targets (TIGIT, LAG-3, TIM-3) with combination strategies to overcome resistance and broaden benefit across biomarker-defined subgroups; trial-enabling approaches and biomarker-driven selection are central.</w:t>
        <w:br/>
        <w:t>- Trend 3: Biomarker-driven personalization and dynamic monitoring are integral to optimizing regimens, sequencing, and real-time modification, leveraging PD-L1, TMB, ctDNA kinetics, and tumor microenvironment profiling while mitigating toxicity.</w:t>
        <w:br/>
        <w:br/>
        <w:t>*Clinical Implications and Recommendations*</w:t>
        <w:br/>
        <w:t>- Metastatic NSCLC: Continue chemo-immunotherapy as standard-of-care for broad patient populations, guided by PD-L1 status and histology. Consider single-agent ICI in select patients with high PD-L1 or contraindications to chemotherapy, with close monitoring. Implement comprehensive biomarker testing (PD-L1, TMB, ctDNA where available) to inform therapy choice and identify early non-responders for regimen modification or trial enrollment.</w:t>
        <w:br/>
        <w:t>- Resectable NSCLC: Consider neoadjuvant immunotherapy (with or without chemotherapy) as a viable option to improve MPR/pCR, surgical outcomes, and potentially long-term outcomes, within multidisciplinary planning. Standardize endpoints and plan adjuvant management based on pathologic results while awaiting OS data. Monitor perioperative irAEs in coordination with thoracic surgeons.</w:t>
        <w:br/>
        <w:t>- EGFR-mutant/ALK-rearranged NSCLC: Exercise caution with ICI monotherapy due to limited benefit; prioritize targeted therapy and trial-based strategies, with immunotherapy considered in select contexts or after careful risk-benefit assessment.</w:t>
        <w:br/>
        <w:t>- TIGIT and novel checkpoints: Prioritize clinical trial enrollment to access emerging combinations and contribute to evidence generation.</w:t>
        <w:br/>
        <w:t>- Biomarker integration and monitoring: Implement broad biomarker testing and dynamic monitoring (ctDNA, microenvironment profiling) to guide therapy and detect early non-responders. Develop robust irAE management pathways.</w:t>
        <w:br/>
        <w:t>- Research and translation: Support trials with biomarker-driven stratification, correlative studies on the tumor microenvironment, ctDNA dynamics, and epigenetic markers (e.g., SIRT7). Emphasize long-term outcomes (OS, durability, quality of life) and direct comparisons of regimens for optimal sequencing across stages and histologies.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