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California Sales-Tax Assistant</w:t>
      </w:r>
    </w:p>
    <w:p>
      <w:pPr>
        <w:spacing w:after="6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High-Level Design &amp; Status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55555"/>
        </w:rPr>
        <w:t xml:space="preserve">A neuro-symbolic assistant that answers California sales &amp; use tax questions with a cited, deterministic verdict — and honestly says “Needs review” when it isn’t sure.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Working demonstrator (rules AI-drafted; human verification deferred)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2026-07-01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ca-tax-real/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Domain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California sales &amp; use tax (CDTFA Title 18, Reg 1500–1707)</w:t>
            </w:r>
          </w:p>
        </w:tc>
      </w:tr>
    </w:tbl>
    <w:p>
      <w:pPr>
        <w:spacing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Purpose &amp; guiding principle</w:t>
      </w:r>
    </w:p>
    <w:p>
      <w:pPr>
        <w:spacing w:after="120"/>
      </w:pPr>
      <w:r>
        <w:rPr>
          <w:rFonts w:ascii="Arial" w:cs="Arial" w:eastAsia="Arial" w:hAnsi="Arial"/>
        </w:rPr>
        <w:t xml:space="preserve">The single design goal is “never confidently wrong.” The system would rather defer than guess. Every answer is either: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 verdict backed by a deterministic rule and a statute citation, 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“Needs review — not covered by current rules.”</w:t>
      </w:r>
    </w:p>
    <w:p>
      <w:pPr>
        <w:spacing w:after="120"/>
      </w:pPr>
      <w:r>
        <w:rPr>
          <w:rFonts w:ascii="Arial" w:cs="Arial" w:eastAsia="Arial" w:hAnsi="Arial"/>
        </w:rPr>
        <w:t xml:space="preserve">The language model is deliberately fenced off from being the source of truth: it handles language (understanding the question, writing the answer); the facts come from a curated rule base; and a guard enforces honesty. This is a demonstrator, not a filing tool — the rules are AI-drafted and not yet verified by a tax professional (see §9).</w:t>
      </w:r>
    </w:p>
    <w:p>
      <w:pPr>
        <w:pStyle w:val="Heading1"/>
      </w:pPr>
      <w:r>
        <w:rPr>
          <w:rFonts w:ascii="Arial" w:cs="Arial" w:eastAsia="Arial" w:hAnsi="Arial"/>
        </w:rPr>
        <w:t xml:space="preserve">2. Architecture — Crawl → Store → Respond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CRAWL              STORE (Postgres + pgvector)        RESPOND (engine.py)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-----              ---------------------------        -------------------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CDTFA regs   --&gt;   documents / doc_chunks (law text)      question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(Reg 1500-         product_rules (fine verdicts)             |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1707)             rule_embeddings (routing index)           v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local_rates (city/county rates)   route-&gt;lookup-&gt;localize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-&gt;cite-&gt;compose-&gt;guard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    |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    v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cited answer OR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“Needs review”</w:t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The neuro-symbolic split: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260"/>
        <w:gridCol w:w="30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Implemented by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Neuro (language)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understand the question, compose prose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Gemini (swappable)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Symbolic (truth)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 it taxable? rate? citation?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product_rules (deterministic lookup)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Guard (honesty)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defer when no rule matches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distance threshold → Needs review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The model layer is swappable via config.py/.env (Gemini today; Azure later for compliance) with no logic changes.</w:t>
      </w:r>
    </w:p>
    <w:p>
      <w:pPr>
        <w:pStyle w:val="Heading1"/>
      </w:pPr>
      <w:r>
        <w:rPr>
          <w:rFonts w:ascii="Arial" w:cs="Arial" w:eastAsia="Arial" w:hAnsi="Arial"/>
        </w:rPr>
        <w:t xml:space="preserve">3. Request lifecycle</w:t>
      </w:r>
    </w:p>
    <w:p>
      <w:pPr>
        <w:spacing w:after="120"/>
      </w:pPr>
      <w:r>
        <w:rPr>
          <w:rFonts w:ascii="Arial" w:cs="Arial" w:eastAsia="Arial" w:hAnsi="Arial"/>
        </w:rPr>
        <w:t xml:space="preserve">For each question, engine.answer():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Route — </w:t>
      </w:r>
      <w:r>
        <w:rPr>
          <w:rFonts w:ascii="Arial" w:cs="Arial" w:eastAsia="Arial" w:hAnsi="Arial"/>
        </w:rPr>
        <w:t xml:space="preserve">map the question to a rule key via local embedding similarity over the rule catalog, with a curated disambiguation tier and a conservative lexical rerank (a Gemini-generation router is available as a fallback).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Guard — </w:t>
      </w:r>
      <w:r>
        <w:rPr>
          <w:rFonts w:ascii="Arial" w:cs="Arial" w:eastAsia="Arial" w:hAnsi="Arial"/>
        </w:rPr>
        <w:t xml:space="preserve">if the nearest rule is beyond a calibrated distance threshold (0.35), return “Needs review” (off-topic / out-of-scope).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Look up — </w:t>
      </w:r>
      <w:r>
        <w:rPr>
          <w:rFonts w:ascii="Arial" w:cs="Arial" w:eastAsia="Arial" w:hAnsi="Arial"/>
        </w:rPr>
        <w:t xml:space="preserve">fetch the verdict from product_rules (fine) then rules (coarse).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Localize the rate — </w:t>
      </w:r>
      <w:r>
        <w:rPr>
          <w:rFonts w:ascii="Arial" w:cs="Arial" w:eastAsia="Arial" w:hAnsi="Arial"/>
        </w:rPr>
        <w:t xml:space="preserve">standard-rate taxable items get the combined city/county rate from local_rates; partial/special-rate items (fuel, partial exemptions) are left as-is and flagged; exempt stays 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Cite — </w:t>
      </w:r>
      <w:r>
        <w:rPr>
          <w:rFonts w:ascii="Arial" w:cs="Arial" w:eastAsia="Arial" w:hAnsi="Arial"/>
        </w:rPr>
        <w:t xml:space="preserve">retrieve the most relevant law passage via pgvector (doc_chunks).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Compose — </w:t>
      </w:r>
      <w:r>
        <w:rPr>
          <w:rFonts w:ascii="Arial" w:cs="Arial" w:eastAsia="Arial" w:hAnsi="Arial"/>
        </w:rPr>
        <w:t xml:space="preserve">Gemini writes a 2–3 sentence answer from those facts only, always including the citation.</w:t>
      </w:r>
    </w:p>
    <w:p>
      <w:pPr>
        <w:pStyle w:val="Heading1"/>
      </w:pPr>
      <w:r>
        <w:rPr>
          <w:rFonts w:ascii="Arial" w:cs="Arial" w:eastAsia="Arial" w:hAnsi="Arial"/>
        </w:rPr>
        <w:t xml:space="preserve">4. Data stores (Neon Postgres + pgvector)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60"/>
        <w:gridCol w:w="4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Rows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product_rules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492 / 84 regs (245 taxable, 247 exempt)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depth layer: one fine, condition-aware verdict per scenario, with subsection citation.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rule_embeddings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510 (all embedded)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Routing index — question → rule by vector similarity.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doc_chunks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317 / 97 regs (all embedded)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Chunked full reg text for citation retrieval.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local_rates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540 (all 58 counties)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City/county combined sales-tax rates.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97 (20 embedded, legacy)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Original capped crawl; superseded by doc_chunks.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rule_drafts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Coarse AI drafts (one per reg), pre-depth.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Coarse MVP rules (breadth fallback).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5. Codebase (by role)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Pipeline (build the stores)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registry.py / crawl.py / crawl_all.py — discover &amp; crawl the 97 CDTFA regs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fetch_full.py — full cleaned reg text for deep reading &amp; chunking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classify_regs.py — bucket regs by size (large/medium/small)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load_product_rules.py — load fine rules from JSON (reg####_rules.json)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embed_docs.py — chunk + embed reg text → doc_chunks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embed_rules.py — embed the rule catalog → rule_embeddings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local_rates.py — fetch/load/verify/resolve city-county rates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db.py / config.py — schema/connection and central config</w:t>
      </w:r>
    </w:p>
    <w:p>
      <w:pPr>
        <w:spacing w:after="60" w:before="80"/>
      </w:pPr>
      <w:r>
        <w:rPr>
          <w:rFonts w:ascii="Arial" w:cs="Arial" w:eastAsia="Arial" w:hAnsi="Arial"/>
          <w:b/>
          <w:bCs/>
        </w:rPr>
        <w:t xml:space="preserve">Responder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engine.py — routing (embed + disambiguation + rerank + guard), lookup, rate localization, citation,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app.py — Streamlit chat UI (streamlit run app.py)</w:t>
      </w:r>
    </w:p>
    <w:p>
      <w:pPr>
        <w:spacing w:after="60" w:before="80"/>
      </w:pPr>
      <w:r>
        <w:rPr>
          <w:rFonts w:ascii="Arial" w:cs="Arial" w:eastAsia="Arial" w:hAnsi="Arial"/>
          <w:b/>
          <w:bCs/>
        </w:rPr>
        <w:t xml:space="preserve">Evaluation &amp; QA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route_eval.py — router calibration + coverage measurement (cached)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coverage.py — end-to-end coverage harness by topic (cached)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verify.py — Phase B internal-consistency audit of all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smoke_test.py — quick end-to-end routing check</w:t>
      </w:r>
    </w:p>
    <w:p>
      <w:pPr>
        <w:pStyle w:val="Heading1"/>
      </w:pPr>
      <w:r>
        <w:rPr>
          <w:rFonts w:ascii="Arial" w:cs="Arial" w:eastAsia="Arial" w:hAnsi="Arial"/>
        </w:rPr>
        <w:t xml:space="preserve">6. What’s implemented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Deep-read rule base — every taxability-bearing CDTFA sales/use-tax reg read line-by-line: 492 fine rules across 84 regs (the other 13 regs are administrative, no verdicts).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Neuro-symbolic responder — routing, deterministic lookup, citation, compose, guard.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Embedding-based routing — removed the 20/day generation bottleneck; scales past hundreds of rules; calibrated guard; disambiguation + conservative rerank.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Citation retrieval — full reg text chunked and embedded (317/317).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Location-aware rates — 540 jurisdictions from the authoritative CDTFA source, verified.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QA tooling — internal-consistency verifier, coverage harness, calibration eval.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Demo UI — Streamlit chat front end.</w:t>
      </w:r>
    </w:p>
    <w:p>
      <w:pPr>
        <w:pStyle w:val="Heading1"/>
      </w:pPr>
      <w:r>
        <w:rPr>
          <w:rFonts w:ascii="Arial" w:cs="Arial" w:eastAsia="Arial" w:hAnsi="Arial"/>
        </w:rPr>
        <w:t xml:space="preserve">7. Current metrics / evidence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Rule base: 492 rules / 84 regs; deep-read verified complete (13 no-rule regs confirmed administrative).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Internal audit (Phase B): 0 verdict/rate inconsistencies, 0 duplicate keys, 0 malformed rows; 1 real bug found &amp; fixed.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Coverage sweep (53 realistic probes): 100% in-scope coverage, 100% verdict accuracy (51/51 after the disambiguation fix), out-of-scope questions correctly deferred.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Local rates: verified — 540 rows, all rates in the valid 7.25%–11.25% band, cross-checked against published values.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</w:rPr>
        <w:t xml:space="preserve">“100%” is on the 53-probe evaluation set — a strong signal, not a guarantee across all possible questions.</w:t>
      </w:r>
    </w:p>
    <w:p>
      <w:pPr>
        <w:pStyle w:val="Heading1"/>
      </w:pPr>
      <w:r>
        <w:rPr>
          <w:rFonts w:ascii="Arial" w:cs="Arial" w:eastAsia="Arial" w:hAnsi="Arial"/>
        </w:rPr>
        <w:t xml:space="preserve">8. Operational notes (Gemini free tier)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rPr>
          <w:tblHeader/>
        </w:trP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Limit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Generation (gemini-2.5-flash-lite)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/ day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Embedding (gemini-embedding-001)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1,000 / day and ~30 / minute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Routing was moved off generation onto embeddings to escape the 20/day wall. Batch embedding jobs use backoff and are resumable. Billing (or Azure) removes these limits for scale.</w:t>
      </w:r>
    </w:p>
    <w:p>
      <w:pPr>
        <w:pStyle w:val="Heading1"/>
      </w:pPr>
      <w:r>
        <w:rPr>
          <w:rFonts w:ascii="Arial" w:cs="Arial" w:eastAsia="Arial" w:hAnsi="Arial"/>
        </w:rPr>
        <w:t xml:space="preserve">9. Scope &amp; honest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Domain: California sales &amp; use tax only (CDTFA Title 18). Not property tax, income tax, or other states — those correctly return “Needs review.”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Verification: rules are AI-drafted and unverified. Internal consistency is checked; the underlying legal determinations are not professionally verified — demonstrator only, not for real filing.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Rate granularity: city/county level. Sub-city district pockets that only a full street address resolves are not captured.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Snapshots: rules and rates are point-in-time; statutes and district taxes change and require periodic refresh.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Two known routing edges (generic vs. specific “ice”/“water” rules) are handled by a curated disambiguation tier; the root fix (better rule-embedding text) is queued.</w:t>
      </w:r>
    </w:p>
    <w:p>
      <w:pPr>
        <w:pStyle w:val="Heading1"/>
      </w:pPr>
      <w:r>
        <w:rPr>
          <w:rFonts w:ascii="Arial" w:cs="Arial" w:eastAsia="Arial" w:hAnsi="Arial"/>
        </w:rPr>
        <w:t xml:space="preserve">10. Future steps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Near-term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Re-embed the two generic rules with cleaner text (root fix for the disambiguation edge).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Expand the coverage probe set (more topics, adversarial phrasings); track over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Promote product_rules to a stable served/prod snapshot; add schema migrations.</w:t>
      </w:r>
    </w:p>
    <w:p>
      <w:pPr>
        <w:spacing w:after="60" w:before="80"/>
      </w:pPr>
      <w:r>
        <w:rPr>
          <w:rFonts w:ascii="Arial" w:cs="Arial" w:eastAsia="Arial" w:hAnsi="Arial"/>
          <w:b/>
          <w:bCs/>
        </w:rPr>
        <w:t xml:space="preserve">Medium-term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Human / tax-pro verification — the real value-add (and real cost); keep drafts separate from a verified served tier.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Address-level rates via the CDTFA address API (rooftop precision).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Reg-change &amp; rate-change monitoring to keep snapshots fresh.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Harden the demo (auth, logging, cost caching) for beta users.</w:t>
      </w:r>
    </w:p>
    <w:p>
      <w:pPr>
        <w:spacing w:after="60" w:before="80"/>
      </w:pPr>
      <w:r>
        <w:rPr>
          <w:rFonts w:ascii="Arial" w:cs="Arial" w:eastAsia="Arial" w:hAnsi="Arial"/>
          <w:b/>
          <w:bCs/>
        </w:rPr>
        <w:t xml:space="preserve">Long-term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Expand to other CA tax types (property, income) and/or other states.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Move the model layer to Azure for compliance; enable billing for scale.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Confidence scoring and per-topic calibrated thresholds.</w:t>
      </w:r>
    </w:p>
    <w:p>
      <w:pPr>
        <w:pStyle w:val="Heading1"/>
      </w:pPr>
      <w:r>
        <w:rPr>
          <w:rFonts w:ascii="Arial" w:cs="Arial" w:eastAsia="Arial" w:hAnsi="Arial"/>
        </w:rPr>
        <w:t xml:space="preserve">11. What we can change / improve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Routing quality: sentence-aware chunking; hybrid lexical+vector scoring; richer rule-embedding text; return multiple matching rules when a question spans several.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Rule interactions: model stacking/interactions (excise on top of sales tax, use-tax scenarios, partial exemptions + district tax) explicitly rather than per-rule.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Temporal awareness: effective-date handling for rules and rates (answer “as of” a date).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Guard calibration: per-topic abstention thresholds; surface a confidence score.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Provenance &amp; audit: version rules, record which draft/source produced each answer.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Cost/perf: cache embeddings and compositions; consider a local embedding model to remove API limits entirely.</w:t>
      </w:r>
    </w:p>
    <w:p>
      <w:pPr>
        <w:pStyle w:val="Heading1"/>
      </w:pPr>
      <w:r>
        <w:rPr>
          <w:rFonts w:ascii="Arial" w:cs="Arial" w:eastAsia="Arial" w:hAnsi="Arial"/>
        </w:rPr>
        <w:t xml:space="preserve">12. Quickstart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one-time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python db.py                       # create schema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python local_rates.py fetch &amp;&amp; python local_rates.py load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python embed_docs.py build  &amp;&amp; python embed_docs.py embed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python embed_rules.py build &amp;&amp; python embed_rules.py embed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use it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python engine.py "Is a $10 case of soda taxable in San Francisco?"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streamlit run app.py               # chat UI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evaluate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python verify.py                   # internal-consistency audit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python route_eval.py run           # routing calibration + coverage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CA Sales-Tax Assistant — HLD  ·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2026-07-02T03:31:08.374Z</dcterms:created>
  <dcterms:modified xsi:type="dcterms:W3CDTF">2026-07-02T03:31:08.374Z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