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600"/>
              <w:left w:type="dxa" w:w="600"/>
              <w:bottom w:type="dxa" w:w="600"/>
              <w:right w:type="dxa" w:w="600"/>
            </w:tcMar>
          </w:tcPr>
          <w:p>
            <w:pPr>
              <w:spacing w:after="100" w:before="100"/>
              <w:jc w:val="left"/>
            </w:pPr>
            <w:r>
              <w:rPr>
                <w:rFonts w:ascii="Arial" w:cs="Arial" w:eastAsia="Arial" w:hAnsi="Arial"/>
                <w:b/>
                <w:bCs/>
                <w:color w:val="FFFFFF"/>
                <w:sz w:val="40"/>
                <w:szCs w:val="40"/>
              </w:rPr>
              <w:t xml:space="preserve">REQUEST FOR PROPOSAL (RFP)</w:t>
            </w:r>
          </w:p>
          <w:p>
            <w:pPr>
              <w:spacing w:after="60" w:before="60"/>
              <w:jc w:val="left"/>
            </w:pPr>
            <w:r>
              <w:rPr>
                <w:rFonts w:ascii="Arial" w:cs="Arial" w:eastAsia="Arial" w:hAnsi="Arial"/>
                <w:i/>
                <w:iCs/>
                <w:color w:val="BDD7EE"/>
                <w:sz w:val="30"/>
                <w:szCs w:val="30"/>
              </w:rPr>
              <w:t xml:space="preserve">Enterprise Cloud Infrastructure Modernization</w:t>
            </w:r>
          </w:p>
          <w:p>
            <w:pPr>
              <w:spacing w:after="20" w:before="40"/>
              <w:jc w:val="left"/>
            </w:pPr>
            <w:r>
              <w:rPr>
                <w:rFonts w:ascii="Arial" w:cs="Arial" w:eastAsia="Arial" w:hAnsi="Arial"/>
                <w:color w:val="FFFFFF"/>
                <w:sz w:val="22"/>
                <w:szCs w:val="22"/>
              </w:rPr>
              <w:t xml:space="preserve">RFP Reference: TechCorp-IT-2025-047</w:t>
            </w:r>
          </w:p>
          <w:p>
            <w:pPr>
              <w:jc w:val="left"/>
            </w:pPr>
            <w:r>
              <w:rPr>
                <w:rFonts w:ascii="Arial" w:cs="Arial" w:eastAsia="Arial" w:hAnsi="Arial"/>
                <w:color w:val="BDD7EE"/>
                <w:sz w:val="20"/>
                <w:szCs w:val="20"/>
              </w:rPr>
              <w:t xml:space="preserve">Issue Date: June 15, 2025   |   Submission Deadline: July 31, 2025</w:t>
            </w:r>
          </w:p>
        </w:tc>
      </w:tr>
    </w:tbl>
    <w:p>
      <w:pPr>
        <w:spacing w:after="200" w:before="200"/>
      </w:pPr>
    </w:p>
    <w:p>
      <w:r>
        <w:rPr>
          <w:rFonts w:ascii="Arial" w:cs="Arial" w:eastAsia="Arial" w:hAnsi="Arial"/>
          <w:b/>
          <w:bCs/>
          <w:color w:val="C00000"/>
          <w:sz w:val="18"/>
          <w:szCs w:val="18"/>
        </w:rPr>
        <w:t xml:space="preserve">CONFIDENTIAL — For Authorized Recipients Only</w:t>
      </w:r>
    </w:p>
    <w:p>
      <w:r>
        <w:br w:type="page"/>
      </w:r>
    </w:p>
    <w:p>
      <w:pPr>
        <w:pStyle w:val="Heading1"/>
        <w:pBdr>
          <w:bottom w:val="single" w:color="2E75B6" w:sz="6" w:space="4"/>
        </w:pBdr>
        <w:spacing w:after="160" w:before="360"/>
      </w:pPr>
      <w:r>
        <w:rPr>
          <w:rFonts w:ascii="Arial" w:cs="Arial" w:eastAsia="Arial" w:hAnsi="Arial"/>
          <w:b/>
          <w:bCs/>
          <w:color w:val="1F4E79"/>
          <w:sz w:val="28"/>
          <w:szCs w:val="28"/>
        </w:rPr>
        <w:t xml:space="preserve">1. Introduction &amp; Background</w:t>
      </w:r>
    </w:p>
    <w:p>
      <w:pPr>
        <w:spacing w:after="100" w:before="60"/>
      </w:pPr>
      <w:r>
        <w:rPr>
          <w:rFonts w:ascii="Arial" w:cs="Arial" w:eastAsia="Arial" w:hAnsi="Arial"/>
          <w:color w:val="595959"/>
          <w:sz w:val="22"/>
          <w:szCs w:val="22"/>
        </w:rPr>
        <w:t xml:space="preserve">TechCorp International, Inc. is a global technology solutions company headquartered in San Francisco, California, with operations across 28 countries and approximately 12,000 employees. The company is seeking qualified vendors to provide a comprehensive cloud infrastructure modernization solution.</w:t>
      </w:r>
    </w:p>
    <w:p>
      <w:pPr>
        <w:spacing w:after="100" w:before="60"/>
      </w:pPr>
      <w:r>
        <w:rPr>
          <w:rFonts w:ascii="Arial" w:cs="Arial" w:eastAsia="Arial" w:hAnsi="Arial"/>
          <w:color w:val="595959"/>
          <w:sz w:val="22"/>
          <w:szCs w:val="22"/>
        </w:rPr>
        <w:t xml:space="preserve">Currently, TechCorp operates a legacy on-premise data center environment that is approaching end-of-life. The organization seeks to migrate its core infrastructure to a modern, scalable cloud platform to improve operational efficiency, reduce costs, and enhance security posture.</w:t>
      </w:r>
    </w:p>
    <w:p>
      <w:pPr>
        <w:pStyle w:val="Heading2"/>
        <w:spacing w:after="120" w:before="240"/>
      </w:pPr>
      <w:r>
        <w:rPr>
          <w:rFonts w:ascii="Arial" w:cs="Arial" w:eastAsia="Arial" w:hAnsi="Arial"/>
          <w:b/>
          <w:bCs/>
          <w:color w:val="2E75B6"/>
          <w:sz w:val="24"/>
          <w:szCs w:val="24"/>
        </w:rPr>
        <w:t xml:space="preserve">1.1 Purpose of This RFP</w:t>
      </w:r>
    </w:p>
    <w:p>
      <w:pPr>
        <w:spacing w:after="100" w:before="60"/>
      </w:pPr>
      <w:r>
        <w:rPr>
          <w:rFonts w:ascii="Arial" w:cs="Arial" w:eastAsia="Arial" w:hAnsi="Arial"/>
          <w:color w:val="595959"/>
          <w:sz w:val="22"/>
          <w:szCs w:val="22"/>
        </w:rPr>
        <w:t xml:space="preserve">The purpose of this Request for Proposal is to solicit competitive proposals from qualified vendors who can deliver end-to-end cloud migration and modernization services. TechCorp intends to select a single primary vendor for this engagement.</w:t>
      </w:r>
    </w:p>
    <w:p>
      <w:pPr>
        <w:pStyle w:val="Heading2"/>
        <w:spacing w:after="120" w:before="240"/>
      </w:pPr>
      <w:r>
        <w:rPr>
          <w:rFonts w:ascii="Arial" w:cs="Arial" w:eastAsia="Arial" w:hAnsi="Arial"/>
          <w:b/>
          <w:bCs/>
          <w:color w:val="2E75B6"/>
          <w:sz w:val="24"/>
          <w:szCs w:val="24"/>
        </w:rPr>
        <w:t xml:space="preserve">1.2 Organizational Goals</w:t>
      </w:r>
    </w:p>
    <w:p>
      <w:pPr>
        <w:pStyle w:val="ListParagraph"/>
        <w:numPr>
          <w:ilvl w:val="0"/>
          <w:numId w:val="2"/>
        </w:numPr>
        <w:spacing w:after="40" w:before="40"/>
      </w:pPr>
      <w:r>
        <w:rPr>
          <w:rFonts w:ascii="Arial" w:cs="Arial" w:eastAsia="Arial" w:hAnsi="Arial"/>
          <w:color w:val="595959"/>
          <w:sz w:val="22"/>
          <w:szCs w:val="22"/>
        </w:rPr>
        <w:t xml:space="preserve">Reduce infrastructure operational costs by a minimum of 30% within 24 months</w:t>
      </w:r>
    </w:p>
    <w:p>
      <w:pPr>
        <w:pStyle w:val="ListParagraph"/>
        <w:numPr>
          <w:ilvl w:val="0"/>
          <w:numId w:val="2"/>
        </w:numPr>
        <w:spacing w:after="40" w:before="40"/>
      </w:pPr>
      <w:r>
        <w:rPr>
          <w:rFonts w:ascii="Arial" w:cs="Arial" w:eastAsia="Arial" w:hAnsi="Arial"/>
          <w:color w:val="595959"/>
          <w:sz w:val="22"/>
          <w:szCs w:val="22"/>
        </w:rPr>
        <w:t xml:space="preserve">Achieve 99.99% system availability SLA across all mission-critical applications</w:t>
      </w:r>
    </w:p>
    <w:p>
      <w:pPr>
        <w:pStyle w:val="ListParagraph"/>
        <w:numPr>
          <w:ilvl w:val="0"/>
          <w:numId w:val="2"/>
        </w:numPr>
        <w:spacing w:after="40" w:before="40"/>
      </w:pPr>
      <w:r>
        <w:rPr>
          <w:rFonts w:ascii="Arial" w:cs="Arial" w:eastAsia="Arial" w:hAnsi="Arial"/>
          <w:color w:val="595959"/>
          <w:sz w:val="22"/>
          <w:szCs w:val="22"/>
        </w:rPr>
        <w:t xml:space="preserve">Implement a Zero Trust security framework compliant with ISO 27001 and SOC 2 Type II</w:t>
      </w:r>
    </w:p>
    <w:p>
      <w:pPr>
        <w:pStyle w:val="ListParagraph"/>
        <w:numPr>
          <w:ilvl w:val="0"/>
          <w:numId w:val="2"/>
        </w:numPr>
        <w:spacing w:after="40" w:before="40"/>
      </w:pPr>
      <w:r>
        <w:rPr>
          <w:rFonts w:ascii="Arial" w:cs="Arial" w:eastAsia="Arial" w:hAnsi="Arial"/>
          <w:color w:val="595959"/>
          <w:sz w:val="22"/>
          <w:szCs w:val="22"/>
        </w:rPr>
        <w:t xml:space="preserve">Enable auto-scaling capabilities to support business growth without capital expenditure</w:t>
      </w:r>
    </w:p>
    <w:p>
      <w:pPr>
        <w:pStyle w:val="ListParagraph"/>
        <w:numPr>
          <w:ilvl w:val="0"/>
          <w:numId w:val="2"/>
        </w:numPr>
        <w:spacing w:after="40" w:before="40"/>
      </w:pPr>
      <w:r>
        <w:rPr>
          <w:rFonts w:ascii="Arial" w:cs="Arial" w:eastAsia="Arial" w:hAnsi="Arial"/>
          <w:color w:val="595959"/>
          <w:sz w:val="22"/>
          <w:szCs w:val="22"/>
        </w:rPr>
        <w:t xml:space="preserve">Complete full migration within 12 months of contract execution</w:t>
      </w:r>
    </w:p>
    <w:p>
      <w:pPr>
        <w:spacing w:after="200" w:before="200"/>
      </w:pPr>
    </w:p>
    <w:p>
      <w:pPr>
        <w:pStyle w:val="Heading1"/>
        <w:pBdr>
          <w:bottom w:val="single" w:color="2E75B6" w:sz="6" w:space="4"/>
        </w:pBdr>
        <w:spacing w:after="160" w:before="360"/>
      </w:pPr>
      <w:r>
        <w:rPr>
          <w:rFonts w:ascii="Arial" w:cs="Arial" w:eastAsia="Arial" w:hAnsi="Arial"/>
          <w:b/>
          <w:bCs/>
          <w:color w:val="1F4E79"/>
          <w:sz w:val="28"/>
          <w:szCs w:val="28"/>
        </w:rPr>
        <w:t xml:space="preserve">2. Scope of Work</w:t>
      </w:r>
    </w:p>
    <w:p>
      <w:pPr>
        <w:spacing w:after="100" w:before="60"/>
      </w:pPr>
      <w:r>
        <w:rPr>
          <w:rFonts w:ascii="Arial" w:cs="Arial" w:eastAsia="Arial" w:hAnsi="Arial"/>
          <w:color w:val="595959"/>
          <w:sz w:val="22"/>
          <w:szCs w:val="22"/>
        </w:rPr>
        <w:t xml:space="preserve">The selected vendor will be responsible for the planning, execution, and post-migration support of TechCorp's full infrastructure modernization. The following table outlines the key deliverables and services required:</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1800"/>
        <w:gridCol w:w="17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 / Service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Cloud migration assessment and readiness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Migration of on-premise servers to AWS/Azure/GCP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2–6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Network architecture redesign and implementation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33C0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Security framework implementation (Zero Trust)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4–7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Staff training and knowledge transfer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6–8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33C00"/>
                <w:sz w:val="20"/>
                <w:szCs w:val="20"/>
              </w:rPr>
              <w:t xml:space="preserve">High</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6</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Post-migration support and optimization (12 months)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Month 9–12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Medium</w:t>
            </w:r>
          </w:p>
        </w:tc>
      </w:tr>
    </w:tbl>
    <w:p>
      <w:pPr>
        <w:spacing w:after="200" w:before="200"/>
      </w:pPr>
    </w:p>
    <w:p>
      <w:pPr>
        <w:pStyle w:val="Heading2"/>
        <w:spacing w:after="120" w:before="240"/>
      </w:pPr>
      <w:r>
        <w:rPr>
          <w:rFonts w:ascii="Arial" w:cs="Arial" w:eastAsia="Arial" w:hAnsi="Arial"/>
          <w:b/>
          <w:bCs/>
          <w:color w:val="2E75B6"/>
          <w:sz w:val="24"/>
          <w:szCs w:val="24"/>
        </w:rPr>
        <w:t xml:space="preserve">2.1 Current Environment Overview</w:t>
      </w:r>
    </w:p>
    <w:p>
      <w:pPr>
        <w:spacing w:after="100" w:before="60"/>
      </w:pPr>
      <w:r>
        <w:rPr>
          <w:rFonts w:ascii="Arial" w:cs="Arial" w:eastAsia="Arial" w:hAnsi="Arial"/>
          <w:color w:val="595959"/>
          <w:sz w:val="22"/>
          <w:szCs w:val="22"/>
        </w:rPr>
        <w:t xml:space="preserve">Vendors must assess and plan for the following existing environment:</w:t>
      </w:r>
    </w:p>
    <w:p>
      <w:pPr>
        <w:pStyle w:val="ListParagraph"/>
        <w:numPr>
          <w:ilvl w:val="0"/>
          <w:numId w:val="2"/>
        </w:numPr>
        <w:spacing w:after="40" w:before="40"/>
      </w:pPr>
      <w:r>
        <w:rPr>
          <w:rFonts w:ascii="Arial" w:cs="Arial" w:eastAsia="Arial" w:hAnsi="Arial"/>
          <w:color w:val="595959"/>
          <w:sz w:val="22"/>
          <w:szCs w:val="22"/>
        </w:rPr>
        <w:t xml:space="preserve">220 physical servers across two data centers (San Francisco, CA and Austin, TX)</w:t>
      </w:r>
    </w:p>
    <w:p>
      <w:pPr>
        <w:pStyle w:val="ListParagraph"/>
        <w:numPr>
          <w:ilvl w:val="0"/>
          <w:numId w:val="2"/>
        </w:numPr>
        <w:spacing w:after="40" w:before="40"/>
      </w:pPr>
      <w:r>
        <w:rPr>
          <w:rFonts w:ascii="Arial" w:cs="Arial" w:eastAsia="Arial" w:hAnsi="Arial"/>
          <w:color w:val="595959"/>
          <w:sz w:val="22"/>
          <w:szCs w:val="22"/>
        </w:rPr>
        <w:t xml:space="preserve">Approximately 450 virtual machines running VMware vSphere 6.7</w:t>
      </w:r>
    </w:p>
    <w:p>
      <w:pPr>
        <w:pStyle w:val="ListParagraph"/>
        <w:numPr>
          <w:ilvl w:val="0"/>
          <w:numId w:val="2"/>
        </w:numPr>
        <w:spacing w:after="40" w:before="40"/>
      </w:pPr>
      <w:r>
        <w:rPr>
          <w:rFonts w:ascii="Arial" w:cs="Arial" w:eastAsia="Arial" w:hAnsi="Arial"/>
          <w:color w:val="595959"/>
          <w:sz w:val="22"/>
          <w:szCs w:val="22"/>
        </w:rPr>
        <w:t xml:space="preserve">15 TB of structured data in Oracle and Microsoft SQL Server databases</w:t>
      </w:r>
    </w:p>
    <w:p>
      <w:pPr>
        <w:pStyle w:val="ListParagraph"/>
        <w:numPr>
          <w:ilvl w:val="0"/>
          <w:numId w:val="2"/>
        </w:numPr>
        <w:spacing w:after="40" w:before="40"/>
      </w:pPr>
      <w:r>
        <w:rPr>
          <w:rFonts w:ascii="Arial" w:cs="Arial" w:eastAsia="Arial" w:hAnsi="Arial"/>
          <w:color w:val="595959"/>
          <w:sz w:val="22"/>
          <w:szCs w:val="22"/>
        </w:rPr>
        <w:t xml:space="preserve">Legacy ERP system (SAP ECC 6.0) requiring lift-and-shift migration</w:t>
      </w:r>
    </w:p>
    <w:p>
      <w:pPr>
        <w:pStyle w:val="ListParagraph"/>
        <w:numPr>
          <w:ilvl w:val="0"/>
          <w:numId w:val="2"/>
        </w:numPr>
        <w:spacing w:after="40" w:before="40"/>
      </w:pPr>
      <w:r>
        <w:rPr>
          <w:rFonts w:ascii="Arial" w:cs="Arial" w:eastAsia="Arial" w:hAnsi="Arial"/>
          <w:color w:val="595959"/>
          <w:sz w:val="22"/>
          <w:szCs w:val="22"/>
        </w:rPr>
        <w:t xml:space="preserve">Active Directory environment with 8,500+ user accounts</w:t>
      </w:r>
    </w:p>
    <w:p>
      <w:pPr>
        <w:pStyle w:val="ListParagraph"/>
        <w:numPr>
          <w:ilvl w:val="0"/>
          <w:numId w:val="2"/>
        </w:numPr>
        <w:spacing w:after="40" w:before="40"/>
      </w:pPr>
      <w:r>
        <w:rPr>
          <w:rFonts w:ascii="Arial" w:cs="Arial" w:eastAsia="Arial" w:hAnsi="Arial"/>
          <w:color w:val="595959"/>
          <w:sz w:val="22"/>
          <w:szCs w:val="22"/>
        </w:rPr>
        <w:t xml:space="preserve">Existing network bandwidth of 10Gbps inter-datacenter links</w:t>
      </w:r>
    </w:p>
    <w:p>
      <w:r>
        <w:br w:type="page"/>
      </w:r>
    </w:p>
    <w:p>
      <w:pPr>
        <w:pStyle w:val="Heading1"/>
        <w:pBdr>
          <w:bottom w:val="single" w:color="2E75B6" w:sz="6" w:space="4"/>
        </w:pBdr>
        <w:spacing w:after="160" w:before="360"/>
      </w:pPr>
      <w:r>
        <w:rPr>
          <w:rFonts w:ascii="Arial" w:cs="Arial" w:eastAsia="Arial" w:hAnsi="Arial"/>
          <w:b/>
          <w:bCs/>
          <w:color w:val="1F4E79"/>
          <w:sz w:val="28"/>
          <w:szCs w:val="28"/>
        </w:rPr>
        <w:t xml:space="preserve">3. Vendor Eligibility &amp; Requirements</w:t>
      </w:r>
    </w:p>
    <w:p>
      <w:pPr>
        <w:spacing w:after="100" w:before="60"/>
      </w:pPr>
      <w:r>
        <w:rPr>
          <w:rFonts w:ascii="Arial" w:cs="Arial" w:eastAsia="Arial" w:hAnsi="Arial"/>
          <w:color w:val="595959"/>
          <w:sz w:val="22"/>
          <w:szCs w:val="22"/>
        </w:rPr>
        <w:t xml:space="preserve">To be considered for this engagement, vendors must meet all of the following mandatory qualifications:</w:t>
      </w:r>
    </w:p>
    <w:p>
      <w:pPr>
        <w:pStyle w:val="Heading2"/>
        <w:spacing w:after="120" w:before="240"/>
      </w:pPr>
      <w:r>
        <w:rPr>
          <w:rFonts w:ascii="Arial" w:cs="Arial" w:eastAsia="Arial" w:hAnsi="Arial"/>
          <w:b/>
          <w:bCs/>
          <w:color w:val="2E75B6"/>
          <w:sz w:val="24"/>
          <w:szCs w:val="24"/>
        </w:rPr>
        <w:t xml:space="preserve">3.1 Mandatory Qualifications</w:t>
      </w:r>
    </w:p>
    <w:p>
      <w:pPr>
        <w:pStyle w:val="ListParagraph"/>
        <w:numPr>
          <w:ilvl w:val="0"/>
          <w:numId w:val="2"/>
        </w:numPr>
        <w:spacing w:after="40" w:before="40"/>
      </w:pPr>
      <w:r>
        <w:rPr>
          <w:rFonts w:ascii="Arial" w:cs="Arial" w:eastAsia="Arial" w:hAnsi="Arial"/>
          <w:color w:val="595959"/>
          <w:sz w:val="22"/>
          <w:szCs w:val="22"/>
        </w:rPr>
        <w:t xml:space="preserve">Minimum 7 years of experience delivering enterprise cloud migration projects</w:t>
      </w:r>
    </w:p>
    <w:p>
      <w:pPr>
        <w:pStyle w:val="ListParagraph"/>
        <w:numPr>
          <w:ilvl w:val="0"/>
          <w:numId w:val="2"/>
        </w:numPr>
        <w:spacing w:after="40" w:before="40"/>
      </w:pPr>
      <w:r>
        <w:rPr>
          <w:rFonts w:ascii="Arial" w:cs="Arial" w:eastAsia="Arial" w:hAnsi="Arial"/>
          <w:color w:val="595959"/>
          <w:sz w:val="22"/>
          <w:szCs w:val="22"/>
        </w:rPr>
        <w:t xml:space="preserve">Demonstrated experience with projects of comparable scale (500+ servers migrated)</w:t>
      </w:r>
    </w:p>
    <w:p>
      <w:pPr>
        <w:pStyle w:val="ListParagraph"/>
        <w:numPr>
          <w:ilvl w:val="0"/>
          <w:numId w:val="2"/>
        </w:numPr>
        <w:spacing w:after="40" w:before="40"/>
      </w:pPr>
      <w:r>
        <w:rPr>
          <w:rFonts w:ascii="Arial" w:cs="Arial" w:eastAsia="Arial" w:hAnsi="Arial"/>
          <w:color w:val="595959"/>
          <w:sz w:val="22"/>
          <w:szCs w:val="22"/>
        </w:rPr>
        <w:t xml:space="preserve">Active partnership status with at least two of: AWS, Microsoft Azure, Google Cloud Platform</w:t>
      </w:r>
    </w:p>
    <w:p>
      <w:pPr>
        <w:pStyle w:val="ListParagraph"/>
        <w:numPr>
          <w:ilvl w:val="0"/>
          <w:numId w:val="2"/>
        </w:numPr>
        <w:spacing w:after="40" w:before="40"/>
      </w:pPr>
      <w:r>
        <w:rPr>
          <w:rFonts w:ascii="Arial" w:cs="Arial" w:eastAsia="Arial" w:hAnsi="Arial"/>
          <w:color w:val="595959"/>
          <w:sz w:val="22"/>
          <w:szCs w:val="22"/>
        </w:rPr>
        <w:t xml:space="preserve">ISO 27001 certification (current and valid)</w:t>
      </w:r>
    </w:p>
    <w:p>
      <w:pPr>
        <w:pStyle w:val="ListParagraph"/>
        <w:numPr>
          <w:ilvl w:val="0"/>
          <w:numId w:val="2"/>
        </w:numPr>
        <w:spacing w:after="40" w:before="40"/>
      </w:pPr>
      <w:r>
        <w:rPr>
          <w:rFonts w:ascii="Arial" w:cs="Arial" w:eastAsia="Arial" w:hAnsi="Arial"/>
          <w:color w:val="595959"/>
          <w:sz w:val="22"/>
          <w:szCs w:val="22"/>
        </w:rPr>
        <w:t xml:space="preserve">SOC 2 Type II audit report issued within the past 12 months</w:t>
      </w:r>
    </w:p>
    <w:p>
      <w:pPr>
        <w:pStyle w:val="ListParagraph"/>
        <w:numPr>
          <w:ilvl w:val="0"/>
          <w:numId w:val="2"/>
        </w:numPr>
        <w:spacing w:after="40" w:before="40"/>
      </w:pPr>
      <w:r>
        <w:rPr>
          <w:rFonts w:ascii="Arial" w:cs="Arial" w:eastAsia="Arial" w:hAnsi="Arial"/>
          <w:color w:val="595959"/>
          <w:sz w:val="22"/>
          <w:szCs w:val="22"/>
        </w:rPr>
        <w:t xml:space="preserve">Minimum annual revenue of USD $50 million for the past three consecutive years</w:t>
      </w:r>
    </w:p>
    <w:p>
      <w:pPr>
        <w:pStyle w:val="ListParagraph"/>
        <w:numPr>
          <w:ilvl w:val="0"/>
          <w:numId w:val="2"/>
        </w:numPr>
        <w:spacing w:after="40" w:before="40"/>
      </w:pPr>
      <w:r>
        <w:rPr>
          <w:rFonts w:ascii="Arial" w:cs="Arial" w:eastAsia="Arial" w:hAnsi="Arial"/>
          <w:color w:val="595959"/>
          <w:sz w:val="22"/>
          <w:szCs w:val="22"/>
        </w:rPr>
        <w:t xml:space="preserve">Presence and legal entity in the United States</w:t>
      </w:r>
    </w:p>
    <w:p>
      <w:pPr>
        <w:pStyle w:val="Heading2"/>
        <w:spacing w:after="120" w:before="240"/>
      </w:pPr>
      <w:r>
        <w:rPr>
          <w:rFonts w:ascii="Arial" w:cs="Arial" w:eastAsia="Arial" w:hAnsi="Arial"/>
          <w:b/>
          <w:bCs/>
          <w:color w:val="2E75B6"/>
          <w:sz w:val="24"/>
          <w:szCs w:val="24"/>
        </w:rPr>
        <w:t xml:space="preserve">3.2 Preferred Qualifications</w:t>
      </w:r>
    </w:p>
    <w:p>
      <w:pPr>
        <w:pStyle w:val="ListParagraph"/>
        <w:numPr>
          <w:ilvl w:val="0"/>
          <w:numId w:val="2"/>
        </w:numPr>
        <w:spacing w:after="40" w:before="40"/>
      </w:pPr>
      <w:r>
        <w:rPr>
          <w:rFonts w:ascii="Arial" w:cs="Arial" w:eastAsia="Arial" w:hAnsi="Arial"/>
          <w:color w:val="595959"/>
          <w:sz w:val="22"/>
          <w:szCs w:val="22"/>
        </w:rPr>
        <w:t xml:space="preserve">Experience with SAP cloud migration (RISE with SAP or equivalent)</w:t>
      </w:r>
    </w:p>
    <w:p>
      <w:pPr>
        <w:pStyle w:val="ListParagraph"/>
        <w:numPr>
          <w:ilvl w:val="0"/>
          <w:numId w:val="2"/>
        </w:numPr>
        <w:spacing w:after="40" w:before="40"/>
      </w:pPr>
      <w:r>
        <w:rPr>
          <w:rFonts w:ascii="Arial" w:cs="Arial" w:eastAsia="Arial" w:hAnsi="Arial"/>
          <w:color w:val="595959"/>
          <w:sz w:val="22"/>
          <w:szCs w:val="22"/>
        </w:rPr>
        <w:t xml:space="preserve">CMMI Level 3 or higher certification</w:t>
      </w:r>
    </w:p>
    <w:p>
      <w:pPr>
        <w:pStyle w:val="ListParagraph"/>
        <w:numPr>
          <w:ilvl w:val="0"/>
          <w:numId w:val="2"/>
        </w:numPr>
        <w:spacing w:after="40" w:before="40"/>
      </w:pPr>
      <w:r>
        <w:rPr>
          <w:rFonts w:ascii="Arial" w:cs="Arial" w:eastAsia="Arial" w:hAnsi="Arial"/>
          <w:color w:val="595959"/>
          <w:sz w:val="22"/>
          <w:szCs w:val="22"/>
        </w:rPr>
        <w:t xml:space="preserve">Prior work with companies in the technology sector with 10,000+ employees</w:t>
      </w:r>
    </w:p>
    <w:p>
      <w:pPr>
        <w:pStyle w:val="ListParagraph"/>
        <w:numPr>
          <w:ilvl w:val="0"/>
          <w:numId w:val="2"/>
        </w:numPr>
        <w:spacing w:after="40" w:before="40"/>
      </w:pPr>
      <w:r>
        <w:rPr>
          <w:rFonts w:ascii="Arial" w:cs="Arial" w:eastAsia="Arial" w:hAnsi="Arial"/>
          <w:color w:val="595959"/>
          <w:sz w:val="22"/>
          <w:szCs w:val="22"/>
        </w:rPr>
        <w:t xml:space="preserve">Dedicated U.S.-based project management and engineering resources</w:t>
      </w:r>
    </w:p>
    <w:p>
      <w:pPr>
        <w:spacing w:after="200" w:before="200"/>
      </w:pPr>
    </w:p>
    <w:p>
      <w:pPr>
        <w:pStyle w:val="Heading1"/>
        <w:pBdr>
          <w:bottom w:val="single" w:color="2E75B6" w:sz="6" w:space="4"/>
        </w:pBdr>
        <w:spacing w:after="160" w:before="360"/>
      </w:pPr>
      <w:r>
        <w:rPr>
          <w:rFonts w:ascii="Arial" w:cs="Arial" w:eastAsia="Arial" w:hAnsi="Arial"/>
          <w:b/>
          <w:bCs/>
          <w:color w:val="1F4E79"/>
          <w:sz w:val="28"/>
          <w:szCs w:val="28"/>
        </w:rPr>
        <w:t xml:space="preserve">4. Proposal Requirements</w:t>
      </w:r>
    </w:p>
    <w:p>
      <w:pPr>
        <w:spacing w:after="100" w:before="60"/>
      </w:pPr>
      <w:r>
        <w:rPr>
          <w:rFonts w:ascii="Arial" w:cs="Arial" w:eastAsia="Arial" w:hAnsi="Arial"/>
          <w:color w:val="595959"/>
          <w:sz w:val="22"/>
          <w:szCs w:val="22"/>
        </w:rPr>
        <w:t xml:space="preserve">Proposals must be submitted electronically in PDF format to rfp-it@techcorp.com by July 31, 2025 at 5:00 PM EST. Late submissions will not be considered under any circumstances.</w:t>
      </w:r>
    </w:p>
    <w:p>
      <w:pPr>
        <w:pStyle w:val="Heading2"/>
        <w:spacing w:after="120" w:before="240"/>
      </w:pPr>
      <w:r>
        <w:rPr>
          <w:rFonts w:ascii="Arial" w:cs="Arial" w:eastAsia="Arial" w:hAnsi="Arial"/>
          <w:b/>
          <w:bCs/>
          <w:color w:val="2E75B6"/>
          <w:sz w:val="24"/>
          <w:szCs w:val="24"/>
        </w:rPr>
        <w:t xml:space="preserve">4.1 Required Proposal Sections</w:t>
      </w:r>
    </w:p>
    <w:p>
      <w:pPr>
        <w:spacing w:after="100" w:before="60"/>
      </w:pPr>
      <w:r>
        <w:rPr>
          <w:rFonts w:ascii="Arial" w:cs="Arial" w:eastAsia="Arial" w:hAnsi="Arial"/>
          <w:color w:val="595959"/>
          <w:sz w:val="22"/>
          <w:szCs w:val="22"/>
        </w:rPr>
        <w:t xml:space="preserve">All proposals must include the following sections in the order listed below:</w:t>
      </w:r>
    </w:p>
    <w:p>
      <w:pPr>
        <w:pStyle w:val="ListParagraph"/>
        <w:numPr>
          <w:ilvl w:val="0"/>
          <w:numId w:val="2"/>
        </w:numPr>
        <w:spacing w:after="40" w:before="40"/>
      </w:pPr>
      <w:r>
        <w:rPr>
          <w:rFonts w:ascii="Arial" w:cs="Arial" w:eastAsia="Arial" w:hAnsi="Arial"/>
          <w:color w:val="595959"/>
          <w:sz w:val="22"/>
          <w:szCs w:val="22"/>
        </w:rPr>
        <w:t xml:space="preserve">Executive Summary (maximum 2 pages)</w:t>
      </w:r>
    </w:p>
    <w:p>
      <w:pPr>
        <w:pStyle w:val="ListParagraph"/>
        <w:numPr>
          <w:ilvl w:val="0"/>
          <w:numId w:val="2"/>
        </w:numPr>
        <w:spacing w:after="40" w:before="40"/>
      </w:pPr>
      <w:r>
        <w:rPr>
          <w:rFonts w:ascii="Arial" w:cs="Arial" w:eastAsia="Arial" w:hAnsi="Arial"/>
          <w:color w:val="595959"/>
          <w:sz w:val="22"/>
          <w:szCs w:val="22"/>
        </w:rPr>
        <w:t xml:space="preserve">Company Overview and Qualifications</w:t>
      </w:r>
    </w:p>
    <w:p>
      <w:pPr>
        <w:pStyle w:val="ListParagraph"/>
        <w:numPr>
          <w:ilvl w:val="0"/>
          <w:numId w:val="2"/>
        </w:numPr>
        <w:spacing w:after="40" w:before="40"/>
      </w:pPr>
      <w:r>
        <w:rPr>
          <w:rFonts w:ascii="Arial" w:cs="Arial" w:eastAsia="Arial" w:hAnsi="Arial"/>
          <w:color w:val="595959"/>
          <w:sz w:val="22"/>
          <w:szCs w:val="22"/>
        </w:rPr>
        <w:t xml:space="preserve">Understanding of Requirements and Proposed Approach</w:t>
      </w:r>
    </w:p>
    <w:p>
      <w:pPr>
        <w:pStyle w:val="ListParagraph"/>
        <w:numPr>
          <w:ilvl w:val="0"/>
          <w:numId w:val="2"/>
        </w:numPr>
        <w:spacing w:after="40" w:before="40"/>
      </w:pPr>
      <w:r>
        <w:rPr>
          <w:rFonts w:ascii="Arial" w:cs="Arial" w:eastAsia="Arial" w:hAnsi="Arial"/>
          <w:color w:val="595959"/>
          <w:sz w:val="22"/>
          <w:szCs w:val="22"/>
        </w:rPr>
        <w:t xml:space="preserve">Detailed Project Plan and Implementation Methodology</w:t>
      </w:r>
    </w:p>
    <w:p>
      <w:pPr>
        <w:pStyle w:val="ListParagraph"/>
        <w:numPr>
          <w:ilvl w:val="0"/>
          <w:numId w:val="2"/>
        </w:numPr>
        <w:spacing w:after="40" w:before="40"/>
      </w:pPr>
      <w:r>
        <w:rPr>
          <w:rFonts w:ascii="Arial" w:cs="Arial" w:eastAsia="Arial" w:hAnsi="Arial"/>
          <w:color w:val="595959"/>
          <w:sz w:val="22"/>
          <w:szCs w:val="22"/>
        </w:rPr>
        <w:t xml:space="preserve">Team Structure, Resumes of Key Personnel</w:t>
      </w:r>
    </w:p>
    <w:p>
      <w:pPr>
        <w:pStyle w:val="ListParagraph"/>
        <w:numPr>
          <w:ilvl w:val="0"/>
          <w:numId w:val="2"/>
        </w:numPr>
        <w:spacing w:after="40" w:before="40"/>
      </w:pPr>
      <w:r>
        <w:rPr>
          <w:rFonts w:ascii="Arial" w:cs="Arial" w:eastAsia="Arial" w:hAnsi="Arial"/>
          <w:color w:val="595959"/>
          <w:sz w:val="22"/>
          <w:szCs w:val="22"/>
        </w:rPr>
        <w:t xml:space="preserve">Risk Assessment and Mitigation Plan</w:t>
      </w:r>
    </w:p>
    <w:p>
      <w:pPr>
        <w:pStyle w:val="ListParagraph"/>
        <w:numPr>
          <w:ilvl w:val="0"/>
          <w:numId w:val="2"/>
        </w:numPr>
        <w:spacing w:after="40" w:before="40"/>
      </w:pPr>
      <w:r>
        <w:rPr>
          <w:rFonts w:ascii="Arial" w:cs="Arial" w:eastAsia="Arial" w:hAnsi="Arial"/>
          <w:color w:val="595959"/>
          <w:sz w:val="22"/>
          <w:szCs w:val="22"/>
        </w:rPr>
        <w:t xml:space="preserve">Pricing and Cost Breakdown (separate sealed document)</w:t>
      </w:r>
    </w:p>
    <w:p>
      <w:pPr>
        <w:pStyle w:val="ListParagraph"/>
        <w:numPr>
          <w:ilvl w:val="0"/>
          <w:numId w:val="2"/>
        </w:numPr>
        <w:spacing w:after="40" w:before="40"/>
      </w:pPr>
      <w:r>
        <w:rPr>
          <w:rFonts w:ascii="Arial" w:cs="Arial" w:eastAsia="Arial" w:hAnsi="Arial"/>
          <w:color w:val="595959"/>
          <w:sz w:val="22"/>
          <w:szCs w:val="22"/>
        </w:rPr>
        <w:t xml:space="preserve">References — minimum three (3) comparable engagements</w:t>
      </w:r>
    </w:p>
    <w:p>
      <w:pPr>
        <w:pStyle w:val="ListParagraph"/>
        <w:numPr>
          <w:ilvl w:val="0"/>
          <w:numId w:val="2"/>
        </w:numPr>
        <w:spacing w:after="40" w:before="40"/>
      </w:pPr>
      <w:r>
        <w:rPr>
          <w:rFonts w:ascii="Arial" w:cs="Arial" w:eastAsia="Arial" w:hAnsi="Arial"/>
          <w:color w:val="595959"/>
          <w:sz w:val="22"/>
          <w:szCs w:val="22"/>
        </w:rPr>
        <w:t xml:space="preserve">Signed Vendor Certifications and Compliance Attestations</w:t>
      </w:r>
    </w:p>
    <w:p>
      <w:pPr>
        <w:pStyle w:val="Heading2"/>
        <w:spacing w:after="120" w:before="240"/>
      </w:pPr>
      <w:r>
        <w:rPr>
          <w:rFonts w:ascii="Arial" w:cs="Arial" w:eastAsia="Arial" w:hAnsi="Arial"/>
          <w:b/>
          <w:bCs/>
          <w:color w:val="2E75B6"/>
          <w:sz w:val="24"/>
          <w:szCs w:val="24"/>
        </w:rPr>
        <w:t xml:space="preserve">4.2 Pricing Requirements</w:t>
      </w:r>
    </w:p>
    <w:p>
      <w:pPr>
        <w:spacing w:after="100" w:before="60"/>
      </w:pPr>
      <w:r>
        <w:rPr>
          <w:rFonts w:ascii="Arial" w:cs="Arial" w:eastAsia="Arial" w:hAnsi="Arial"/>
          <w:color w:val="595959"/>
          <w:sz w:val="22"/>
          <w:szCs w:val="22"/>
        </w:rPr>
        <w:t xml:space="preserve">Vendors must provide itemized pricing for all services, including:</w:t>
      </w:r>
    </w:p>
    <w:p>
      <w:pPr>
        <w:pStyle w:val="ListParagraph"/>
        <w:numPr>
          <w:ilvl w:val="0"/>
          <w:numId w:val="2"/>
        </w:numPr>
        <w:spacing w:after="40" w:before="40"/>
      </w:pPr>
      <w:r>
        <w:rPr>
          <w:rFonts w:ascii="Arial" w:cs="Arial" w:eastAsia="Arial" w:hAnsi="Arial"/>
          <w:color w:val="595959"/>
          <w:sz w:val="22"/>
          <w:szCs w:val="22"/>
        </w:rPr>
        <w:t xml:space="preserve">Fixed-price components vs. time-and-materials components clearly identified</w:t>
      </w:r>
    </w:p>
    <w:p>
      <w:pPr>
        <w:pStyle w:val="ListParagraph"/>
        <w:numPr>
          <w:ilvl w:val="0"/>
          <w:numId w:val="2"/>
        </w:numPr>
        <w:spacing w:after="40" w:before="40"/>
      </w:pPr>
      <w:r>
        <w:rPr>
          <w:rFonts w:ascii="Arial" w:cs="Arial" w:eastAsia="Arial" w:hAnsi="Arial"/>
          <w:color w:val="595959"/>
          <w:sz w:val="22"/>
          <w:szCs w:val="22"/>
        </w:rPr>
        <w:t xml:space="preserve">Monthly managed service fees post-migration</w:t>
      </w:r>
    </w:p>
    <w:p>
      <w:pPr>
        <w:pStyle w:val="ListParagraph"/>
        <w:numPr>
          <w:ilvl w:val="0"/>
          <w:numId w:val="2"/>
        </w:numPr>
        <w:spacing w:after="40" w:before="40"/>
      </w:pPr>
      <w:r>
        <w:rPr>
          <w:rFonts w:ascii="Arial" w:cs="Arial" w:eastAsia="Arial" w:hAnsi="Arial"/>
          <w:color w:val="595959"/>
          <w:sz w:val="22"/>
          <w:szCs w:val="22"/>
        </w:rPr>
        <w:t xml:space="preserve">Travel and expense estimates (if applicable)</w:t>
      </w:r>
    </w:p>
    <w:p>
      <w:pPr>
        <w:pStyle w:val="ListParagraph"/>
        <w:numPr>
          <w:ilvl w:val="0"/>
          <w:numId w:val="2"/>
        </w:numPr>
        <w:spacing w:after="40" w:before="40"/>
      </w:pPr>
      <w:r>
        <w:rPr>
          <w:rFonts w:ascii="Arial" w:cs="Arial" w:eastAsia="Arial" w:hAnsi="Arial"/>
          <w:color w:val="595959"/>
          <w:sz w:val="22"/>
          <w:szCs w:val="22"/>
        </w:rPr>
        <w:t xml:space="preserve">Optional add-on services with separate pricing</w:t>
      </w:r>
    </w:p>
    <w:p>
      <w:pPr>
        <w:spacing w:after="100" w:before="60"/>
      </w:pPr>
      <w:r>
        <w:rPr>
          <w:rFonts w:ascii="Arial" w:cs="Arial" w:eastAsia="Arial" w:hAnsi="Arial"/>
          <w:color w:val="595959"/>
          <w:sz w:val="22"/>
          <w:szCs w:val="22"/>
        </w:rPr>
        <w:t xml:space="preserve">All pricing must be valid for a minimum of 180 days from the submission deadline. Pricing should be presented in U.S. Dollars (USD).</w:t>
      </w:r>
    </w:p>
    <w:p>
      <w:r>
        <w:br w:type="page"/>
      </w:r>
    </w:p>
    <w:p>
      <w:pPr>
        <w:pStyle w:val="Heading1"/>
        <w:pBdr>
          <w:bottom w:val="single" w:color="2E75B6" w:sz="6" w:space="4"/>
        </w:pBdr>
        <w:spacing w:after="160" w:before="360"/>
      </w:pPr>
      <w:r>
        <w:rPr>
          <w:rFonts w:ascii="Arial" w:cs="Arial" w:eastAsia="Arial" w:hAnsi="Arial"/>
          <w:b/>
          <w:bCs/>
          <w:color w:val="1F4E79"/>
          <w:sz w:val="28"/>
          <w:szCs w:val="28"/>
        </w:rPr>
        <w:t xml:space="preserve">5. Evaluation Criteria</w:t>
      </w:r>
    </w:p>
    <w:p>
      <w:pPr>
        <w:spacing w:after="100" w:before="60"/>
      </w:pPr>
      <w:r>
        <w:rPr>
          <w:rFonts w:ascii="Arial" w:cs="Arial" w:eastAsia="Arial" w:hAnsi="Arial"/>
          <w:color w:val="595959"/>
          <w:sz w:val="22"/>
          <w:szCs w:val="22"/>
        </w:rPr>
        <w:t xml:space="preserve">TechCorp will evaluate all responsive proposals using the following weighted scoring criteria. The evaluation will be conducted by a cross-functional committee including IT, Finance, Legal, and executive stakeholders.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000"/>
        <w:gridCol w:w="2500"/>
      </w:tblGrid>
      <w:tr>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 Criterion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Score</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Technical Approach &amp; Methodology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30 points</w:t>
            </w:r>
          </w:p>
        </w:tc>
      </w:tr>
      <w:tr>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Vendor Qualifications &amp; Experience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25%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25 points</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Proposed Team &amp; Key Personnel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 points</w:t>
            </w:r>
          </w:p>
        </w:tc>
      </w:tr>
      <w:tr>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Pricing &amp; Cost Effectiveness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15%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15 points</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Implementation Timeline &amp; Risk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 points</w:t>
            </w:r>
          </w:p>
        </w:tc>
      </w:tr>
      <w:tr>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TOTAL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100 points</w:t>
            </w:r>
          </w:p>
        </w:tc>
      </w:tr>
    </w:tbl>
    <w:p>
      <w:pPr>
        <w:spacing w:after="200" w:before="200"/>
      </w:pPr>
    </w:p>
    <w:p>
      <w:pPr>
        <w:spacing w:after="100" w:before="60"/>
      </w:pPr>
      <w:r>
        <w:rPr>
          <w:rFonts w:ascii="Arial" w:cs="Arial" w:eastAsia="Arial" w:hAnsi="Arial"/>
          <w:color w:val="595959"/>
          <w:sz w:val="22"/>
          <w:szCs w:val="22"/>
        </w:rPr>
        <w:t xml:space="preserve">TechCorp reserves the right to request oral presentations, demonstrations, site visits, or additional information from shortlisted vendors prior to final selection.</w:t>
      </w:r>
    </w:p>
    <w:p>
      <w:pPr>
        <w:pStyle w:val="Heading1"/>
        <w:pBdr>
          <w:bottom w:val="single" w:color="2E75B6" w:sz="6" w:space="4"/>
        </w:pBdr>
        <w:spacing w:after="160" w:before="360"/>
      </w:pPr>
      <w:r>
        <w:rPr>
          <w:rFonts w:ascii="Arial" w:cs="Arial" w:eastAsia="Arial" w:hAnsi="Arial"/>
          <w:b/>
          <w:bCs/>
          <w:color w:val="1F4E79"/>
          <w:sz w:val="28"/>
          <w:szCs w:val="28"/>
        </w:rPr>
        <w:t xml:space="preserve">6. Timeline &amp; Key Dates</w:t>
      </w:r>
    </w:p>
    <w:p>
      <w:pPr>
        <w:spacing w:after="100" w:before="60"/>
      </w:pPr>
      <w:r>
        <w:rPr>
          <w:rFonts w:ascii="Arial" w:cs="Arial" w:eastAsia="Arial" w:hAnsi="Arial"/>
          <w:color w:val="595959"/>
          <w:sz w:val="22"/>
          <w:szCs w:val="22"/>
        </w:rPr>
        <w:t xml:space="preserve">The following schedule governs this procurement process. Dates are firm and will not be extended except in extraordinary circumstances at TechCorp's sole discretion.</w:t>
      </w:r>
    </w:p>
    <w:p>
      <w:pPr>
        <w:pStyle w:val="ListParagraph"/>
        <w:numPr>
          <w:ilvl w:val="0"/>
          <w:numId w:val="2"/>
        </w:numPr>
        <w:spacing w:after="40" w:before="40"/>
      </w:pPr>
      <w:r>
        <w:rPr>
          <w:rFonts w:ascii="Arial" w:cs="Arial" w:eastAsia="Arial" w:hAnsi="Arial"/>
          <w:color w:val="595959"/>
          <w:sz w:val="22"/>
          <w:szCs w:val="22"/>
        </w:rPr>
        <w:t xml:space="preserve">June 15, 2025 — RFP issued to market</w:t>
      </w:r>
    </w:p>
    <w:p>
      <w:pPr>
        <w:pStyle w:val="ListParagraph"/>
        <w:numPr>
          <w:ilvl w:val="0"/>
          <w:numId w:val="2"/>
        </w:numPr>
        <w:spacing w:after="40" w:before="40"/>
      </w:pPr>
      <w:r>
        <w:rPr>
          <w:rFonts w:ascii="Arial" w:cs="Arial" w:eastAsia="Arial" w:hAnsi="Arial"/>
          <w:color w:val="595959"/>
          <w:sz w:val="22"/>
          <w:szCs w:val="22"/>
        </w:rPr>
        <w:t xml:space="preserve">June 25, 2025 — Pre-proposal vendor conference (virtual, optional)</w:t>
      </w:r>
    </w:p>
    <w:p>
      <w:pPr>
        <w:pStyle w:val="ListParagraph"/>
        <w:numPr>
          <w:ilvl w:val="0"/>
          <w:numId w:val="2"/>
        </w:numPr>
        <w:spacing w:after="40" w:before="40"/>
      </w:pPr>
      <w:r>
        <w:rPr>
          <w:rFonts w:ascii="Arial" w:cs="Arial" w:eastAsia="Arial" w:hAnsi="Arial"/>
          <w:color w:val="595959"/>
          <w:sz w:val="22"/>
          <w:szCs w:val="22"/>
        </w:rPr>
        <w:t xml:space="preserve">July 10, 2025 — Deadline for written questions (5:00 PM EST)</w:t>
      </w:r>
    </w:p>
    <w:p>
      <w:pPr>
        <w:pStyle w:val="ListParagraph"/>
        <w:numPr>
          <w:ilvl w:val="0"/>
          <w:numId w:val="2"/>
        </w:numPr>
        <w:spacing w:after="40" w:before="40"/>
      </w:pPr>
      <w:r>
        <w:rPr>
          <w:rFonts w:ascii="Arial" w:cs="Arial" w:eastAsia="Arial" w:hAnsi="Arial"/>
          <w:color w:val="595959"/>
          <w:sz w:val="22"/>
          <w:szCs w:val="22"/>
        </w:rPr>
        <w:t xml:space="preserve">July 18, 2025 — TechCorp responses to questions distributed</w:t>
      </w:r>
    </w:p>
    <w:p>
      <w:pPr>
        <w:pStyle w:val="ListParagraph"/>
        <w:numPr>
          <w:ilvl w:val="0"/>
          <w:numId w:val="2"/>
        </w:numPr>
        <w:spacing w:after="40" w:before="40"/>
      </w:pPr>
      <w:r>
        <w:rPr>
          <w:rFonts w:ascii="Arial" w:cs="Arial" w:eastAsia="Arial" w:hAnsi="Arial"/>
          <w:color w:val="595959"/>
          <w:sz w:val="22"/>
          <w:szCs w:val="22"/>
        </w:rPr>
        <w:t xml:space="preserve">July 31, 2025 — Proposal submission deadline (5:00 PM EST)</w:t>
      </w:r>
    </w:p>
    <w:p>
      <w:pPr>
        <w:pStyle w:val="ListParagraph"/>
        <w:numPr>
          <w:ilvl w:val="0"/>
          <w:numId w:val="2"/>
        </w:numPr>
        <w:spacing w:after="40" w:before="40"/>
      </w:pPr>
      <w:r>
        <w:rPr>
          <w:rFonts w:ascii="Arial" w:cs="Arial" w:eastAsia="Arial" w:hAnsi="Arial"/>
          <w:color w:val="595959"/>
          <w:sz w:val="22"/>
          <w:szCs w:val="22"/>
        </w:rPr>
        <w:t xml:space="preserve">August 15, 2025 — Shortlist notification</w:t>
      </w:r>
    </w:p>
    <w:p>
      <w:pPr>
        <w:pStyle w:val="ListParagraph"/>
        <w:numPr>
          <w:ilvl w:val="0"/>
          <w:numId w:val="2"/>
        </w:numPr>
        <w:spacing w:after="40" w:before="40"/>
      </w:pPr>
      <w:r>
        <w:rPr>
          <w:rFonts w:ascii="Arial" w:cs="Arial" w:eastAsia="Arial" w:hAnsi="Arial"/>
          <w:color w:val="595959"/>
          <w:sz w:val="22"/>
          <w:szCs w:val="22"/>
        </w:rPr>
        <w:t xml:space="preserve">August 25–29, 2025 — Finalist presentations and demos</w:t>
      </w:r>
    </w:p>
    <w:p>
      <w:pPr>
        <w:pStyle w:val="ListParagraph"/>
        <w:numPr>
          <w:ilvl w:val="0"/>
          <w:numId w:val="2"/>
        </w:numPr>
        <w:spacing w:after="40" w:before="40"/>
      </w:pPr>
      <w:r>
        <w:rPr>
          <w:rFonts w:ascii="Arial" w:cs="Arial" w:eastAsia="Arial" w:hAnsi="Arial"/>
          <w:color w:val="595959"/>
          <w:sz w:val="22"/>
          <w:szCs w:val="22"/>
        </w:rPr>
        <w:t xml:space="preserve">September 12, 2025 — Vendor selection and notification</w:t>
      </w:r>
    </w:p>
    <w:p>
      <w:pPr>
        <w:pStyle w:val="ListParagraph"/>
        <w:numPr>
          <w:ilvl w:val="0"/>
          <w:numId w:val="2"/>
        </w:numPr>
        <w:spacing w:after="40" w:before="40"/>
      </w:pPr>
      <w:r>
        <w:rPr>
          <w:rFonts w:ascii="Arial" w:cs="Arial" w:eastAsia="Arial" w:hAnsi="Arial"/>
          <w:color w:val="595959"/>
          <w:sz w:val="22"/>
          <w:szCs w:val="22"/>
        </w:rPr>
        <w:t xml:space="preserve">September 26, 2025 — Contract execution target</w:t>
      </w:r>
    </w:p>
    <w:p>
      <w:pPr>
        <w:pStyle w:val="ListParagraph"/>
        <w:numPr>
          <w:ilvl w:val="0"/>
          <w:numId w:val="2"/>
        </w:numPr>
        <w:spacing w:after="40" w:before="40"/>
      </w:pPr>
      <w:r>
        <w:rPr>
          <w:rFonts w:ascii="Arial" w:cs="Arial" w:eastAsia="Arial" w:hAnsi="Arial"/>
          <w:color w:val="595959"/>
          <w:sz w:val="22"/>
          <w:szCs w:val="22"/>
        </w:rPr>
        <w:t xml:space="preserve">October 1, 2025 — Project kickoff (estimated)</w:t>
      </w:r>
    </w:p>
    <w:p>
      <w:pPr>
        <w:pStyle w:val="Heading1"/>
        <w:pBdr>
          <w:bottom w:val="single" w:color="2E75B6" w:sz="6" w:space="4"/>
        </w:pBdr>
        <w:spacing w:after="160" w:before="360"/>
      </w:pPr>
      <w:r>
        <w:rPr>
          <w:rFonts w:ascii="Arial" w:cs="Arial" w:eastAsia="Arial" w:hAnsi="Arial"/>
          <w:b/>
          <w:bCs/>
          <w:color w:val="1F4E79"/>
          <w:sz w:val="28"/>
          <w:szCs w:val="28"/>
        </w:rPr>
        <w:t xml:space="preserve">7. Terms, Conditions &amp; Legal Notices</w:t>
      </w:r>
    </w:p>
    <w:p>
      <w:pPr>
        <w:pStyle w:val="Heading2"/>
        <w:spacing w:after="120" w:before="240"/>
      </w:pPr>
      <w:r>
        <w:rPr>
          <w:rFonts w:ascii="Arial" w:cs="Arial" w:eastAsia="Arial" w:hAnsi="Arial"/>
          <w:b/>
          <w:bCs/>
          <w:color w:val="2E75B6"/>
          <w:sz w:val="24"/>
          <w:szCs w:val="24"/>
        </w:rPr>
        <w:t xml:space="preserve">7.1 Confidentiality</w:t>
      </w:r>
    </w:p>
    <w:p>
      <w:pPr>
        <w:spacing w:after="100" w:before="60"/>
      </w:pPr>
      <w:r>
        <w:rPr>
          <w:rFonts w:ascii="Arial" w:cs="Arial" w:eastAsia="Arial" w:hAnsi="Arial"/>
          <w:color w:val="595959"/>
          <w:sz w:val="22"/>
          <w:szCs w:val="22"/>
        </w:rPr>
        <w:t xml:space="preserve">This RFP and all information contained herein is the confidential and proprietary information of TechCorp International, Inc. Recipients may not disclose this document or its contents to any third party without prior written consent from TechCorp.</w:t>
      </w:r>
    </w:p>
    <w:p>
      <w:pPr>
        <w:pStyle w:val="Heading2"/>
        <w:spacing w:after="120" w:before="240"/>
      </w:pPr>
      <w:r>
        <w:rPr>
          <w:rFonts w:ascii="Arial" w:cs="Arial" w:eastAsia="Arial" w:hAnsi="Arial"/>
          <w:b/>
          <w:bCs/>
          <w:color w:val="2E75B6"/>
          <w:sz w:val="24"/>
          <w:szCs w:val="24"/>
        </w:rPr>
        <w:t xml:space="preserve">7.2 No Commitment to Award</w:t>
      </w:r>
    </w:p>
    <w:p>
      <w:pPr>
        <w:spacing w:after="100" w:before="60"/>
      </w:pPr>
      <w:r>
        <w:rPr>
          <w:rFonts w:ascii="Arial" w:cs="Arial" w:eastAsia="Arial" w:hAnsi="Arial"/>
          <w:color w:val="595959"/>
          <w:sz w:val="22"/>
          <w:szCs w:val="22"/>
        </w:rPr>
        <w:t xml:space="preserve">Issuance of this RFP does not constitute a commitment by TechCorp to award a contract, to pay any costs incurred in preparation of a proposal, or to procure any services. TechCorp reserves the right to cancel this RFP at any time without obligation.</w:t>
      </w:r>
    </w:p>
    <w:p>
      <w:pPr>
        <w:pStyle w:val="Heading2"/>
        <w:spacing w:after="120" w:before="240"/>
      </w:pPr>
      <w:r>
        <w:rPr>
          <w:rFonts w:ascii="Arial" w:cs="Arial" w:eastAsia="Arial" w:hAnsi="Arial"/>
          <w:b/>
          <w:bCs/>
          <w:color w:val="2E75B6"/>
          <w:sz w:val="24"/>
          <w:szCs w:val="24"/>
        </w:rPr>
        <w:t xml:space="preserve">7.3 Right to Reject</w:t>
      </w:r>
    </w:p>
    <w:p>
      <w:pPr>
        <w:spacing w:after="100" w:before="60"/>
      </w:pPr>
      <w:r>
        <w:rPr>
          <w:rFonts w:ascii="Arial" w:cs="Arial" w:eastAsia="Arial" w:hAnsi="Arial"/>
          <w:color w:val="595959"/>
          <w:sz w:val="22"/>
          <w:szCs w:val="22"/>
        </w:rPr>
        <w:t xml:space="preserve">TechCorp reserves the right to reject any or all proposals, to waive any informality or irregularity in any proposal received, and to accept the proposal that is deemed most advantageous to the organization.</w:t>
      </w:r>
    </w:p>
    <w:p>
      <w:pPr>
        <w:pStyle w:val="Heading2"/>
        <w:spacing w:after="120" w:before="240"/>
      </w:pPr>
      <w:r>
        <w:rPr>
          <w:rFonts w:ascii="Arial" w:cs="Arial" w:eastAsia="Arial" w:hAnsi="Arial"/>
          <w:b/>
          <w:bCs/>
          <w:color w:val="2E75B6"/>
          <w:sz w:val="24"/>
          <w:szCs w:val="24"/>
        </w:rPr>
        <w:t xml:space="preserve">7.4 Governing Law</w:t>
      </w:r>
    </w:p>
    <w:p>
      <w:pPr>
        <w:spacing w:after="100" w:before="60"/>
      </w:pPr>
      <w:r>
        <w:rPr>
          <w:rFonts w:ascii="Arial" w:cs="Arial" w:eastAsia="Arial" w:hAnsi="Arial"/>
          <w:color w:val="595959"/>
          <w:sz w:val="22"/>
          <w:szCs w:val="22"/>
        </w:rPr>
        <w:t xml:space="preserve">This RFP and any resulting contract shall be governed by the laws of the State of California, United States of America.</w:t>
      </w:r>
    </w:p>
    <w:p>
      <w:pPr>
        <w:spacing w:after="200" w:before="200"/>
      </w:pPr>
    </w:p>
    <w:p>
      <w:pPr>
        <w:pBdr>
          <w:top w:val="single" w:color="2E75B6" w:sz="4" w:space="8"/>
        </w:pBdr>
        <w:spacing w:before="400"/>
        <w:jc w:val="center"/>
      </w:pPr>
      <w:r>
        <w:rPr>
          <w:rFonts w:ascii="Arial" w:cs="Arial" w:eastAsia="Arial" w:hAnsi="Arial"/>
          <w:i/>
          <w:iCs/>
          <w:color w:val="595959"/>
          <w:sz w:val="18"/>
          <w:szCs w:val="18"/>
        </w:rPr>
        <w:t xml:space="preserve">TechCorp International, Inc.  |  123 Innovation Drive, San Francisco, CA 94107  |  rfp-it@techcorp.com</w:t>
      </w:r>
    </w:p>
    <w:p>
      <w:pPr>
        <w:jc w:val="center"/>
      </w:pPr>
      <w:r>
        <w:rPr>
          <w:rFonts w:ascii="Arial" w:cs="Arial" w:eastAsia="Arial" w:hAnsi="Arial"/>
          <w:color w:val="595959"/>
          <w:sz w:val="18"/>
          <w:szCs w:val="18"/>
        </w:rPr>
        <w:t xml:space="preserve">© 2025 TechCorp International, Inc. All rights reserved. Confidential and Proprietary.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Enterprise Cloud Infrastructure Modernization RFP</w:t>
    </w:r>
    <w:r>
      <w:rPr>
        <w:rFonts w:ascii="Arial" w:cs="Arial" w:eastAsia="Arial" w:hAnsi="Arial"/>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TechCorp International — CONFIDENTIAL</w:t>
    </w:r>
    <w:r>
      <w:rPr>
        <w:rFonts w:ascii="Arial" w:cs="Arial" w:eastAsia="Arial" w:hAnsi="Arial"/>
        <w:color w:val="2E75B6"/>
        <w:sz w:val="18"/>
        <w:szCs w:val="18"/>
      </w:rPr>
      <w:t xml:space="preserve">	RFP-IT-2025-047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2026-06-15T13:44:33.322Z</dcterms:created>
  <dcterms:modified xsi:type="dcterms:W3CDTF">2026-06-15T13:44:33.323Z</dcterms:modified>
</cp:coreProperties>
</file>

<file path=docProps/custom.xml><?xml version="1.0" encoding="utf-8"?>
<Properties xmlns="http://schemas.openxmlformats.org/officeDocument/2006/custom-properties" xmlns:vt="http://schemas.openxmlformats.org/officeDocument/2006/docPropsVTypes"/>
</file>