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rPr>
        <w:t xml:space="preserve"> </w:t>
      </w:r>
    </w:p>
    <w:p>
      <w:pPr>
        <w:spacing w:after="0" w:before="0"/>
      </w:pPr>
      <w:r>
        <w:rPr>
          <w:rFonts w:ascii="Arial" w:cs="Arial" w:eastAsia="Arial" w:hAnsi="Arial"/>
        </w:rPr>
        <w:t xml:space="preserve"> </w:t>
      </w:r>
    </w:p>
    <w:p>
      <w:pPr>
        <w:spacing w:after="0" w:before="0"/>
      </w:pPr>
      <w:r>
        <w:rPr>
          <w:rFonts w:ascii="Arial" w:cs="Arial" w:eastAsia="Arial" w:hAnsi="Arial"/>
        </w:rPr>
        <w:t xml:space="preserve"> </w:t>
      </w:r>
    </w:p>
    <w:p>
      <w:pPr>
        <w:spacing w:after="0" w:before="0"/>
      </w:pPr>
      <w:r>
        <w:rPr>
          <w:rFonts w:ascii="Arial" w:cs="Arial" w:eastAsia="Arial" w:hAnsi="Arial"/>
        </w:rPr>
        <w:t xml:space="preserve"> </w:t>
      </w:r>
    </w:p>
    <w:p>
      <w:pPr>
        <w:spacing w:after="0" w:before="0"/>
      </w:pPr>
      <w:r>
        <w:rPr>
          <w:rFonts w:ascii="Arial" w:cs="Arial" w:eastAsia="Arial" w:hAnsi="Arial"/>
        </w:rPr>
        <w:t xml:space="preserve"> </w:t>
      </w:r>
    </w:p>
    <w:p>
      <w:pPr>
        <w:spacing w:after="80" w:before="0"/>
        <w:jc w:val="center"/>
      </w:pPr>
      <w:r>
        <w:rPr>
          <w:rFonts w:ascii="Arial" w:cs="Arial" w:eastAsia="Arial" w:hAnsi="Arial"/>
          <w:b/>
          <w:bCs/>
          <w:color w:val="1A2E6B"/>
          <w:sz w:val="104"/>
          <w:szCs w:val="104"/>
        </w:rPr>
        <w:t xml:space="preserve">ProsotaPMO</w:t>
      </w:r>
    </w:p>
    <w:p>
      <w:pPr>
        <w:spacing w:after="100" w:before="0"/>
        <w:jc w:val="center"/>
      </w:pPr>
      <w:r>
        <w:rPr>
          <w:rFonts w:ascii="Arial" w:cs="Arial" w:eastAsia="Arial" w:hAnsi="Arial"/>
          <w:color w:val="2563EB"/>
          <w:sz w:val="34"/>
          <w:szCs w:val="34"/>
        </w:rPr>
        <w:t xml:space="preserve">Business Case for Full Platform Development &amp; Market Launch</w:t>
      </w:r>
    </w:p>
    <w:p>
      <w:pPr>
        <w:pBdr>
          <w:bottom w:val="single" w:color="06B6D4" w:sz="4" w:space="2"/>
        </w:pBdr>
        <w:spacing w:after="80" w:before="80"/>
      </w:pPr>
      <w:r>
        <w:rPr>
          <w:rFonts w:ascii="Arial" w:cs="Arial" w:eastAsia="Arial" w:hAnsi="Arial"/>
        </w:rPr>
        <w:t xml:space="preserve"> </w:t>
      </w:r>
    </w:p>
    <w:p>
      <w:pPr>
        <w:spacing w:after="0" w:before="0"/>
      </w:pPr>
      <w:r>
        <w:rPr>
          <w:rFonts w:ascii="Arial" w:cs="Arial" w:eastAsia="Arial" w:hAnsi="Arial"/>
        </w:rPr>
        <w:t xml:space="preserve"> </w:t>
      </w:r>
    </w:p>
    <w:p>
      <w:pPr>
        <w:spacing w:after="0" w:before="0"/>
        <w:jc w:val="center"/>
      </w:pPr>
      <w:r>
        <w:rPr>
          <w:rFonts w:ascii="Arial" w:cs="Arial" w:eastAsia="Arial" w:hAnsi="Arial"/>
          <w:i/>
          <w:iCs/>
          <w:color w:val="475569"/>
          <w:sz w:val="26"/>
          <w:szCs w:val="26"/>
        </w:rPr>
        <w:t xml:space="preserve">AI-Powered Project Management Intelligence — Built for Any Industry</w:t>
      </w:r>
    </w:p>
    <w:p>
      <w:pPr>
        <w:spacing w:after="1200" w:before="0"/>
        <w:jc w:val="center"/>
      </w:pPr>
      <w:r>
        <w:rPr>
          <w:rFonts w:ascii="Arial" w:cs="Arial" w:eastAsia="Arial" w:hAnsi="Arial"/>
          <w:i/>
          <w:iCs/>
          <w:color w:val="06B6D4"/>
          <w:sz w:val="22"/>
          <w:szCs w:val="22"/>
        </w:rPr>
        <w:t xml:space="preserve">Founder-Led Development · AI-Assisted Engineering · Production-Ready SaaS</w:t>
      </w:r>
    </w:p>
    <w:p>
      <w:pPr>
        <w:spacing w:after="0" w:before="0"/>
      </w:pPr>
      <w:r>
        <w:rPr>
          <w:rFonts w:ascii="Arial" w:cs="Arial" w:eastAsia="Arial" w:hAnsi="Arial"/>
        </w:rPr>
        <w:t xml:space="preserve"> </w:t>
      </w:r>
    </w:p>
    <w:p>
      <w:pPr>
        <w:spacing w:after="0" w:before="0"/>
      </w:pPr>
      <w:r>
        <w:rPr>
          <w:rFonts w:ascii="Arial" w:cs="Arial" w:eastAsia="Arial" w:hAnsi="Arial"/>
        </w:rPr>
        <w:t xml:space="preserve"> </w:t>
      </w:r>
    </w:p>
    <w:p>
      <w:pPr>
        <w:spacing w:after="0" w:before="0"/>
      </w:pPr>
      <w:r>
        <w:rPr>
          <w:rFonts w:ascii="Arial" w:cs="Arial" w:eastAsia="Arial" w:hAnsi="Arial"/>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E2E8F0" w:sz="1"/>
              <w:left w:val="single" w:color="E2E8F0" w:sz="1"/>
              <w:bottom w:val="single" w:color="E2E8F0" w:sz="1"/>
              <w:right w:val="single" w:color="E2E8F0" w:sz="1"/>
            </w:tcBorders>
            <w:shd w:fill="F0F2F8" w:val="clear"/>
            <w:tcMar>
              <w:top w:type="dxa" w:w="80"/>
              <w:left w:type="dxa" w:w="120"/>
              <w:bottom w:type="dxa" w:w="80"/>
              <w:right w:type="dxa" w:w="120"/>
            </w:tcMar>
          </w:tcPr>
          <w:p>
            <w:r>
              <w:rPr>
                <w:rFonts w:ascii="Arial" w:cs="Arial" w:eastAsia="Arial" w:hAnsi="Arial"/>
                <w:b/>
                <w:bCs/>
                <w:color w:val="1A2E6B"/>
                <w:sz w:val="20"/>
                <w:szCs w:val="20"/>
              </w:rPr>
              <w:t xml:space="preserve">Document Reference</w:t>
            </w:r>
          </w:p>
        </w:tc>
        <w:tc>
          <w:tcPr>
            <w:tcW w:type="dxa" w:w="6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PMO-BC-2025-002</w:t>
            </w:r>
          </w:p>
        </w:tc>
      </w:tr>
      <w:tr>
        <w:tc>
          <w:tcPr>
            <w:tcW w:type="dxa" w:w="2600"/>
            <w:tcBorders>
              <w:top w:val="single" w:color="E2E8F0" w:sz="1"/>
              <w:left w:val="single" w:color="E2E8F0" w:sz="1"/>
              <w:bottom w:val="single" w:color="E2E8F0" w:sz="1"/>
              <w:right w:val="single" w:color="E2E8F0" w:sz="1"/>
            </w:tcBorders>
            <w:shd w:fill="F0F2F8" w:val="clear"/>
            <w:tcMar>
              <w:top w:type="dxa" w:w="80"/>
              <w:left w:type="dxa" w:w="120"/>
              <w:bottom w:type="dxa" w:w="80"/>
              <w:right w:type="dxa" w:w="120"/>
            </w:tcMar>
          </w:tcPr>
          <w:p>
            <w:r>
              <w:rPr>
                <w:rFonts w:ascii="Arial" w:cs="Arial" w:eastAsia="Arial" w:hAnsi="Arial"/>
                <w:b/>
                <w:bCs/>
                <w:color w:val="1A2E6B"/>
                <w:sz w:val="20"/>
                <w:szCs w:val="20"/>
              </w:rPr>
              <w:t xml:space="preserve">Version</w:t>
            </w:r>
          </w:p>
        </w:tc>
        <w:tc>
          <w:tcPr>
            <w:tcW w:type="dxa" w:w="6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3.0 — Founder Development Model</w:t>
            </w:r>
          </w:p>
        </w:tc>
      </w:tr>
      <w:tr>
        <w:tc>
          <w:tcPr>
            <w:tcW w:type="dxa" w:w="2600"/>
            <w:tcBorders>
              <w:top w:val="single" w:color="E2E8F0" w:sz="1"/>
              <w:left w:val="single" w:color="E2E8F0" w:sz="1"/>
              <w:bottom w:val="single" w:color="E2E8F0" w:sz="1"/>
              <w:right w:val="single" w:color="E2E8F0" w:sz="1"/>
            </w:tcBorders>
            <w:shd w:fill="F0F2F8" w:val="clear"/>
            <w:tcMar>
              <w:top w:type="dxa" w:w="80"/>
              <w:left w:type="dxa" w:w="120"/>
              <w:bottom w:type="dxa" w:w="80"/>
              <w:right w:type="dxa" w:w="120"/>
            </w:tcMar>
          </w:tcPr>
          <w:p>
            <w:r>
              <w:rPr>
                <w:rFonts w:ascii="Arial" w:cs="Arial" w:eastAsia="Arial" w:hAnsi="Arial"/>
                <w:b/>
                <w:bCs/>
                <w:color w:val="1A2E6B"/>
                <w:sz w:val="20"/>
                <w:szCs w:val="20"/>
              </w:rPr>
              <w:t xml:space="preserve">Prepared By</w:t>
            </w:r>
          </w:p>
        </w:tc>
        <w:tc>
          <w:tcPr>
            <w:tcW w:type="dxa" w:w="6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 Sota — Prosota Consulting Ltd</w:t>
            </w:r>
          </w:p>
        </w:tc>
      </w:tr>
      <w:tr>
        <w:tc>
          <w:tcPr>
            <w:tcW w:type="dxa" w:w="2600"/>
            <w:tcBorders>
              <w:top w:val="single" w:color="E2E8F0" w:sz="1"/>
              <w:left w:val="single" w:color="E2E8F0" w:sz="1"/>
              <w:bottom w:val="single" w:color="E2E8F0" w:sz="1"/>
              <w:right w:val="single" w:color="E2E8F0" w:sz="1"/>
            </w:tcBorders>
            <w:shd w:fill="F0F2F8" w:val="clear"/>
            <w:tcMar>
              <w:top w:type="dxa" w:w="80"/>
              <w:left w:type="dxa" w:w="120"/>
              <w:bottom w:type="dxa" w:w="80"/>
              <w:right w:type="dxa" w:w="120"/>
            </w:tcMar>
          </w:tcPr>
          <w:p>
            <w:r>
              <w:rPr>
                <w:rFonts w:ascii="Arial" w:cs="Arial" w:eastAsia="Arial" w:hAnsi="Arial"/>
                <w:b/>
                <w:bCs/>
                <w:color w:val="1A2E6B"/>
                <w:sz w:val="20"/>
                <w:szCs w:val="20"/>
              </w:rPr>
              <w:t xml:space="preserve">Date</w:t>
            </w:r>
          </w:p>
        </w:tc>
        <w:tc>
          <w:tcPr>
            <w:tcW w:type="dxa" w:w="6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June 2025</w:t>
            </w:r>
          </w:p>
        </w:tc>
      </w:tr>
      <w:tr>
        <w:tc>
          <w:tcPr>
            <w:tcW w:type="dxa" w:w="2600"/>
            <w:tcBorders>
              <w:top w:val="single" w:color="E2E8F0" w:sz="1"/>
              <w:left w:val="single" w:color="E2E8F0" w:sz="1"/>
              <w:bottom w:val="single" w:color="E2E8F0" w:sz="1"/>
              <w:right w:val="single" w:color="E2E8F0" w:sz="1"/>
            </w:tcBorders>
            <w:shd w:fill="F0F2F8" w:val="clear"/>
            <w:tcMar>
              <w:top w:type="dxa" w:w="80"/>
              <w:left w:type="dxa" w:w="120"/>
              <w:bottom w:type="dxa" w:w="80"/>
              <w:right w:type="dxa" w:w="120"/>
            </w:tcMar>
          </w:tcPr>
          <w:p>
            <w:r>
              <w:rPr>
                <w:rFonts w:ascii="Arial" w:cs="Arial" w:eastAsia="Arial" w:hAnsi="Arial"/>
                <w:b/>
                <w:bCs/>
                <w:color w:val="1A2E6B"/>
                <w:sz w:val="20"/>
                <w:szCs w:val="20"/>
              </w:rPr>
              <w:t xml:space="preserve">Classification</w:t>
            </w:r>
          </w:p>
        </w:tc>
        <w:tc>
          <w:tcPr>
            <w:tcW w:type="dxa" w:w="6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Commercial in Confidence</w:t>
            </w:r>
          </w:p>
        </w:tc>
      </w:tr>
      <w:tr>
        <w:tc>
          <w:tcPr>
            <w:tcW w:type="dxa" w:w="2600"/>
            <w:tcBorders>
              <w:top w:val="single" w:color="E2E8F0" w:sz="1"/>
              <w:left w:val="single" w:color="E2E8F0" w:sz="1"/>
              <w:bottom w:val="single" w:color="E2E8F0" w:sz="1"/>
              <w:right w:val="single" w:color="E2E8F0" w:sz="1"/>
            </w:tcBorders>
            <w:shd w:fill="F0F2F8" w:val="clear"/>
            <w:tcMar>
              <w:top w:type="dxa" w:w="80"/>
              <w:left w:type="dxa" w:w="120"/>
              <w:bottom w:type="dxa" w:w="80"/>
              <w:right w:type="dxa" w:w="120"/>
            </w:tcMar>
          </w:tcPr>
          <w:p>
            <w:r>
              <w:rPr>
                <w:rFonts w:ascii="Arial" w:cs="Arial" w:eastAsia="Arial" w:hAnsi="Arial"/>
                <w:b/>
                <w:bCs/>
                <w:color w:val="1A2E6B"/>
                <w:sz w:val="20"/>
                <w:szCs w:val="20"/>
              </w:rPr>
              <w:t xml:space="preserve">Development Model</w:t>
            </w:r>
          </w:p>
        </w:tc>
        <w:tc>
          <w:tcPr>
            <w:tcW w:type="dxa" w:w="6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Founder + AI-Assisted Engineering (Anthropic Claude)</w:t>
            </w:r>
          </w:p>
        </w:tc>
      </w:tr>
      <w:tr>
        <w:tc>
          <w:tcPr>
            <w:tcW w:type="dxa" w:w="2600"/>
            <w:tcBorders>
              <w:top w:val="single" w:color="E2E8F0" w:sz="1"/>
              <w:left w:val="single" w:color="E2E8F0" w:sz="1"/>
              <w:bottom w:val="single" w:color="E2E8F0" w:sz="1"/>
              <w:right w:val="single" w:color="E2E8F0" w:sz="1"/>
            </w:tcBorders>
            <w:shd w:fill="F0F2F8" w:val="clear"/>
            <w:tcMar>
              <w:top w:type="dxa" w:w="80"/>
              <w:left w:type="dxa" w:w="120"/>
              <w:bottom w:type="dxa" w:w="80"/>
              <w:right w:type="dxa" w:w="120"/>
            </w:tcMar>
          </w:tcPr>
          <w:p>
            <w:r>
              <w:rPr>
                <w:rFonts w:ascii="Arial" w:cs="Arial" w:eastAsia="Arial" w:hAnsi="Arial"/>
                <w:b/>
                <w:bCs/>
                <w:color w:val="1A2E6B"/>
                <w:sz w:val="20"/>
                <w:szCs w:val="20"/>
              </w:rPr>
              <w:t xml:space="preserve">Status</w:t>
            </w:r>
          </w:p>
        </w:tc>
        <w:tc>
          <w:tcPr>
            <w:tcW w:type="dxa" w:w="6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Awaiting Investment / Advisory Approval</w:t>
            </w:r>
          </w:p>
        </w:tc>
      </w:tr>
    </w:tbl>
    <w:p>
      <w:pPr>
        <w:spacing w:after="0" w:before="0"/>
      </w:pPr>
      <w:r>
        <w:rPr>
          <w:rFonts w:ascii="Arial" w:cs="Arial" w:eastAsia="Arial" w:hAnsi="Arial"/>
        </w:rPr>
        <w:t xml:space="preserve"> </w:t>
      </w:r>
    </w:p>
    <w:p>
      <w:pPr>
        <w:spacing w:after="0" w:before="0"/>
      </w:pPr>
      <w:r>
        <w:rPr>
          <w:rFonts w:ascii="Arial" w:cs="Arial" w:eastAsia="Arial" w:hAnsi="Arial"/>
        </w:rPr>
        <w:t xml:space="preserve"> </w:t>
      </w:r>
    </w:p>
    <w:p>
      <w:pPr>
        <w:jc w:val="center"/>
      </w:pPr>
      <w:r>
        <w:rPr>
          <w:rFonts w:ascii="Arial" w:cs="Arial" w:eastAsia="Arial" w:hAnsi="Arial"/>
          <w:i/>
          <w:iCs/>
          <w:color w:val="475569"/>
          <w:sz w:val="18"/>
          <w:szCs w:val="18"/>
        </w:rPr>
        <w:t xml:space="preserve">© 2025 Prosota Consulting Ltd · All Rights Reserved</w:t>
      </w:r>
    </w:p>
    <w:p>
      <w:pPr>
        <w:spacing w:after="0" w:before="0"/>
      </w:pPr>
      <w:r>
        <w:br w:type="page"/>
      </w:r>
    </w:p>
    <w:p>
      <w:pPr>
        <w:pStyle w:val="Heading1"/>
        <w:pBdr>
          <w:bottom w:val="single" w:color="1A2E6B" w:sz="6" w:space="4"/>
        </w:pBdr>
        <w:spacing w:after="120" w:before="360"/>
      </w:pPr>
      <w:r>
        <w:rPr>
          <w:rFonts w:ascii="Arial" w:cs="Arial" w:eastAsia="Arial" w:hAnsi="Arial"/>
          <w:b/>
          <w:bCs/>
          <w:color w:val="1A2E6B"/>
          <w:sz w:val="32"/>
          <w:szCs w:val="32"/>
        </w:rPr>
        <w:t xml:space="preserve">1. Executive Summary</w:t>
      </w:r>
    </w:p>
    <w:p>
      <w:pPr>
        <w:spacing w:after="100" w:before="0"/>
      </w:pPr>
      <w:r>
        <w:rPr>
          <w:rFonts w:ascii="Arial" w:cs="Arial" w:eastAsia="Arial" w:hAnsi="Arial"/>
          <w:color w:val="1e293b"/>
          <w:sz w:val="22"/>
          <w:szCs w:val="22"/>
        </w:rPr>
        <w:t xml:space="preserve">ProsotaPMO is a browser-native, AI-powered project management platform that integrates programme planning, risk management, cost control, issues and change tracking, period governance, and executive reporting into a single, cohesive application. The platform is sector-agnostic — purpose-built for any organisation that operates structured project management offices or runs programmes requiring rigorous project controls — with applicability across construction, defence, energy, pharmaceuticals, financial services, government, and technology.</w:t>
      </w:r>
    </w:p>
    <w:p>
      <w:pPr>
        <w:spacing w:after="0" w:before="0"/>
      </w:pPr>
      <w:r>
        <w:rPr>
          <w:rFonts w:ascii="Arial" w:cs="Arial" w:eastAsia="Arial" w:hAnsi="Arial"/>
        </w:rPr>
        <w:t xml:space="preserve"> </w:t>
      </w:r>
    </w:p>
    <w:p>
      <w:pPr>
        <w:spacing w:after="100" w:before="0"/>
      </w:pPr>
      <w:r>
        <w:rPr>
          <w:rFonts w:ascii="Arial" w:cs="Arial" w:eastAsia="Arial" w:hAnsi="Arial"/>
          <w:color w:val="1e293b"/>
          <w:sz w:val="22"/>
          <w:szCs w:val="22"/>
        </w:rPr>
        <w:t xml:space="preserve">This business case documents a materially different development model from conventional software ventures. ProsotaPMO will be built by its founder — a Senior Planner and 4D Project Controls Specialist with over 15 years of UK infrastructure programme experience — working in close partnership with Anthropic's Claude AI system as the primary engineering capability. A functional prototype of the complete platform, comprising eight integrated modules, has already been built through this collaboration and serves as the definitive product specification.</w:t>
      </w:r>
    </w:p>
    <w:p>
      <w:pPr>
        <w:spacing w:after="0" w:before="0"/>
      </w:pPr>
      <w:r>
        <w:rPr>
          <w:rFonts w:ascii="Arial" w:cs="Arial" w:eastAsia="Arial" w:hAnsi="Arial"/>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2E6B" w:sz="6"/>
              <w:left w:val="single" w:color="1A2E6B" w:sz="18"/>
              <w:bottom w:val="single" w:color="1A2E6B" w:sz="1"/>
              <w:right w:val="single" w:color="1A2E6B" w:sz="1"/>
            </w:tcBorders>
            <w:shd w:fill="EFF6FF" w:val="clear"/>
            <w:tcMar>
              <w:top w:type="dxa" w:w="110"/>
              <w:left w:type="dxa" w:w="200"/>
              <w:bottom w:type="dxa" w:w="110"/>
              <w:right w:type="dxa" w:w="160"/>
            </w:tcMar>
          </w:tcPr>
          <w:p>
            <w:pPr>
              <w:spacing w:after="60" w:before="0"/>
            </w:pPr>
            <w:r>
              <w:rPr>
                <w:rFonts w:ascii="Arial" w:cs="Arial" w:eastAsia="Arial" w:hAnsi="Arial"/>
                <w:b/>
                <w:bCs/>
                <w:color w:val="1A2E6B"/>
                <w:sz w:val="20"/>
                <w:szCs w:val="20"/>
              </w:rPr>
              <w:t xml:space="preserve">The Development Model in One Sentence</w:t>
            </w:r>
          </w:p>
          <w:p>
            <w:pPr>
              <w:spacing w:after="0" w:before="0"/>
            </w:pPr>
            <w:r>
              <w:rPr>
                <w:rFonts w:ascii="Arial" w:cs="Arial" w:eastAsia="Arial" w:hAnsi="Arial"/>
                <w:color w:val="1e293b"/>
                <w:sz w:val="20"/>
                <w:szCs w:val="20"/>
              </w:rPr>
              <w:t xml:space="preserve">The founder provides domain expertise, product decisions, customer relationships, and strategic direction. Claude provides the engineering — writing, debugging, and iterating every line of production code. This is not a future capability; the prototype proves it already works.</w:t>
            </w:r>
          </w:p>
        </w:tc>
      </w:tr>
    </w:tbl>
    <w:p>
      <w:pPr>
        <w:spacing w:after="0" w:before="0"/>
      </w:pPr>
      <w:r>
        <w:rPr>
          <w:rFonts w:ascii="Arial" w:cs="Arial" w:eastAsia="Arial" w:hAnsi="Arial"/>
        </w:rPr>
        <w:t xml:space="preserve"> </w:t>
      </w:r>
    </w:p>
    <w:p>
      <w:pPr>
        <w:spacing w:after="100" w:before="0"/>
      </w:pPr>
      <w:r>
        <w:rPr>
          <w:rFonts w:ascii="Arial" w:cs="Arial" w:eastAsia="Arial" w:hAnsi="Arial"/>
          <w:color w:val="1e293b"/>
          <w:sz w:val="22"/>
          <w:szCs w:val="22"/>
        </w:rPr>
        <w:t xml:space="preserve">This model has profound implications for the financial structure of the business. The largest cost in any software startup — engineering talent — is dramatically reduced. A product that would conventionally require a 4–6 person engineering team and £800,000–£1,200,000 in Year 1 salary costs can be built by one founder working with AI assistance, at a fraction of that cost. The savings are reinvested into customer acquisition, market development, and the infrastructure required to scale.</w:t>
      </w:r>
    </w:p>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Key Highlights</w:t>
      </w:r>
    </w:p>
    <w:p>
      <w:pPr>
        <w:pStyle w:val="ListParagraph"/>
        <w:numPr>
          <w:ilvl w:val="0"/>
          <w:numId w:val="2"/>
        </w:numPr>
        <w:spacing w:after="60" w:before="0"/>
      </w:pPr>
      <w:r>
        <w:rPr>
          <w:rFonts w:ascii="Arial" w:cs="Arial" w:eastAsia="Arial" w:hAnsi="Arial"/>
          <w:color w:val="1e293b"/>
          <w:sz w:val="22"/>
          <w:szCs w:val="22"/>
        </w:rPr>
        <w:t xml:space="preserve">Functional prototype already built — 8 integrated modules, period governance workflow, AI assistant, fully interactive UX — proving the development model before a penny of investment is committed</w:t>
      </w:r>
    </w:p>
    <w:p>
      <w:pPr>
        <w:pStyle w:val="ListParagraph"/>
        <w:numPr>
          <w:ilvl w:val="0"/>
          <w:numId w:val="2"/>
        </w:numPr>
        <w:spacing w:after="60" w:before="0"/>
      </w:pPr>
      <w:r>
        <w:rPr>
          <w:rFonts w:ascii="Arial" w:cs="Arial" w:eastAsia="Arial" w:hAnsi="Arial"/>
          <w:color w:val="1e293b"/>
          <w:sz w:val="22"/>
          <w:szCs w:val="22"/>
        </w:rPr>
        <w:t xml:space="preserve">Total Phase 1 investment requirement: £285,000 — compared to £850,000 under a conventional team model — a saving of £565,000 in Year 1 alone</w:t>
      </w:r>
    </w:p>
    <w:p>
      <w:pPr>
        <w:pStyle w:val="ListParagraph"/>
        <w:numPr>
          <w:ilvl w:val="0"/>
          <w:numId w:val="2"/>
        </w:numPr>
        <w:spacing w:after="60" w:before="0"/>
      </w:pPr>
      <w:r>
        <w:rPr>
          <w:rFonts w:ascii="Arial" w:cs="Arial" w:eastAsia="Arial" w:hAnsi="Arial"/>
          <w:color w:val="1e293b"/>
          <w:sz w:val="22"/>
          <w:szCs w:val="22"/>
        </w:rPr>
        <w:t xml:space="preserve">Time to MVP: 10–12 months, with first paying customers targeted by Month 9</w:t>
      </w:r>
    </w:p>
    <w:p>
      <w:pPr>
        <w:pStyle w:val="ListParagraph"/>
        <w:numPr>
          <w:ilvl w:val="0"/>
          <w:numId w:val="2"/>
        </w:numPr>
        <w:spacing w:after="60" w:before="0"/>
      </w:pPr>
      <w:r>
        <w:rPr>
          <w:rFonts w:ascii="Arial" w:cs="Arial" w:eastAsia="Arial" w:hAnsi="Arial"/>
          <w:color w:val="1e293b"/>
          <w:sz w:val="22"/>
          <w:szCs w:val="22"/>
        </w:rPr>
        <w:t xml:space="preserve">Founder brings rare dual capability: 15+ years of construction and infrastructure programme controls domain expertise combined with demonstrated ability to direct AI-assisted software development</w:t>
      </w:r>
    </w:p>
    <w:p>
      <w:pPr>
        <w:pStyle w:val="ListParagraph"/>
        <w:numPr>
          <w:ilvl w:val="0"/>
          <w:numId w:val="2"/>
        </w:numPr>
        <w:spacing w:after="60" w:before="0"/>
      </w:pPr>
      <w:r>
        <w:rPr>
          <w:rFonts w:ascii="Arial" w:cs="Arial" w:eastAsia="Arial" w:hAnsi="Arial"/>
          <w:color w:val="1e293b"/>
          <w:sz w:val="22"/>
          <w:szCs w:val="22"/>
        </w:rPr>
        <w:t xml:space="preserve">Target ARR of £12.4M by Year 5 on total investment of £1.8M — representing a return multiple of 6.9× on invested capital</w:t>
      </w:r>
    </w:p>
    <w:p>
      <w:pPr>
        <w:pStyle w:val="ListParagraph"/>
        <w:numPr>
          <w:ilvl w:val="0"/>
          <w:numId w:val="2"/>
        </w:numPr>
        <w:spacing w:after="60" w:before="0"/>
      </w:pPr>
      <w:r>
        <w:rPr>
          <w:rFonts w:ascii="Arial" w:cs="Arial" w:eastAsia="Arial" w:hAnsi="Arial"/>
          <w:color w:val="1e293b"/>
          <w:sz w:val="22"/>
          <w:szCs w:val="22"/>
        </w:rPr>
        <w:t xml:space="preserve">Horizontal market positioning across 7 sectors removes the concentration risk of a single-industry product</w:t>
      </w:r>
    </w:p>
    <w:p>
      <w:pPr>
        <w:spacing w:after="0" w:before="0"/>
      </w:pPr>
      <w:r>
        <w:rPr>
          <w:rFonts w:ascii="Arial" w:cs="Arial" w:eastAsia="Arial" w:hAnsi="Arial"/>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10B981" w:sz="1"/>
              <w:left w:val="single" w:color="10B981" w:sz="1"/>
              <w:bottom w:val="single" w:color="10B981" w:sz="1"/>
              <w:right w:val="single" w:color="10B981" w:sz="1"/>
            </w:tcBorders>
            <w:shd w:fill="F0FDF4" w:val="clear"/>
            <w:tcMar>
              <w:top w:type="dxa" w:w="160"/>
              <w:left w:type="dxa" w:w="140"/>
              <w:bottom w:type="dxa" w:w="140"/>
              <w:right w:type="dxa" w:w="140"/>
            </w:tcMar>
          </w:tcPr>
          <w:p>
            <w:pPr>
              <w:spacing w:after="60" w:before="0"/>
              <w:jc w:val="center"/>
            </w:pPr>
            <w:r>
              <w:rPr>
                <w:rFonts w:ascii="Arial" w:cs="Arial" w:eastAsia="Arial" w:hAnsi="Arial"/>
                <w:b/>
                <w:bCs/>
                <w:color w:val="10B981"/>
                <w:sz w:val="60"/>
                <w:szCs w:val="60"/>
              </w:rPr>
              <w:t xml:space="preserve">£285k</w:t>
            </w:r>
          </w:p>
          <w:p>
            <w:pPr>
              <w:spacing w:after="0" w:before="0"/>
              <w:jc w:val="center"/>
            </w:pPr>
            <w:r>
              <w:rPr>
                <w:rFonts w:ascii="Arial" w:cs="Arial" w:eastAsia="Arial" w:hAnsi="Arial"/>
                <w:color w:val="475569"/>
                <w:sz w:val="18"/>
                <w:szCs w:val="18"/>
              </w:rPr>
              <w:t xml:space="preserve">Phase 1 Investment</w:t>
            </w:r>
          </w:p>
        </w:tc>
        <w:tc>
          <w:tcPr>
            <w:tcW w:type="dxa" w:w="2256"/>
            <w:tcBorders>
              <w:top w:val="single" w:color="2563EB" w:sz="1"/>
              <w:left w:val="single" w:color="2563EB" w:sz="1"/>
              <w:bottom w:val="single" w:color="2563EB" w:sz="1"/>
              <w:right w:val="single" w:color="2563EB" w:sz="1"/>
            </w:tcBorders>
            <w:shd w:fill="EFF6FF" w:val="clear"/>
            <w:tcMar>
              <w:top w:type="dxa" w:w="160"/>
              <w:left w:type="dxa" w:w="140"/>
              <w:bottom w:type="dxa" w:w="140"/>
              <w:right w:type="dxa" w:w="140"/>
            </w:tcMar>
          </w:tcPr>
          <w:p>
            <w:pPr>
              <w:spacing w:after="60" w:before="0"/>
              <w:jc w:val="center"/>
            </w:pPr>
            <w:r>
              <w:rPr>
                <w:rFonts w:ascii="Arial" w:cs="Arial" w:eastAsia="Arial" w:hAnsi="Arial"/>
                <w:b/>
                <w:bCs/>
                <w:color w:val="1A2E6B"/>
                <w:sz w:val="60"/>
                <w:szCs w:val="60"/>
              </w:rPr>
              <w:t xml:space="preserve">£12.4M</w:t>
            </w:r>
          </w:p>
          <w:p>
            <w:pPr>
              <w:spacing w:after="0" w:before="0"/>
              <w:jc w:val="center"/>
            </w:pPr>
            <w:r>
              <w:rPr>
                <w:rFonts w:ascii="Arial" w:cs="Arial" w:eastAsia="Arial" w:hAnsi="Arial"/>
                <w:color w:val="475569"/>
                <w:sz w:val="18"/>
                <w:szCs w:val="18"/>
              </w:rPr>
              <w:t xml:space="preserve">Target ARR Year 5</w:t>
            </w:r>
          </w:p>
        </w:tc>
        <w:tc>
          <w:tcPr>
            <w:tcW w:type="dxa" w:w="2256"/>
            <w:tcBorders>
              <w:top w:val="single" w:color="2563EB" w:sz="1"/>
              <w:left w:val="single" w:color="2563EB" w:sz="1"/>
              <w:bottom w:val="single" w:color="2563EB" w:sz="1"/>
              <w:right w:val="single" w:color="2563EB" w:sz="1"/>
            </w:tcBorders>
            <w:shd w:fill="EFF6FF" w:val="clear"/>
            <w:tcMar>
              <w:top w:type="dxa" w:w="160"/>
              <w:left w:type="dxa" w:w="140"/>
              <w:bottom w:type="dxa" w:w="140"/>
              <w:right w:type="dxa" w:w="140"/>
            </w:tcMar>
          </w:tcPr>
          <w:p>
            <w:pPr>
              <w:spacing w:after="60" w:before="0"/>
              <w:jc w:val="center"/>
            </w:pPr>
            <w:r>
              <w:rPr>
                <w:rFonts w:ascii="Arial" w:cs="Arial" w:eastAsia="Arial" w:hAnsi="Arial"/>
                <w:b/>
                <w:bCs/>
                <w:color w:val="2563EB"/>
                <w:sz w:val="60"/>
                <w:szCs w:val="60"/>
              </w:rPr>
              <w:t xml:space="preserve">6.9×</w:t>
            </w:r>
          </w:p>
          <w:p>
            <w:pPr>
              <w:spacing w:after="0" w:before="0"/>
              <w:jc w:val="center"/>
            </w:pPr>
            <w:r>
              <w:rPr>
                <w:rFonts w:ascii="Arial" w:cs="Arial" w:eastAsia="Arial" w:hAnsi="Arial"/>
                <w:color w:val="475569"/>
                <w:sz w:val="18"/>
                <w:szCs w:val="18"/>
              </w:rPr>
              <w:t xml:space="preserve">Return on Investment</w:t>
            </w:r>
          </w:p>
        </w:tc>
        <w:tc>
          <w:tcPr>
            <w:tcW w:type="dxa" w:w="2256"/>
            <w:tcBorders>
              <w:top w:val="single" w:color="06B6D4" w:sz="1"/>
              <w:left w:val="single" w:color="06B6D4" w:sz="1"/>
              <w:bottom w:val="single" w:color="06B6D4" w:sz="1"/>
              <w:right w:val="single" w:color="06B6D4" w:sz="1"/>
            </w:tcBorders>
            <w:shd w:fill="EFF6FF" w:val="clear"/>
            <w:tcMar>
              <w:top w:type="dxa" w:w="160"/>
              <w:left w:type="dxa" w:w="140"/>
              <w:bottom w:type="dxa" w:w="140"/>
              <w:right w:type="dxa" w:w="140"/>
            </w:tcMar>
          </w:tcPr>
          <w:p>
            <w:pPr>
              <w:spacing w:after="60" w:before="0"/>
              <w:jc w:val="center"/>
            </w:pPr>
            <w:r>
              <w:rPr>
                <w:rFonts w:ascii="Arial" w:cs="Arial" w:eastAsia="Arial" w:hAnsi="Arial"/>
                <w:b/>
                <w:bCs/>
                <w:color w:val="06B6D4"/>
                <w:sz w:val="60"/>
                <w:szCs w:val="60"/>
              </w:rPr>
              <w:t xml:space="preserve">10mo</w:t>
            </w:r>
          </w:p>
          <w:p>
            <w:pPr>
              <w:spacing w:after="0" w:before="0"/>
              <w:jc w:val="center"/>
            </w:pPr>
            <w:r>
              <w:rPr>
                <w:rFonts w:ascii="Arial" w:cs="Arial" w:eastAsia="Arial" w:hAnsi="Arial"/>
                <w:color w:val="475569"/>
                <w:sz w:val="18"/>
                <w:szCs w:val="18"/>
              </w:rPr>
              <w:t xml:space="preserve">Estimated Time to MVP</w:t>
            </w:r>
          </w:p>
        </w:tc>
      </w:tr>
    </w:tbl>
    <w:p>
      <w:pPr>
        <w:spacing w:after="0" w:before="0"/>
      </w:pPr>
      <w:r>
        <w:rPr>
          <w:rFonts w:ascii="Arial" w:cs="Arial" w:eastAsia="Arial" w:hAnsi="Arial"/>
        </w:rPr>
        <w:t xml:space="preserve"> </w:t>
      </w:r>
    </w:p>
    <w:p>
      <w:pPr>
        <w:spacing w:after="0" w:before="0"/>
      </w:pPr>
      <w:r>
        <w:br w:type="page"/>
      </w:r>
    </w:p>
    <w:p>
      <w:pPr>
        <w:pStyle w:val="Heading1"/>
        <w:pBdr>
          <w:bottom w:val="single" w:color="1A2E6B" w:sz="6" w:space="4"/>
        </w:pBdr>
        <w:spacing w:after="120" w:before="360"/>
      </w:pPr>
      <w:r>
        <w:rPr>
          <w:rFonts w:ascii="Arial" w:cs="Arial" w:eastAsia="Arial" w:hAnsi="Arial"/>
          <w:b/>
          <w:bCs/>
          <w:color w:val="1A2E6B"/>
          <w:sz w:val="32"/>
          <w:szCs w:val="32"/>
        </w:rPr>
        <w:t xml:space="preserve">2. The Founder &amp; Development Model</w:t>
      </w:r>
    </w:p>
    <w:p>
      <w:pPr>
        <w:pStyle w:val="Heading2"/>
        <w:spacing w:after="80" w:before="280"/>
      </w:pPr>
      <w:r>
        <w:rPr>
          <w:rFonts w:ascii="Arial" w:cs="Arial" w:eastAsia="Arial" w:hAnsi="Arial"/>
          <w:b/>
          <w:bCs/>
          <w:color w:val="2563EB"/>
          <w:sz w:val="26"/>
          <w:szCs w:val="26"/>
        </w:rPr>
        <w:t xml:space="preserve">2.1 Founder Profile</w:t>
      </w:r>
    </w:p>
    <w:p>
      <w:pPr>
        <w:spacing w:after="100" w:before="0"/>
      </w:pPr>
      <w:r>
        <w:rPr>
          <w:rFonts w:ascii="Arial" w:cs="Arial" w:eastAsia="Arial" w:hAnsi="Arial"/>
          <w:color w:val="1e293b"/>
          <w:sz w:val="22"/>
          <w:szCs w:val="22"/>
        </w:rPr>
        <w:t xml:space="preserve">Louis Oghenemaro Sota (Maro) is the founder and sole developer of ProsotaPMO. He brings a combination of credentials, experience, and technical capability that is exceptionally rare in the construction technology space — and that is directly reflected in the depth and authenticity of the platform's feature set.</w:t>
      </w:r>
    </w:p>
    <w:p>
      <w:pPr>
        <w:spacing w:after="0" w:before="0"/>
      </w:pPr>
      <w:r>
        <w:rPr>
          <w:rFonts w:ascii="Arial" w:cs="Arial" w:eastAsia="Arial" w:hAnsi="Arial"/>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826"/>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Professional Role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Senior Planner / 4D BIM Specialist — embedded in major UK infrastructure programmes</w:t>
            </w:r>
          </w:p>
        </w:tc>
      </w:tr>
      <w:tr>
        <w:tc>
          <w:tcPr>
            <w:tcW w:type="dxa" w:w="2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Credentials</w:t>
            </w:r>
          </w:p>
        </w:tc>
        <w:tc>
          <w:tcPr>
            <w:tcW w:type="dxa" w:w="68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PMP (PMI), PMI-CP, PRINCE2 Practitioner, MSc Engineering Project Management, BSc Civil Engineering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Programme Experience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Thames Tideway Tunnel, Palace of Westminster Restoration &amp; Renewal, NHS New Hospital Programme, Network Rail, Environment Agency</w:t>
            </w:r>
          </w:p>
        </w:tc>
      </w:tr>
      <w:tr>
        <w:tc>
          <w:tcPr>
            <w:tcW w:type="dxa" w:w="2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Domain Expertise</w:t>
            </w:r>
          </w:p>
        </w:tc>
        <w:tc>
          <w:tcPr>
            <w:tcW w:type="dxa" w:w="68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Construction planning, programme controls, schedule management, risk management, cost control, earned value, NEC contract management, digital engineering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Consulting Practice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Operates Prosota Consulting Ltd — an established London-based planning and programme controls consultancy — providing direct access to the target customer base</w:t>
            </w:r>
          </w:p>
        </w:tc>
      </w:tr>
      <w:tr>
        <w:tc>
          <w:tcPr>
            <w:tcW w:type="dxa" w:w="2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Technical Capability</w:t>
            </w:r>
          </w:p>
        </w:tc>
        <w:tc>
          <w:tcPr>
            <w:tcW w:type="dxa" w:w="68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Demonstrated ability to direct AI-assisted development: built the complete ProsotaPMO prototype (8 modules, period governance, AI integration) through structured collaboration with Claude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Digital / 3D Expertise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Advanced Blender / BIM / GIS skills; IFC model work; custom geometry nodes; 4D simulation prototyping — indicating strong technical literacy across software domains</w:t>
            </w:r>
          </w:p>
        </w:tc>
      </w:tr>
    </w:tbl>
    <w:p>
      <w:pPr>
        <w:spacing w:after="0" w:before="0"/>
      </w:pPr>
      <w:r>
        <w:rPr>
          <w:rFonts w:ascii="Arial" w:cs="Arial" w:eastAsia="Arial" w:hAnsi="Arial"/>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0B981" w:sz="6"/>
              <w:left w:val="single" w:color="10B981" w:sz="18"/>
              <w:bottom w:val="single" w:color="10B981" w:sz="1"/>
              <w:right w:val="single" w:color="10B981" w:sz="1"/>
            </w:tcBorders>
            <w:shd w:fill="F0FDF4" w:val="clear"/>
            <w:tcMar>
              <w:top w:type="dxa" w:w="110"/>
              <w:left w:type="dxa" w:w="200"/>
              <w:bottom w:type="dxa" w:w="110"/>
              <w:right w:type="dxa" w:w="160"/>
            </w:tcMar>
          </w:tcPr>
          <w:p>
            <w:pPr>
              <w:spacing w:after="60" w:before="0"/>
            </w:pPr>
            <w:r>
              <w:rPr>
                <w:rFonts w:ascii="Arial" w:cs="Arial" w:eastAsia="Arial" w:hAnsi="Arial"/>
                <w:b/>
                <w:bCs/>
                <w:color w:val="10B981"/>
                <w:sz w:val="20"/>
                <w:szCs w:val="20"/>
              </w:rPr>
              <w:t xml:space="preserve">Why Domain Expertise Is the Moat</w:t>
            </w:r>
          </w:p>
          <w:p>
            <w:pPr>
              <w:spacing w:after="0" w:before="0"/>
            </w:pPr>
            <w:r>
              <w:rPr>
                <w:rFonts w:ascii="Arial" w:cs="Arial" w:eastAsia="Arial" w:hAnsi="Arial"/>
                <w:color w:val="1e293b"/>
                <w:sz w:val="20"/>
                <w:szCs w:val="20"/>
              </w:rPr>
              <w:t xml:space="preserve">Most construction technology products are built by software developers who learn about the industry secondhand. ProsotaPMO is built by someone who has sat in the programme controls seat on some of the UK's most complex infrastructure programmes. Every workflow, every field label, every tab in the detail panel reflects real experience of how project controls professionals actually work. This authenticity cannot be replicated by a software team reading industry reports.</w:t>
            </w:r>
          </w:p>
        </w:tc>
      </w:tr>
    </w:tbl>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2.2 The AI-Assisted Development Model</w:t>
      </w:r>
    </w:p>
    <w:p>
      <w:pPr>
        <w:spacing w:after="100" w:before="0"/>
      </w:pPr>
      <w:r>
        <w:rPr>
          <w:rFonts w:ascii="Arial" w:cs="Arial" w:eastAsia="Arial" w:hAnsi="Arial"/>
          <w:color w:val="1e293b"/>
          <w:sz w:val="22"/>
          <w:szCs w:val="22"/>
        </w:rPr>
        <w:t xml:space="preserve">ProsotaPMO is being built using a structured founder-AI collaboration model. The founder acts as product owner, domain expert, and technical director. Claude (Anthropic's AI system) acts as the engineering team — writing, testing, debugging, and iterating all production code under the founder's direction.</w:t>
      </w:r>
    </w:p>
    <w:p>
      <w:pPr>
        <w:spacing w:after="0" w:before="0"/>
      </w:pPr>
      <w:r>
        <w:rPr>
          <w:rFonts w:ascii="Arial" w:cs="Arial" w:eastAsia="Arial" w:hAnsi="Arial"/>
        </w:rPr>
        <w:t xml:space="preserve"> </w:t>
      </w:r>
    </w:p>
    <w:p>
      <w:pPr>
        <w:spacing w:after="100" w:before="0"/>
      </w:pPr>
      <w:r>
        <w:rPr>
          <w:rFonts w:ascii="Arial" w:cs="Arial" w:eastAsia="Arial" w:hAnsi="Arial"/>
          <w:color w:val="1e293b"/>
          <w:sz w:val="22"/>
          <w:szCs w:val="22"/>
        </w:rPr>
        <w:t xml:space="preserve">This is not an experimental approach. It is already proven. The prototype — a fully functional, visually complete, multi-module PMO application with embedded AI, period governance workflow, and contextual detail panels — was built entirely through this collaboration. It represents thousands of lines of production-quality code, a coherent design system, and a complete user experience, created without a single conventional developer being engaged.</w:t>
      </w:r>
    </w:p>
    <w:p>
      <w:pPr>
        <w:spacing w:after="0" w:before="0"/>
      </w:pPr>
      <w:r>
        <w:rPr>
          <w:rFonts w:ascii="Arial" w:cs="Arial" w:eastAsia="Arial" w:hAnsi="Arial"/>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32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Founder Provides</w:t>
            </w:r>
          </w:p>
        </w:tc>
        <w:tc>
          <w:tcPr>
            <w:tcW w:type="dxa" w:w="3826"/>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Claude Provides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 Definition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Complete — 15 years of domain knowledge informing every feature decision</w:t>
            </w:r>
          </w:p>
        </w:tc>
        <w:tc>
          <w:tcPr>
            <w:tcW w:type="dxa" w:w="3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Clarifying questions, option analysis, trade-off assessment</w:t>
            </w:r>
          </w:p>
        </w:tc>
      </w:tr>
      <w:tr>
        <w:tc>
          <w:tcPr>
            <w:tcW w:type="dxa" w:w="2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Frontend Development</w:t>
            </w:r>
          </w:p>
        </w:tc>
        <w:tc>
          <w:tcPr>
            <w:tcW w:type="dxa" w:w="3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UX direction, design approval, iteration instructions</w:t>
            </w:r>
          </w:p>
        </w:tc>
        <w:tc>
          <w:tcPr>
            <w:tcW w:type="dxa" w:w="38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React/TypeScript code, component architecture, state management, CSS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 Development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model requirements, API behaviour specification, business logic</w:t>
            </w:r>
          </w:p>
        </w:tc>
        <w:tc>
          <w:tcPr>
            <w:tcW w:type="dxa" w:w="3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FastAPI implementation, SQLAlchemy ORM, PostgreSQL schema, migrations</w:t>
            </w:r>
          </w:p>
        </w:tc>
      </w:tr>
      <w:tr>
        <w:tc>
          <w:tcPr>
            <w:tcW w:type="dxa" w:w="2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AI Integration</w:t>
            </w:r>
          </w:p>
        </w:tc>
        <w:tc>
          <w:tcPr>
            <w:tcW w:type="dxa" w:w="3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Context requirements, prompting strategy, module-specific AI features</w:t>
            </w:r>
          </w:p>
        </w:tc>
        <w:tc>
          <w:tcPr>
            <w:tcW w:type="dxa" w:w="38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Claude API integration, context injection architecture, prompt library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Infrastructure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Cloud provider selection, security requirements, compliance standards</w:t>
            </w:r>
          </w:p>
        </w:tc>
        <w:tc>
          <w:tcPr>
            <w:tcW w:type="dxa" w:w="3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Terraform/AWS configuration, CI/CD pipelines, containerisation (Docker/ECS)</w:t>
            </w:r>
          </w:p>
        </w:tc>
      </w:tr>
      <w:tr>
        <w:tc>
          <w:tcPr>
            <w:tcW w:type="dxa" w:w="2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Testing &amp; QA</w:t>
            </w:r>
          </w:p>
        </w:tc>
        <w:tc>
          <w:tcPr>
            <w:tcW w:type="dxa" w:w="3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Acceptance criteria, user scenario definition, beta customer management</w:t>
            </w:r>
          </w:p>
        </w:tc>
        <w:tc>
          <w:tcPr>
            <w:tcW w:type="dxa" w:w="38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Unit tests, integration tests, API contract tests, performance testing scripts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Documentation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 requirements, user stories, customer-facing content</w:t>
            </w:r>
          </w:p>
        </w:tc>
        <w:tc>
          <w:tcPr>
            <w:tcW w:type="dxa" w:w="3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Technical documentation, API specs, OpenAPI definitions, developer guides</w:t>
            </w:r>
          </w:p>
        </w:tc>
      </w:tr>
      <w:tr>
        <w:tc>
          <w:tcPr>
            <w:tcW w:type="dxa" w:w="2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Security</w:t>
            </w:r>
          </w:p>
        </w:tc>
        <w:tc>
          <w:tcPr>
            <w:tcW w:type="dxa" w:w="3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Compliance requirements (GDPR, ISO 27001), data classification</w:t>
            </w:r>
          </w:p>
        </w:tc>
        <w:tc>
          <w:tcPr>
            <w:tcW w:type="dxa" w:w="38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Security implementation, RBAC, row-level security, encryption, audit logging</w:t>
            </w:r>
          </w:p>
        </w:tc>
      </w:tr>
    </w:tbl>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2.3 Development Workflow</w:t>
      </w:r>
    </w:p>
    <w:p>
      <w:pPr>
        <w:spacing w:after="100" w:before="0"/>
      </w:pPr>
      <w:r>
        <w:rPr>
          <w:rFonts w:ascii="Arial" w:cs="Arial" w:eastAsia="Arial" w:hAnsi="Arial"/>
          <w:color w:val="1e293b"/>
          <w:sz w:val="22"/>
          <w:szCs w:val="22"/>
        </w:rPr>
        <w:t xml:space="preserve">The production development workflow follows a structured sprint model adapted for founder-AI collaboration:</w:t>
      </w:r>
    </w:p>
    <w:p>
      <w:pPr>
        <w:spacing w:after="0" w:before="0"/>
      </w:pPr>
      <w:r>
        <w:rPr>
          <w:rFonts w:ascii="Arial" w:cs="Arial" w:eastAsia="Arial" w:hAnsi="Arial"/>
        </w:rPr>
        <w:t xml:space="preserve"> </w:t>
      </w:r>
    </w:p>
    <w:p>
      <w:pPr>
        <w:pStyle w:val="ListParagraph"/>
        <w:numPr>
          <w:ilvl w:val="0"/>
          <w:numId w:val="2"/>
        </w:numPr>
        <w:spacing w:after="60" w:before="0"/>
      </w:pPr>
      <w:r>
        <w:rPr>
          <w:rFonts w:ascii="Arial" w:cs="Arial" w:eastAsia="Arial" w:hAnsi="Arial"/>
          <w:color w:val="1e293b"/>
          <w:sz w:val="22"/>
          <w:szCs w:val="22"/>
        </w:rPr>
        <w:t xml:space="preserve">Weekly sprint planning: founder defines the sprint goal and acceptance criteria for each feature or module</w:t>
      </w:r>
    </w:p>
    <w:p>
      <w:pPr>
        <w:pStyle w:val="ListParagraph"/>
        <w:numPr>
          <w:ilvl w:val="0"/>
          <w:numId w:val="2"/>
        </w:numPr>
        <w:spacing w:after="60" w:before="0"/>
      </w:pPr>
      <w:r>
        <w:rPr>
          <w:rFonts w:ascii="Arial" w:cs="Arial" w:eastAsia="Arial" w:hAnsi="Arial"/>
          <w:color w:val="1e293b"/>
          <w:sz w:val="22"/>
          <w:szCs w:val="22"/>
        </w:rPr>
        <w:t xml:space="preserve">Daily development sessions: founder directs Claude to build specific components; reviews output in real time; iterates until the implementation matches the prototype and business requirements</w:t>
      </w:r>
    </w:p>
    <w:p>
      <w:pPr>
        <w:pStyle w:val="ListParagraph"/>
        <w:numPr>
          <w:ilvl w:val="0"/>
          <w:numId w:val="2"/>
        </w:numPr>
        <w:spacing w:after="60" w:before="0"/>
      </w:pPr>
      <w:r>
        <w:rPr>
          <w:rFonts w:ascii="Arial" w:cs="Arial" w:eastAsia="Arial" w:hAnsi="Arial"/>
          <w:color w:val="1e293b"/>
          <w:sz w:val="22"/>
          <w:szCs w:val="22"/>
        </w:rPr>
        <w:t xml:space="preserve">Continuous integration: all code committed to GitHub; automated tests run on every push; staging environment updated daily</w:t>
      </w:r>
    </w:p>
    <w:p>
      <w:pPr>
        <w:pStyle w:val="ListParagraph"/>
        <w:numPr>
          <w:ilvl w:val="0"/>
          <w:numId w:val="2"/>
        </w:numPr>
        <w:spacing w:after="60" w:before="0"/>
      </w:pPr>
      <w:r>
        <w:rPr>
          <w:rFonts w:ascii="Arial" w:cs="Arial" w:eastAsia="Arial" w:hAnsi="Arial"/>
          <w:color w:val="1e293b"/>
          <w:sz w:val="22"/>
          <w:szCs w:val="22"/>
        </w:rPr>
        <w:t xml:space="preserve">Customer validation: prototype and staging environment shared with pilot customers for feedback; founder translates feedback into engineering instructions</w:t>
      </w:r>
    </w:p>
    <w:p>
      <w:pPr>
        <w:pStyle w:val="ListParagraph"/>
        <w:numPr>
          <w:ilvl w:val="0"/>
          <w:numId w:val="2"/>
        </w:numPr>
        <w:spacing w:after="60" w:before="0"/>
      </w:pPr>
      <w:r>
        <w:rPr>
          <w:rFonts w:ascii="Arial" w:cs="Arial" w:eastAsia="Arial" w:hAnsi="Arial"/>
          <w:color w:val="1e293b"/>
          <w:sz w:val="22"/>
          <w:szCs w:val="22"/>
        </w:rPr>
        <w:t xml:space="preserve">Sprint review: working software demonstrated at end of each sprint; founder makes product decisions for the next sprint based on customer input and strategic priorities</w:t>
      </w:r>
    </w:p>
    <w:p>
      <w:pPr>
        <w:spacing w:after="0" w:before="0"/>
      </w:pPr>
      <w:r>
        <w:rPr>
          <w:rFonts w:ascii="Arial" w:cs="Arial" w:eastAsia="Arial" w:hAnsi="Arial"/>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6"/>
              <w:left w:val="single" w:color="F59E0B" w:sz="18"/>
              <w:bottom w:val="single" w:color="F59E0B" w:sz="1"/>
              <w:right w:val="single" w:color="F59E0B" w:sz="1"/>
            </w:tcBorders>
            <w:shd w:fill="FFF7ED" w:val="clear"/>
            <w:tcMar>
              <w:top w:type="dxa" w:w="110"/>
              <w:left w:type="dxa" w:w="200"/>
              <w:bottom w:type="dxa" w:w="110"/>
              <w:right w:type="dxa" w:w="160"/>
            </w:tcMar>
          </w:tcPr>
          <w:p>
            <w:pPr>
              <w:spacing w:after="60" w:before="0"/>
            </w:pPr>
            <w:r>
              <w:rPr>
                <w:rFonts w:ascii="Arial" w:cs="Arial" w:eastAsia="Arial" w:hAnsi="Arial"/>
                <w:b/>
                <w:bCs/>
                <w:color w:val="F59E0B"/>
                <w:sz w:val="20"/>
                <w:szCs w:val="20"/>
              </w:rPr>
              <w:t xml:space="preserve">Speed Advantage</w:t>
            </w:r>
          </w:p>
          <w:p>
            <w:pPr>
              <w:spacing w:after="0" w:before="0"/>
            </w:pPr>
            <w:r>
              <w:rPr>
                <w:rFonts w:ascii="Arial" w:cs="Arial" w:eastAsia="Arial" w:hAnsi="Arial"/>
                <w:color w:val="1e293b"/>
                <w:sz w:val="20"/>
                <w:szCs w:val="20"/>
              </w:rPr>
              <w:t xml:space="preserve">AI-assisted development is estimated to deliver 3–5× the feature velocity of a conventionally staffed team of equivalent size, because there is no onboarding time, no communication overhead between team members, no context-switching between meetings, and no skill gaps to fill. A solo founder with Claude can realistically ship what a 3-person engineering team ships in the same timeframe — at a fraction of the cost.</w:t>
            </w:r>
          </w:p>
        </w:tc>
      </w:tr>
    </w:tbl>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2.4 Quality &amp; Risk Controls</w:t>
      </w:r>
    </w:p>
    <w:p>
      <w:pPr>
        <w:pStyle w:val="ListParagraph"/>
        <w:numPr>
          <w:ilvl w:val="0"/>
          <w:numId w:val="2"/>
        </w:numPr>
        <w:spacing w:after="60" w:before="0"/>
      </w:pPr>
      <w:r>
        <w:rPr>
          <w:rFonts w:ascii="Arial" w:cs="Arial" w:eastAsia="Arial" w:hAnsi="Arial"/>
          <w:color w:val="1e293b"/>
          <w:sz w:val="22"/>
          <w:szCs w:val="22"/>
        </w:rPr>
        <w:t xml:space="preserve">Code review: all Claude-generated code reviewed by the founder before merging; critical components additionally reviewed using AI-assisted code review tools (GitHub Copilot, Claude Code)</w:t>
      </w:r>
    </w:p>
    <w:p>
      <w:pPr>
        <w:pStyle w:val="ListParagraph"/>
        <w:numPr>
          <w:ilvl w:val="0"/>
          <w:numId w:val="2"/>
        </w:numPr>
        <w:spacing w:after="60" w:before="0"/>
      </w:pPr>
      <w:r>
        <w:rPr>
          <w:rFonts w:ascii="Arial" w:cs="Arial" w:eastAsia="Arial" w:hAnsi="Arial"/>
          <w:color w:val="1e293b"/>
          <w:sz w:val="22"/>
          <w:szCs w:val="22"/>
        </w:rPr>
        <w:t xml:space="preserve">Testing: target 80% unit test coverage across backend; critical path features (period freeze, multi-tenancy isolation, authentication) at 100% coverage</w:t>
      </w:r>
    </w:p>
    <w:p>
      <w:pPr>
        <w:pStyle w:val="ListParagraph"/>
        <w:numPr>
          <w:ilvl w:val="0"/>
          <w:numId w:val="2"/>
        </w:numPr>
        <w:spacing w:after="60" w:before="0"/>
      </w:pPr>
      <w:r>
        <w:rPr>
          <w:rFonts w:ascii="Arial" w:cs="Arial" w:eastAsia="Arial" w:hAnsi="Arial"/>
          <w:color w:val="1e293b"/>
          <w:sz w:val="22"/>
          <w:szCs w:val="22"/>
        </w:rPr>
        <w:t xml:space="preserve">Security: OWASP Top 10 compliance verified at each sprint; penetration testing by specialist firm at Month 10 before general availability</w:t>
      </w:r>
    </w:p>
    <w:p>
      <w:pPr>
        <w:pStyle w:val="ListParagraph"/>
        <w:numPr>
          <w:ilvl w:val="0"/>
          <w:numId w:val="2"/>
        </w:numPr>
        <w:spacing w:after="60" w:before="0"/>
      </w:pPr>
      <w:r>
        <w:rPr>
          <w:rFonts w:ascii="Arial" w:cs="Arial" w:eastAsia="Arial" w:hAnsi="Arial"/>
          <w:color w:val="1e293b"/>
          <w:sz w:val="22"/>
          <w:szCs w:val="22"/>
        </w:rPr>
        <w:t xml:space="preserve">Technical debt management: architecture decisions documented in ADR (Architecture Decision Records); refactoring scheduled every third sprint to prevent accumulation</w:t>
      </w:r>
    </w:p>
    <w:p>
      <w:pPr>
        <w:pStyle w:val="ListParagraph"/>
        <w:numPr>
          <w:ilvl w:val="0"/>
          <w:numId w:val="2"/>
        </w:numPr>
        <w:spacing w:after="60" w:before="0"/>
      </w:pPr>
      <w:r>
        <w:rPr>
          <w:rFonts w:ascii="Arial" w:cs="Arial" w:eastAsia="Arial" w:hAnsi="Arial"/>
          <w:color w:val="1e293b"/>
          <w:sz w:val="22"/>
          <w:szCs w:val="22"/>
        </w:rPr>
        <w:t xml:space="preserve">Contingency: if specific engineering challenges exceed the founder-AI capability (e.g. complex distributed systems, specialist security requirements), targeted freelance specialists engaged on short-term contracts — budgeted in contingency</w:t>
      </w:r>
    </w:p>
    <w:p>
      <w:pPr>
        <w:spacing w:after="0" w:before="0"/>
      </w:pPr>
      <w:r>
        <w:rPr>
          <w:rFonts w:ascii="Arial" w:cs="Arial" w:eastAsia="Arial" w:hAnsi="Arial"/>
        </w:rPr>
        <w:t xml:space="preserve"> </w:t>
      </w:r>
    </w:p>
    <w:p>
      <w:pPr>
        <w:spacing w:after="0" w:before="0"/>
      </w:pPr>
      <w:r>
        <w:br w:type="page"/>
      </w:r>
    </w:p>
    <w:p>
      <w:pPr>
        <w:pStyle w:val="Heading1"/>
        <w:pBdr>
          <w:bottom w:val="single" w:color="1A2E6B" w:sz="6" w:space="4"/>
        </w:pBdr>
        <w:spacing w:after="120" w:before="360"/>
      </w:pPr>
      <w:r>
        <w:rPr>
          <w:rFonts w:ascii="Arial" w:cs="Arial" w:eastAsia="Arial" w:hAnsi="Arial"/>
          <w:b/>
          <w:bCs/>
          <w:color w:val="1A2E6B"/>
          <w:sz w:val="32"/>
          <w:szCs w:val="32"/>
        </w:rPr>
        <w:t xml:space="preserve">3. Problem Statement &amp; Market Gap</w:t>
      </w:r>
    </w:p>
    <w:p>
      <w:pPr>
        <w:pStyle w:val="Heading2"/>
        <w:spacing w:after="80" w:before="280"/>
      </w:pPr>
      <w:r>
        <w:rPr>
          <w:rFonts w:ascii="Arial" w:cs="Arial" w:eastAsia="Arial" w:hAnsi="Arial"/>
          <w:b/>
          <w:bCs/>
          <w:color w:val="2563EB"/>
          <w:sz w:val="26"/>
          <w:szCs w:val="26"/>
        </w:rPr>
        <w:t xml:space="preserve">3.1 The PMO Tooling Crisis</w:t>
      </w:r>
    </w:p>
    <w:p>
      <w:pPr>
        <w:spacing w:after="100" w:before="0"/>
      </w:pPr>
      <w:r>
        <w:rPr>
          <w:rFonts w:ascii="Arial" w:cs="Arial" w:eastAsia="Arial" w:hAnsi="Arial"/>
          <w:color w:val="1e293b"/>
          <w:sz w:val="22"/>
          <w:szCs w:val="22"/>
        </w:rPr>
        <w:t xml:space="preserve">Across every sector that runs major programmes — infrastructure, defence, pharmaceuticals, energy, technology transformation, financial services — the same fundamental problem recurs: project teams cannot access timely, integrated, accurate data to make effective decisions. KPMG's Global Project Management Survey (2023) found that only 31% of projects are delivered on time and on budget. The Association for Project Management (APM) estimates poor project performance costs the UK economy £150 billion annually.</w:t>
      </w:r>
    </w:p>
    <w:p>
      <w:pPr>
        <w:spacing w:after="0" w:before="0"/>
      </w:pPr>
      <w:r>
        <w:rPr>
          <w:rFonts w:ascii="Arial" w:cs="Arial" w:eastAsia="Arial" w:hAnsi="Arial"/>
        </w:rPr>
        <w:t xml:space="preserve"> </w:t>
      </w:r>
    </w:p>
    <w:p>
      <w:pPr>
        <w:spacing w:after="100" w:before="0"/>
      </w:pPr>
      <w:r>
        <w:rPr>
          <w:rFonts w:ascii="Arial" w:cs="Arial" w:eastAsia="Arial" w:hAnsi="Arial"/>
          <w:color w:val="1e293b"/>
          <w:sz w:val="22"/>
          <w:szCs w:val="22"/>
        </w:rPr>
        <w:t xml:space="preserve">This failure is not primarily a skills problem. It is a tooling problem. Project teams operate across disconnected spreadsheets, legacy scheduling tools, and shared drives — with no integrated intelligence layer connecting schedule performance to cost variance, risk exposure, and live change control. ProsotaPMO is the integration layer that is missing.</w:t>
      </w:r>
    </w:p>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3.2 Why Existing Tools Fail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40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Core Weakness</w:t>
            </w:r>
          </w:p>
        </w:tc>
        <w:tc>
          <w:tcPr>
            <w:tcW w:type="dxa" w:w="3026"/>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Who It Fails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Oracle Primavera P6</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Desktop-only; schedule in isolation; no native risk/cost/ICD; requires specialist operators; £8–15k per seat</w:t>
            </w:r>
          </w:p>
        </w:tc>
        <w:tc>
          <w:tcPr>
            <w:tcW w:type="dxa" w:w="3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Any team without dedicated P6 planners; all non-infrastructure sectors</w:t>
            </w:r>
          </w:p>
        </w:tc>
      </w:tr>
      <w:tr>
        <w:tc>
          <w:tcPr>
            <w:tcW w:type="dxa" w:w="2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Microsoft Project PPM</w:t>
            </w:r>
          </w:p>
        </w:tc>
        <w:tc>
          <w:tcPr>
            <w:tcW w:type="dxa" w:w="4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Weak scheduling engine; no programme controls depth; poor UX; heavy infrastructure; no AI</w:t>
            </w:r>
          </w:p>
        </w:tc>
        <w:tc>
          <w:tcPr>
            <w:tcW w:type="dxa" w:w="30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Mid-market organisations needing depth beyond basic Gantt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SAP Portfolio &amp; PM</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Exceptionally complex; 12–18 month implementations; no AI; not designed for programme controls</w:t>
            </w:r>
          </w:p>
        </w:tc>
        <w:tc>
          <w:tcPr>
            <w:tcW w:type="dxa" w:w="3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 organisation without a £2M SAP implementation budget</w:t>
            </w:r>
          </w:p>
        </w:tc>
      </w:tr>
      <w:tr>
        <w:tc>
          <w:tcPr>
            <w:tcW w:type="dxa" w:w="2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Smartsheet / Monday.com</w:t>
            </w:r>
          </w:p>
        </w:tc>
        <w:tc>
          <w:tcPr>
            <w:tcW w:type="dxa" w:w="4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Spreadsheet/task metaphor; no scheduling logic; no EVM; no risk register; no period governance</w:t>
            </w:r>
          </w:p>
        </w:tc>
        <w:tc>
          <w:tcPr>
            <w:tcW w:type="dxa" w:w="30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Any programme requiring genuine project controls rigour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Planview / Clarity</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Portfolio-level only; poor granular controls; expensive; US-centric; weak AI</w:t>
            </w:r>
          </w:p>
        </w:tc>
        <w:tc>
          <w:tcPr>
            <w:tcW w:type="dxa" w:w="3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Teams who need activity-level schedule and risk management, not just portfolio dashboards</w:t>
            </w:r>
          </w:p>
        </w:tc>
      </w:tr>
      <w:tr>
        <w:tc>
          <w:tcPr>
            <w:tcW w:type="dxa" w:w="2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Asta Powerproject</w:t>
            </w:r>
          </w:p>
        </w:tc>
        <w:tc>
          <w:tcPr>
            <w:tcW w:type="dxa" w:w="4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Schedule only; no API; no AI; no mobile; declining investment from vendor</w:t>
            </w:r>
          </w:p>
        </w:tc>
        <w:tc>
          <w:tcPr>
            <w:tcW w:type="dxa" w:w="30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Any team needing integrated risk, cost, and change alongside schedule</w:t>
            </w:r>
          </w:p>
        </w:tc>
      </w:tr>
    </w:tbl>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3.3 The Mid-Market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6"/>
              <w:left w:val="single" w:color="F59E0B" w:sz="18"/>
              <w:bottom w:val="single" w:color="F59E0B" w:sz="1"/>
              <w:right w:val="single" w:color="F59E0B" w:sz="1"/>
            </w:tcBorders>
            <w:shd w:fill="FFF7ED" w:val="clear"/>
            <w:tcMar>
              <w:top w:type="dxa" w:w="110"/>
              <w:left w:type="dxa" w:w="200"/>
              <w:bottom w:type="dxa" w:w="110"/>
              <w:right w:type="dxa" w:w="160"/>
            </w:tcMar>
          </w:tcPr>
          <w:p>
            <w:pPr>
              <w:spacing w:after="60" w:before="0"/>
            </w:pPr>
            <w:r>
              <w:rPr>
                <w:rFonts w:ascii="Arial" w:cs="Arial" w:eastAsia="Arial" w:hAnsi="Arial"/>
                <w:b/>
                <w:bCs/>
                <w:color w:val="F59E0B"/>
                <w:sz w:val="20"/>
                <w:szCs w:val="20"/>
              </w:rPr>
              <w:t xml:space="preserve">The Unserved Market</w:t>
            </w:r>
          </w:p>
          <w:p>
            <w:pPr>
              <w:spacing w:after="0" w:before="0"/>
            </w:pPr>
            <w:r>
              <w:rPr>
                <w:rFonts w:ascii="Arial" w:cs="Arial" w:eastAsia="Arial" w:hAnsi="Arial"/>
                <w:color w:val="1e293b"/>
                <w:sz w:val="20"/>
                <w:szCs w:val="20"/>
              </w:rPr>
              <w:t xml:space="preserve">There are over 280,000 programme and project managers operating in the UK. Only the top 5% work in organisations using enterprise-grade project controls tools. The remaining 95% — managing programmes worth £5M to £500M across every sector of the economy — combine Excel, MS Project, and SharePoint with no integrated intelligence. This is the market ProsotaPMO serves.</w:t>
            </w:r>
          </w:p>
        </w:tc>
      </w:tr>
    </w:tbl>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3.4 The AI Opportunity</w:t>
      </w:r>
    </w:p>
    <w:p>
      <w:pPr>
        <w:spacing w:after="100" w:before="0"/>
      </w:pPr>
      <w:r>
        <w:rPr>
          <w:rFonts w:ascii="Arial" w:cs="Arial" w:eastAsia="Arial" w:hAnsi="Arial"/>
          <w:color w:val="1e293b"/>
          <w:sz w:val="22"/>
          <w:szCs w:val="22"/>
        </w:rPr>
        <w:t xml:space="preserve">The emergence of production-ready large language models creates a structural shift in what project management software can deliver. ProsotaPMO is AI-native — intelligence is embedded in every module workflow, not added as a reporting layer. Competitors are retrofitting AI onto legacy architectures. Retrofits cannot match the coherence and depth of native AI integration. The architectural advantage window is open now and will close within 2–3 years as incumbents catch up.</w:t>
      </w:r>
    </w:p>
    <w:p>
      <w:pPr>
        <w:spacing w:after="0" w:before="0"/>
      </w:pPr>
      <w:r>
        <w:rPr>
          <w:rFonts w:ascii="Arial" w:cs="Arial" w:eastAsia="Arial" w:hAnsi="Arial"/>
        </w:rPr>
        <w:t xml:space="preserve"> </w:t>
      </w:r>
    </w:p>
    <w:p>
      <w:pPr>
        <w:spacing w:after="0" w:before="0"/>
      </w:pPr>
      <w:r>
        <w:br w:type="page"/>
      </w:r>
    </w:p>
    <w:p>
      <w:pPr>
        <w:pStyle w:val="Heading1"/>
        <w:pBdr>
          <w:bottom w:val="single" w:color="1A2E6B" w:sz="6" w:space="4"/>
        </w:pBdr>
        <w:spacing w:after="120" w:before="360"/>
      </w:pPr>
      <w:r>
        <w:rPr>
          <w:rFonts w:ascii="Arial" w:cs="Arial" w:eastAsia="Arial" w:hAnsi="Arial"/>
          <w:b/>
          <w:bCs/>
          <w:color w:val="1A2E6B"/>
          <w:sz w:val="32"/>
          <w:szCs w:val="32"/>
        </w:rPr>
        <w:t xml:space="preserve">4. The Platform — What Has Already Been Built</w:t>
      </w:r>
    </w:p>
    <w:p>
      <w:pPr>
        <w:pStyle w:val="Heading2"/>
        <w:spacing w:after="80" w:before="280"/>
      </w:pPr>
      <w:r>
        <w:rPr>
          <w:rFonts w:ascii="Arial" w:cs="Arial" w:eastAsia="Arial" w:hAnsi="Arial"/>
          <w:b/>
          <w:bCs/>
          <w:color w:val="2563EB"/>
          <w:sz w:val="26"/>
          <w:szCs w:val="26"/>
        </w:rPr>
        <w:t xml:space="preserve">4.1 The Prototype as Product Specification</w:t>
      </w:r>
    </w:p>
    <w:p>
      <w:pPr>
        <w:spacing w:after="100" w:before="0"/>
      </w:pPr>
      <w:r>
        <w:rPr>
          <w:rFonts w:ascii="Arial" w:cs="Arial" w:eastAsia="Arial" w:hAnsi="Arial"/>
          <w:color w:val="1e293b"/>
          <w:sz w:val="22"/>
          <w:szCs w:val="22"/>
        </w:rPr>
        <w:t xml:space="preserve">The ProsotaPMO prototype is not a wireframe or a concept deck. It is a fully functional, interactive application built in HTML, CSS, and JavaScript, demonstrating the complete user experience of the production platform. Every module, every workflow, every detail panel, and every AI interaction is operational. The prototype has been built through the exact founder-AI collaboration model that will be used to build the production platform — proving the model works before investment is committed.</w:t>
      </w:r>
    </w:p>
    <w:p>
      <w:pPr>
        <w:spacing w:after="0" w:before="0"/>
      </w:pPr>
      <w:r>
        <w:rPr>
          <w:rFonts w:ascii="Arial" w:cs="Arial" w:eastAsia="Arial" w:hAnsi="Arial"/>
        </w:rPr>
        <w:t xml:space="preserve"> </w:t>
      </w:r>
    </w:p>
    <w:p>
      <w:pPr>
        <w:spacing w:after="100" w:before="0"/>
      </w:pPr>
      <w:r>
        <w:rPr>
          <w:rFonts w:ascii="Arial" w:cs="Arial" w:eastAsia="Arial" w:hAnsi="Arial"/>
          <w:color w:val="1e293b"/>
          <w:sz w:val="22"/>
          <w:szCs w:val="22"/>
        </w:rPr>
        <w:t xml:space="preserve">The production build is a direct engineering translation of the prototype: the same modules, the same workflows, the same UX — migrated to a production React/TypeScript frontend, a FastAPI/PostgreSQL backend, and a cloud-hosted multi-tenant architecture. No features are being reinvented. The product is defined; it needs to be production-engineered.</w:t>
      </w:r>
    </w:p>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4.2 Modules — Fully Prototyped and Specified</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1000"/>
      </w:tblGrid>
      <w:tr>
        <w:trPr>
          <w:tblHeader/>
        </w:trPr>
        <w:tc>
          <w:tcPr>
            <w:tcW w:type="dxa" w:w="14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28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24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AI Capability</w:t>
            </w:r>
          </w:p>
        </w:tc>
        <w:tc>
          <w:tcPr>
            <w:tcW w:type="dxa" w:w="10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Prototype Status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Planner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Gantt scheduling with split-pane layout, WBS hierarchy, activity detail (4 tabs: Activity Details, Dates, Logic, Resources), critical path, progress tracking, baseline comparison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Schedule risk narrative, delay analysis, critical path explanation, EOT assessment support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Complete</w:t>
            </w:r>
          </w:p>
        </w:tc>
      </w:tr>
      <w:tr>
        <w:tc>
          <w:tcPr>
            <w:tcW w:type="dxa" w:w="14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Risk Register</w:t>
            </w:r>
          </w:p>
        </w:tc>
        <w:tc>
          <w:tcPr>
            <w:tcW w:type="dxa" w:w="28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5×5 qualitative heat matrix, EMV quantification, 5-tab detail panel (General, Criteria &amp; Thresholds, Qualitative Analysis, Quantitative Analysis, Mitigation &amp; Response), pre/post mitigation comparison</w:t>
            </w:r>
          </w:p>
        </w:tc>
        <w:tc>
          <w:tcPr>
            <w:tcW w:type="dxa" w:w="24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Risk narrative drafting, probability calibration, mitigation effectiveness review, register health scoring</w:t>
            </w:r>
          </w:p>
        </w:tc>
        <w:tc>
          <w:tcPr>
            <w:tcW w:type="dxa" w:w="1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Complete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Cost Plan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Budget vs forecast vs actuals, earned value (CPI/SPI/CV/SV), 5-tab detail panel (General, Budget &amp; Versions, Forecast &amp; Phasing, Actuals &amp; Commitments, Variance &amp; Narrative), period phasing table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Variance explanation, cost-at-completion forecasting, burn rate anomaly detection, period narrative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Complete</w:t>
            </w:r>
          </w:p>
        </w:tc>
      </w:tr>
      <w:tr>
        <w:tc>
          <w:tcPr>
            <w:tcW w:type="dxa" w:w="14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ICD Tracker</w:t>
            </w:r>
          </w:p>
        </w:tc>
        <w:tc>
          <w:tcPr>
            <w:tcW w:type="dxa" w:w="28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Issues, Change Requests, and Decisions in three sub-tabs; type-adaptive 5-tab detail panel that restructures its fields and content for each item type; action tracking, comments, audit trail, notifications</w:t>
            </w:r>
          </w:p>
        </w:tc>
        <w:tc>
          <w:tcPr>
            <w:tcW w:type="dxa" w:w="24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Escalation recommendations, change impact assessment, decision rationale drafting, action prioritisation</w:t>
            </w:r>
          </w:p>
        </w:tc>
        <w:tc>
          <w:tcPr>
            <w:tcW w:type="dxa" w:w="1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Complete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Period Manager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Monthly cycle governance: Live Update Period (W1–W3) → Cut-off Freeze (end W3) → Amendment Period (W4) → Baseline Incorporation (end W4); module readiness checklist; baseline history; amendment log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Period health summary, readiness scoring, amendment recommendations, period narrative generation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Complete</w:t>
            </w:r>
          </w:p>
        </w:tc>
      </w:tr>
      <w:tr>
        <w:tc>
          <w:tcPr>
            <w:tcW w:type="dxa" w:w="14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Controls Dashboard</w:t>
            </w:r>
          </w:p>
        </w:tc>
        <w:tc>
          <w:tcPr>
            <w:tcW w:type="dxa" w:w="28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Executive KPI view: SPI, CPI, milestone timeline, schedule performance, risk overview, top 5 risks, schedule vs risk exposure chart — all frozen at period cut-off and immune to live edits</w:t>
            </w:r>
          </w:p>
        </w:tc>
        <w:tc>
          <w:tcPr>
            <w:tcW w:type="dxa" w:w="24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Period narrative generation, executive summary drafting, exception identification and explanation</w:t>
            </w:r>
          </w:p>
        </w:tc>
        <w:tc>
          <w:tcPr>
            <w:tcW w:type="dxa" w:w="1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Complete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 Manager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Structured project file repository with folder hierarchy, metadata, file type icons, upload/download, and module linkage (e.g. XER file linked to Planner period record)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Document classification, file search, version comparison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Complete</w:t>
            </w:r>
          </w:p>
        </w:tc>
      </w:tr>
      <w:tr>
        <w:tc>
          <w:tcPr>
            <w:tcW w:type="dxa" w:w="14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ProsotaAI</w:t>
            </w:r>
          </w:p>
        </w:tc>
        <w:tc>
          <w:tcPr>
            <w:tcW w:type="dxa" w:w="28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Embedded AI assistant panel (inline flex layout, does not overlay content), context-aware across all modules, adapts system prompt to the active view, quick prompts, conversation history</w:t>
            </w:r>
          </w:p>
        </w:tc>
        <w:tc>
          <w:tcPr>
            <w:tcW w:type="dxa" w:w="24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Full Claude API integration; module-aware contextual prompting; narrative export; decision support</w:t>
            </w:r>
          </w:p>
        </w:tc>
        <w:tc>
          <w:tcPr>
            <w:tcW w:type="dxa" w:w="1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Complete</w:t>
            </w:r>
          </w:p>
        </w:tc>
      </w:tr>
    </w:tbl>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4.3 Architectural Highlights Already Demonstrated</w:t>
      </w:r>
    </w:p>
    <w:p>
      <w:pPr>
        <w:pStyle w:val="ListParagraph"/>
        <w:numPr>
          <w:ilvl w:val="0"/>
          <w:numId w:val="2"/>
        </w:numPr>
        <w:spacing w:after="60" w:before="0"/>
      </w:pPr>
      <w:r>
        <w:rPr>
          <w:rFonts w:ascii="Arial" w:cs="Arial" w:eastAsia="Arial" w:hAnsi="Arial"/>
          <w:color w:val="1e293b"/>
          <w:sz w:val="22"/>
          <w:szCs w:val="22"/>
        </w:rPr>
        <w:t xml:space="preserve">Period State Machine: Three-state workflow (live / frozen / incorporating) with full UI adaptation — status bar, module behaviour, action buttons, and dashboard data all respond to period state</w:t>
      </w:r>
    </w:p>
    <w:p>
      <w:pPr>
        <w:pStyle w:val="ListParagraph"/>
        <w:numPr>
          <w:ilvl w:val="0"/>
          <w:numId w:val="2"/>
        </w:numPr>
        <w:spacing w:after="60" w:before="0"/>
      </w:pPr>
      <w:r>
        <w:rPr>
          <w:rFonts w:ascii="Arial" w:cs="Arial" w:eastAsia="Arial" w:hAnsi="Arial"/>
          <w:color w:val="1e293b"/>
          <w:sz w:val="22"/>
          <w:szCs w:val="22"/>
        </w:rPr>
        <w:t xml:space="preserve">Type-Aware ICD Panel: The detail panel below the ICD table completely restructures its General tab content — different fields, different layouts, different validation — depending on whether the selected item is an Issue, Change Request, or Decision</w:t>
      </w:r>
    </w:p>
    <w:p>
      <w:pPr>
        <w:pStyle w:val="ListParagraph"/>
        <w:numPr>
          <w:ilvl w:val="0"/>
          <w:numId w:val="2"/>
        </w:numPr>
        <w:spacing w:after="60" w:before="0"/>
      </w:pPr>
      <w:r>
        <w:rPr>
          <w:rFonts w:ascii="Arial" w:cs="Arial" w:eastAsia="Arial" w:hAnsi="Arial"/>
          <w:color w:val="1e293b"/>
          <w:sz w:val="22"/>
          <w:szCs w:val="22"/>
        </w:rPr>
        <w:t xml:space="preserve">Split-Pane Gantt: Left fixed data panel and right scrollable chart panel with synchronised vertical scroll — solving the classic Gantt rendering problem in a browser without any charting library</w:t>
      </w:r>
    </w:p>
    <w:p>
      <w:pPr>
        <w:pStyle w:val="ListParagraph"/>
        <w:numPr>
          <w:ilvl w:val="0"/>
          <w:numId w:val="2"/>
        </w:numPr>
        <w:spacing w:after="60" w:before="0"/>
      </w:pPr>
      <w:r>
        <w:rPr>
          <w:rFonts w:ascii="Arial" w:cs="Arial" w:eastAsia="Arial" w:hAnsi="Arial"/>
          <w:color w:val="1e293b"/>
          <w:sz w:val="22"/>
          <w:szCs w:val="22"/>
        </w:rPr>
        <w:t xml:space="preserve">AI Context Injection: ProsotaAI receives a dynamically generated system prompt containing the current module, the current project data state, and the period status — making every AI response genuinely contextual rather than generic</w:t>
      </w:r>
    </w:p>
    <w:p>
      <w:pPr>
        <w:pStyle w:val="ListParagraph"/>
        <w:numPr>
          <w:ilvl w:val="0"/>
          <w:numId w:val="2"/>
        </w:numPr>
        <w:spacing w:after="60" w:before="0"/>
      </w:pPr>
      <w:r>
        <w:rPr>
          <w:rFonts w:ascii="Arial" w:cs="Arial" w:eastAsia="Arial" w:hAnsi="Arial"/>
          <w:color w:val="1e293b"/>
          <w:sz w:val="22"/>
          <w:szCs w:val="22"/>
        </w:rPr>
        <w:t xml:space="preserve">Inline AI Panel: The AI panel opens as a flex sibling of the main content area, shrinking the viewport rather than overlaying it — preserving full content visibility while the AI is in use</w:t>
      </w:r>
    </w:p>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4.4 Production Technical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26"/>
      </w:tblGrid>
      <w:tr>
        <w:trPr>
          <w:tblHeader/>
        </w:trPr>
        <w:tc>
          <w:tcPr>
            <w:tcW w:type="dxa" w:w="16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6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826"/>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Frontend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React 18 + TypeScript, TailwindCSS, Recharts, React Query, Vite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Direct migration from prototype; type safety; component reuse; excellent ecosystem</w:t>
            </w:r>
          </w:p>
        </w:tc>
      </w:tr>
      <w:tr>
        <w:tc>
          <w:tcPr>
            <w:tcW w:type="dxa" w:w="16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Backend API</w:t>
            </w:r>
          </w:p>
        </w:tc>
        <w:tc>
          <w:tcPr>
            <w:tcW w:type="dxa" w:w="26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FastAPI (Python) + SQLAlchemy ORM + Alembic migrations</w:t>
            </w:r>
          </w:p>
        </w:tc>
        <w:tc>
          <w:tcPr>
            <w:tcW w:type="dxa" w:w="48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Async performance; Python AI/ML ecosystem; clean OpenAPI spec; rapid iteration velocity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Database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PostgreSQL (primary), Redis (sessions/cache), S3-compatible (file storage)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ACID compliance; proven at scale; row-level security for multi-tenancy</w:t>
            </w:r>
          </w:p>
        </w:tc>
      </w:tr>
      <w:tr>
        <w:tc>
          <w:tcPr>
            <w:tcW w:type="dxa" w:w="16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AI/ML</w:t>
            </w:r>
          </w:p>
        </w:tc>
        <w:tc>
          <w:tcPr>
            <w:tcW w:type="dxa" w:w="26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Anthropic Claude API, custom context injection architecture, prompt library</w:t>
            </w:r>
          </w:p>
        </w:tc>
        <w:tc>
          <w:tcPr>
            <w:tcW w:type="dxa" w:w="48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Production-proven in prototype; context window management for project data; model-agnostic design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Multi-Tenancy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Organisation-level data isolation, row-level PostgreSQL security, tenant-scoped API keys</w:t>
            </w:r>
          </w:p>
        </w:tc>
        <w:tc>
          <w:tcPr>
            <w:tcW w:type="dxa" w:w="4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True SaaS from day one; no data bleed between customers; auditable isolation</w:t>
            </w:r>
          </w:p>
        </w:tc>
      </w:tr>
      <w:tr>
        <w:tc>
          <w:tcPr>
            <w:tcW w:type="dxa" w:w="16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Infrastructure</w:t>
            </w:r>
          </w:p>
        </w:tc>
        <w:tc>
          <w:tcPr>
            <w:tcW w:type="dxa" w:w="26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AWS (ECS Fargate, RDS Aurora, ElastiCache, S3, CloudFront)</w:t>
            </w:r>
          </w:p>
        </w:tc>
        <w:tc>
          <w:tcPr>
            <w:tcW w:type="dxa" w:w="48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ISO 27001-aligned; auto-scaling; UK data residency; managed services minimise ops overhead for solo founder</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Authentication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Auth0 — SSO, MFA, SAML, Google/Microsoft OAuth</w:t>
            </w:r>
          </w:p>
        </w:tc>
        <w:tc>
          <w:tcPr>
            <w:tcW w:type="dxa" w:w="4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Enterprise-ready without custom auth code; supports all enterprise IdP requirements</w:t>
            </w:r>
          </w:p>
        </w:tc>
      </w:tr>
      <w:tr>
        <w:tc>
          <w:tcPr>
            <w:tcW w:type="dxa" w:w="16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Mobile</w:t>
            </w:r>
          </w:p>
        </w:tc>
        <w:tc>
          <w:tcPr>
            <w:tcW w:type="dxa" w:w="26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Progressive Web App (Phase 1); React Native (Phase 2)</w:t>
            </w:r>
          </w:p>
        </w:tc>
        <w:tc>
          <w:tcPr>
            <w:tcW w:type="dxa" w:w="48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PWA gives immediate mobile access; native app adds offline capability for field use</w:t>
            </w:r>
          </w:p>
        </w:tc>
      </w:tr>
    </w:tbl>
    <w:p>
      <w:pPr>
        <w:spacing w:after="0" w:before="0"/>
      </w:pPr>
      <w:r>
        <w:rPr>
          <w:rFonts w:ascii="Arial" w:cs="Arial" w:eastAsia="Arial" w:hAnsi="Arial"/>
        </w:rPr>
        <w:t xml:space="preserve"> </w:t>
      </w:r>
    </w:p>
    <w:p>
      <w:pPr>
        <w:spacing w:after="0" w:before="0"/>
      </w:pPr>
      <w:r>
        <w:br w:type="page"/>
      </w:r>
    </w:p>
    <w:p>
      <w:pPr>
        <w:pStyle w:val="Heading1"/>
        <w:pBdr>
          <w:bottom w:val="single" w:color="1A2E6B" w:sz="6" w:space="4"/>
        </w:pBdr>
        <w:spacing w:after="120" w:before="360"/>
      </w:pPr>
      <w:r>
        <w:rPr>
          <w:rFonts w:ascii="Arial" w:cs="Arial" w:eastAsia="Arial" w:hAnsi="Arial"/>
          <w:b/>
          <w:bCs/>
          <w:color w:val="1A2E6B"/>
          <w:sz w:val="32"/>
          <w:szCs w:val="32"/>
        </w:rPr>
        <w:t xml:space="preserve">5. Market Analysis &amp; Commercial Opportunity</w:t>
      </w:r>
    </w:p>
    <w:p>
      <w:pPr>
        <w:pStyle w:val="Heading2"/>
        <w:spacing w:after="80" w:before="280"/>
      </w:pPr>
      <w:r>
        <w:rPr>
          <w:rFonts w:ascii="Arial" w:cs="Arial" w:eastAsia="Arial" w:hAnsi="Arial"/>
          <w:b/>
          <w:bCs/>
          <w:color w:val="2563EB"/>
          <w:sz w:val="26"/>
          <w:szCs w:val="26"/>
        </w:rPr>
        <w:t xml:space="preserve">5.1 Total Addressable Market</w:t>
      </w:r>
    </w:p>
    <w:p>
      <w:pPr>
        <w:spacing w:after="100" w:before="0"/>
      </w:pPr>
      <w:r>
        <w:rPr>
          <w:rFonts w:ascii="Arial" w:cs="Arial" w:eastAsia="Arial" w:hAnsi="Arial"/>
          <w:color w:val="1e293b"/>
          <w:sz w:val="22"/>
          <w:szCs w:val="22"/>
        </w:rPr>
        <w:t xml:space="preserve">The global project management software market was valued at USD 6.1 billion in 2024 (Grand View Research), projected to reach USD 9.8 billion by 2030 at a CAGR of 8.2%. The AI-augmented PMO software segment is growing at 31% CAGR. The UK project management software market represents approximately £480 million annually. ProsotaPMO targets the mid-market segment — organisations with 10–500 project staff managing programmes of £5M–£500M — which represents the largest underserved portion of this market.</w:t>
      </w:r>
    </w:p>
    <w:p>
      <w:pPr>
        <w:spacing w:after="0" w:before="0"/>
      </w:pPr>
      <w:r>
        <w:rPr>
          <w:rFonts w:ascii="Arial" w:cs="Arial" w:eastAsia="Arial" w:hAnsi="Arial"/>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563EB" w:sz="1"/>
              <w:left w:val="single" w:color="2563EB" w:sz="1"/>
              <w:bottom w:val="single" w:color="2563EB" w:sz="1"/>
              <w:right w:val="single" w:color="2563EB" w:sz="1"/>
            </w:tcBorders>
            <w:shd w:fill="EFF6FF" w:val="clear"/>
            <w:tcMar>
              <w:top w:type="dxa" w:w="160"/>
              <w:left w:type="dxa" w:w="140"/>
              <w:bottom w:type="dxa" w:w="140"/>
              <w:right w:type="dxa" w:w="140"/>
            </w:tcMar>
          </w:tcPr>
          <w:p>
            <w:pPr>
              <w:spacing w:after="60" w:before="0"/>
              <w:jc w:val="center"/>
            </w:pPr>
            <w:r>
              <w:rPr>
                <w:rFonts w:ascii="Arial" w:cs="Arial" w:eastAsia="Arial" w:hAnsi="Arial"/>
                <w:b/>
                <w:bCs/>
                <w:color w:val="1A2E6B"/>
                <w:sz w:val="60"/>
                <w:szCs w:val="60"/>
              </w:rPr>
              <w:t xml:space="preserve">$6.1B</w:t>
            </w:r>
          </w:p>
          <w:p>
            <w:pPr>
              <w:spacing w:after="0" w:before="0"/>
              <w:jc w:val="center"/>
            </w:pPr>
            <w:r>
              <w:rPr>
                <w:rFonts w:ascii="Arial" w:cs="Arial" w:eastAsia="Arial" w:hAnsi="Arial"/>
                <w:color w:val="475569"/>
                <w:sz w:val="18"/>
                <w:szCs w:val="18"/>
              </w:rPr>
              <w:t xml:space="preserve">Global Market 2024</w:t>
            </w:r>
          </w:p>
        </w:tc>
        <w:tc>
          <w:tcPr>
            <w:tcW w:type="dxa" w:w="2256"/>
            <w:tcBorders>
              <w:top w:val="single" w:color="2563EB" w:sz="1"/>
              <w:left w:val="single" w:color="2563EB" w:sz="1"/>
              <w:bottom w:val="single" w:color="2563EB" w:sz="1"/>
              <w:right w:val="single" w:color="2563EB" w:sz="1"/>
            </w:tcBorders>
            <w:shd w:fill="EFF6FF" w:val="clear"/>
            <w:tcMar>
              <w:top w:type="dxa" w:w="160"/>
              <w:left w:type="dxa" w:w="140"/>
              <w:bottom w:type="dxa" w:w="140"/>
              <w:right w:type="dxa" w:w="140"/>
            </w:tcMar>
          </w:tcPr>
          <w:p>
            <w:pPr>
              <w:spacing w:after="60" w:before="0"/>
              <w:jc w:val="center"/>
            </w:pPr>
            <w:r>
              <w:rPr>
                <w:rFonts w:ascii="Arial" w:cs="Arial" w:eastAsia="Arial" w:hAnsi="Arial"/>
                <w:b/>
                <w:bCs/>
                <w:color w:val="2563EB"/>
                <w:sz w:val="60"/>
                <w:szCs w:val="60"/>
              </w:rPr>
              <w:t xml:space="preserve">$9.8B</w:t>
            </w:r>
          </w:p>
          <w:p>
            <w:pPr>
              <w:spacing w:after="0" w:before="0"/>
              <w:jc w:val="center"/>
            </w:pPr>
            <w:r>
              <w:rPr>
                <w:rFonts w:ascii="Arial" w:cs="Arial" w:eastAsia="Arial" w:hAnsi="Arial"/>
                <w:color w:val="475569"/>
                <w:sz w:val="18"/>
                <w:szCs w:val="18"/>
              </w:rPr>
              <w:t xml:space="preserve">Global Market 2030</w:t>
            </w:r>
          </w:p>
        </w:tc>
        <w:tc>
          <w:tcPr>
            <w:tcW w:type="dxa" w:w="2256"/>
            <w:tcBorders>
              <w:top w:val="single" w:color="06B6D4" w:sz="1"/>
              <w:left w:val="single" w:color="06B6D4" w:sz="1"/>
              <w:bottom w:val="single" w:color="06B6D4" w:sz="1"/>
              <w:right w:val="single" w:color="06B6D4" w:sz="1"/>
            </w:tcBorders>
            <w:shd w:fill="EFF6FF" w:val="clear"/>
            <w:tcMar>
              <w:top w:type="dxa" w:w="160"/>
              <w:left w:type="dxa" w:w="140"/>
              <w:bottom w:type="dxa" w:w="140"/>
              <w:right w:type="dxa" w:w="140"/>
            </w:tcMar>
          </w:tcPr>
          <w:p>
            <w:pPr>
              <w:spacing w:after="60" w:before="0"/>
              <w:jc w:val="center"/>
            </w:pPr>
            <w:r>
              <w:rPr>
                <w:rFonts w:ascii="Arial" w:cs="Arial" w:eastAsia="Arial" w:hAnsi="Arial"/>
                <w:b/>
                <w:bCs/>
                <w:color w:val="06B6D4"/>
                <w:sz w:val="60"/>
                <w:szCs w:val="60"/>
              </w:rPr>
              <w:t xml:space="preserve">31%</w:t>
            </w:r>
          </w:p>
          <w:p>
            <w:pPr>
              <w:spacing w:after="0" w:before="0"/>
              <w:jc w:val="center"/>
            </w:pPr>
            <w:r>
              <w:rPr>
                <w:rFonts w:ascii="Arial" w:cs="Arial" w:eastAsia="Arial" w:hAnsi="Arial"/>
                <w:color w:val="475569"/>
                <w:sz w:val="18"/>
                <w:szCs w:val="18"/>
              </w:rPr>
              <w:t xml:space="preserve">AI PMO Segment CAGR</w:t>
            </w:r>
          </w:p>
        </w:tc>
        <w:tc>
          <w:tcPr>
            <w:tcW w:type="dxa" w:w="2256"/>
            <w:tcBorders>
              <w:top w:val="single" w:color="10B981" w:sz="1"/>
              <w:left w:val="single" w:color="10B981" w:sz="1"/>
              <w:bottom w:val="single" w:color="10B981" w:sz="1"/>
              <w:right w:val="single" w:color="10B981" w:sz="1"/>
            </w:tcBorders>
            <w:shd w:fill="F0FDF4" w:val="clear"/>
            <w:tcMar>
              <w:top w:type="dxa" w:w="160"/>
              <w:left w:type="dxa" w:w="140"/>
              <w:bottom w:type="dxa" w:w="140"/>
              <w:right w:type="dxa" w:w="140"/>
            </w:tcMar>
          </w:tcPr>
          <w:p>
            <w:pPr>
              <w:spacing w:after="60" w:before="0"/>
              <w:jc w:val="center"/>
            </w:pPr>
            <w:r>
              <w:rPr>
                <w:rFonts w:ascii="Arial" w:cs="Arial" w:eastAsia="Arial" w:hAnsi="Arial"/>
                <w:b/>
                <w:bCs/>
                <w:color w:val="10B981"/>
                <w:sz w:val="60"/>
                <w:szCs w:val="60"/>
              </w:rPr>
              <w:t xml:space="preserve">£480M</w:t>
            </w:r>
          </w:p>
          <w:p>
            <w:pPr>
              <w:spacing w:after="0" w:before="0"/>
              <w:jc w:val="center"/>
            </w:pPr>
            <w:r>
              <w:rPr>
                <w:rFonts w:ascii="Arial" w:cs="Arial" w:eastAsia="Arial" w:hAnsi="Arial"/>
                <w:color w:val="475569"/>
                <w:sz w:val="18"/>
                <w:szCs w:val="18"/>
              </w:rPr>
              <w:t xml:space="preserve">UK Addressable Market</w:t>
            </w:r>
          </w:p>
        </w:tc>
      </w:tr>
    </w:tbl>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5.2 Target Sectors — Horizontal Positioning</w:t>
      </w:r>
    </w:p>
    <w:p>
      <w:pPr>
        <w:spacing w:after="100" w:before="0"/>
      </w:pPr>
      <w:r>
        <w:rPr>
          <w:rFonts w:ascii="Arial" w:cs="Arial" w:eastAsia="Arial" w:hAnsi="Arial"/>
          <w:color w:val="1e293b"/>
          <w:sz w:val="22"/>
          <w:szCs w:val="22"/>
        </w:rPr>
        <w:t xml:space="preserve">ProsotaPMO is built around universal project controls processes — schedule, cost, risk, change, governance — that are sector-independent. The platform requires no core modification to serve any of the following sectors. Construction and infrastructure are the beachhead given the founder's domain depth; all other sectors are natural adjacent markets accessible from Year 2.</w:t>
      </w:r>
    </w:p>
    <w:p>
      <w:pPr>
        <w:spacing w:after="0" w:before="0"/>
      </w:pPr>
      <w:r>
        <w:rPr>
          <w:rFonts w:ascii="Arial" w:cs="Arial" w:eastAsia="Arial" w:hAnsi="Arial"/>
        </w:rPr>
        <w:t xml:space="preserve"> </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500"/>
        <w:gridCol w:w="1100"/>
        <w:gridCol w:w="1226"/>
      </w:tblGrid>
      <w:tr>
        <w:trPr>
          <w:tblHeader/>
        </w:trPr>
        <w:tc>
          <w:tcPr>
            <w:tcW w:type="dxa" w:w="18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Sector</w:t>
            </w:r>
          </w:p>
        </w:tc>
        <w:tc>
          <w:tcPr>
            <w:tcW w:type="dxa" w:w="26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Why ProsotaPMO Fits</w:t>
            </w:r>
          </w:p>
        </w:tc>
        <w:tc>
          <w:tcPr>
            <w:tcW w:type="dxa" w:w="15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Est. UK Addressable Orgs</w:t>
            </w:r>
          </w:p>
        </w:tc>
        <w:tc>
          <w:tcPr>
            <w:tcW w:type="dxa" w:w="11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Avg. ACV</w:t>
            </w:r>
          </w:p>
        </w:tc>
        <w:tc>
          <w:tcPr>
            <w:tcW w:type="dxa" w:w="1226"/>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Entry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Construction &amp; Infrastructure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Platform designed around construction programme controls rigour; founder credibility; XER import for P6 migration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2,000+</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£22,000</w:t>
            </w:r>
          </w:p>
        </w:tc>
        <w:tc>
          <w:tcPr>
            <w:tcW w:type="dxa" w:w="1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Beachhead — Year 1</w:t>
            </w:r>
          </w:p>
        </w:tc>
      </w:tr>
      <w:tr>
        <w:tc>
          <w:tcPr>
            <w:tcW w:type="dxa" w:w="18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Defence &amp; Government</w:t>
            </w:r>
          </w:p>
        </w:tc>
        <w:tc>
          <w:tcPr>
            <w:tcW w:type="dxa" w:w="26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IPA/GMPP reporting alignment; ICD tracker for formal change control; Period Manager for gated governance cycles; high audit trail requirement</w:t>
            </w:r>
          </w:p>
        </w:tc>
        <w:tc>
          <w:tcPr>
            <w:tcW w:type="dxa" w:w="15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400+</w:t>
            </w:r>
          </w:p>
        </w:tc>
        <w:tc>
          <w:tcPr>
            <w:tcW w:type="dxa" w:w="11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£48,000</w:t>
            </w:r>
          </w:p>
        </w:tc>
        <w:tc>
          <w:tcPr>
            <w:tcW w:type="dxa" w:w="12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Primary — Year 1/2</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Energy &amp; Utilities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Complex multi-contractor programmes; rigorous cost governance; offshore/nuclear capital investment management; regulatory reporting</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450+</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£38,000</w:t>
            </w:r>
          </w:p>
        </w:tc>
        <w:tc>
          <w:tcPr>
            <w:tcW w:type="dxa" w:w="1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Primary — Year 2</w:t>
            </w:r>
          </w:p>
        </w:tc>
      </w:tr>
      <w:tr>
        <w:tc>
          <w:tcPr>
            <w:tcW w:type="dxa" w:w="18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Pharmaceuticals &amp; Life Sciences</w:t>
            </w:r>
          </w:p>
        </w:tc>
        <w:tc>
          <w:tcPr>
            <w:tcW w:type="dxa" w:w="26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Clinical trial programme management; capital investment (lab/manufacturing); strict audit trail for regulatory submissions; change control rigour</w:t>
            </w:r>
          </w:p>
        </w:tc>
        <w:tc>
          <w:tcPr>
            <w:tcW w:type="dxa" w:w="15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280+</w:t>
            </w:r>
          </w:p>
        </w:tc>
        <w:tc>
          <w:tcPr>
            <w:tcW w:type="dxa" w:w="11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£30,000</w:t>
            </w:r>
          </w:p>
        </w:tc>
        <w:tc>
          <w:tcPr>
            <w:tcW w:type="dxa" w:w="12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Secondary — Year 2</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Financial Services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DORA, Basel IV, core banking replacement programmes; regulatory change management; formal decision logging; executive reporting</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550+</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£35,000</w:t>
            </w:r>
          </w:p>
        </w:tc>
        <w:tc>
          <w:tcPr>
            <w:tcW w:type="dxa" w:w="1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Secondary — Year 2</w:t>
            </w:r>
          </w:p>
        </w:tc>
      </w:tr>
      <w:tr>
        <w:tc>
          <w:tcPr>
            <w:tcW w:type="dxa" w:w="18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Technology &amp; Digital</w:t>
            </w:r>
          </w:p>
        </w:tc>
        <w:tc>
          <w:tcPr>
            <w:tcW w:type="dxa" w:w="26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Enterprise IT transformation; product portfolio management for scale-ups outgrowing Jira/Asana; AI-native tooling resonates</w:t>
            </w:r>
          </w:p>
        </w:tc>
        <w:tc>
          <w:tcPr>
            <w:tcW w:type="dxa" w:w="15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1,600+</w:t>
            </w:r>
          </w:p>
        </w:tc>
        <w:tc>
          <w:tcPr>
            <w:tcW w:type="dxa" w:w="11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£18,000</w:t>
            </w:r>
          </w:p>
        </w:tc>
        <w:tc>
          <w:tcPr>
            <w:tcW w:type="dxa" w:w="12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Secondary — Year 2/3</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International (MENA, ANZ)</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Large-scale infrastructure and EPC programmes; existing skills shortage in digital project controls; willingness to pay premium for quality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Global</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£58,000</w:t>
            </w:r>
          </w:p>
        </w:tc>
        <w:tc>
          <w:tcPr>
            <w:tcW w:type="dxa" w:w="1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Year 3+</w:t>
            </w:r>
          </w:p>
        </w:tc>
      </w:tr>
    </w:tbl>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5.3 Competitive Positioning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426"/>
      </w:tblGrid>
      <w:tr>
        <w:trPr>
          <w:tblHeader/>
        </w:trPr>
        <w:tc>
          <w:tcPr>
            <w:tcW w:type="dxa" w:w="24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13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ProsotaPMO</w:t>
            </w:r>
          </w:p>
        </w:tc>
        <w:tc>
          <w:tcPr>
            <w:tcW w:type="dxa" w:w="13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Oracle P6</w:t>
            </w:r>
          </w:p>
        </w:tc>
        <w:tc>
          <w:tcPr>
            <w:tcW w:type="dxa" w:w="13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MS Project PPM</w:t>
            </w:r>
          </w:p>
        </w:tc>
        <w:tc>
          <w:tcPr>
            <w:tcW w:type="dxa" w:w="13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Smartsheet</w:t>
            </w:r>
          </w:p>
        </w:tc>
        <w:tc>
          <w:tcPr>
            <w:tcW w:type="dxa" w:w="1426"/>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Planview</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Browser-Native SaaS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Yes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Desktop</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Hybrid</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Yes</w:t>
            </w:r>
          </w:p>
        </w:tc>
        <w:tc>
          <w:tcPr>
            <w:tcW w:type="dxa" w:w="1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Hybrid</w:t>
            </w:r>
          </w:p>
        </w:tc>
      </w:tr>
      <w:tr>
        <w:tc>
          <w:tcPr>
            <w:tcW w:type="dxa" w:w="24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AI — Native All Modules</w:t>
            </w:r>
          </w:p>
        </w:tc>
        <w:tc>
          <w:tcPr>
            <w:tcW w:type="dxa" w:w="13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Context-aware</w:t>
            </w:r>
          </w:p>
        </w:tc>
        <w:tc>
          <w:tcPr>
            <w:tcW w:type="dxa" w:w="13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Add-on</w:t>
            </w:r>
          </w:p>
        </w:tc>
        <w:tc>
          <w:tcPr>
            <w:tcW w:type="dxa" w:w="13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Copilot only</w:t>
            </w:r>
          </w:p>
        </w:tc>
        <w:tc>
          <w:tcPr>
            <w:tcW w:type="dxa" w:w="13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None</w:t>
            </w:r>
          </w:p>
        </w:tc>
        <w:tc>
          <w:tcPr>
            <w:tcW w:type="dxa" w:w="14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None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Schedule + Risk + Cost + ICD</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All integrated</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Schedule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Schedule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None</w:t>
            </w:r>
          </w:p>
        </w:tc>
        <w:tc>
          <w:tcPr>
            <w:tcW w:type="dxa" w:w="1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Portfolio</w:t>
            </w:r>
          </w:p>
        </w:tc>
      </w:tr>
      <w:tr>
        <w:tc>
          <w:tcPr>
            <w:tcW w:type="dxa" w:w="24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Period Governance Workflow</w:t>
            </w:r>
          </w:p>
        </w:tc>
        <w:tc>
          <w:tcPr>
            <w:tcW w:type="dxa" w:w="13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Core feature</w:t>
            </w:r>
          </w:p>
        </w:tc>
        <w:tc>
          <w:tcPr>
            <w:tcW w:type="dxa" w:w="13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None</w:t>
            </w:r>
          </w:p>
        </w:tc>
        <w:tc>
          <w:tcPr>
            <w:tcW w:type="dxa" w:w="13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None</w:t>
            </w:r>
          </w:p>
        </w:tc>
        <w:tc>
          <w:tcPr>
            <w:tcW w:type="dxa" w:w="13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None</w:t>
            </w:r>
          </w:p>
        </w:tc>
        <w:tc>
          <w:tcPr>
            <w:tcW w:type="dxa" w:w="14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None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Type-Adaptive Detail Panel</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Unique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None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None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None</w:t>
            </w:r>
          </w:p>
        </w:tc>
        <w:tc>
          <w:tcPr>
            <w:tcW w:type="dxa" w:w="1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None</w:t>
            </w:r>
          </w:p>
        </w:tc>
      </w:tr>
      <w:tr>
        <w:tc>
          <w:tcPr>
            <w:tcW w:type="dxa" w:w="24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Mid-Market Pricing</w:t>
            </w:r>
          </w:p>
        </w:tc>
        <w:tc>
          <w:tcPr>
            <w:tcW w:type="dxa" w:w="13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£150–450/user</w:t>
            </w:r>
          </w:p>
        </w:tc>
        <w:tc>
          <w:tcPr>
            <w:tcW w:type="dxa" w:w="13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£650+/user</w:t>
            </w:r>
          </w:p>
        </w:tc>
        <w:tc>
          <w:tcPr>
            <w:tcW w:type="dxa" w:w="13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£250+/user</w:t>
            </w:r>
          </w:p>
        </w:tc>
        <w:tc>
          <w:tcPr>
            <w:tcW w:type="dxa" w:w="13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£150+/user</w:t>
            </w:r>
          </w:p>
        </w:tc>
        <w:tc>
          <w:tcPr>
            <w:tcW w:type="dxa" w:w="14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£400+/user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Sector Agnostic</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Any sector</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Infra-heavy</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IT/general</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General</w:t>
            </w:r>
          </w:p>
        </w:tc>
        <w:tc>
          <w:tcPr>
            <w:tcW w:type="dxa" w:w="1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IT portfolio</w:t>
            </w:r>
          </w:p>
        </w:tc>
      </w:tr>
      <w:tr>
        <w:tc>
          <w:tcPr>
            <w:tcW w:type="dxa" w:w="24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UK Data Residency</w:t>
            </w:r>
          </w:p>
        </w:tc>
        <w:tc>
          <w:tcPr>
            <w:tcW w:type="dxa" w:w="13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Standard</w:t>
            </w:r>
          </w:p>
        </w:tc>
        <w:tc>
          <w:tcPr>
            <w:tcW w:type="dxa" w:w="13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On request</w:t>
            </w:r>
          </w:p>
        </w:tc>
        <w:tc>
          <w:tcPr>
            <w:tcW w:type="dxa" w:w="13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Available</w:t>
            </w:r>
          </w:p>
        </w:tc>
        <w:tc>
          <w:tcPr>
            <w:tcW w:type="dxa" w:w="13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Limited</w:t>
            </w:r>
          </w:p>
        </w:tc>
        <w:tc>
          <w:tcPr>
            <w:tcW w:type="dxa" w:w="14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 Limited</w:t>
            </w:r>
          </w:p>
        </w:tc>
      </w:tr>
    </w:tbl>
    <w:p>
      <w:pPr>
        <w:spacing w:after="0" w:before="0"/>
      </w:pPr>
      <w:r>
        <w:rPr>
          <w:rFonts w:ascii="Arial" w:cs="Arial" w:eastAsia="Arial" w:hAnsi="Arial"/>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2E6B" w:sz="6"/>
              <w:left w:val="single" w:color="1A2E6B" w:sz="18"/>
              <w:bottom w:val="single" w:color="1A2E6B" w:sz="1"/>
              <w:right w:val="single" w:color="1A2E6B" w:sz="1"/>
            </w:tcBorders>
            <w:shd w:fill="EFF6FF" w:val="clear"/>
            <w:tcMar>
              <w:top w:type="dxa" w:w="110"/>
              <w:left w:type="dxa" w:w="200"/>
              <w:bottom w:type="dxa" w:w="110"/>
              <w:right w:type="dxa" w:w="160"/>
            </w:tcMar>
          </w:tcPr>
          <w:p>
            <w:pPr>
              <w:spacing w:after="60" w:before="0"/>
            </w:pPr>
            <w:r>
              <w:rPr>
                <w:rFonts w:ascii="Arial" w:cs="Arial" w:eastAsia="Arial" w:hAnsi="Arial"/>
                <w:b/>
                <w:bCs/>
                <w:color w:val="1A2E6B"/>
                <w:sz w:val="20"/>
                <w:szCs w:val="20"/>
              </w:rPr>
              <w:t xml:space="preserve">The Unique Position</w:t>
            </w:r>
          </w:p>
          <w:p>
            <w:pPr>
              <w:spacing w:after="0" w:before="0"/>
            </w:pPr>
            <w:r>
              <w:rPr>
                <w:rFonts w:ascii="Arial" w:cs="Arial" w:eastAsia="Arial" w:hAnsi="Arial"/>
                <w:color w:val="1e293b"/>
                <w:sz w:val="20"/>
                <w:szCs w:val="20"/>
              </w:rPr>
              <w:t xml:space="preserve">No existing tool offers: browser-native SaaS + context-aware AI across every module + integrated schedule/risk/cost/ICD + period governance workflow + mid-market pricing. ProsotaPMO is the only platform designed around all five dimensions simultaneously. The period governance workflow and the type-adaptive ICD panel in particular have no analogue in any competing product.</w:t>
            </w:r>
          </w:p>
        </w:tc>
      </w:tr>
    </w:tbl>
    <w:p>
      <w:pPr>
        <w:spacing w:after="0" w:before="0"/>
      </w:pPr>
      <w:r>
        <w:rPr>
          <w:rFonts w:ascii="Arial" w:cs="Arial" w:eastAsia="Arial" w:hAnsi="Arial"/>
        </w:rPr>
        <w:t xml:space="preserve"> </w:t>
      </w:r>
    </w:p>
    <w:p>
      <w:pPr>
        <w:spacing w:after="0" w:before="0"/>
      </w:pPr>
      <w:r>
        <w:br w:type="page"/>
      </w:r>
    </w:p>
    <w:p>
      <w:pPr>
        <w:pStyle w:val="Heading1"/>
        <w:pBdr>
          <w:bottom w:val="single" w:color="1A2E6B" w:sz="6" w:space="4"/>
        </w:pBdr>
        <w:spacing w:after="120" w:before="360"/>
      </w:pPr>
      <w:r>
        <w:rPr>
          <w:rFonts w:ascii="Arial" w:cs="Arial" w:eastAsia="Arial" w:hAnsi="Arial"/>
          <w:b/>
          <w:bCs/>
          <w:color w:val="1A2E6B"/>
          <w:sz w:val="32"/>
          <w:szCs w:val="32"/>
        </w:rPr>
        <w:t xml:space="preserve">6. Financial Projections &amp; Business Model</w:t>
      </w:r>
    </w:p>
    <w:p>
      <w:pPr>
        <w:pStyle w:val="Heading2"/>
        <w:spacing w:after="80" w:before="280"/>
      </w:pPr>
      <w:r>
        <w:rPr>
          <w:rFonts w:ascii="Arial" w:cs="Arial" w:eastAsia="Arial" w:hAnsi="Arial"/>
          <w:b/>
          <w:bCs/>
          <w:color w:val="2563EB"/>
          <w:sz w:val="26"/>
          <w:szCs w:val="26"/>
        </w:rPr>
        <w:t xml:space="preserve">6.1 The Financial Advantage of the Founder-AI Model</w:t>
      </w:r>
    </w:p>
    <w:p>
      <w:pPr>
        <w:spacing w:after="100" w:before="0"/>
      </w:pPr>
      <w:r>
        <w:rPr>
          <w:rFonts w:ascii="Arial" w:cs="Arial" w:eastAsia="Arial" w:hAnsi="Arial"/>
          <w:color w:val="1e293b"/>
          <w:sz w:val="22"/>
          <w:szCs w:val="22"/>
        </w:rPr>
        <w:t xml:space="preserve">The most significant financial implication of the founder-AI development model is the elimination of the largest cost in any software startup: engineering payroll. A conventional founding team of comparable output would require 3–4 engineers at a combined salary cost of £280,000–£380,000 per year. The founder-AI model replaces this with the founder's own time plus Anthropic API costs — which at production scale remain well below £15,000 per year for the AI layer alone.</w:t>
      </w:r>
    </w:p>
    <w:p>
      <w:pPr>
        <w:spacing w:after="0" w:before="0"/>
      </w:pPr>
      <w:r>
        <w:rPr>
          <w:rFonts w:ascii="Arial" w:cs="Arial" w:eastAsia="Arial" w:hAnsi="Arial"/>
        </w:rPr>
        <w:t xml:space="preserve"> </w:t>
      </w:r>
    </w:p>
    <w:p>
      <w:pPr>
        <w:spacing w:after="100" w:before="0"/>
      </w:pPr>
      <w:r>
        <w:rPr>
          <w:rFonts w:ascii="Arial" w:cs="Arial" w:eastAsia="Arial" w:hAnsi="Arial"/>
          <w:color w:val="1e293b"/>
          <w:sz w:val="22"/>
          <w:szCs w:val="22"/>
        </w:rPr>
        <w:t xml:space="preserve">This structural cost reduction does not merely make the business more capital-efficient. It changes the nature of the risk entirely. With lower investment required, the dilution to the founder is reduced, the time pressure to raise external funding is extended, and the business reaches profitability sooner on lower revenue. The following projections reflect this model accurately.</w:t>
      </w:r>
    </w:p>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6.2 Investment Comparison — Conventional vs Founder-AI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1826"/>
      </w:tblGrid>
      <w:tr>
        <w:trPr>
          <w:tblHeader/>
        </w:trPr>
        <w:tc>
          <w:tcPr>
            <w:tcW w:type="dxa" w:w="32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Cost Category</w:t>
            </w:r>
          </w:p>
        </w:tc>
        <w:tc>
          <w:tcPr>
            <w:tcW w:type="dxa" w:w="20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Conventional Team (Year 1)</w:t>
            </w:r>
          </w:p>
        </w:tc>
        <w:tc>
          <w:tcPr>
            <w:tcW w:type="dxa" w:w="20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Founder-AI Model (Year 1)</w:t>
            </w:r>
          </w:p>
        </w:tc>
        <w:tc>
          <w:tcPr>
            <w:tcW w:type="dxa" w:w="1826"/>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Saving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Engineering Salaries (4 FTE)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£380,000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 (founder time)</w:t>
            </w:r>
          </w:p>
        </w:tc>
        <w:tc>
          <w:tcPr>
            <w:tcW w:type="dxa" w:w="1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£380,000</w:t>
            </w:r>
          </w:p>
        </w:tc>
      </w:tr>
      <w:tr>
        <w:tc>
          <w:tcPr>
            <w:tcW w:type="dxa" w:w="3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Founder Salary / Living Allowance</w:t>
            </w:r>
          </w:p>
        </w:tc>
        <w:tc>
          <w:tcPr>
            <w:tcW w:type="dxa" w:w="2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£85,000</w:t>
            </w:r>
          </w:p>
        </w:tc>
        <w:tc>
          <w:tcPr>
            <w:tcW w:type="dxa" w:w="2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£60,000</w:t>
            </w:r>
          </w:p>
        </w:tc>
        <w:tc>
          <w:tcPr>
            <w:tcW w:type="dxa" w:w="18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£25,000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API Costs (Anthropic)</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£15,000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£8,000</w:t>
            </w:r>
          </w:p>
        </w:tc>
        <w:tc>
          <w:tcPr>
            <w:tcW w:type="dxa" w:w="1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£7,000</w:t>
            </w:r>
          </w:p>
        </w:tc>
      </w:tr>
      <w:tr>
        <w:tc>
          <w:tcPr>
            <w:tcW w:type="dxa" w:w="3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Product Design</w:t>
            </w:r>
          </w:p>
        </w:tc>
        <w:tc>
          <w:tcPr>
            <w:tcW w:type="dxa" w:w="2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£55,000</w:t>
            </w:r>
          </w:p>
        </w:tc>
        <w:tc>
          <w:tcPr>
            <w:tcW w:type="dxa" w:w="2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£18,000 (freelance)</w:t>
            </w:r>
          </w:p>
        </w:tc>
        <w:tc>
          <w:tcPr>
            <w:tcW w:type="dxa" w:w="18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£37,000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Infrastructure (AWS)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£60,000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£24,000</w:t>
            </w:r>
          </w:p>
        </w:tc>
        <w:tc>
          <w:tcPr>
            <w:tcW w:type="dxa" w:w="1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£36,000</w:t>
            </w:r>
          </w:p>
        </w:tc>
      </w:tr>
      <w:tr>
        <w:tc>
          <w:tcPr>
            <w:tcW w:type="dxa" w:w="3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Legal, IP, Company</w:t>
            </w:r>
          </w:p>
        </w:tc>
        <w:tc>
          <w:tcPr>
            <w:tcW w:type="dxa" w:w="2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£50,000</w:t>
            </w:r>
          </w:p>
        </w:tc>
        <w:tc>
          <w:tcPr>
            <w:tcW w:type="dxa" w:w="2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£35,000</w:t>
            </w:r>
          </w:p>
        </w:tc>
        <w:tc>
          <w:tcPr>
            <w:tcW w:type="dxa" w:w="18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£15,000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Sales &amp; Marketing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£90,000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£75,000</w:t>
            </w:r>
          </w:p>
        </w:tc>
        <w:tc>
          <w:tcPr>
            <w:tcW w:type="dxa" w:w="1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£15,000</w:t>
            </w:r>
          </w:p>
        </w:tc>
      </w:tr>
      <w:tr>
        <w:tc>
          <w:tcPr>
            <w:tcW w:type="dxa" w:w="3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Tools, Software, Misc.</w:t>
            </w:r>
          </w:p>
        </w:tc>
        <w:tc>
          <w:tcPr>
            <w:tcW w:type="dxa" w:w="2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£30,000</w:t>
            </w:r>
          </w:p>
        </w:tc>
        <w:tc>
          <w:tcPr>
            <w:tcW w:type="dxa" w:w="2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£20,000</w:t>
            </w:r>
          </w:p>
        </w:tc>
        <w:tc>
          <w:tcPr>
            <w:tcW w:type="dxa" w:w="18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£10,000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Security &amp; Compliance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£45,000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£25,000</w:t>
            </w:r>
          </w:p>
        </w:tc>
        <w:tc>
          <w:tcPr>
            <w:tcW w:type="dxa" w:w="1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£20,000</w:t>
            </w:r>
          </w:p>
        </w:tc>
      </w:tr>
      <w:tr>
        <w:tc>
          <w:tcPr>
            <w:tcW w:type="dxa" w:w="3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Contingency (15%)</w:t>
            </w:r>
          </w:p>
        </w:tc>
        <w:tc>
          <w:tcPr>
            <w:tcW w:type="dxa" w:w="2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£116,250</w:t>
            </w:r>
          </w:p>
        </w:tc>
        <w:tc>
          <w:tcPr>
            <w:tcW w:type="dxa" w:w="20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£42,750</w:t>
            </w:r>
          </w:p>
        </w:tc>
        <w:tc>
          <w:tcPr>
            <w:tcW w:type="dxa" w:w="18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£73,500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TOTAL PHASE 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£926,250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£307,750</w:t>
            </w:r>
          </w:p>
        </w:tc>
        <w:tc>
          <w:tcPr>
            <w:tcW w:type="dxa" w:w="1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£618,500</w:t>
            </w:r>
          </w:p>
        </w:tc>
      </w:tr>
    </w:tbl>
    <w:p>
      <w:pPr>
        <w:spacing w:after="0" w:before="0"/>
      </w:pPr>
      <w:r>
        <w:rPr>
          <w:rFonts w:ascii="Arial" w:cs="Arial" w:eastAsia="Arial" w:hAnsi="Arial"/>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0B981" w:sz="6"/>
              <w:left w:val="single" w:color="10B981" w:sz="18"/>
              <w:bottom w:val="single" w:color="10B981" w:sz="1"/>
              <w:right w:val="single" w:color="10B981" w:sz="1"/>
            </w:tcBorders>
            <w:shd w:fill="F0FDF4" w:val="clear"/>
            <w:tcMar>
              <w:top w:type="dxa" w:w="110"/>
              <w:left w:type="dxa" w:w="200"/>
              <w:bottom w:type="dxa" w:w="110"/>
              <w:right w:type="dxa" w:w="160"/>
            </w:tcMar>
          </w:tcPr>
          <w:p>
            <w:pPr>
              <w:spacing w:after="60" w:before="0"/>
            </w:pPr>
            <w:r>
              <w:rPr>
                <w:rFonts w:ascii="Arial" w:cs="Arial" w:eastAsia="Arial" w:hAnsi="Arial"/>
                <w:b/>
                <w:bCs/>
                <w:color w:val="10B981"/>
                <w:sz w:val="20"/>
                <w:szCs w:val="20"/>
              </w:rPr>
              <w:t xml:space="preserve">Phase 1 Investment Target: £285,000</w:t>
            </w:r>
          </w:p>
          <w:p>
            <w:pPr>
              <w:spacing w:after="0" w:before="0"/>
            </w:pPr>
            <w:r>
              <w:rPr>
                <w:rFonts w:ascii="Arial" w:cs="Arial" w:eastAsia="Arial" w:hAnsi="Arial"/>
                <w:color w:val="1e293b"/>
                <w:sz w:val="20"/>
                <w:szCs w:val="20"/>
              </w:rPr>
              <w:t xml:space="preserve">The founder-AI model reduces Phase 1 capital requirements from a conventional £850,000–£950,000 to £285,000 — representing a 70% reduction in seed capital. This makes the business fundable by a much wider range of sources including Innovate UK Smart Grant, angel investors, and founder bootstrapping, without requiring institutional VC at the seed stage.</w:t>
            </w:r>
          </w:p>
        </w:tc>
      </w:tr>
    </w:tbl>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6.3 Pricing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500"/>
        <w:gridCol w:w="1700"/>
        <w:gridCol w:w="1226"/>
      </w:tblGrid>
      <w:tr>
        <w:trPr>
          <w:tblHeader/>
        </w:trPr>
        <w:tc>
          <w:tcPr>
            <w:tcW w:type="dxa" w:w="12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4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Target Customer</w:t>
            </w:r>
          </w:p>
        </w:tc>
        <w:tc>
          <w:tcPr>
            <w:tcW w:type="dxa" w:w="25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Included Modules</w:t>
            </w:r>
          </w:p>
        </w:tc>
        <w:tc>
          <w:tcPr>
            <w:tcW w:type="dxa" w:w="17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1226"/>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Min. Seats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Starter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Small PMO teams, independent consultancies (2–15 users)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Planner + Risk + ICD Tracker</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£150/user/month</w:t>
            </w:r>
          </w:p>
        </w:tc>
        <w:tc>
          <w:tcPr>
            <w:tcW w:type="dxa" w:w="1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r>
      <w:tr>
        <w:tc>
          <w:tcPr>
            <w:tcW w:type="dxa" w:w="1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Professional</w:t>
            </w:r>
          </w:p>
        </w:tc>
        <w:tc>
          <w:tcPr>
            <w:tcW w:type="dxa" w:w="24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Mid-size organisations, programme teams (10–75 users)</w:t>
            </w:r>
          </w:p>
        </w:tc>
        <w:tc>
          <w:tcPr>
            <w:tcW w:type="dxa" w:w="25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All modules + Period Manager + Dashboard</w:t>
            </w:r>
          </w:p>
        </w:tc>
        <w:tc>
          <w:tcPr>
            <w:tcW w:type="dxa" w:w="17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£280/user/month</w:t>
            </w:r>
          </w:p>
        </w:tc>
        <w:tc>
          <w:tcPr>
            <w:tcW w:type="dxa" w:w="12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10</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Enterprise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Large organisations, government, multi-portfolio (50+ users)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modules + custom integrations + white-label + dedicated CSM</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£450/user/month</w:t>
            </w:r>
          </w:p>
        </w:tc>
        <w:tc>
          <w:tcPr>
            <w:tcW w:type="dxa" w:w="1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25</w:t>
            </w:r>
          </w:p>
        </w:tc>
      </w:tr>
    </w:tbl>
    <w:p>
      <w:pPr>
        <w:spacing w:after="0" w:before="0"/>
      </w:pPr>
      <w:r>
        <w:rPr>
          <w:rFonts w:ascii="Arial" w:cs="Arial" w:eastAsia="Arial" w:hAnsi="Arial"/>
        </w:rPr>
        <w:t xml:space="preserve"> </w:t>
      </w:r>
    </w:p>
    <w:p>
      <w:pPr>
        <w:pStyle w:val="ListParagraph"/>
        <w:numPr>
          <w:ilvl w:val="0"/>
          <w:numId w:val="2"/>
        </w:numPr>
        <w:spacing w:after="60" w:before="0"/>
      </w:pPr>
      <w:r>
        <w:rPr>
          <w:rFonts w:ascii="Arial" w:cs="Arial" w:eastAsia="Arial" w:hAnsi="Arial"/>
          <w:color w:val="1e293b"/>
          <w:sz w:val="22"/>
          <w:szCs w:val="22"/>
        </w:rPr>
        <w:t xml:space="preserve">Annual contract discount: 15% (12-month), 25% (24-month)</w:t>
      </w:r>
    </w:p>
    <w:p>
      <w:pPr>
        <w:pStyle w:val="ListParagraph"/>
        <w:numPr>
          <w:ilvl w:val="0"/>
          <w:numId w:val="2"/>
        </w:numPr>
        <w:spacing w:after="60" w:before="0"/>
      </w:pPr>
      <w:r>
        <w:rPr>
          <w:rFonts w:ascii="Arial" w:cs="Arial" w:eastAsia="Arial" w:hAnsi="Arial"/>
          <w:color w:val="1e293b"/>
          <w:sz w:val="22"/>
          <w:szCs w:val="22"/>
        </w:rPr>
        <w:t xml:space="preserve">Implementation &amp; onboarding: £2,500 (Starter), £7,500 (Professional), £18,000 (Enterprise)</w:t>
      </w:r>
    </w:p>
    <w:p>
      <w:pPr>
        <w:pStyle w:val="ListParagraph"/>
        <w:numPr>
          <w:ilvl w:val="0"/>
          <w:numId w:val="2"/>
        </w:numPr>
        <w:spacing w:after="60" w:before="0"/>
      </w:pPr>
      <w:r>
        <w:rPr>
          <w:rFonts w:ascii="Arial" w:cs="Arial" w:eastAsia="Arial" w:hAnsi="Arial"/>
          <w:color w:val="1e293b"/>
          <w:sz w:val="22"/>
          <w:szCs w:val="22"/>
        </w:rPr>
        <w:t xml:space="preserve">AI overage: £0.04 per query above included allowance; Enterprise: custom negotiated rate</w:t>
      </w:r>
    </w:p>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6.4 Five-Year Revenue Projections</w:t>
      </w:r>
    </w:p>
    <w:tbl>
      <w:tblPr>
        <w:tblW w:type="dxa" w:w="8076"/>
        <w:tblBorders>
          <w:top w:val="single" w:color="auto" w:sz="4"/>
          <w:left w:val="single" w:color="auto" w:sz="4"/>
          <w:bottom w:val="single" w:color="auto" w:sz="4"/>
          <w:right w:val="single" w:color="auto" w:sz="4"/>
          <w:insideH w:val="single" w:color="auto" w:sz="4"/>
          <w:insideV w:val="single" w:color="auto" w:sz="4"/>
        </w:tblBorders>
      </w:tblPr>
      <w:tblGrid>
        <w:gridCol w:w="2600"/>
        <w:gridCol w:w="1050"/>
        <w:gridCol w:w="1050"/>
        <w:gridCol w:w="1050"/>
        <w:gridCol w:w="1050"/>
        <w:gridCol w:w="1276"/>
      </w:tblGrid>
      <w:tr>
        <w:trPr>
          <w:tblHeader/>
        </w:trPr>
        <w:tc>
          <w:tcPr>
            <w:tcW w:type="dxa" w:w="26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05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Year 1</w:t>
            </w:r>
          </w:p>
        </w:tc>
        <w:tc>
          <w:tcPr>
            <w:tcW w:type="dxa" w:w="105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Year 2</w:t>
            </w:r>
          </w:p>
        </w:tc>
        <w:tc>
          <w:tcPr>
            <w:tcW w:type="dxa" w:w="105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Year 3</w:t>
            </w:r>
          </w:p>
        </w:tc>
        <w:tc>
          <w:tcPr>
            <w:tcW w:type="dxa" w:w="105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Year 4</w:t>
            </w:r>
          </w:p>
        </w:tc>
        <w:tc>
          <w:tcPr>
            <w:tcW w:type="dxa" w:w="1276"/>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Year 5</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Paying Customers</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130</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265</w:t>
            </w:r>
          </w:p>
        </w:tc>
        <w:tc>
          <w:tcPr>
            <w:tcW w:type="dxa" w:w="12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420</w:t>
            </w:r>
          </w:p>
        </w:tc>
      </w:tr>
      <w:tr>
        <w:tc>
          <w:tcPr>
            <w:tcW w:type="dxa" w:w="26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Average Users per Customer</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7</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12</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19</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23</w:t>
            </w:r>
          </w:p>
        </w:tc>
        <w:tc>
          <w:tcPr>
            <w:tcW w:type="dxa" w:w="127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27</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Total Licensed Users</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84</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600</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2,470</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6,095</w:t>
            </w:r>
          </w:p>
        </w:tc>
        <w:tc>
          <w:tcPr>
            <w:tcW w:type="dxa" w:w="12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11,340</w:t>
            </w:r>
          </w:p>
        </w:tc>
      </w:tr>
      <w:tr>
        <w:tc>
          <w:tcPr>
            <w:tcW w:type="dxa" w:w="26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Avg. Revenue per User/yr (£)</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2,400</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2,880</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3,360</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3,680</w:t>
            </w:r>
          </w:p>
        </w:tc>
        <w:tc>
          <w:tcPr>
            <w:tcW w:type="dxa" w:w="127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3,840</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Subscription ARR (£)</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201,600</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1,728,000</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8,299,200</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22,429,600</w:t>
            </w:r>
          </w:p>
        </w:tc>
        <w:tc>
          <w:tcPr>
            <w:tcW w:type="dxa" w:w="12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43,545,600</w:t>
            </w:r>
          </w:p>
        </w:tc>
      </w:tr>
      <w:tr>
        <w:tc>
          <w:tcPr>
            <w:tcW w:type="dxa" w:w="26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Implementation Revenue (£)</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36,000</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150,000</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390,000</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795,000</w:t>
            </w:r>
          </w:p>
        </w:tc>
        <w:tc>
          <w:tcPr>
            <w:tcW w:type="dxa" w:w="127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1,260,000</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Overage &amp; Training (£)</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8,000</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86,000</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415,000</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1,121,000</w:t>
            </w:r>
          </w:p>
        </w:tc>
        <w:tc>
          <w:tcPr>
            <w:tcW w:type="dxa" w:w="12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2,177,000</w:t>
            </w:r>
          </w:p>
        </w:tc>
      </w:tr>
      <w:tr>
        <w:tc>
          <w:tcPr>
            <w:tcW w:type="dxa" w:w="26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Total Revenue (£)</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245,600</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1,964,000</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9,104,200</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24,345,600</w:t>
            </w:r>
          </w:p>
        </w:tc>
        <w:tc>
          <w:tcPr>
            <w:tcW w:type="dxa" w:w="127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46,982,600</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Gross Margin (%)</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68%</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73%</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78%</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81%</w:t>
            </w:r>
          </w:p>
        </w:tc>
        <w:tc>
          <w:tcPr>
            <w:tcW w:type="dxa" w:w="12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83%</w:t>
            </w:r>
          </w:p>
        </w:tc>
      </w:tr>
      <w:tr>
        <w:tc>
          <w:tcPr>
            <w:tcW w:type="dxa" w:w="26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Operating Costs (£)</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495,000</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1,850,000</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4,800,000</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9,400,000</w:t>
            </w:r>
          </w:p>
        </w:tc>
        <w:tc>
          <w:tcPr>
            <w:tcW w:type="dxa" w:w="127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18,200,000</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EBITDA (£)</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(249,400)</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114,000</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4,304,200</w:t>
            </w:r>
          </w:p>
        </w:tc>
        <w:tc>
          <w:tcPr>
            <w:tcW w:type="dxa" w:w="10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14,945,600</w:t>
            </w:r>
          </w:p>
        </w:tc>
        <w:tc>
          <w:tcPr>
            <w:tcW w:type="dxa" w:w="12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28,782,600</w:t>
            </w:r>
          </w:p>
        </w:tc>
      </w:tr>
      <w:tr>
        <w:tc>
          <w:tcPr>
            <w:tcW w:type="dxa" w:w="26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Cumulative External Investment (£)</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285,000</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1,500,000</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27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w:t>
            </w:r>
          </w:p>
        </w:tc>
      </w:tr>
    </w:tbl>
    <w:p>
      <w:pPr>
        <w:spacing w:after="0" w:before="0"/>
      </w:pPr>
      <w:r>
        <w:rPr>
          <w:rFonts w:ascii="Arial" w:cs="Arial" w:eastAsia="Arial" w:hAnsi="Arial"/>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0B981" w:sz="6"/>
              <w:left w:val="single" w:color="10B981" w:sz="18"/>
              <w:bottom w:val="single" w:color="10B981" w:sz="1"/>
              <w:right w:val="single" w:color="10B981" w:sz="1"/>
            </w:tcBorders>
            <w:shd w:fill="F0FDF4" w:val="clear"/>
            <w:tcMar>
              <w:top w:type="dxa" w:w="110"/>
              <w:left w:type="dxa" w:w="200"/>
              <w:bottom w:type="dxa" w:w="110"/>
              <w:right w:type="dxa" w:w="160"/>
            </w:tcMar>
          </w:tcPr>
          <w:p>
            <w:pPr>
              <w:spacing w:after="60" w:before="0"/>
            </w:pPr>
            <w:r>
              <w:rPr>
                <w:rFonts w:ascii="Arial" w:cs="Arial" w:eastAsia="Arial" w:hAnsi="Arial"/>
                <w:b/>
                <w:bCs/>
                <w:color w:val="10B981"/>
                <w:sz w:val="20"/>
                <w:szCs w:val="20"/>
              </w:rPr>
              <w:t xml:space="preserve">Profitability Milestone</w:t>
            </w:r>
          </w:p>
          <w:p>
            <w:pPr>
              <w:spacing w:after="0" w:before="0"/>
            </w:pPr>
            <w:r>
              <w:rPr>
                <w:rFonts w:ascii="Arial" w:cs="Arial" w:eastAsia="Arial" w:hAnsi="Arial"/>
                <w:color w:val="1e293b"/>
                <w:sz w:val="20"/>
                <w:szCs w:val="20"/>
              </w:rPr>
              <w:t xml:space="preserve">Under the founder-AI model, the business reaches monthly operating profitability in Month 20 — six months earlier than under a conventional team model — because the cost base in Years 1 and 2 is dramatically lower. Total external investment required to reach profitability is £1.785M, against a projected 5-year cumulative EBITDA of £47.9M.</w:t>
            </w:r>
          </w:p>
        </w:tc>
      </w:tr>
    </w:tbl>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6.5 Investment Phasing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2400"/>
        <w:gridCol w:w="2826"/>
      </w:tblGrid>
      <w:tr>
        <w:trPr>
          <w:tblHeader/>
        </w:trPr>
        <w:tc>
          <w:tcPr>
            <w:tcW w:type="dxa" w:w="14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2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Period</w:t>
            </w:r>
          </w:p>
        </w:tc>
        <w:tc>
          <w:tcPr>
            <w:tcW w:type="dxa" w:w="12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Amount (£)</w:t>
            </w:r>
          </w:p>
        </w:tc>
        <w:tc>
          <w:tcPr>
            <w:tcW w:type="dxa" w:w="24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826"/>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Use of Funds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1 — Seed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Months 1–12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£285,000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Founder capital / Angel investors / Innovate UK Smart Grant (up to £100k non-dilutive)</w:t>
            </w:r>
          </w:p>
        </w:tc>
        <w:tc>
          <w:tcPr>
            <w:tcW w:type="dxa" w:w="2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Founder living allowance, AWS infrastructure, design, legal &amp; IP, sales &amp; marketing, tools, security baseline, contingency</w:t>
            </w:r>
          </w:p>
        </w:tc>
      </w:tr>
      <w:tr>
        <w:tc>
          <w:tcPr>
            <w:tcW w:type="dxa" w:w="14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Phase 2 — Series A</w:t>
            </w:r>
          </w:p>
        </w:tc>
        <w:tc>
          <w:tcPr>
            <w:tcW w:type="dxa" w:w="1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Months 13–24</w:t>
            </w:r>
          </w:p>
        </w:tc>
        <w:tc>
          <w:tcPr>
            <w:tcW w:type="dxa" w:w="1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£1,500,000</w:t>
            </w:r>
          </w:p>
        </w:tc>
        <w:tc>
          <w:tcPr>
            <w:tcW w:type="dxa" w:w="24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Angel syndicate / Early-stage VC / Revenue-based financing</w:t>
            </w:r>
          </w:p>
        </w:tc>
        <w:tc>
          <w:tcPr>
            <w:tcW w:type="dxa" w:w="28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First two sales hires, customer success, enterprise features, integration development, marketing scale-up, international preparation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3 — Series B</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Months 25–48</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£6,000,000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Growth VC / Strategic corporate investor</w:t>
            </w:r>
          </w:p>
        </w:tc>
        <w:tc>
          <w:tcPr>
            <w:tcW w:type="dxa" w:w="2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International expansion (MENA, ANZ), AI R&amp;D, M&amp;A of complementary tools, channel partner programme, enterprise sales team</w:t>
            </w:r>
          </w:p>
        </w:tc>
      </w:tr>
    </w:tbl>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6.6 Unit Economics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50"/>
        <w:gridCol w:w="1850"/>
        <w:gridCol w:w="1926"/>
      </w:tblGrid>
      <w:tr>
        <w:trPr>
          <w:tblHeader/>
        </w:trPr>
        <w:tc>
          <w:tcPr>
            <w:tcW w:type="dxa" w:w="34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85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Year 1</w:t>
            </w:r>
          </w:p>
        </w:tc>
        <w:tc>
          <w:tcPr>
            <w:tcW w:type="dxa" w:w="185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Year 2</w:t>
            </w:r>
          </w:p>
        </w:tc>
        <w:tc>
          <w:tcPr>
            <w:tcW w:type="dxa" w:w="1926"/>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Year 3</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Customer Acquisition Cost (CAC)</w:t>
            </w:r>
          </w:p>
        </w:tc>
        <w:tc>
          <w:tcPr>
            <w:tcW w:type="dxa" w:w="1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£8,000</w:t>
            </w:r>
          </w:p>
        </w:tc>
        <w:tc>
          <w:tcPr>
            <w:tcW w:type="dxa" w:w="1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£5,500</w:t>
            </w:r>
          </w:p>
        </w:tc>
        <w:tc>
          <w:tcPr>
            <w:tcW w:type="dxa" w:w="19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£4,200</w:t>
            </w:r>
          </w:p>
        </w:tc>
      </w:tr>
      <w:tr>
        <w:tc>
          <w:tcPr>
            <w:tcW w:type="dxa" w:w="34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Average Annual Contract Value (ACV)</w:t>
            </w:r>
          </w:p>
        </w:tc>
        <w:tc>
          <w:tcPr>
            <w:tcW w:type="dxa" w:w="18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£20,467</w:t>
            </w:r>
          </w:p>
        </w:tc>
        <w:tc>
          <w:tcPr>
            <w:tcW w:type="dxa" w:w="18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£39,280</w:t>
            </w:r>
          </w:p>
        </w:tc>
        <w:tc>
          <w:tcPr>
            <w:tcW w:type="dxa" w:w="19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£70,032</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Customer Lifetime Value (LTV — 5yr)</w:t>
            </w:r>
          </w:p>
        </w:tc>
        <w:tc>
          <w:tcPr>
            <w:tcW w:type="dxa" w:w="1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£102,333</w:t>
            </w:r>
          </w:p>
        </w:tc>
        <w:tc>
          <w:tcPr>
            <w:tcW w:type="dxa" w:w="1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£196,400</w:t>
            </w:r>
          </w:p>
        </w:tc>
        <w:tc>
          <w:tcPr>
            <w:tcW w:type="dxa" w:w="19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£350,160</w:t>
            </w:r>
          </w:p>
        </w:tc>
      </w:tr>
      <w:tr>
        <w:tc>
          <w:tcPr>
            <w:tcW w:type="dxa" w:w="34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LTV:CAC Ratio</w:t>
            </w:r>
          </w:p>
        </w:tc>
        <w:tc>
          <w:tcPr>
            <w:tcW w:type="dxa" w:w="18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12.8:1</w:t>
            </w:r>
          </w:p>
        </w:tc>
        <w:tc>
          <w:tcPr>
            <w:tcW w:type="dxa" w:w="18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35.7:1</w:t>
            </w:r>
          </w:p>
        </w:tc>
        <w:tc>
          <w:tcPr>
            <w:tcW w:type="dxa" w:w="19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83.4:1</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Gross Revenue Retention</w:t>
            </w:r>
          </w:p>
        </w:tc>
        <w:tc>
          <w:tcPr>
            <w:tcW w:type="dxa" w:w="1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88%</w:t>
            </w:r>
          </w:p>
        </w:tc>
        <w:tc>
          <w:tcPr>
            <w:tcW w:type="dxa" w:w="1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92%</w:t>
            </w:r>
          </w:p>
        </w:tc>
        <w:tc>
          <w:tcPr>
            <w:tcW w:type="dxa" w:w="19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95%</w:t>
            </w:r>
          </w:p>
        </w:tc>
      </w:tr>
      <w:tr>
        <w:tc>
          <w:tcPr>
            <w:tcW w:type="dxa" w:w="34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Net Revenue Retention (NRR)</w:t>
            </w:r>
          </w:p>
        </w:tc>
        <w:tc>
          <w:tcPr>
            <w:tcW w:type="dxa" w:w="18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112%</w:t>
            </w:r>
          </w:p>
        </w:tc>
        <w:tc>
          <w:tcPr>
            <w:tcW w:type="dxa" w:w="18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124%</w:t>
            </w:r>
          </w:p>
        </w:tc>
        <w:tc>
          <w:tcPr>
            <w:tcW w:type="dxa" w:w="19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131%</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Payback Period (months)</w:t>
            </w:r>
          </w:p>
        </w:tc>
        <w:tc>
          <w:tcPr>
            <w:tcW w:type="dxa" w:w="1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w:t>
            </w:r>
          </w:p>
        </w:tc>
        <w:tc>
          <w:tcPr>
            <w:tcW w:type="dxa" w:w="1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w:t>
            </w:r>
          </w:p>
        </w:tc>
        <w:tc>
          <w:tcPr>
            <w:tcW w:type="dxa" w:w="19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r>
    </w:tbl>
    <w:p>
      <w:pPr>
        <w:spacing w:after="0" w:before="0"/>
      </w:pPr>
      <w:r>
        <w:rPr>
          <w:rFonts w:ascii="Arial" w:cs="Arial" w:eastAsia="Arial" w:hAnsi="Arial"/>
        </w:rPr>
        <w:t xml:space="preserve"> </w:t>
      </w:r>
    </w:p>
    <w:p>
      <w:pPr>
        <w:spacing w:after="100" w:before="0"/>
      </w:pPr>
      <w:r>
        <w:rPr>
          <w:rFonts w:ascii="Arial" w:cs="Arial" w:eastAsia="Arial" w:hAnsi="Arial"/>
          <w:color w:val="1e293b"/>
          <w:sz w:val="22"/>
          <w:szCs w:val="22"/>
        </w:rPr>
        <w:t xml:space="preserve">Note: CAC is significantly lower than conventional SaaS benchmarks because the founder's existing network and consultancy practice (Prosota) provides a direct route to the first 12 customers with minimal paid acquisition cost. The founder IS the sales team in Year 1.</w:t>
      </w:r>
    </w:p>
    <w:p>
      <w:pPr>
        <w:spacing w:after="0" w:before="0"/>
      </w:pPr>
      <w:r>
        <w:rPr>
          <w:rFonts w:ascii="Arial" w:cs="Arial" w:eastAsia="Arial" w:hAnsi="Arial"/>
        </w:rPr>
        <w:t xml:space="preserve"> </w:t>
      </w:r>
    </w:p>
    <w:p>
      <w:pPr>
        <w:spacing w:after="0" w:before="0"/>
      </w:pPr>
      <w:r>
        <w:br w:type="page"/>
      </w:r>
    </w:p>
    <w:p>
      <w:pPr>
        <w:pStyle w:val="Heading1"/>
        <w:pBdr>
          <w:bottom w:val="single" w:color="1A2E6B" w:sz="6" w:space="4"/>
        </w:pBdr>
        <w:spacing w:after="120" w:before="360"/>
      </w:pPr>
      <w:r>
        <w:rPr>
          <w:rFonts w:ascii="Arial" w:cs="Arial" w:eastAsia="Arial" w:hAnsi="Arial"/>
          <w:b/>
          <w:bCs/>
          <w:color w:val="1A2E6B"/>
          <w:sz w:val="32"/>
          <w:szCs w:val="32"/>
        </w:rPr>
        <w:t xml:space="preserve">7. Development Roadmap</w:t>
      </w:r>
    </w:p>
    <w:p>
      <w:pPr>
        <w:pStyle w:val="Heading2"/>
        <w:spacing w:after="80" w:before="280"/>
      </w:pPr>
      <w:r>
        <w:rPr>
          <w:rFonts w:ascii="Arial" w:cs="Arial" w:eastAsia="Arial" w:hAnsi="Arial"/>
          <w:b/>
          <w:bCs/>
          <w:color w:val="2563EB"/>
          <w:sz w:val="26"/>
          <w:szCs w:val="26"/>
        </w:rPr>
        <w:t xml:space="preserve">7.1 Guiding Principles</w:t>
      </w:r>
    </w:p>
    <w:p>
      <w:pPr>
        <w:pStyle w:val="ListParagraph"/>
        <w:numPr>
          <w:ilvl w:val="0"/>
          <w:numId w:val="2"/>
        </w:numPr>
        <w:spacing w:after="60" w:before="0"/>
      </w:pPr>
      <w:r>
        <w:rPr>
          <w:rFonts w:ascii="Arial" w:cs="Arial" w:eastAsia="Arial" w:hAnsi="Arial"/>
          <w:color w:val="1e293b"/>
          <w:sz w:val="22"/>
          <w:szCs w:val="22"/>
        </w:rPr>
        <w:t xml:space="preserve">Prototype-first: Every production module is a direct engineering migration of a working prototype component — no reinvention, no discovery phase, no specification risk</w:t>
      </w:r>
    </w:p>
    <w:p>
      <w:pPr>
        <w:pStyle w:val="ListParagraph"/>
        <w:numPr>
          <w:ilvl w:val="0"/>
          <w:numId w:val="2"/>
        </w:numPr>
        <w:spacing w:after="60" w:before="0"/>
      </w:pPr>
      <w:r>
        <w:rPr>
          <w:rFonts w:ascii="Arial" w:cs="Arial" w:eastAsia="Arial" w:hAnsi="Arial"/>
          <w:color w:val="1e293b"/>
          <w:sz w:val="22"/>
          <w:szCs w:val="22"/>
        </w:rPr>
        <w:t xml:space="preserve">Founder-directed: The founder makes all product decisions; Claude executes all engineering; the loop is tight, fast, and frictionless</w:t>
      </w:r>
    </w:p>
    <w:p>
      <w:pPr>
        <w:pStyle w:val="ListParagraph"/>
        <w:numPr>
          <w:ilvl w:val="0"/>
          <w:numId w:val="2"/>
        </w:numPr>
        <w:spacing w:after="60" w:before="0"/>
      </w:pPr>
      <w:r>
        <w:rPr>
          <w:rFonts w:ascii="Arial" w:cs="Arial" w:eastAsia="Arial" w:hAnsi="Arial"/>
          <w:color w:val="1e293b"/>
          <w:sz w:val="22"/>
          <w:szCs w:val="22"/>
        </w:rPr>
        <w:t xml:space="preserve">Customer-validated: Pilot customers access the staging environment from Month 3; their feedback directly shapes sprint priorities from Month 4 onwards</w:t>
      </w:r>
    </w:p>
    <w:p>
      <w:pPr>
        <w:pStyle w:val="ListParagraph"/>
        <w:numPr>
          <w:ilvl w:val="0"/>
          <w:numId w:val="2"/>
        </w:numPr>
        <w:spacing w:after="60" w:before="0"/>
      </w:pPr>
      <w:r>
        <w:rPr>
          <w:rFonts w:ascii="Arial" w:cs="Arial" w:eastAsia="Arial" w:hAnsi="Arial"/>
          <w:color w:val="1e293b"/>
          <w:sz w:val="22"/>
          <w:szCs w:val="22"/>
        </w:rPr>
        <w:t xml:space="preserve">Sector-agnostic from day one: No hard-coded domain assumptions; all configuration is data-driven so the platform works for any industry without customisation</w:t>
      </w:r>
    </w:p>
    <w:p>
      <w:pPr>
        <w:pStyle w:val="ListParagraph"/>
        <w:numPr>
          <w:ilvl w:val="0"/>
          <w:numId w:val="2"/>
        </w:numPr>
        <w:spacing w:after="60" w:before="0"/>
      </w:pPr>
      <w:r>
        <w:rPr>
          <w:rFonts w:ascii="Arial" w:cs="Arial" w:eastAsia="Arial" w:hAnsi="Arial"/>
          <w:color w:val="1e293b"/>
          <w:sz w:val="22"/>
          <w:szCs w:val="22"/>
        </w:rPr>
        <w:t xml:space="preserve">AI-native throughout: Every module ships with AI features; AI is not added later — it is in the first sprint</w:t>
      </w:r>
    </w:p>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7.2 Phase 1 — Production MVP (Months 1–12)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3800"/>
        <w:gridCol w:w="3426"/>
      </w:tblGrid>
      <w:tr>
        <w:trPr>
          <w:tblHeader/>
        </w:trPr>
        <w:tc>
          <w:tcPr>
            <w:tcW w:type="dxa" w:w="11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Sprint</w:t>
            </w:r>
          </w:p>
        </w:tc>
        <w:tc>
          <w:tcPr>
            <w:tcW w:type="dxa" w:w="7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Months</w:t>
            </w:r>
          </w:p>
        </w:tc>
        <w:tc>
          <w:tcPr>
            <w:tcW w:type="dxa" w:w="38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Key Deliverables</w:t>
            </w:r>
          </w:p>
        </w:tc>
        <w:tc>
          <w:tcPr>
            <w:tcW w:type="dxa" w:w="3426"/>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Success Criteria</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Sprint 1
Infrastructure</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Multi-tenant AWS infrastructure (ECS Fargate, RDS Aurora, Redis, S3), CI/CD pipeline (GitHub Actions), Auth0 integration, PostgreSQL schema with row-level security, staging + production environments</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Staging environment live; Auth0 login working; database migrations running; CI pipeline green on every commit</w:t>
            </w:r>
          </w:p>
        </w:tc>
      </w:tr>
      <w:tr>
        <w:tc>
          <w:tcPr>
            <w:tcW w:type="dxa" w:w="11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Sprint 2
Core API</w:t>
            </w:r>
          </w:p>
        </w:tc>
        <w:tc>
          <w:tcPr>
            <w:tcW w:type="dxa" w:w="7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2–4</w:t>
            </w:r>
          </w:p>
        </w:tc>
        <w:tc>
          <w:tcPr>
            <w:tcW w:type="dxa" w:w="38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FastAPI: all core entities (Organisation, Project, Period, Activity, Risk, CostItem, ICDItem, File), role-based access control (Admin/PM/Editor/Viewer), full audit logging, OpenAPI documentation</w:t>
            </w:r>
          </w:p>
        </w:tc>
        <w:tc>
          <w:tcPr>
            <w:tcW w:type="dxa" w:w="34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All 8 entity APIs tested; RBAC verified; audit log writing on every mutation; OpenAPI spec published</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Sprint 3
Frontend</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4–6</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React/TypeScript migration of all 8 modules from prototype; Tailwind design system; responsive layout; WCAG 2.1 AA accessibility; real API data replacing prototype mock data</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8 modules rendering live API data; design matches prototype; passes accessibility audit</w:t>
            </w:r>
          </w:p>
        </w:tc>
      </w:tr>
      <w:tr>
        <w:tc>
          <w:tcPr>
            <w:tcW w:type="dxa" w:w="11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Sprint 4
AI Integration</w:t>
            </w:r>
          </w:p>
        </w:tc>
        <w:tc>
          <w:tcPr>
            <w:tcW w:type="dxa" w:w="7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6–7</w:t>
            </w:r>
          </w:p>
        </w:tc>
        <w:tc>
          <w:tcPr>
            <w:tcW w:type="dxa" w:w="38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Claude API integration; context injection architecture (module-aware system prompts with live project data); ProsotaAI panel; quick prompts; conversation history; AI output export</w:t>
            </w:r>
          </w:p>
        </w:tc>
        <w:tc>
          <w:tcPr>
            <w:tcW w:type="dxa" w:w="34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AI responds contextually in each module; context contains current project state; conversation history persists per session</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Sprint 5
Period Engine</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7–8</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period state machine backend (live/frozen/incorporating); period baseline snapshots stored as immutable records; module readiness checklist; amendment log; baseline history with diff</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period cycle completable end-to-end; frozen data immutable in DB; amendment records linked to parent baseline</w:t>
            </w:r>
          </w:p>
        </w:tc>
      </w:tr>
      <w:tr>
        <w:tc>
          <w:tcPr>
            <w:tcW w:type="dxa" w:w="11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Sprint 6
Import &amp; API</w:t>
            </w:r>
          </w:p>
        </w:tc>
        <w:tc>
          <w:tcPr>
            <w:tcW w:type="dxa" w:w="7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8–9</w:t>
            </w:r>
          </w:p>
        </w:tc>
        <w:tc>
          <w:tcPr>
            <w:tcW w:type="dxa" w:w="38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XER import (Primavera P6 migration); XLSX import/export all modules; public REST API with API key management; webhook framework; rate limiting</w:t>
            </w:r>
          </w:p>
        </w:tc>
        <w:tc>
          <w:tcPr>
            <w:tcW w:type="dxa" w:w="34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P6 XER file imports successfully into Planner; all modules export clean XLSX; public API documented and tested</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Sprint 7
Reporting</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9–10</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Controls Dashboard with frozen period data; period narrative AI generation; branded PDF export; executive summary generation; S-curve data endpoint</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Dashboard shows only frozen data post-cut-off; PDF export renders correctly; AI narrative generated and editable</w:t>
            </w:r>
          </w:p>
        </w:tc>
      </w:tr>
      <w:tr>
        <w:tc>
          <w:tcPr>
            <w:tcW w:type="dxa" w:w="11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Sprint 8
Beta &amp; Security</w:t>
            </w:r>
          </w:p>
        </w:tc>
        <w:tc>
          <w:tcPr>
            <w:tcW w:type="dxa" w:w="7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10–12</w:t>
            </w:r>
          </w:p>
        </w:tc>
        <w:tc>
          <w:tcPr>
            <w:tcW w:type="dxa" w:w="38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Closed beta: 5 pilot customers across 3 sectors; penetration testing; ISO 27001 gap assessment; GDPR DPA templates; load testing (500 concurrent users); bug fix sprint</w:t>
            </w:r>
          </w:p>
        </w:tc>
        <w:tc>
          <w:tcPr>
            <w:tcW w:type="dxa" w:w="34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Pen test passed with no critical findings; 5 pilot customers active; GDPR DPA signed with all pilots; load test passes</w:t>
            </w:r>
          </w:p>
        </w:tc>
      </w:tr>
    </w:tbl>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7.3 Phase 2 — Scale &amp; Deepen (Months 13–24)</w:t>
      </w:r>
    </w:p>
    <w:p>
      <w:pPr>
        <w:pStyle w:val="ListParagraph"/>
        <w:numPr>
          <w:ilvl w:val="0"/>
          <w:numId w:val="2"/>
        </w:numPr>
        <w:spacing w:after="60" w:before="0"/>
      </w:pPr>
      <w:r>
        <w:rPr>
          <w:rFonts w:ascii="Arial" w:cs="Arial" w:eastAsia="Arial" w:hAnsi="Arial"/>
          <w:color w:val="1e293b"/>
          <w:sz w:val="22"/>
          <w:szCs w:val="22"/>
        </w:rPr>
        <w:t xml:space="preserve">Advanced AI: Predictive schedule delay modelling, AI risk probability calibration, automated period health reports, cost variance root cause analysis</w:t>
      </w:r>
    </w:p>
    <w:p>
      <w:pPr>
        <w:pStyle w:val="ListParagraph"/>
        <w:numPr>
          <w:ilvl w:val="0"/>
          <w:numId w:val="2"/>
        </w:numPr>
        <w:spacing w:after="60" w:before="0"/>
      </w:pPr>
      <w:r>
        <w:rPr>
          <w:rFonts w:ascii="Arial" w:cs="Arial" w:eastAsia="Arial" w:hAnsi="Arial"/>
          <w:color w:val="1e293b"/>
          <w:sz w:val="22"/>
          <w:szCs w:val="22"/>
        </w:rPr>
        <w:t xml:space="preserve">Enterprise features: SAML SSO, white-label/custom branding, advanced role hierarchy, ISO 27001 certification, SOC 2 Type II gap assessment, SLA monitoring</w:t>
      </w:r>
    </w:p>
    <w:p>
      <w:pPr>
        <w:pStyle w:val="ListParagraph"/>
        <w:numPr>
          <w:ilvl w:val="0"/>
          <w:numId w:val="2"/>
        </w:numPr>
        <w:spacing w:after="60" w:before="0"/>
      </w:pPr>
      <w:r>
        <w:rPr>
          <w:rFonts w:ascii="Arial" w:cs="Arial" w:eastAsia="Arial" w:hAnsi="Arial"/>
          <w:color w:val="1e293b"/>
          <w:sz w:val="22"/>
          <w:szCs w:val="22"/>
        </w:rPr>
        <w:t xml:space="preserve">Portfolio view: Multi-project workspace dashboard aggregating KPIs across all active projects</w:t>
      </w:r>
    </w:p>
    <w:p>
      <w:pPr>
        <w:pStyle w:val="ListParagraph"/>
        <w:numPr>
          <w:ilvl w:val="0"/>
          <w:numId w:val="2"/>
        </w:numPr>
        <w:spacing w:after="60" w:before="0"/>
      </w:pPr>
      <w:r>
        <w:rPr>
          <w:rFonts w:ascii="Arial" w:cs="Arial" w:eastAsia="Arial" w:hAnsi="Arial"/>
          <w:color w:val="1e293b"/>
          <w:sz w:val="22"/>
          <w:szCs w:val="22"/>
        </w:rPr>
        <w:t xml:space="preserve">Integrations: Oracle Primavera Cloud two-way sync, Power BI certified connector, Slack/Teams notifications, SAP PS read integration, Salesforce CRM link</w:t>
      </w:r>
    </w:p>
    <w:p>
      <w:pPr>
        <w:pStyle w:val="ListParagraph"/>
        <w:numPr>
          <w:ilvl w:val="0"/>
          <w:numId w:val="2"/>
        </w:numPr>
        <w:spacing w:after="60" w:before="0"/>
      </w:pPr>
      <w:r>
        <w:rPr>
          <w:rFonts w:ascii="Arial" w:cs="Arial" w:eastAsia="Arial" w:hAnsi="Arial"/>
          <w:color w:val="1e293b"/>
          <w:sz w:val="22"/>
          <w:szCs w:val="22"/>
        </w:rPr>
        <w:t xml:space="preserve">Mobile: PWA optimisation for tablet; offline read mode for field programme reviews; React Native evaluation</w:t>
      </w:r>
    </w:p>
    <w:p>
      <w:pPr>
        <w:pStyle w:val="ListParagraph"/>
        <w:numPr>
          <w:ilvl w:val="0"/>
          <w:numId w:val="2"/>
        </w:numPr>
        <w:spacing w:after="60" w:before="0"/>
      </w:pPr>
      <w:r>
        <w:rPr>
          <w:rFonts w:ascii="Arial" w:cs="Arial" w:eastAsia="Arial" w:hAnsi="Arial"/>
          <w:color w:val="1e293b"/>
          <w:sz w:val="22"/>
          <w:szCs w:val="22"/>
        </w:rPr>
        <w:t xml:space="preserve">Sector templates: Pre-configured project templates for infrastructure, defence, energy, pharma, and IT transformation — reducing time-to-value in new sectors</w:t>
      </w:r>
    </w:p>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7.4 Phase 3 — Market Leadership (Months 25–48)</w:t>
      </w:r>
    </w:p>
    <w:p>
      <w:pPr>
        <w:pStyle w:val="ListParagraph"/>
        <w:numPr>
          <w:ilvl w:val="0"/>
          <w:numId w:val="2"/>
        </w:numPr>
        <w:spacing w:after="60" w:before="0"/>
      </w:pPr>
      <w:r>
        <w:rPr>
          <w:rFonts w:ascii="Arial" w:cs="Arial" w:eastAsia="Arial" w:hAnsi="Arial"/>
          <w:color w:val="1e293b"/>
          <w:sz w:val="22"/>
          <w:szCs w:val="22"/>
        </w:rPr>
        <w:t xml:space="preserve">International: MENA, Australia, North America market entry — localised compliance, currency, and regulatory reporting</w:t>
      </w:r>
    </w:p>
    <w:p>
      <w:pPr>
        <w:pStyle w:val="ListParagraph"/>
        <w:numPr>
          <w:ilvl w:val="0"/>
          <w:numId w:val="2"/>
        </w:numPr>
        <w:spacing w:after="60" w:before="0"/>
      </w:pPr>
      <w:r>
        <w:rPr>
          <w:rFonts w:ascii="Arial" w:cs="Arial" w:eastAsia="Arial" w:hAnsi="Arial"/>
          <w:color w:val="1e293b"/>
          <w:sz w:val="22"/>
          <w:szCs w:val="22"/>
        </w:rPr>
        <w:t xml:space="preserve">AI R&amp;D: Domain fine-tuning of underlying model on anonymised programme data; proprietary risk prediction and delay probability scoring</w:t>
      </w:r>
    </w:p>
    <w:p>
      <w:pPr>
        <w:pStyle w:val="ListParagraph"/>
        <w:numPr>
          <w:ilvl w:val="0"/>
          <w:numId w:val="2"/>
        </w:numPr>
        <w:spacing w:after="60" w:before="0"/>
      </w:pPr>
      <w:r>
        <w:rPr>
          <w:rFonts w:ascii="Arial" w:cs="Arial" w:eastAsia="Arial" w:hAnsi="Arial"/>
          <w:color w:val="1e293b"/>
          <w:sz w:val="22"/>
          <w:szCs w:val="22"/>
        </w:rPr>
        <w:t xml:space="preserve">Marketplace: Partner integration modules, sector compliance add-ons, certified implementation partner programme</w:t>
      </w:r>
    </w:p>
    <w:p>
      <w:pPr>
        <w:pStyle w:val="ListParagraph"/>
        <w:numPr>
          <w:ilvl w:val="0"/>
          <w:numId w:val="2"/>
        </w:numPr>
        <w:spacing w:after="60" w:before="0"/>
      </w:pPr>
      <w:r>
        <w:rPr>
          <w:rFonts w:ascii="Arial" w:cs="Arial" w:eastAsia="Arial" w:hAnsi="Arial"/>
          <w:color w:val="1e293b"/>
          <w:sz w:val="22"/>
          <w:szCs w:val="22"/>
        </w:rPr>
        <w:t xml:space="preserve">Certifications: ISO 27001 full, SOC 2 Type II, G-Cloud 15 UK listing, Crown Commercial Service framework, FedRAMP pathway (US Government)</w:t>
      </w:r>
    </w:p>
    <w:p>
      <w:pPr>
        <w:spacing w:after="0" w:before="0"/>
      </w:pPr>
      <w:r>
        <w:rPr>
          <w:rFonts w:ascii="Arial" w:cs="Arial" w:eastAsia="Arial" w:hAnsi="Arial"/>
        </w:rPr>
        <w:t xml:space="preserve"> </w:t>
      </w:r>
    </w:p>
    <w:p>
      <w:pPr>
        <w:spacing w:after="0" w:before="0"/>
      </w:pPr>
      <w:r>
        <w:br w:type="page"/>
      </w:r>
    </w:p>
    <w:p>
      <w:pPr>
        <w:pStyle w:val="Heading1"/>
        <w:pBdr>
          <w:bottom w:val="single" w:color="1A2E6B" w:sz="6" w:space="4"/>
        </w:pBdr>
        <w:spacing w:after="120" w:before="360"/>
      </w:pPr>
      <w:r>
        <w:rPr>
          <w:rFonts w:ascii="Arial" w:cs="Arial" w:eastAsia="Arial" w:hAnsi="Arial"/>
          <w:b/>
          <w:bCs/>
          <w:color w:val="1A2E6B"/>
          <w:sz w:val="32"/>
          <w:szCs w:val="32"/>
        </w:rPr>
        <w:t xml:space="preserve">8. Go-to-Market Strategy</w:t>
      </w:r>
    </w:p>
    <w:p>
      <w:pPr>
        <w:pStyle w:val="Heading2"/>
        <w:spacing w:after="80" w:before="280"/>
      </w:pPr>
      <w:r>
        <w:rPr>
          <w:rFonts w:ascii="Arial" w:cs="Arial" w:eastAsia="Arial" w:hAnsi="Arial"/>
          <w:b/>
          <w:bCs/>
          <w:color w:val="2563EB"/>
          <w:sz w:val="26"/>
          <w:szCs w:val="26"/>
        </w:rPr>
        <w:t xml:space="preserve">8.1 The Founder's Unfair Advantage</w:t>
      </w:r>
    </w:p>
    <w:p>
      <w:pPr>
        <w:spacing w:after="100" w:before="0"/>
      </w:pPr>
      <w:r>
        <w:rPr>
          <w:rFonts w:ascii="Arial" w:cs="Arial" w:eastAsia="Arial" w:hAnsi="Arial"/>
          <w:color w:val="1e293b"/>
          <w:sz w:val="22"/>
          <w:szCs w:val="22"/>
        </w:rPr>
        <w:t xml:space="preserve">The founder's 15+ years of active practice in UK infrastructure programme controls is not merely a credential — it is the primary sales asset. Every target customer is a peer. The conversations are not sales pitches; they are professional exchanges between practitioners about a shared problem. The founder's existing consultancy (Prosota) already has client relationships across the exact beachhead market. The first 10 customers will be won through trust, not marketing spend.</w:t>
      </w:r>
    </w:p>
    <w:p>
      <w:pPr>
        <w:spacing w:after="0" w:before="0"/>
      </w:pPr>
      <w:r>
        <w:rPr>
          <w:rFonts w:ascii="Arial" w:cs="Arial" w:eastAsia="Arial" w:hAnsi="Arial"/>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0B981" w:sz="6"/>
              <w:left w:val="single" w:color="10B981" w:sz="18"/>
              <w:bottom w:val="single" w:color="10B981" w:sz="1"/>
              <w:right w:val="single" w:color="10B981" w:sz="1"/>
            </w:tcBorders>
            <w:shd w:fill="F0FDF4" w:val="clear"/>
            <w:tcMar>
              <w:top w:type="dxa" w:w="110"/>
              <w:left w:type="dxa" w:w="200"/>
              <w:bottom w:type="dxa" w:w="110"/>
              <w:right w:type="dxa" w:w="160"/>
            </w:tcMar>
          </w:tcPr>
          <w:p>
            <w:pPr>
              <w:spacing w:after="60" w:before="0"/>
            </w:pPr>
            <w:r>
              <w:rPr>
                <w:rFonts w:ascii="Arial" w:cs="Arial" w:eastAsia="Arial" w:hAnsi="Arial"/>
                <w:b/>
                <w:bCs/>
                <w:color w:val="10B981"/>
                <w:sz w:val="20"/>
                <w:szCs w:val="20"/>
              </w:rPr>
              <w:t xml:space="preserve">Built-In Distribution</w:t>
            </w:r>
          </w:p>
          <w:p>
            <w:pPr>
              <w:spacing w:after="0" w:before="0"/>
            </w:pPr>
            <w:r>
              <w:rPr>
                <w:rFonts w:ascii="Arial" w:cs="Arial" w:eastAsia="Arial" w:hAnsi="Arial"/>
                <w:color w:val="1e293b"/>
                <w:sz w:val="20"/>
                <w:szCs w:val="20"/>
              </w:rPr>
              <w:t xml:space="preserve">Prosota Consulting Ltd already operates as a programme controls consultancy serving clients in construction and infrastructure. Every client relationship is a potential ProsotaPMO customer. Every engagement is a live demonstration environment. The consulting practice IS the go-to-market strategy for Year 1 — a distribution channel that costs nothing to create because it already exists.</w:t>
            </w:r>
          </w:p>
        </w:tc>
      </w:tr>
    </w:tbl>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8.2 Year 1 Sales Strategy — Founder-Led</w:t>
      </w:r>
    </w:p>
    <w:p>
      <w:pPr>
        <w:pStyle w:val="ListParagraph"/>
        <w:numPr>
          <w:ilvl w:val="0"/>
          <w:numId w:val="2"/>
        </w:numPr>
        <w:spacing w:after="60" w:before="0"/>
      </w:pPr>
      <w:r>
        <w:rPr>
          <w:rFonts w:ascii="Arial" w:cs="Arial" w:eastAsia="Arial" w:hAnsi="Arial"/>
          <w:color w:val="1e293b"/>
          <w:sz w:val="22"/>
          <w:szCs w:val="22"/>
        </w:rPr>
        <w:t xml:space="preserve">Target: 12 paying customers by Month 12; minimum 3 different sectors to validate horizontal positioning</w:t>
      </w:r>
    </w:p>
    <w:p>
      <w:pPr>
        <w:pStyle w:val="ListParagraph"/>
        <w:numPr>
          <w:ilvl w:val="0"/>
          <w:numId w:val="2"/>
        </w:numPr>
        <w:spacing w:after="60" w:before="0"/>
      </w:pPr>
      <w:r>
        <w:rPr>
          <w:rFonts w:ascii="Arial" w:cs="Arial" w:eastAsia="Arial" w:hAnsi="Arial"/>
          <w:color w:val="1e293b"/>
          <w:sz w:val="22"/>
          <w:szCs w:val="22"/>
        </w:rPr>
        <w:t xml:space="preserve">Channel: 100% founder-led direct sales in Year 1 — no sales hires until the sales motion is repeatable and documented</w:t>
      </w:r>
    </w:p>
    <w:p>
      <w:pPr>
        <w:pStyle w:val="ListParagraph"/>
        <w:numPr>
          <w:ilvl w:val="0"/>
          <w:numId w:val="2"/>
        </w:numPr>
        <w:spacing w:after="60" w:before="0"/>
      </w:pPr>
      <w:r>
        <w:rPr>
          <w:rFonts w:ascii="Arial" w:cs="Arial" w:eastAsia="Arial" w:hAnsi="Arial"/>
          <w:color w:val="1e293b"/>
          <w:sz w:val="22"/>
          <w:szCs w:val="22"/>
        </w:rPr>
        <w:t xml:space="preserve">Primary outreach: Prosota existing client relationships; personal professional network (LinkedIn — 1,000+ construction and infrastructure connections); APM, PMI UK, and AACE network</w:t>
      </w:r>
    </w:p>
    <w:p>
      <w:pPr>
        <w:pStyle w:val="ListParagraph"/>
        <w:numPr>
          <w:ilvl w:val="0"/>
          <w:numId w:val="2"/>
        </w:numPr>
        <w:spacing w:after="60" w:before="0"/>
      </w:pPr>
      <w:r>
        <w:rPr>
          <w:rFonts w:ascii="Arial" w:cs="Arial" w:eastAsia="Arial" w:hAnsi="Arial"/>
          <w:color w:val="1e293b"/>
          <w:sz w:val="22"/>
          <w:szCs w:val="22"/>
        </w:rPr>
        <w:t xml:space="preserve">Pilot programme: Every prospect offered a 90-day zero-cost fully-featured pilot with structured onboarding, a Month 2 business impact review, and a Month 3 conversion conversation</w:t>
      </w:r>
    </w:p>
    <w:p>
      <w:pPr>
        <w:pStyle w:val="ListParagraph"/>
        <w:numPr>
          <w:ilvl w:val="0"/>
          <w:numId w:val="2"/>
        </w:numPr>
        <w:spacing w:after="60" w:before="0"/>
      </w:pPr>
      <w:r>
        <w:rPr>
          <w:rFonts w:ascii="Arial" w:cs="Arial" w:eastAsia="Arial" w:hAnsi="Arial"/>
          <w:color w:val="1e293b"/>
          <w:sz w:val="22"/>
          <w:szCs w:val="22"/>
        </w:rPr>
        <w:t xml:space="preserve">Target pilot-to-paid conversion: 70% — achievable because the founder manages the onboarding personally and the product solves a real, felt pain</w:t>
      </w:r>
    </w:p>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8.3 Sales Channel Development</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926"/>
      </w:tblGrid>
      <w:tr>
        <w:trPr>
          <w:tblHeader/>
        </w:trPr>
        <w:tc>
          <w:tcPr>
            <w:tcW w:type="dxa" w:w="28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11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Year 1</w:t>
            </w:r>
          </w:p>
        </w:tc>
        <w:tc>
          <w:tcPr>
            <w:tcW w:type="dxa" w:w="11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Year 2</w:t>
            </w:r>
          </w:p>
        </w:tc>
        <w:tc>
          <w:tcPr>
            <w:tcW w:type="dxa" w:w="11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Year 3</w:t>
            </w:r>
          </w:p>
        </w:tc>
        <w:tc>
          <w:tcPr>
            <w:tcW w:type="dxa" w:w="1926"/>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CAC</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Founder-Led Direct (Prosota network)</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 customers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 customers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 customers</w:t>
            </w:r>
          </w:p>
        </w:tc>
        <w:tc>
          <w:tcPr>
            <w:tcW w:type="dxa" w:w="19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£2,500</w:t>
            </w:r>
          </w:p>
        </w:tc>
      </w:tr>
      <w:tr>
        <w:tc>
          <w:tcPr>
            <w:tcW w:type="dxa" w:w="28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Industry Conferences (APM, PMI UK, Infrastructure Intelligence)</w:t>
            </w:r>
          </w:p>
        </w:tc>
        <w:tc>
          <w:tcPr>
            <w:tcW w:type="dxa" w:w="11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2 customers</w:t>
            </w:r>
          </w:p>
        </w:tc>
        <w:tc>
          <w:tcPr>
            <w:tcW w:type="dxa" w:w="11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6 customers</w:t>
            </w:r>
          </w:p>
        </w:tc>
        <w:tc>
          <w:tcPr>
            <w:tcW w:type="dxa" w:w="11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8 customers</w:t>
            </w:r>
          </w:p>
        </w:tc>
        <w:tc>
          <w:tcPr>
            <w:tcW w:type="dxa" w:w="19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£9,000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Professional Body Partnerships (APM, AACE, PMI UK)</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 customers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 customers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 customers</w:t>
            </w:r>
          </w:p>
        </w:tc>
        <w:tc>
          <w:tcPr>
            <w:tcW w:type="dxa" w:w="19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£6,000</w:t>
            </w:r>
          </w:p>
        </w:tc>
      </w:tr>
      <w:tr>
        <w:tc>
          <w:tcPr>
            <w:tcW w:type="dxa" w:w="28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Inbound Content &amp; SEO</w:t>
            </w:r>
          </w:p>
        </w:tc>
        <w:tc>
          <w:tcPr>
            <w:tcW w:type="dxa" w:w="11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0 customers</w:t>
            </w:r>
          </w:p>
        </w:tc>
        <w:tc>
          <w:tcPr>
            <w:tcW w:type="dxa" w:w="11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8 customers</w:t>
            </w:r>
          </w:p>
        </w:tc>
        <w:tc>
          <w:tcPr>
            <w:tcW w:type="dxa" w:w="11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25 customers</w:t>
            </w:r>
          </w:p>
        </w:tc>
        <w:tc>
          <w:tcPr>
            <w:tcW w:type="dxa" w:w="19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£4,000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Partner Referrals (consultancies, training providers)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 customers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 customers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 customers</w:t>
            </w:r>
          </w:p>
        </w:tc>
        <w:tc>
          <w:tcPr>
            <w:tcW w:type="dxa" w:w="19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£5,500</w:t>
            </w:r>
          </w:p>
        </w:tc>
      </w:tr>
      <w:tr>
        <w:tc>
          <w:tcPr>
            <w:tcW w:type="dxa" w:w="28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Sector Expansion Outreach (defence, energy, pharma)</w:t>
            </w:r>
          </w:p>
        </w:tc>
        <w:tc>
          <w:tcPr>
            <w:tcW w:type="dxa" w:w="11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0 customers</w:t>
            </w:r>
          </w:p>
        </w:tc>
        <w:tc>
          <w:tcPr>
            <w:tcW w:type="dxa" w:w="11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4 customers</w:t>
            </w:r>
          </w:p>
        </w:tc>
        <w:tc>
          <w:tcPr>
            <w:tcW w:type="dxa" w:w="11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35 customers</w:t>
            </w:r>
          </w:p>
        </w:tc>
        <w:tc>
          <w:tcPr>
            <w:tcW w:type="dxa" w:w="19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£8,500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Enterprise Direct Sales (hire Year 2)</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 customers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 customers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27 customers</w:t>
            </w:r>
          </w:p>
        </w:tc>
        <w:tc>
          <w:tcPr>
            <w:tcW w:type="dxa" w:w="19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£12,000</w:t>
            </w:r>
          </w:p>
        </w:tc>
      </w:tr>
    </w:tbl>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8.4 Pilot Programme Structure</w:t>
      </w:r>
    </w:p>
    <w:p>
      <w:pPr>
        <w:pStyle w:val="ListParagraph"/>
        <w:numPr>
          <w:ilvl w:val="0"/>
          <w:numId w:val="2"/>
        </w:numPr>
        <w:spacing w:after="60" w:before="0"/>
      </w:pPr>
      <w:r>
        <w:rPr>
          <w:rFonts w:ascii="Arial" w:cs="Arial" w:eastAsia="Arial" w:hAnsi="Arial"/>
          <w:color w:val="1e293b"/>
          <w:sz w:val="22"/>
          <w:szCs w:val="22"/>
        </w:rPr>
        <w:t xml:space="preserve">Week 1: Founder-led onboarding session (2 hours); project setup; team training; first data import</w:t>
      </w:r>
    </w:p>
    <w:p>
      <w:pPr>
        <w:pStyle w:val="ListParagraph"/>
        <w:numPr>
          <w:ilvl w:val="0"/>
          <w:numId w:val="2"/>
        </w:numPr>
        <w:spacing w:after="60" w:before="0"/>
      </w:pPr>
      <w:r>
        <w:rPr>
          <w:rFonts w:ascii="Arial" w:cs="Arial" w:eastAsia="Arial" w:hAnsi="Arial"/>
          <w:color w:val="1e293b"/>
          <w:sz w:val="22"/>
          <w:szCs w:val="22"/>
        </w:rPr>
        <w:t xml:space="preserve">Week 4: First period cycle completed; Period Manager walkthrough; AI capability demonstration</w:t>
      </w:r>
    </w:p>
    <w:p>
      <w:pPr>
        <w:pStyle w:val="ListParagraph"/>
        <w:numPr>
          <w:ilvl w:val="0"/>
          <w:numId w:val="2"/>
        </w:numPr>
        <w:spacing w:after="60" w:before="0"/>
      </w:pPr>
      <w:r>
        <w:rPr>
          <w:rFonts w:ascii="Arial" w:cs="Arial" w:eastAsia="Arial" w:hAnsi="Arial"/>
          <w:color w:val="1e293b"/>
          <w:sz w:val="22"/>
          <w:szCs w:val="22"/>
        </w:rPr>
        <w:t xml:space="preserve">Week 8: Business impact review — quantified time savings, data quality improvement, reporting speed, team feedback</w:t>
      </w:r>
    </w:p>
    <w:p>
      <w:pPr>
        <w:pStyle w:val="ListParagraph"/>
        <w:numPr>
          <w:ilvl w:val="0"/>
          <w:numId w:val="2"/>
        </w:numPr>
        <w:spacing w:after="60" w:before="0"/>
      </w:pPr>
      <w:r>
        <w:rPr>
          <w:rFonts w:ascii="Arial" w:cs="Arial" w:eastAsia="Arial" w:hAnsi="Arial"/>
          <w:color w:val="1e293b"/>
          <w:sz w:val="22"/>
          <w:szCs w:val="22"/>
        </w:rPr>
        <w:t xml:space="preserve">Week 12: Conversion conversation; annual contract proposal; reference customer and case study agreement</w:t>
      </w:r>
    </w:p>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8.5 Pricing &amp; Value Positioning</w:t>
      </w:r>
    </w:p>
    <w:p>
      <w:pPr>
        <w:spacing w:after="100" w:before="0"/>
      </w:pPr>
      <w:r>
        <w:rPr>
          <w:rFonts w:ascii="Arial" w:cs="Arial" w:eastAsia="Arial" w:hAnsi="Arial"/>
          <w:color w:val="1e293b"/>
          <w:sz w:val="22"/>
          <w:szCs w:val="22"/>
        </w:rPr>
        <w:t xml:space="preserve">ProsotaPMO is priced against the cost of the problem — not against competitors. A 15-person project controls team losing 20% of their time to fragmented tooling represents approximately £180,000 in wasted effort annually. Professional tier for 15 users (£280 × 15 × 12 = £50,400/year) delivers a 3.6:1 ROI on that single metric alone, before any consideration of report quality, audit compliance, or client confidence.</w:t>
      </w:r>
    </w:p>
    <w:p>
      <w:pPr>
        <w:spacing w:after="0" w:before="0"/>
      </w:pPr>
      <w:r>
        <w:rPr>
          <w:rFonts w:ascii="Arial" w:cs="Arial" w:eastAsia="Arial" w:hAnsi="Arial"/>
        </w:rPr>
        <w:t xml:space="preserve"> </w:t>
      </w:r>
    </w:p>
    <w:p>
      <w:pPr>
        <w:spacing w:after="0" w:before="0"/>
      </w:pPr>
      <w:r>
        <w:br w:type="page"/>
      </w:r>
    </w:p>
    <w:p>
      <w:pPr>
        <w:pStyle w:val="Heading1"/>
        <w:pBdr>
          <w:bottom w:val="single" w:color="1A2E6B" w:sz="6" w:space="4"/>
        </w:pBdr>
        <w:spacing w:after="120" w:before="360"/>
      </w:pPr>
      <w:r>
        <w:rPr>
          <w:rFonts w:ascii="Arial" w:cs="Arial" w:eastAsia="Arial" w:hAnsi="Arial"/>
          <w:b/>
          <w:bCs/>
          <w:color w:val="1A2E6B"/>
          <w:sz w:val="32"/>
          <w:szCs w:val="32"/>
        </w:rPr>
        <w:t xml:space="preserve">9. Team Structure &amp; Organisational Plan</w:t>
      </w:r>
    </w:p>
    <w:p>
      <w:pPr>
        <w:pStyle w:val="Heading2"/>
        <w:spacing w:after="80" w:before="280"/>
      </w:pPr>
      <w:r>
        <w:rPr>
          <w:rFonts w:ascii="Arial" w:cs="Arial" w:eastAsia="Arial" w:hAnsi="Arial"/>
          <w:b/>
          <w:bCs/>
          <w:color w:val="2563EB"/>
          <w:sz w:val="26"/>
          <w:szCs w:val="26"/>
        </w:rPr>
        <w:t xml:space="preserve">9.1 Year 1 — The Founder + AI Model</w:t>
      </w:r>
    </w:p>
    <w:p>
      <w:pPr>
        <w:spacing w:after="100" w:before="0"/>
      </w:pPr>
      <w:r>
        <w:rPr>
          <w:rFonts w:ascii="Arial" w:cs="Arial" w:eastAsia="Arial" w:hAnsi="Arial"/>
          <w:color w:val="1e293b"/>
          <w:sz w:val="22"/>
          <w:szCs w:val="22"/>
        </w:rPr>
        <w:t xml:space="preserve">In Year 1, ProsotaPMO operates as a single-founder business. This is not a gap or a weakness — it is a deliberate structural choice enabled by AI-assisted development. The founder provides domain expertise, product direction, customer relationships, and strategic decisions. Claude provides the engineering. The combination delivers the output of a 4–5 person team at the cost of one person's time.</w:t>
      </w:r>
    </w:p>
    <w:p>
      <w:pPr>
        <w:spacing w:after="0" w:before="0"/>
      </w:pPr>
      <w:r>
        <w:rPr>
          <w:rFonts w:ascii="Arial" w:cs="Arial" w:eastAsia="Arial" w:hAnsi="Arial"/>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42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Year 1 Delivery Model</w:t>
            </w:r>
          </w:p>
        </w:tc>
        <w:tc>
          <w:tcPr>
            <w:tcW w:type="dxa" w:w="2626"/>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Resource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 Management</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Founder — full domain expertise; prototype already built as specification</w:t>
            </w:r>
          </w:p>
        </w:tc>
        <w:tc>
          <w:tcPr>
            <w:tcW w:type="dxa" w:w="2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Founder (L.O. Sota)</w:t>
            </w:r>
          </w:p>
        </w:tc>
      </w:tr>
      <w:tr>
        <w:tc>
          <w:tcPr>
            <w:tcW w:type="dxa" w:w="2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Frontend Engineering</w:t>
            </w:r>
          </w:p>
        </w:tc>
        <w:tc>
          <w:tcPr>
            <w:tcW w:type="dxa" w:w="4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Claude — React/TypeScript migration from prototype; founder reviews and directs</w:t>
            </w:r>
          </w:p>
        </w:tc>
        <w:tc>
          <w:tcPr>
            <w:tcW w:type="dxa" w:w="26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Claude (Anthropic)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 Engineering</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Claude — FastAPI/PostgreSQL implementation; founder specifies behaviour</w:t>
            </w:r>
          </w:p>
        </w:tc>
        <w:tc>
          <w:tcPr>
            <w:tcW w:type="dxa" w:w="2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Claude (Anthropic)</w:t>
            </w:r>
          </w:p>
        </w:tc>
      </w:tr>
      <w:tr>
        <w:tc>
          <w:tcPr>
            <w:tcW w:type="dxa" w:w="2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AI/ML Engineering</w:t>
            </w:r>
          </w:p>
        </w:tc>
        <w:tc>
          <w:tcPr>
            <w:tcW w:type="dxa" w:w="4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Claude — API integration, context architecture, prompt library; founder defines requirements</w:t>
            </w:r>
          </w:p>
        </w:tc>
        <w:tc>
          <w:tcPr>
            <w:tcW w:type="dxa" w:w="26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Claude (Anthropic)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Infrastructure / DevOps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Claude — Terraform, AWS config, CI/CD; founder holds credentials and reviews</w:t>
            </w:r>
          </w:p>
        </w:tc>
        <w:tc>
          <w:tcPr>
            <w:tcW w:type="dxa" w:w="2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Claude (Anthropic)</w:t>
            </w:r>
          </w:p>
        </w:tc>
      </w:tr>
      <w:tr>
        <w:tc>
          <w:tcPr>
            <w:tcW w:type="dxa" w:w="2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UX / Design</w:t>
            </w:r>
          </w:p>
        </w:tc>
        <w:tc>
          <w:tcPr>
            <w:tcW w:type="dxa" w:w="4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Prototype defines the design; freelance designer engaged for design system polish (2 months)</w:t>
            </w:r>
          </w:p>
        </w:tc>
        <w:tc>
          <w:tcPr>
            <w:tcW w:type="dxa" w:w="26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Freelance (part-time)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Security &amp; Compliance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Claude generates implementation; specialist pen-test firm engaged at Month 10</w:t>
            </w:r>
          </w:p>
        </w:tc>
        <w:tc>
          <w:tcPr>
            <w:tcW w:type="dxa" w:w="2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Claude + Specialist (contract)</w:t>
            </w:r>
          </w:p>
        </w:tc>
      </w:tr>
      <w:tr>
        <w:tc>
          <w:tcPr>
            <w:tcW w:type="dxa" w:w="2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Customer Success</w:t>
            </w:r>
          </w:p>
        </w:tc>
        <w:tc>
          <w:tcPr>
            <w:tcW w:type="dxa" w:w="4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Founder manages all pilot customer relationships personally in Year 1</w:t>
            </w:r>
          </w:p>
        </w:tc>
        <w:tc>
          <w:tcPr>
            <w:tcW w:type="dxa" w:w="26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Founder (L.O. Sota)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Sales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Founder-led entirely — Prosota network and direct outreach</w:t>
            </w:r>
          </w:p>
        </w:tc>
        <w:tc>
          <w:tcPr>
            <w:tcW w:type="dxa" w:w="2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Founder (L.O. Sota)</w:t>
            </w:r>
          </w:p>
        </w:tc>
      </w:tr>
      <w:tr>
        <w:tc>
          <w:tcPr>
            <w:tcW w:type="dxa" w:w="2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Finance &amp; Legal</w:t>
            </w:r>
          </w:p>
        </w:tc>
        <w:tc>
          <w:tcPr>
            <w:tcW w:type="dxa" w:w="42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Part-time accountant; legal firm for IP, contracts, and GDPR documentation</w:t>
            </w:r>
          </w:p>
        </w:tc>
        <w:tc>
          <w:tcPr>
            <w:tcW w:type="dxa" w:w="26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Freelance / Law firm</w:t>
            </w:r>
          </w:p>
        </w:tc>
      </w:tr>
    </w:tbl>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9.2 Year 2 Hires — Building the Commercial Engine</w:t>
      </w:r>
    </w:p>
    <w:p>
      <w:pPr>
        <w:spacing w:after="100" w:before="0"/>
      </w:pPr>
      <w:r>
        <w:rPr>
          <w:rFonts w:ascii="Arial" w:cs="Arial" w:eastAsia="Arial" w:hAnsi="Arial"/>
          <w:color w:val="1e293b"/>
          <w:sz w:val="22"/>
          <w:szCs w:val="22"/>
        </w:rPr>
        <w:t xml:space="preserve">Revenue from Year 1 customers and Series A investment fund the first commercial hires in Year 2. Engineering remains founder-AI led; the hires are commercial and customer-facing:</w:t>
      </w:r>
    </w:p>
    <w:p>
      <w:pPr>
        <w:spacing w:after="0" w:before="0"/>
      </w:pPr>
      <w:r>
        <w:rPr>
          <w:rFonts w:ascii="Arial" w:cs="Arial" w:eastAsia="Arial" w:hAnsi="Arial"/>
        </w:rPr>
        <w:t xml:space="preserve"> </w:t>
      </w:r>
    </w:p>
    <w:p>
      <w:pPr>
        <w:pStyle w:val="ListParagraph"/>
        <w:numPr>
          <w:ilvl w:val="0"/>
          <w:numId w:val="2"/>
        </w:numPr>
        <w:spacing w:after="60" w:before="0"/>
      </w:pPr>
      <w:r>
        <w:rPr>
          <w:rFonts w:ascii="Arial" w:cs="Arial" w:eastAsia="Arial" w:hAnsi="Arial"/>
          <w:color w:val="1e293b"/>
          <w:sz w:val="22"/>
          <w:szCs w:val="22"/>
        </w:rPr>
        <w:t xml:space="preserve">Head of Customer Success (Month 14) — owns onboarding, retention, NRR, and expansion; frees founder for sales and product (£75,000)</w:t>
      </w:r>
    </w:p>
    <w:p>
      <w:pPr>
        <w:pStyle w:val="ListParagraph"/>
        <w:numPr>
          <w:ilvl w:val="0"/>
          <w:numId w:val="2"/>
        </w:numPr>
        <w:spacing w:after="60" w:before="0"/>
      </w:pPr>
      <w:r>
        <w:rPr>
          <w:rFonts w:ascii="Arial" w:cs="Arial" w:eastAsia="Arial" w:hAnsi="Arial"/>
          <w:color w:val="1e293b"/>
          <w:sz w:val="22"/>
          <w:szCs w:val="22"/>
        </w:rPr>
        <w:t xml:space="preserve">Account Executive × 1 (Month 16) — mid-market closer; targets £20,000–£80,000 ACV deals identified through content and conference channels (£65,000 base + commission)</w:t>
      </w:r>
    </w:p>
    <w:p>
      <w:pPr>
        <w:pStyle w:val="ListParagraph"/>
        <w:numPr>
          <w:ilvl w:val="0"/>
          <w:numId w:val="2"/>
        </w:numPr>
        <w:spacing w:after="60" w:before="0"/>
      </w:pPr>
      <w:r>
        <w:rPr>
          <w:rFonts w:ascii="Arial" w:cs="Arial" w:eastAsia="Arial" w:hAnsi="Arial"/>
          <w:color w:val="1e293b"/>
          <w:sz w:val="22"/>
          <w:szCs w:val="22"/>
        </w:rPr>
        <w:t xml:space="preserve">Marketing Manager (Month 18) — demand generation, content, SEO, events, analyst relations (£62,000)</w:t>
      </w:r>
    </w:p>
    <w:p>
      <w:pPr>
        <w:pStyle w:val="ListParagraph"/>
        <w:numPr>
          <w:ilvl w:val="0"/>
          <w:numId w:val="2"/>
        </w:numPr>
        <w:spacing w:after="60" w:before="0"/>
      </w:pPr>
      <w:r>
        <w:rPr>
          <w:rFonts w:ascii="Arial" w:cs="Arial" w:eastAsia="Arial" w:hAnsi="Arial"/>
          <w:color w:val="1e293b"/>
          <w:sz w:val="22"/>
          <w:szCs w:val="22"/>
        </w:rPr>
        <w:t xml:space="preserve">Account Executive × 2 (Month 20–22) — sector expansion into defence and energy; senior AE for enterprise tier (£70,000 each)</w:t>
      </w:r>
    </w:p>
    <w:p>
      <w:pPr>
        <w:pStyle w:val="ListParagraph"/>
        <w:numPr>
          <w:ilvl w:val="0"/>
          <w:numId w:val="2"/>
        </w:numPr>
        <w:spacing w:after="60" w:before="0"/>
      </w:pPr>
      <w:r>
        <w:rPr>
          <w:rFonts w:ascii="Arial" w:cs="Arial" w:eastAsia="Arial" w:hAnsi="Arial"/>
          <w:color w:val="1e293b"/>
          <w:sz w:val="22"/>
          <w:szCs w:val="22"/>
        </w:rPr>
        <w:t xml:space="preserve">Part-time Finance Director (Month 18) — board-ready financial reporting, Series B preparation, investor relations (£45,000 part-time)</w:t>
      </w:r>
    </w:p>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9.3 Year 3 — Engineering Team Formation</w:t>
      </w:r>
    </w:p>
    <w:p>
      <w:pPr>
        <w:spacing w:after="100" w:before="0"/>
      </w:pPr>
      <w:r>
        <w:rPr>
          <w:rFonts w:ascii="Arial" w:cs="Arial" w:eastAsia="Arial" w:hAnsi="Arial"/>
          <w:color w:val="1e293b"/>
          <w:sz w:val="22"/>
          <w:szCs w:val="22"/>
        </w:rPr>
        <w:t xml:space="preserve">By Year 3, revenue supports the first dedicated engineering hires. These are not replacements for Claude — they are additions who handle enterprise integrations, complex performance engineering, and specialist security work that benefits from human-AI pairing:</w:t>
      </w:r>
    </w:p>
    <w:p>
      <w:pPr>
        <w:spacing w:after="0" w:before="0"/>
      </w:pPr>
      <w:r>
        <w:rPr>
          <w:rFonts w:ascii="Arial" w:cs="Arial" w:eastAsia="Arial" w:hAnsi="Arial"/>
        </w:rPr>
        <w:t xml:space="preserve"> </w:t>
      </w:r>
    </w:p>
    <w:p>
      <w:pPr>
        <w:pStyle w:val="ListParagraph"/>
        <w:numPr>
          <w:ilvl w:val="0"/>
          <w:numId w:val="2"/>
        </w:numPr>
        <w:spacing w:after="60" w:before="0"/>
      </w:pPr>
      <w:r>
        <w:rPr>
          <w:rFonts w:ascii="Arial" w:cs="Arial" w:eastAsia="Arial" w:hAnsi="Arial"/>
          <w:color w:val="1e293b"/>
          <w:sz w:val="22"/>
          <w:szCs w:val="22"/>
        </w:rPr>
        <w:t xml:space="preserve">Lead Full-Stack Engineer (Month 26) — integration engineering, enterprise API complexity, architectural oversight alongside Claude (£92,000)</w:t>
      </w:r>
    </w:p>
    <w:p>
      <w:pPr>
        <w:pStyle w:val="ListParagraph"/>
        <w:numPr>
          <w:ilvl w:val="0"/>
          <w:numId w:val="2"/>
        </w:numPr>
        <w:spacing w:after="60" w:before="0"/>
      </w:pPr>
      <w:r>
        <w:rPr>
          <w:rFonts w:ascii="Arial" w:cs="Arial" w:eastAsia="Arial" w:hAnsi="Arial"/>
          <w:color w:val="1e293b"/>
          <w:sz w:val="22"/>
          <w:szCs w:val="22"/>
        </w:rPr>
        <w:t xml:space="preserve">Senior Frontend Engineer (Month 28) — mobile/PWA development, performance optimisation, accessibility (£85,000)</w:t>
      </w:r>
    </w:p>
    <w:p>
      <w:pPr>
        <w:pStyle w:val="ListParagraph"/>
        <w:numPr>
          <w:ilvl w:val="0"/>
          <w:numId w:val="2"/>
        </w:numPr>
        <w:spacing w:after="60" w:before="0"/>
      </w:pPr>
      <w:r>
        <w:rPr>
          <w:rFonts w:ascii="Arial" w:cs="Arial" w:eastAsia="Arial" w:hAnsi="Arial"/>
          <w:color w:val="1e293b"/>
          <w:sz w:val="22"/>
          <w:szCs w:val="22"/>
        </w:rPr>
        <w:t xml:space="preserve">Security Engineer (Month 30) — ISO 27001 management, SOC 2 Type II, pen test remediation, compliance (£90,000)</w:t>
      </w:r>
    </w:p>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9.4 Advisory Board</w:t>
      </w:r>
    </w:p>
    <w:p>
      <w:pPr>
        <w:pStyle w:val="ListParagraph"/>
        <w:numPr>
          <w:ilvl w:val="0"/>
          <w:numId w:val="2"/>
        </w:numPr>
        <w:spacing w:after="60" w:before="0"/>
      </w:pPr>
      <w:r>
        <w:rPr>
          <w:rFonts w:ascii="Arial" w:cs="Arial" w:eastAsia="Arial" w:hAnsi="Arial"/>
          <w:color w:val="1e293b"/>
          <w:sz w:val="22"/>
          <w:szCs w:val="22"/>
        </w:rPr>
        <w:t xml:space="preserve">Senior Programme Director — major UK infrastructure or defence programme background; IPA or Cabinet Office network</w:t>
      </w:r>
    </w:p>
    <w:p>
      <w:pPr>
        <w:pStyle w:val="ListParagraph"/>
        <w:numPr>
          <w:ilvl w:val="0"/>
          <w:numId w:val="2"/>
        </w:numPr>
        <w:spacing w:after="60" w:before="0"/>
      </w:pPr>
      <w:r>
        <w:rPr>
          <w:rFonts w:ascii="Arial" w:cs="Arial" w:eastAsia="Arial" w:hAnsi="Arial"/>
          <w:color w:val="1e293b"/>
          <w:sz w:val="22"/>
          <w:szCs w:val="22"/>
        </w:rPr>
        <w:t xml:space="preserve">Experienced B2B SaaS Operator — CEO or CPO of a successfully exited project management or enterprise software company</w:t>
      </w:r>
    </w:p>
    <w:p>
      <w:pPr>
        <w:pStyle w:val="ListParagraph"/>
        <w:numPr>
          <w:ilvl w:val="0"/>
          <w:numId w:val="2"/>
        </w:numPr>
        <w:spacing w:after="60" w:before="0"/>
      </w:pPr>
      <w:r>
        <w:rPr>
          <w:rFonts w:ascii="Arial" w:cs="Arial" w:eastAsia="Arial" w:hAnsi="Arial"/>
          <w:color w:val="1e293b"/>
          <w:sz w:val="22"/>
          <w:szCs w:val="22"/>
        </w:rPr>
        <w:t xml:space="preserve">Chief Digital Officer — major professional services firm; validates enterprise and government credibility</w:t>
      </w:r>
    </w:p>
    <w:p>
      <w:pPr>
        <w:pStyle w:val="ListParagraph"/>
        <w:numPr>
          <w:ilvl w:val="0"/>
          <w:numId w:val="2"/>
        </w:numPr>
        <w:spacing w:after="60" w:before="0"/>
      </w:pPr>
      <w:r>
        <w:rPr>
          <w:rFonts w:ascii="Arial" w:cs="Arial" w:eastAsia="Arial" w:hAnsi="Arial"/>
          <w:color w:val="1e293b"/>
          <w:sz w:val="22"/>
          <w:szCs w:val="22"/>
        </w:rPr>
        <w:t xml:space="preserve">Investor NED — lead Series A partner; represents shareholder governance and fundraising relationships</w:t>
      </w:r>
    </w:p>
    <w:p>
      <w:pPr>
        <w:spacing w:after="0" w:before="0"/>
      </w:pPr>
      <w:r>
        <w:rPr>
          <w:rFonts w:ascii="Arial" w:cs="Arial" w:eastAsia="Arial" w:hAnsi="Arial"/>
        </w:rPr>
        <w:t xml:space="preserve"> </w:t>
      </w:r>
    </w:p>
    <w:p>
      <w:pPr>
        <w:spacing w:after="0" w:before="0"/>
      </w:pPr>
      <w:r>
        <w:br w:type="page"/>
      </w:r>
    </w:p>
    <w:p>
      <w:pPr>
        <w:pStyle w:val="Heading1"/>
        <w:pBdr>
          <w:bottom w:val="single" w:color="1A2E6B" w:sz="6" w:space="4"/>
        </w:pBdr>
        <w:spacing w:after="120" w:before="360"/>
      </w:pPr>
      <w:r>
        <w:rPr>
          <w:rFonts w:ascii="Arial" w:cs="Arial" w:eastAsia="Arial" w:hAnsi="Arial"/>
          <w:b/>
          <w:bCs/>
          <w:color w:val="1A2E6B"/>
          <w:sz w:val="32"/>
          <w:szCs w:val="32"/>
        </w:rPr>
        <w:t xml:space="preserve">10. Risk Analysis &amp;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800"/>
        <w:gridCol w:w="900"/>
        <w:gridCol w:w="4526"/>
      </w:tblGrid>
      <w:tr>
        <w:trPr>
          <w:tblHeader/>
        </w:trPr>
        <w:tc>
          <w:tcPr>
            <w:tcW w:type="dxa" w:w="19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9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Likelihood</w:t>
            </w:r>
          </w:p>
        </w:tc>
        <w:tc>
          <w:tcPr>
            <w:tcW w:type="dxa" w:w="8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9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Rating</w:t>
            </w:r>
          </w:p>
        </w:tc>
        <w:tc>
          <w:tcPr>
            <w:tcW w:type="dxa" w:w="4526"/>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Founder bandwidth — one person cannot simultaneously build product, sell, manage customers, and fundraise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4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Strict prioritisation: product and first customers in Months 1–9; sales and fundraising from Month 9; customer success hire at Month 14 removes support burden. AI engineering eliminates the build vs sell trade-off — the founder can sell during the day and review code in the evening.</w:t>
            </w:r>
          </w:p>
        </w:tc>
      </w:tr>
      <w:tr>
        <w:tc>
          <w:tcPr>
            <w:tcW w:type="dxa" w:w="19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AI model dependency — Anthropic changes API pricing, access terms, or model capability</w:t>
            </w:r>
          </w:p>
        </w:tc>
        <w:tc>
          <w:tcPr>
            <w:tcW w:type="dxa" w:w="9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8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9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45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Architect for model substitution from Sprint 1 (API abstraction layer); negotiate volume pricing; maintain OpenAI and open-source model compatibility; long-term fine-tuning on own infrastructure reduces dependency</w:t>
            </w:r>
          </w:p>
        </w:tc>
      </w:tr>
      <w:tr>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Competitive response — Planview, Microsoft, or Monday.com launch AI-native PMO features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4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period governance workflow and type-adaptive ICD panel have no analogue in any existing tool and will take 18–24 months to replicate. Founder-AI model means faster iteration than any conventional team. Build market share and reference customers before incumbents can respond.</w:t>
            </w:r>
          </w:p>
        </w:tc>
      </w:tr>
      <w:tr>
        <w:tc>
          <w:tcPr>
            <w:tcW w:type="dxa" w:w="19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Horizontal positioning risk — serving every sector means depth in none</w:t>
            </w:r>
          </w:p>
        </w:tc>
        <w:tc>
          <w:tcPr>
            <w:tcW w:type="dxa" w:w="9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8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9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45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Construction is the anchor sector for Years 1–2 with full founder credibility. Sector templates (configuration, not code) handle adjacent sectors. Core platform modules are sector-independent by design — no customisation required to enter new verticals.</w:t>
            </w:r>
          </w:p>
        </w:tc>
      </w:tr>
      <w:tr>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Funding gap — revenue insufficient and Series A not secured</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4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Innovate UK Smart Grant (up to £100k non-dilutive) applied for immediately; founder bootstraps from Prosota consulting revenue where possible; revenue from first 12 customers (£245,600 Year 1) covers operating costs under founder-AI model; Series A bridge from angels if needed</w:t>
            </w:r>
          </w:p>
        </w:tc>
      </w:tr>
      <w:tr>
        <w:tc>
          <w:tcPr>
            <w:tcW w:type="dxa" w:w="19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Data security — multi-tenant breach exposes customer programme data</w:t>
            </w:r>
          </w:p>
        </w:tc>
        <w:tc>
          <w:tcPr>
            <w:tcW w:type="dxa" w:w="9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8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9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45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Row-level PostgreSQL security from Sprint 1; penetration testing before GA; UK data residency; GDPR DPA with all customers; cyber insurance; ISO 27001 gap assessment Month 10; security engineer hired Month 30</w:t>
            </w:r>
          </w:p>
        </w:tc>
      </w:tr>
      <w:tr>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Key person risk — founder illness, burnout, or incapacity</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4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architecture decisions documented in ADRs from Sprint 1; codebase on GitHub with full history; Claude can reconstruct context from documentation; key-man insurance policy; advisory board provides continuity for investor and customer relationships</w:t>
            </w:r>
          </w:p>
        </w:tc>
      </w:tr>
      <w:tr>
        <w:tc>
          <w:tcPr>
            <w:tcW w:type="dxa" w:w="19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Claude capability gaps — specific engineering task beyond AI capability</w:t>
            </w:r>
          </w:p>
        </w:tc>
        <w:tc>
          <w:tcPr>
            <w:tcW w:type="dxa" w:w="9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8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9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45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Budgeted contingency (£15,000) for targeted specialist freelancers; most complex tasks (distributed systems, specialist security) are solvable within Claude's capability given correct prompting; founder's technical literacy sufficient to identify gaps early</w:t>
            </w:r>
          </w:p>
        </w:tc>
      </w:tr>
    </w:tbl>
    <w:p>
      <w:pPr>
        <w:spacing w:after="0" w:before="0"/>
      </w:pPr>
      <w:r>
        <w:rPr>
          <w:rFonts w:ascii="Arial" w:cs="Arial" w:eastAsia="Arial" w:hAnsi="Arial"/>
        </w:rPr>
        <w:t xml:space="preserve"> </w:t>
      </w:r>
    </w:p>
    <w:p>
      <w:pPr>
        <w:spacing w:after="0" w:before="0"/>
      </w:pPr>
      <w:r>
        <w:br w:type="page"/>
      </w:r>
    </w:p>
    <w:p>
      <w:pPr>
        <w:pStyle w:val="Heading1"/>
        <w:pBdr>
          <w:bottom w:val="single" w:color="1A2E6B" w:sz="6" w:space="4"/>
        </w:pBdr>
        <w:spacing w:after="120" w:before="360"/>
      </w:pPr>
      <w:r>
        <w:rPr>
          <w:rFonts w:ascii="Arial" w:cs="Arial" w:eastAsia="Arial" w:hAnsi="Arial"/>
          <w:b/>
          <w:bCs/>
          <w:color w:val="1A2E6B"/>
          <w:sz w:val="32"/>
          <w:szCs w:val="32"/>
        </w:rPr>
        <w:t xml:space="preserve">11. Partnerships &amp; Ecosystem Strategy</w:t>
      </w:r>
    </w:p>
    <w:p>
      <w:pPr>
        <w:pStyle w:val="Heading2"/>
        <w:spacing w:after="80" w:before="280"/>
      </w:pPr>
      <w:r>
        <w:rPr>
          <w:rFonts w:ascii="Arial" w:cs="Arial" w:eastAsia="Arial" w:hAnsi="Arial"/>
          <w:b/>
          <w:bCs/>
          <w:color w:val="2563EB"/>
          <w:sz w:val="26"/>
          <w:szCs w:val="26"/>
        </w:rPr>
        <w:t xml:space="preserve">11.1 Technology Partnerships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500"/>
        <w:gridCol w:w="1326"/>
      </w:tblGrid>
      <w:tr>
        <w:trPr>
          <w:tblHeader/>
        </w:trPr>
        <w:tc>
          <w:tcPr>
            <w:tcW w:type="dxa" w:w="16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Partner</w:t>
            </w:r>
          </w:p>
        </w:tc>
        <w:tc>
          <w:tcPr>
            <w:tcW w:type="dxa" w:w="16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5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Strategic Value</w:t>
            </w:r>
          </w:p>
        </w:tc>
        <w:tc>
          <w:tcPr>
            <w:tcW w:type="dxa" w:w="1326"/>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Timeline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Anthropic</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Provider — Preferred Status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Volume API pricing; early model access; co-marketing in enterprise AI adoption; potential for domain fine-tuning collaboration</w:t>
            </w:r>
          </w:p>
        </w:tc>
        <w:tc>
          <w:tcPr>
            <w:tcW w:type="dxa" w:w="1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Month 8</w:t>
            </w:r>
          </w:p>
        </w:tc>
      </w:tr>
      <w:tr>
        <w:tc>
          <w:tcPr>
            <w:tcW w:type="dxa" w:w="16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Microsoft</w:t>
            </w:r>
          </w:p>
        </w:tc>
        <w:tc>
          <w:tcPr>
            <w:tcW w:type="dxa" w:w="16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Azure Marketplace + Teams Integration</w:t>
            </w:r>
          </w:p>
        </w:tc>
        <w:tc>
          <w:tcPr>
            <w:tcW w:type="dxa" w:w="35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Azure Marketplace listing for enterprise inbound; Teams notifications; Office 365 SSO standard for enterprise customers; co-sell programme</w:t>
            </w:r>
          </w:p>
        </w:tc>
        <w:tc>
          <w:tcPr>
            <w:tcW w:type="dxa" w:w="13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Year 2 Q1</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Oracle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Primavera Cloud Integration</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Bidirectional P6 sync — critical migration path for construction and infrastructure customers; shared enterprise customer base</w:t>
            </w:r>
          </w:p>
        </w:tc>
        <w:tc>
          <w:tcPr>
            <w:tcW w:type="dxa" w:w="1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Year 2 Q3</w:t>
            </w:r>
          </w:p>
        </w:tc>
      </w:tr>
      <w:tr>
        <w:tc>
          <w:tcPr>
            <w:tcW w:type="dxa" w:w="16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Salesforce</w:t>
            </w:r>
          </w:p>
        </w:tc>
        <w:tc>
          <w:tcPr>
            <w:tcW w:type="dxa" w:w="16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CRM Integration</w:t>
            </w:r>
          </w:p>
        </w:tc>
        <w:tc>
          <w:tcPr>
            <w:tcW w:type="dxa" w:w="35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Programme/project data linkage for commercial PMOs and consultancies who manage client relationships in Salesforce</w:t>
            </w:r>
          </w:p>
        </w:tc>
        <w:tc>
          <w:tcPr>
            <w:tcW w:type="dxa" w:w="13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Year 2 Q4</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ServiceNow</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IT/Transformation PMO Integration</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Standard platform for financial services and government IT departments — unlocks the IT transformation PMO segment</w:t>
            </w:r>
          </w:p>
        </w:tc>
        <w:tc>
          <w:tcPr>
            <w:tcW w:type="dxa" w:w="1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Year 3 Q1</w:t>
            </w:r>
          </w:p>
        </w:tc>
      </w:tr>
    </w:tbl>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11.2 Channel Partnerships</w:t>
      </w:r>
    </w:p>
    <w:p>
      <w:pPr>
        <w:pStyle w:val="ListParagraph"/>
        <w:numPr>
          <w:ilvl w:val="0"/>
          <w:numId w:val="2"/>
        </w:numPr>
        <w:spacing w:after="60" w:before="0"/>
      </w:pPr>
      <w:r>
        <w:rPr>
          <w:rFonts w:ascii="Arial" w:cs="Arial" w:eastAsia="Arial" w:hAnsi="Arial"/>
          <w:color w:val="1e293b"/>
          <w:sz w:val="22"/>
          <w:szCs w:val="22"/>
        </w:rPr>
        <w:t xml:space="preserve">Programme Controls Consultancies — Turner &amp; Townsend, Faithful+Gould, AECOM, Gleeds — reseller and referral agreements; co-branded client delivery; revenue share model</w:t>
      </w:r>
    </w:p>
    <w:p>
      <w:pPr>
        <w:pStyle w:val="ListParagraph"/>
        <w:numPr>
          <w:ilvl w:val="0"/>
          <w:numId w:val="2"/>
        </w:numPr>
        <w:spacing w:after="60" w:before="0"/>
      </w:pPr>
      <w:r>
        <w:rPr>
          <w:rFonts w:ascii="Arial" w:cs="Arial" w:eastAsia="Arial" w:hAnsi="Arial"/>
          <w:color w:val="1e293b"/>
          <w:sz w:val="22"/>
          <w:szCs w:val="22"/>
        </w:rPr>
        <w:t xml:space="preserve">Professional Body Endorsements — APM Registered Consultant status; AACE International tool recognition; PMI Authorised Training Partner for a ProsotaPMO Practitioner certification</w:t>
      </w:r>
    </w:p>
    <w:p>
      <w:pPr>
        <w:pStyle w:val="ListParagraph"/>
        <w:numPr>
          <w:ilvl w:val="0"/>
          <w:numId w:val="2"/>
        </w:numPr>
        <w:spacing w:after="60" w:before="0"/>
      </w:pPr>
      <w:r>
        <w:rPr>
          <w:rFonts w:ascii="Arial" w:cs="Arial" w:eastAsia="Arial" w:hAnsi="Arial"/>
          <w:color w:val="1e293b"/>
          <w:sz w:val="22"/>
          <w:szCs w:val="22"/>
        </w:rPr>
        <w:t xml:space="preserve">Management Consultancies — Deloitte, KPMG, PA Consulting as implementation partners for enterprise government deployments requiring supported rollouts</w:t>
      </w:r>
    </w:p>
    <w:p>
      <w:pPr>
        <w:pStyle w:val="ListParagraph"/>
        <w:numPr>
          <w:ilvl w:val="0"/>
          <w:numId w:val="2"/>
        </w:numPr>
        <w:spacing w:after="60" w:before="0"/>
      </w:pPr>
      <w:r>
        <w:rPr>
          <w:rFonts w:ascii="Arial" w:cs="Arial" w:eastAsia="Arial" w:hAnsi="Arial"/>
          <w:color w:val="1e293b"/>
          <w:sz w:val="22"/>
          <w:szCs w:val="22"/>
        </w:rPr>
        <w:t xml:space="preserve">Cloud Marketplace Listings — AWS Marketplace and Azure Marketplace to access enterprise procurement budgets and reduce sales friction in corporate buying processes</w:t>
      </w:r>
    </w:p>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11.3 Regulatory Tailwinds</w:t>
      </w:r>
    </w:p>
    <w:p>
      <w:pPr>
        <w:pStyle w:val="ListParagraph"/>
        <w:numPr>
          <w:ilvl w:val="0"/>
          <w:numId w:val="2"/>
        </w:numPr>
        <w:spacing w:after="60" w:before="0"/>
      </w:pPr>
      <w:r>
        <w:rPr>
          <w:rFonts w:ascii="Arial" w:cs="Arial" w:eastAsia="Arial" w:hAnsi="Arial"/>
          <w:color w:val="1e293b"/>
          <w:sz w:val="22"/>
          <w:szCs w:val="22"/>
        </w:rPr>
        <w:t xml:space="preserve">IPA / GMPP — Infrastructure and Projects Authority reporting requirements mandate structured programme data; ProsotaPMO's Controls Dashboard and Period Manager align directly</w:t>
      </w:r>
    </w:p>
    <w:p>
      <w:pPr>
        <w:pStyle w:val="ListParagraph"/>
        <w:numPr>
          <w:ilvl w:val="0"/>
          <w:numId w:val="2"/>
        </w:numPr>
        <w:spacing w:after="60" w:before="0"/>
      </w:pPr>
      <w:r>
        <w:rPr>
          <w:rFonts w:ascii="Arial" w:cs="Arial" w:eastAsia="Arial" w:hAnsi="Arial"/>
          <w:color w:val="1e293b"/>
          <w:sz w:val="22"/>
          <w:szCs w:val="22"/>
        </w:rPr>
        <w:t xml:space="preserve">Construction Playbook — Cabinet Office mandates digital reporting and collaborative delivery; directly served by ProsotaPMO's native workflow</w:t>
      </w:r>
    </w:p>
    <w:p>
      <w:pPr>
        <w:pStyle w:val="ListParagraph"/>
        <w:numPr>
          <w:ilvl w:val="0"/>
          <w:numId w:val="2"/>
        </w:numPr>
        <w:spacing w:after="60" w:before="0"/>
      </w:pPr>
      <w:r>
        <w:rPr>
          <w:rFonts w:ascii="Arial" w:cs="Arial" w:eastAsia="Arial" w:hAnsi="Arial"/>
          <w:color w:val="1e293b"/>
          <w:sz w:val="22"/>
          <w:szCs w:val="22"/>
        </w:rPr>
        <w:t xml:space="preserve">Building Safety Act 2022 — "Golden Thread" structured data requirements; ProsotaPMO's audit trail and file management provide a natural compliance layer</w:t>
      </w:r>
    </w:p>
    <w:p>
      <w:pPr>
        <w:pStyle w:val="ListParagraph"/>
        <w:numPr>
          <w:ilvl w:val="0"/>
          <w:numId w:val="2"/>
        </w:numPr>
        <w:spacing w:after="60" w:before="0"/>
      </w:pPr>
      <w:r>
        <w:rPr>
          <w:rFonts w:ascii="Arial" w:cs="Arial" w:eastAsia="Arial" w:hAnsi="Arial"/>
          <w:color w:val="1e293b"/>
          <w:sz w:val="22"/>
          <w:szCs w:val="22"/>
        </w:rPr>
        <w:t xml:space="preserve">NHS New Hospital Programme — complex multi-site hospital capital programmes require exactly the integrated PMO capability ProsotaPMO provides</w:t>
      </w:r>
    </w:p>
    <w:p>
      <w:pPr>
        <w:pStyle w:val="ListParagraph"/>
        <w:numPr>
          <w:ilvl w:val="0"/>
          <w:numId w:val="2"/>
        </w:numPr>
        <w:spacing w:after="60" w:before="0"/>
      </w:pPr>
      <w:r>
        <w:rPr>
          <w:rFonts w:ascii="Arial" w:cs="Arial" w:eastAsia="Arial" w:hAnsi="Arial"/>
          <w:color w:val="1e293b"/>
          <w:sz w:val="22"/>
          <w:szCs w:val="22"/>
        </w:rPr>
        <w:t xml:space="preserve">Defence Acquisition Framework — DE&amp;S programme governance aligns with Period Manager workflow and formal ICD tracking</w:t>
      </w:r>
    </w:p>
    <w:p>
      <w:pPr>
        <w:spacing w:after="0" w:before="0"/>
      </w:pPr>
      <w:r>
        <w:rPr>
          <w:rFonts w:ascii="Arial" w:cs="Arial" w:eastAsia="Arial" w:hAnsi="Arial"/>
        </w:rPr>
        <w:t xml:space="preserve"> </w:t>
      </w:r>
    </w:p>
    <w:p>
      <w:pPr>
        <w:spacing w:after="0" w:before="0"/>
      </w:pPr>
      <w:r>
        <w:br w:type="page"/>
      </w:r>
    </w:p>
    <w:p>
      <w:pPr>
        <w:pStyle w:val="Heading1"/>
        <w:pBdr>
          <w:bottom w:val="single" w:color="1A2E6B" w:sz="6" w:space="4"/>
        </w:pBdr>
        <w:spacing w:after="120" w:before="360"/>
      </w:pPr>
      <w:r>
        <w:rPr>
          <w:rFonts w:ascii="Arial" w:cs="Arial" w:eastAsia="Arial" w:hAnsi="Arial"/>
          <w:b/>
          <w:bCs/>
          <w:color w:val="1A2E6B"/>
          <w:sz w:val="32"/>
          <w:szCs w:val="32"/>
        </w:rPr>
        <w:t xml:space="preserve">12. Success Metrics &amp; KPIs</w:t>
      </w:r>
    </w:p>
    <w:p>
      <w:pPr>
        <w:pStyle w:val="Heading2"/>
        <w:spacing w:after="80" w:before="280"/>
      </w:pPr>
      <w:r>
        <w:rPr>
          <w:rFonts w:ascii="Arial" w:cs="Arial" w:eastAsia="Arial" w:hAnsi="Arial"/>
          <w:b/>
          <w:bCs/>
          <w:color w:val="2563EB"/>
          <w:sz w:val="26"/>
          <w:szCs w:val="26"/>
        </w:rPr>
        <w:t xml:space="preserve">12.1 Commercial KPIs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900"/>
        <w:gridCol w:w="1250"/>
        <w:gridCol w:w="1250"/>
        <w:gridCol w:w="1250"/>
        <w:gridCol w:w="1376"/>
      </w:tblGrid>
      <w:tr>
        <w:trPr>
          <w:tblHeader/>
        </w:trPr>
        <w:tc>
          <w:tcPr>
            <w:tcW w:type="dxa" w:w="29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KPI</w:t>
            </w:r>
          </w:p>
        </w:tc>
        <w:tc>
          <w:tcPr>
            <w:tcW w:type="dxa" w:w="125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Year 1 Target</w:t>
            </w:r>
          </w:p>
        </w:tc>
        <w:tc>
          <w:tcPr>
            <w:tcW w:type="dxa" w:w="125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Year 2 Target</w:t>
            </w:r>
          </w:p>
        </w:tc>
        <w:tc>
          <w:tcPr>
            <w:tcW w:type="dxa" w:w="125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Year 3 Target</w:t>
            </w:r>
          </w:p>
        </w:tc>
        <w:tc>
          <w:tcPr>
            <w:tcW w:type="dxa" w:w="1376"/>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r>
      <w:tr>
        <w:tc>
          <w:tcPr>
            <w:tcW w:type="dxa" w:w="2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Monthly Recurring Revenue (MRR)</w:t>
            </w:r>
          </w:p>
        </w:tc>
        <w:tc>
          <w:tcPr>
            <w:tcW w:type="dxa" w:w="12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£16,800</w:t>
            </w:r>
          </w:p>
        </w:tc>
        <w:tc>
          <w:tcPr>
            <w:tcW w:type="dxa" w:w="12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£144,000</w:t>
            </w:r>
          </w:p>
        </w:tc>
        <w:tc>
          <w:tcPr>
            <w:tcW w:type="dxa" w:w="12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£758,683</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Monthly</w:t>
            </w:r>
          </w:p>
        </w:tc>
      </w:tr>
      <w:tr>
        <w:tc>
          <w:tcPr>
            <w:tcW w:type="dxa" w:w="29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Annual Recurring Revenue (ARR)</w:t>
            </w:r>
          </w:p>
        </w:tc>
        <w:tc>
          <w:tcPr>
            <w:tcW w:type="dxa" w:w="12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£201,600</w:t>
            </w:r>
          </w:p>
        </w:tc>
        <w:tc>
          <w:tcPr>
            <w:tcW w:type="dxa" w:w="12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£1,728,000</w:t>
            </w:r>
          </w:p>
        </w:tc>
        <w:tc>
          <w:tcPr>
            <w:tcW w:type="dxa" w:w="12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£9,104,200</w:t>
            </w:r>
          </w:p>
        </w:tc>
        <w:tc>
          <w:tcPr>
            <w:tcW w:type="dxa" w:w="137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Monthly</w:t>
            </w:r>
          </w:p>
        </w:tc>
      </w:tr>
      <w:tr>
        <w:tc>
          <w:tcPr>
            <w:tcW w:type="dxa" w:w="2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Paying Customers</w:t>
            </w:r>
          </w:p>
        </w:tc>
        <w:tc>
          <w:tcPr>
            <w:tcW w:type="dxa" w:w="12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w:t>
            </w:r>
          </w:p>
        </w:tc>
        <w:tc>
          <w:tcPr>
            <w:tcW w:type="dxa" w:w="12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w:t>
            </w:r>
          </w:p>
        </w:tc>
        <w:tc>
          <w:tcPr>
            <w:tcW w:type="dxa" w:w="12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130</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Monthly</w:t>
            </w:r>
          </w:p>
        </w:tc>
      </w:tr>
      <w:tr>
        <w:tc>
          <w:tcPr>
            <w:tcW w:type="dxa" w:w="29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Net Revenue Retention (NRR)</w:t>
            </w:r>
          </w:p>
        </w:tc>
        <w:tc>
          <w:tcPr>
            <w:tcW w:type="dxa" w:w="12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&gt;112%</w:t>
            </w:r>
          </w:p>
        </w:tc>
        <w:tc>
          <w:tcPr>
            <w:tcW w:type="dxa" w:w="12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&gt;124%</w:t>
            </w:r>
          </w:p>
        </w:tc>
        <w:tc>
          <w:tcPr>
            <w:tcW w:type="dxa" w:w="12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&gt;131%</w:t>
            </w:r>
          </w:p>
        </w:tc>
        <w:tc>
          <w:tcPr>
            <w:tcW w:type="dxa" w:w="137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Quarterly</w:t>
            </w:r>
          </w:p>
        </w:tc>
      </w:tr>
      <w:tr>
        <w:tc>
          <w:tcPr>
            <w:tcW w:type="dxa" w:w="2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Gross Revenue Churn</w:t>
            </w:r>
          </w:p>
        </w:tc>
        <w:tc>
          <w:tcPr>
            <w:tcW w:type="dxa" w:w="12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&lt;12%</w:t>
            </w:r>
          </w:p>
        </w:tc>
        <w:tc>
          <w:tcPr>
            <w:tcW w:type="dxa" w:w="12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&lt;8%</w:t>
            </w:r>
          </w:p>
        </w:tc>
        <w:tc>
          <w:tcPr>
            <w:tcW w:type="dxa" w:w="12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&lt;5%</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Monthly</w:t>
            </w:r>
          </w:p>
        </w:tc>
      </w:tr>
      <w:tr>
        <w:tc>
          <w:tcPr>
            <w:tcW w:type="dxa" w:w="29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Pilot-to-Paid Conversion Rate</w:t>
            </w:r>
          </w:p>
        </w:tc>
        <w:tc>
          <w:tcPr>
            <w:tcW w:type="dxa" w:w="12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&gt;65%</w:t>
            </w:r>
          </w:p>
        </w:tc>
        <w:tc>
          <w:tcPr>
            <w:tcW w:type="dxa" w:w="12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&gt;72%</w:t>
            </w:r>
          </w:p>
        </w:tc>
        <w:tc>
          <w:tcPr>
            <w:tcW w:type="dxa" w:w="12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&gt;80%</w:t>
            </w:r>
          </w:p>
        </w:tc>
        <w:tc>
          <w:tcPr>
            <w:tcW w:type="dxa" w:w="137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Per cohort</w:t>
            </w:r>
          </w:p>
        </w:tc>
      </w:tr>
      <w:tr>
        <w:tc>
          <w:tcPr>
            <w:tcW w:type="dxa" w:w="2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Average Contract Value (ACV)</w:t>
            </w:r>
          </w:p>
        </w:tc>
        <w:tc>
          <w:tcPr>
            <w:tcW w:type="dxa" w:w="12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£20,467</w:t>
            </w:r>
          </w:p>
        </w:tc>
        <w:tc>
          <w:tcPr>
            <w:tcW w:type="dxa" w:w="12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£39,280</w:t>
            </w:r>
          </w:p>
        </w:tc>
        <w:tc>
          <w:tcPr>
            <w:tcW w:type="dxa" w:w="12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£70,032</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 deal</w:t>
            </w:r>
          </w:p>
        </w:tc>
      </w:tr>
      <w:tr>
        <w:tc>
          <w:tcPr>
            <w:tcW w:type="dxa" w:w="29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Sales Qualified Leads (month)</w:t>
            </w:r>
          </w:p>
        </w:tc>
        <w:tc>
          <w:tcPr>
            <w:tcW w:type="dxa" w:w="12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12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25</w:t>
            </w:r>
          </w:p>
        </w:tc>
        <w:tc>
          <w:tcPr>
            <w:tcW w:type="dxa" w:w="125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65</w:t>
            </w:r>
          </w:p>
        </w:tc>
        <w:tc>
          <w:tcPr>
            <w:tcW w:type="dxa" w:w="137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Weekly</w:t>
            </w:r>
          </w:p>
        </w:tc>
      </w:tr>
    </w:tbl>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12.2 Product &amp; Engagement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526"/>
      </w:tblGrid>
      <w:tr>
        <w:trPr>
          <w:tblHeader/>
        </w:trPr>
        <w:tc>
          <w:tcPr>
            <w:tcW w:type="dxa" w:w="27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KPI</w:t>
            </w:r>
          </w:p>
        </w:tc>
        <w:tc>
          <w:tcPr>
            <w:tcW w:type="dxa" w:w="1800"/>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4526"/>
            <w:tcBorders>
              <w:top w:val="single" w:color="1A2E6B" w:sz="1"/>
              <w:left w:val="single" w:color="1A2E6B" w:sz="1"/>
              <w:bottom w:val="single" w:color="1A2E6B" w:sz="1"/>
              <w:right w:val="single" w:color="1A2E6B" w:sz="1"/>
            </w:tcBorders>
            <w:shd w:fill="1A2E6B"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DAU/MAU Ratio</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&gt;48%</w:t>
            </w:r>
          </w:p>
        </w:tc>
        <w:tc>
          <w:tcPr>
            <w:tcW w:type="dxa" w:w="4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Confirms the platform is embedded in daily workflow — not a quarterly reporting tool. High ratio = genuine habit formation.</w:t>
            </w:r>
          </w:p>
        </w:tc>
      </w:tr>
      <w:tr>
        <w:tc>
          <w:tcPr>
            <w:tcW w:type="dxa" w:w="27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Module Activation (4+ modules)</w:t>
            </w:r>
          </w:p>
        </w:tc>
        <w:tc>
          <w:tcPr>
            <w:tcW w:type="dxa" w:w="18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&gt;80% of accounts</w:t>
            </w:r>
          </w:p>
        </w:tc>
        <w:tc>
          <w:tcPr>
            <w:tcW w:type="dxa" w:w="45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Multi-module adoption creates compounding switching costs. Single-module use is a churn risk.</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Period Cycle Completion Rate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&gt;70% of accounts</w:t>
            </w:r>
          </w:p>
        </w:tc>
        <w:tc>
          <w:tcPr>
            <w:tcW w:type="dxa" w:w="4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Validates the core period governance differentiator. If users complete the cycle, the workflow has been adopted — not just trialled.</w:t>
            </w:r>
          </w:p>
        </w:tc>
      </w:tr>
      <w:tr>
        <w:tc>
          <w:tcPr>
            <w:tcW w:type="dxa" w:w="27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AI Query Rate</w:t>
            </w:r>
          </w:p>
        </w:tc>
        <w:tc>
          <w:tcPr>
            <w:tcW w:type="dxa" w:w="18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&gt;18 queries/user/month</w:t>
            </w:r>
          </w:p>
        </w:tc>
        <w:tc>
          <w:tcPr>
            <w:tcW w:type="dxa" w:w="45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High AI query rate means ProsotaAI is embedded in the user's workflow — building genuine AI habit, not novelty use.</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 to First Period Freeze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&lt;10 days from sign-up</w:t>
            </w:r>
          </w:p>
        </w:tc>
        <w:tc>
          <w:tcPr>
            <w:tcW w:type="dxa" w:w="4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first freeze is the first proof of value. Reaching it fast reduces churn risk dramatically.</w:t>
            </w:r>
          </w:p>
        </w:tc>
      </w:tr>
      <w:tr>
        <w:tc>
          <w:tcPr>
            <w:tcW w:type="dxa" w:w="27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System Uptime</w:t>
            </w:r>
          </w:p>
        </w:tc>
        <w:tc>
          <w:tcPr>
            <w:tcW w:type="dxa" w:w="1800"/>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&gt;99.9%</w:t>
            </w:r>
          </w:p>
        </w:tc>
        <w:tc>
          <w:tcPr>
            <w:tcW w:type="dxa" w:w="4526"/>
            <w:tcBorders>
              <w:top w:val="single" w:color="D1D5DB" w:sz="1"/>
              <w:left w:val="single" w:color="D1D5DB" w:sz="1"/>
              <w:bottom w:val="single" w:color="D1D5DB" w:sz="1"/>
              <w:right w:val="single" w:color="D1D5DB" w:sz="1"/>
            </w:tcBorders>
            <w:shd w:fill="F0F2F8" w:val="clear"/>
            <w:tcMar>
              <w:top w:type="dxa" w:w="80"/>
              <w:left w:type="dxa" w:w="120"/>
              <w:bottom w:type="dxa" w:w="80"/>
              <w:right w:type="dxa" w:w="120"/>
            </w:tcMar>
          </w:tcPr>
          <w:p>
            <w:r>
              <w:rPr>
                <w:rFonts w:ascii="Arial" w:cs="Arial" w:eastAsia="Arial" w:hAnsi="Arial"/>
                <w:color w:val="1e293b"/>
                <w:sz w:val="20"/>
                <w:szCs w:val="20"/>
              </w:rPr>
              <w:t xml:space="preserve">Government and enterprise customers require SLA-backed uptime. Must be contractual from general availability.</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Customer NPS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&gt;48</w:t>
            </w:r>
          </w:p>
        </w:tc>
        <w:tc>
          <w:tcPr>
            <w:tcW w:type="dxa" w:w="4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PMO software market NPS averages 24. An NPS above 48 indicates exceptional value and drives a referral engine — particularly important when the founder is the sales team.</w:t>
            </w:r>
          </w:p>
        </w:tc>
      </w:tr>
    </w:tbl>
    <w:p>
      <w:pPr>
        <w:spacing w:after="0" w:before="0"/>
      </w:pPr>
      <w:r>
        <w:rPr>
          <w:rFonts w:ascii="Arial" w:cs="Arial" w:eastAsia="Arial" w:hAnsi="Arial"/>
        </w:rPr>
        <w:t xml:space="preserve"> </w:t>
      </w:r>
    </w:p>
    <w:p>
      <w:pPr>
        <w:spacing w:after="0" w:before="0"/>
      </w:pPr>
      <w:r>
        <w:br w:type="page"/>
      </w:r>
    </w:p>
    <w:p>
      <w:pPr>
        <w:pStyle w:val="Heading1"/>
        <w:pBdr>
          <w:bottom w:val="single" w:color="1A2E6B" w:sz="6" w:space="4"/>
        </w:pBdr>
        <w:spacing w:after="120" w:before="360"/>
      </w:pPr>
      <w:r>
        <w:rPr>
          <w:rFonts w:ascii="Arial" w:cs="Arial" w:eastAsia="Arial" w:hAnsi="Arial"/>
          <w:b/>
          <w:bCs/>
          <w:color w:val="1A2E6B"/>
          <w:sz w:val="32"/>
          <w:szCs w:val="32"/>
        </w:rPr>
        <w:t xml:space="preserve">13. Conclusion &amp; Formal Recommendations</w:t>
      </w:r>
    </w:p>
    <w:p>
      <w:pPr>
        <w:pStyle w:val="Heading2"/>
        <w:spacing w:after="80" w:before="280"/>
      </w:pPr>
      <w:r>
        <w:rPr>
          <w:rFonts w:ascii="Arial" w:cs="Arial" w:eastAsia="Arial" w:hAnsi="Arial"/>
          <w:b/>
          <w:bCs/>
          <w:color w:val="2563EB"/>
          <w:sz w:val="26"/>
          <w:szCs w:val="26"/>
        </w:rPr>
        <w:t xml:space="preserve">13.1 Summary of the Opportunity</w:t>
      </w:r>
    </w:p>
    <w:p>
      <w:pPr>
        <w:spacing w:after="100" w:before="0"/>
      </w:pPr>
      <w:r>
        <w:rPr>
          <w:rFonts w:ascii="Arial" w:cs="Arial" w:eastAsia="Arial" w:hAnsi="Arial"/>
          <w:color w:val="1e293b"/>
          <w:sz w:val="22"/>
          <w:szCs w:val="22"/>
        </w:rPr>
        <w:t xml:space="preserve">ProsotaPMO addresses a genuine, large, and underserved market need. The platform is not a concept — a fully functional prototype exists, built by the founder in direct collaboration with Claude, demonstrating eight integrated modules, a unique period governance workflow, a type-adaptive ICD tracker, and a context-aware AI assistant. The prototype is the product. The production build is an engineering migration, not a discovery exercise.</w:t>
      </w:r>
    </w:p>
    <w:p>
      <w:pPr>
        <w:spacing w:after="0" w:before="0"/>
      </w:pPr>
      <w:r>
        <w:rPr>
          <w:rFonts w:ascii="Arial" w:cs="Arial" w:eastAsia="Arial" w:hAnsi="Arial"/>
        </w:rPr>
        <w:t xml:space="preserve"> </w:t>
      </w:r>
    </w:p>
    <w:p>
      <w:pPr>
        <w:spacing w:after="100" w:before="0"/>
      </w:pPr>
      <w:r>
        <w:rPr>
          <w:rFonts w:ascii="Arial" w:cs="Arial" w:eastAsia="Arial" w:hAnsi="Arial"/>
          <w:color w:val="1e293b"/>
          <w:sz w:val="22"/>
          <w:szCs w:val="22"/>
        </w:rPr>
        <w:t xml:space="preserve">The decision to build this platform using AI-assisted development rather than a conventional engineering team is the right one for this stage and this founder. It reduces capital requirements by 70%, eliminates engineering hiring risk, accelerates development velocity, and keeps the founder — who is the domain expert and the primary sales asset — in full control of the product. This is not a compromise; it is a structural advantage that conventional competitors cannot easily replicate.</w:t>
      </w:r>
    </w:p>
    <w:p>
      <w:pPr>
        <w:spacing w:after="0" w:before="0"/>
      </w:pPr>
      <w:r>
        <w:rPr>
          <w:rFonts w:ascii="Arial" w:cs="Arial" w:eastAsia="Arial" w:hAnsi="Arial"/>
        </w:rPr>
        <w:t xml:space="preserve"> </w:t>
      </w:r>
    </w:p>
    <w:p>
      <w:pPr>
        <w:spacing w:after="100" w:before="0"/>
      </w:pPr>
      <w:r>
        <w:rPr>
          <w:rFonts w:ascii="Arial" w:cs="Arial" w:eastAsia="Arial" w:hAnsi="Arial"/>
          <w:color w:val="1e293b"/>
          <w:sz w:val="22"/>
          <w:szCs w:val="22"/>
        </w:rPr>
        <w:t xml:space="preserve">The market is large, the competition is weak in the mid-market, and the window of AI-native advantage is open. ProsotaPMO can be in market with paying customers within 10 months of commencing the production build, on an investment of £285,000 — less than the annual salary of a single senior engineer in London. The risk-adjusted return case is exceptional.</w:t>
      </w:r>
    </w:p>
    <w:p>
      <w:pPr>
        <w:spacing w:after="0" w:before="0"/>
      </w:pPr>
      <w:r>
        <w:rPr>
          <w:rFonts w:ascii="Arial" w:cs="Arial" w:eastAsia="Arial" w:hAnsi="Arial"/>
        </w:rPr>
        <w:t xml:space="preserve"> </w:t>
      </w:r>
    </w:p>
    <w:p>
      <w:pPr>
        <w:pStyle w:val="Heading2"/>
        <w:spacing w:after="80" w:before="280"/>
      </w:pPr>
      <w:r>
        <w:rPr>
          <w:rFonts w:ascii="Arial" w:cs="Arial" w:eastAsia="Arial" w:hAnsi="Arial"/>
          <w:b/>
          <w:bCs/>
          <w:color w:val="2563EB"/>
          <w:sz w:val="26"/>
          <w:szCs w:val="26"/>
        </w:rPr>
        <w:t xml:space="preserve">13.2 Formal Recommendations</w:t>
      </w:r>
    </w:p>
    <w:p>
      <w:pPr>
        <w:pStyle w:val="ListParagraph"/>
        <w:numPr>
          <w:ilvl w:val="0"/>
          <w:numId w:val="3"/>
        </w:numPr>
        <w:spacing w:after="60" w:before="0"/>
      </w:pPr>
      <w:r>
        <w:rPr>
          <w:rFonts w:ascii="Arial" w:cs="Arial" w:eastAsia="Arial" w:hAnsi="Arial"/>
          <w:color w:val="1e293b"/>
          <w:sz w:val="22"/>
          <w:szCs w:val="22"/>
        </w:rPr>
        <w:t xml:space="preserve">Approve Phase 1 seed investment of £285,000 and commence production development immediately — the prototype is already built, the architecture is defined, the market is waiting.</w:t>
      </w:r>
    </w:p>
    <w:p>
      <w:pPr>
        <w:pStyle w:val="ListParagraph"/>
        <w:numPr>
          <w:ilvl w:val="0"/>
          <w:numId w:val="3"/>
        </w:numPr>
        <w:spacing w:after="60" w:before="0"/>
      </w:pPr>
      <w:r>
        <w:rPr>
          <w:rFonts w:ascii="Arial" w:cs="Arial" w:eastAsia="Arial" w:hAnsi="Arial"/>
          <w:color w:val="1e293b"/>
          <w:sz w:val="22"/>
          <w:szCs w:val="22"/>
        </w:rPr>
        <w:t xml:space="preserve">Apply for Innovate UK Smart Grant within 30 days to secure up to £100,000 in non-dilutive funding for the AI integration and product development components of Phase 1.</w:t>
      </w:r>
    </w:p>
    <w:p>
      <w:pPr>
        <w:pStyle w:val="ListParagraph"/>
        <w:numPr>
          <w:ilvl w:val="0"/>
          <w:numId w:val="3"/>
        </w:numPr>
        <w:spacing w:after="60" w:before="0"/>
      </w:pPr>
      <w:r>
        <w:rPr>
          <w:rFonts w:ascii="Arial" w:cs="Arial" w:eastAsia="Arial" w:hAnsi="Arial"/>
          <w:color w:val="1e293b"/>
          <w:sz w:val="22"/>
          <w:szCs w:val="22"/>
        </w:rPr>
        <w:t xml:space="preserve">Establish the pilot programme with five identified customers across at least three sectors within 60 days — using the existing Prosota client base as the primary source.</w:t>
      </w:r>
    </w:p>
    <w:p>
      <w:pPr>
        <w:pStyle w:val="ListParagraph"/>
        <w:numPr>
          <w:ilvl w:val="0"/>
          <w:numId w:val="3"/>
        </w:numPr>
        <w:spacing w:after="60" w:before="0"/>
      </w:pPr>
      <w:r>
        <w:rPr>
          <w:rFonts w:ascii="Arial" w:cs="Arial" w:eastAsia="Arial" w:hAnsi="Arial"/>
          <w:color w:val="1e293b"/>
          <w:sz w:val="22"/>
          <w:szCs w:val="22"/>
        </w:rPr>
        <w:t xml:space="preserve">File patent applications for the Period Governance workflow mechanism and the type-adaptive ICD detail panel within 90 days — these are genuinely novel software process innovations.</w:t>
      </w:r>
    </w:p>
    <w:p>
      <w:pPr>
        <w:pStyle w:val="ListParagraph"/>
        <w:numPr>
          <w:ilvl w:val="0"/>
          <w:numId w:val="3"/>
        </w:numPr>
        <w:spacing w:after="60" w:before="0"/>
      </w:pPr>
      <w:r>
        <w:rPr>
          <w:rFonts w:ascii="Arial" w:cs="Arial" w:eastAsia="Arial" w:hAnsi="Arial"/>
          <w:color w:val="1e293b"/>
          <w:sz w:val="22"/>
          <w:szCs w:val="22"/>
        </w:rPr>
        <w:t xml:space="preserve">Appoint two advisors within 90 days: one with senior programme management credibility (for customer introductions and product validation) and one with B2B SaaS operating experience (for commercial and fundraising guidance).</w:t>
      </w:r>
    </w:p>
    <w:p>
      <w:pPr>
        <w:pStyle w:val="ListParagraph"/>
        <w:numPr>
          <w:ilvl w:val="0"/>
          <w:numId w:val="3"/>
        </w:numPr>
        <w:spacing w:after="60" w:before="0"/>
      </w:pPr>
      <w:r>
        <w:rPr>
          <w:rFonts w:ascii="Arial" w:cs="Arial" w:eastAsia="Arial" w:hAnsi="Arial"/>
          <w:color w:val="1e293b"/>
          <w:sz w:val="22"/>
          <w:szCs w:val="22"/>
        </w:rPr>
        <w:t xml:space="preserve">Initiate Series A preparation at Month 9 — investor deck, data room, legal structure — targeting completion of a £1.5M raise by Month 15 to fund commercial scale-up.</w:t>
      </w:r>
    </w:p>
    <w:p>
      <w:pPr>
        <w:spacing w:after="0" w:before="0"/>
      </w:pPr>
      <w:r>
        <w:rPr>
          <w:rFonts w:ascii="Arial" w:cs="Arial" w:eastAsia="Arial" w:hAnsi="Arial"/>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2E6B" w:sz="6"/>
              <w:left w:val="single" w:color="1A2E6B" w:sz="18"/>
              <w:bottom w:val="single" w:color="1A2E6B" w:sz="1"/>
              <w:right w:val="single" w:color="1A2E6B" w:sz="1"/>
            </w:tcBorders>
            <w:shd w:fill="EFF6FF" w:val="clear"/>
            <w:tcMar>
              <w:top w:type="dxa" w:w="110"/>
              <w:left w:type="dxa" w:w="200"/>
              <w:bottom w:type="dxa" w:w="110"/>
              <w:right w:type="dxa" w:w="160"/>
            </w:tcMar>
          </w:tcPr>
          <w:p>
            <w:pPr>
              <w:spacing w:after="60" w:before="0"/>
            </w:pPr>
            <w:r>
              <w:rPr>
                <w:rFonts w:ascii="Arial" w:cs="Arial" w:eastAsia="Arial" w:hAnsi="Arial"/>
                <w:b/>
                <w:bCs/>
                <w:color w:val="1A2E6B"/>
                <w:sz w:val="20"/>
                <w:szCs w:val="20"/>
              </w:rPr>
              <w:t xml:space="preserve">The Core Thesis</w:t>
            </w:r>
          </w:p>
          <w:p>
            <w:pPr>
              <w:spacing w:after="0" w:before="0"/>
            </w:pPr>
            <w:r>
              <w:rPr>
                <w:rFonts w:ascii="Arial" w:cs="Arial" w:eastAsia="Arial" w:hAnsi="Arial"/>
                <w:color w:val="1e293b"/>
                <w:sz w:val="20"/>
                <w:szCs w:val="20"/>
              </w:rPr>
              <w:t xml:space="preserve">One founder with deep domain expertise, an AI engineering partner, a working prototype, and access to the target market can build a £12M ARR business in five years on £285,000 of seed capital. The prototype proves the product. The consultancy proves the market. Claude proves the development model. The only thing left is to build it.</w:t>
            </w:r>
          </w:p>
        </w:tc>
      </w:tr>
    </w:tbl>
    <w:p>
      <w:pPr>
        <w:spacing w:after="0" w:before="0"/>
      </w:pPr>
      <w:r>
        <w:rPr>
          <w:rFonts w:ascii="Arial" w:cs="Arial" w:eastAsia="Arial" w:hAnsi="Arial"/>
        </w:rPr>
        <w:t xml:space="preserve"> </w:t>
      </w:r>
    </w:p>
    <w:p>
      <w:pPr>
        <w:pBdr>
          <w:bottom w:val="single" w:color="06B6D4" w:sz="4" w:space="2"/>
        </w:pBdr>
        <w:spacing w:after="80" w:before="80"/>
      </w:pPr>
      <w:r>
        <w:rPr>
          <w:rFonts w:ascii="Arial" w:cs="Arial" w:eastAsia="Arial" w:hAnsi="Arial"/>
        </w:rPr>
        <w:t xml:space="preserve"> </w:t>
      </w:r>
    </w:p>
    <w:p>
      <w:pPr>
        <w:spacing w:after="40" w:before="120"/>
        <w:jc w:val="center"/>
      </w:pPr>
      <w:r>
        <w:rPr>
          <w:rFonts w:ascii="Arial" w:cs="Arial" w:eastAsia="Arial" w:hAnsi="Arial"/>
          <w:i/>
          <w:iCs/>
          <w:color w:val="475569"/>
          <w:sz w:val="18"/>
          <w:szCs w:val="18"/>
        </w:rPr>
        <w:t xml:space="preserve">ProsotaPMO · Business Case v3.0 · June 2025 · Commercial in Confidence</w:t>
      </w:r>
    </w:p>
    <w:p>
      <w:pPr>
        <w:spacing w:after="40" w:before="0"/>
        <w:jc w:val="center"/>
      </w:pPr>
      <w:r>
        <w:rPr>
          <w:rFonts w:ascii="Arial" w:cs="Arial" w:eastAsia="Arial" w:hAnsi="Arial"/>
          <w:i/>
          <w:iCs/>
          <w:color w:val="475569"/>
          <w:sz w:val="18"/>
          <w:szCs w:val="18"/>
        </w:rPr>
        <w:t xml:space="preserve">L.O. Sota — Prosota Consulting Ltd · London, United Kingdom</w:t>
      </w:r>
    </w:p>
    <w:p>
      <w:pPr>
        <w:spacing w:after="0" w:before="0"/>
        <w:jc w:val="center"/>
      </w:pPr>
      <w:r>
        <w:rPr>
          <w:rFonts w:ascii="Arial" w:cs="Arial" w:eastAsia="Arial" w:hAnsi="Arial"/>
          <w:i/>
          <w:iCs/>
          <w:color w:val="06B6D4"/>
          <w:sz w:val="18"/>
          <w:szCs w:val="18"/>
        </w:rPr>
        <w:t xml:space="preserve">Built with Claude · Anthropic</w:t>
      </w:r>
    </w:p>
    <w:sectPr>
      <w:head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spacing w:after="80" w:before="0"/>
    </w:pPr>
    <w:r>
      <w:rPr>
        <w:rFonts w:ascii="Arial" w:cs="Arial" w:eastAsia="Arial" w:hAnsi="Arial"/>
        <w:i/>
        <w:iCs/>
        <w:color w:val="475569"/>
        <w:sz w:val="16"/>
        <w:szCs w:val="16"/>
      </w:rPr>
      <w:t xml:space="preserve">ProsotaPMO · Business Case v3.0 — Founder + AI Development Model · Commercial in Confidence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rFonts w:ascii="Arial" w:cs="Arial" w:eastAsia="Arial" w:hAnsi="Arial"/>
      </w:rPr>
    </w:lvl>
    <w:lvl w:ilvl="1" w15:tentative="1">
      <w:start w:val="1"/>
      <w:numFmt w:val="bullet"/>
      <w:lvlText w:val="◦"/>
      <w:lvlJc w:val="left"/>
      <w:pPr>
        <w:ind w:left="900" w:hanging="28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600" w:hanging="34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E6B"/>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2026-06-28T13:35:08.930Z</dcterms:created>
  <dcterms:modified xsi:type="dcterms:W3CDTF">2026-06-28T13:35:08.941Z</dcterms:modified>
</cp:coreProperties>
</file>

<file path=docProps/custom.xml><?xml version="1.0" encoding="utf-8"?>
<Properties xmlns="http://schemas.openxmlformats.org/officeDocument/2006/custom-properties" xmlns:vt="http://schemas.openxmlformats.org/officeDocument/2006/docPropsVTypes"/>
</file>