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Arial" w:cs="Arial" w:eastAsia="Arial" w:hAnsi="Arial"/>
          <w:b/>
          <w:bCs/>
          <w:color w:val="1A2E6B"/>
          <w:sz w:val="64"/>
          <w:szCs w:val="64"/>
        </w:rPr>
        <w:t xml:space="preserve">ProsotaPMO</w:t>
      </w:r>
    </w:p>
    <w:p>
      <w:pPr>
        <w:spacing w:after="40"/>
        <w:jc w:val="center"/>
      </w:pPr>
      <w:r>
        <w:rPr>
          <w:rFonts w:ascii="Arial" w:cs="Arial" w:eastAsia="Arial" w:hAnsi="Arial"/>
          <w:color w:val="2563EB"/>
          <w:sz w:val="26"/>
          <w:szCs w:val="26"/>
        </w:rPr>
        <w:t xml:space="preserve">Browser-Native, AI-Powered Project Management Platform</w:t>
      </w:r>
    </w:p>
    <w:p>
      <w:pPr>
        <w:spacing w:after="600"/>
        <w:jc w:val="center"/>
      </w:pPr>
      <w:r>
        <w:rPr>
          <w:rFonts w:ascii="Arial" w:cs="Arial" w:eastAsia="Arial" w:hAnsi="Arial"/>
          <w:b/>
          <w:bCs/>
          <w:color w:val="475569"/>
          <w:sz w:val="22"/>
          <w:szCs w:val="22"/>
        </w:rPr>
        <w:t xml:space="preserve">PROJECT SCOPE DOCUMENT</w:t>
      </w:r>
    </w:p>
    <w:p>
      <w:pPr>
        <w:spacing w:after="40"/>
        <w:jc w:val="center"/>
      </w:pPr>
      <w:r>
        <w:rPr>
          <w:rFonts w:ascii="Arial" w:cs="Arial" w:eastAsia="Arial" w:hAnsi="Arial"/>
          <w:i/>
          <w:iCs/>
          <w:color w:val="475569"/>
          <w:sz w:val="20"/>
          <w:szCs w:val="20"/>
        </w:rPr>
        <w:t xml:space="preserve">Prototype Build — Founder &amp; AI-Assisted Development Model</w:t>
      </w:r>
    </w:p>
    <w:p>
      <w:pPr>
        <w:spacing w:after="1000"/>
      </w:pPr>
    </w:p>
    <w:p>
      <w:pPr>
        <w:spacing w:after="0"/>
        <w:jc w:val="center"/>
      </w:pPr>
      <w:r>
        <w:rPr>
          <w:rFonts w:ascii="Arial" w:cs="Arial" w:eastAsia="Arial" w:hAnsi="Arial"/>
          <w:color w:val="1E293B"/>
          <w:sz w:val="20"/>
          <w:szCs w:val="20"/>
        </w:rPr>
        <w:t xml:space="preserve">Prepared for: Prosota Consulting Ltd</w:t>
      </w:r>
    </w:p>
    <w:p>
      <w:pPr>
        <w:spacing w:after="0"/>
        <w:jc w:val="center"/>
      </w:pPr>
      <w:r>
        <w:rPr>
          <w:rFonts w:ascii="Arial" w:cs="Arial" w:eastAsia="Arial" w:hAnsi="Arial"/>
          <w:color w:val="1E293B"/>
          <w:sz w:val="20"/>
          <w:szCs w:val="20"/>
        </w:rPr>
        <w:t xml:space="preserve">Prepared by: Claude (Anthropic) — AI Development Partner</w:t>
      </w:r>
    </w:p>
    <w:p>
      <w:pPr>
        <w:spacing w:after="0"/>
        <w:jc w:val="center"/>
      </w:pPr>
      <w:r>
        <w:rPr>
          <w:rFonts w:ascii="Arial" w:cs="Arial" w:eastAsia="Arial" w:hAnsi="Arial"/>
          <w:color w:val="1E293B"/>
          <w:sz w:val="20"/>
          <w:szCs w:val="20"/>
        </w:rPr>
        <w:t xml:space="preserve">Document Status: Final — Prototype Phase Complete</w:t>
      </w:r>
    </w:p>
    <w:p>
      <w:pPr>
        <w:spacing w:after="0"/>
        <w:jc w:val="center"/>
      </w:pPr>
      <w:r>
        <w:rPr>
          <w:rFonts w:ascii="Arial" w:cs="Arial" w:eastAsia="Arial" w:hAnsi="Arial"/>
          <w:color w:val="1E293B"/>
          <w:sz w:val="20"/>
          <w:szCs w:val="20"/>
        </w:rPr>
        <w:t xml:space="preserve">Version: 1.0</w:t>
      </w:r>
    </w:p>
    <w:p>
      <w:r>
        <w:br w:type="page"/>
      </w:r>
    </w:p>
    <w:p>
      <w:pPr>
        <w:pStyle w:val="Heading1"/>
        <w:pBdr>
          <w:bottom w:val="single" w:color="1A2E6B" w:sz="6" w:space="4"/>
        </w:pBdr>
        <w:spacing w:after="280" w:before="0"/>
      </w:pPr>
      <w:r>
        <w:rPr>
          <w:rFonts w:ascii="Arial" w:cs="Arial" w:eastAsia="Arial" w:hAnsi="Arial"/>
          <w:b/>
          <w:bCs/>
          <w:color w:val="1A2E6B"/>
          <w:sz w:val="32"/>
          <w:szCs w:val="32"/>
        </w:rPr>
        <w:t xml:space="preserve">Table of Contents</w:t>
      </w:r>
    </w:p>
    <w:p>
      <w:pPr>
        <w:spacing w:after="140"/>
      </w:pPr>
      <w:r>
        <w:rPr>
          <w:rFonts w:ascii="Arial" w:cs="Arial" w:eastAsia="Arial" w:hAnsi="Arial"/>
          <w:b/>
          <w:bCs/>
          <w:color w:val="1A2E6B"/>
          <w:sz w:val="21"/>
          <w:szCs w:val="21"/>
        </w:rPr>
        <w:t xml:space="preserve">1.  </w:t>
      </w:r>
      <w:r>
        <w:rPr>
          <w:rFonts w:ascii="Arial" w:cs="Arial" w:eastAsia="Arial" w:hAnsi="Arial"/>
          <w:color w:val="1E293B"/>
          <w:sz w:val="21"/>
          <w:szCs w:val="21"/>
        </w:rPr>
        <w:t xml:space="preserve">Executive Summary</w:t>
      </w:r>
    </w:p>
    <w:p>
      <w:pPr>
        <w:spacing w:after="140"/>
      </w:pPr>
      <w:r>
        <w:rPr>
          <w:rFonts w:ascii="Arial" w:cs="Arial" w:eastAsia="Arial" w:hAnsi="Arial"/>
          <w:b/>
          <w:bCs/>
          <w:color w:val="1A2E6B"/>
          <w:sz w:val="21"/>
          <w:szCs w:val="21"/>
        </w:rPr>
        <w:t xml:space="preserve">2.  </w:t>
      </w:r>
      <w:r>
        <w:rPr>
          <w:rFonts w:ascii="Arial" w:cs="Arial" w:eastAsia="Arial" w:hAnsi="Arial"/>
          <w:color w:val="1E293B"/>
          <w:sz w:val="21"/>
          <w:szCs w:val="21"/>
        </w:rPr>
        <w:t xml:space="preserve">Platform Vision &amp; Positioning</w:t>
      </w:r>
    </w:p>
    <w:p>
      <w:pPr>
        <w:spacing w:after="140"/>
      </w:pPr>
      <w:r>
        <w:rPr>
          <w:rFonts w:ascii="Arial" w:cs="Arial" w:eastAsia="Arial" w:hAnsi="Arial"/>
          <w:b/>
          <w:bCs/>
          <w:color w:val="1A2E6B"/>
          <w:sz w:val="21"/>
          <w:szCs w:val="21"/>
        </w:rPr>
        <w:t xml:space="preserve">3.  </w:t>
      </w:r>
      <w:r>
        <w:rPr>
          <w:rFonts w:ascii="Arial" w:cs="Arial" w:eastAsia="Arial" w:hAnsi="Arial"/>
          <w:color w:val="1E293B"/>
          <w:sz w:val="21"/>
          <w:szCs w:val="21"/>
        </w:rPr>
        <w:t xml:space="preserve">Technical Architecture (Prototype)</w:t>
      </w:r>
    </w:p>
    <w:p>
      <w:pPr>
        <w:spacing w:after="140"/>
      </w:pPr>
      <w:r>
        <w:rPr>
          <w:rFonts w:ascii="Arial" w:cs="Arial" w:eastAsia="Arial" w:hAnsi="Arial"/>
          <w:b/>
          <w:bCs/>
          <w:color w:val="1A2E6B"/>
          <w:sz w:val="21"/>
          <w:szCs w:val="21"/>
        </w:rPr>
        <w:t xml:space="preserve">4.  </w:t>
      </w:r>
      <w:r>
        <w:rPr>
          <w:rFonts w:ascii="Arial" w:cs="Arial" w:eastAsia="Arial" w:hAnsi="Arial"/>
          <w:color w:val="1E293B"/>
          <w:sz w:val="21"/>
          <w:szCs w:val="21"/>
        </w:rPr>
        <w:t xml:space="preserve">Module-by-Module Scope</w:t>
      </w:r>
    </w:p>
    <w:p>
      <w:pPr>
        <w:spacing w:after="140"/>
      </w:pPr>
      <w:r>
        <w:rPr>
          <w:rFonts w:ascii="Arial" w:cs="Arial" w:eastAsia="Arial" w:hAnsi="Arial"/>
          <w:b/>
          <w:bCs/>
          <w:color w:val="1A2E6B"/>
          <w:sz w:val="21"/>
          <w:szCs w:val="21"/>
        </w:rPr>
        <w:t xml:space="preserve">5.  </w:t>
      </w:r>
      <w:r>
        <w:rPr>
          <w:rFonts w:ascii="Arial" w:cs="Arial" w:eastAsia="Arial" w:hAnsi="Arial"/>
          <w:color w:val="1E293B"/>
          <w:sz w:val="21"/>
          <w:szCs w:val="21"/>
        </w:rPr>
        <w:t xml:space="preserve">Cross-Module Integration &amp; AI Roadmap</w:t>
      </w:r>
    </w:p>
    <w:p>
      <w:pPr>
        <w:spacing w:after="140"/>
      </w:pPr>
      <w:r>
        <w:rPr>
          <w:rFonts w:ascii="Arial" w:cs="Arial" w:eastAsia="Arial" w:hAnsi="Arial"/>
          <w:b/>
          <w:bCs/>
          <w:color w:val="1A2E6B"/>
          <w:sz w:val="21"/>
          <w:szCs w:val="21"/>
        </w:rPr>
        <w:t xml:space="preserve">6.  </w:t>
      </w:r>
      <w:r>
        <w:rPr>
          <w:rFonts w:ascii="Arial" w:cs="Arial" w:eastAsia="Arial" w:hAnsi="Arial"/>
          <w:color w:val="1E293B"/>
          <w:sz w:val="21"/>
          <w:szCs w:val="21"/>
        </w:rPr>
        <w:t xml:space="preserve">Key Design Decisions Log</w:t>
      </w:r>
    </w:p>
    <w:p>
      <w:pPr>
        <w:spacing w:after="140"/>
      </w:pPr>
      <w:r>
        <w:rPr>
          <w:rFonts w:ascii="Arial" w:cs="Arial" w:eastAsia="Arial" w:hAnsi="Arial"/>
          <w:b/>
          <w:bCs/>
          <w:color w:val="1A2E6B"/>
          <w:sz w:val="21"/>
          <w:szCs w:val="21"/>
        </w:rPr>
        <w:t xml:space="preserve">7.  </w:t>
      </w:r>
      <w:r>
        <w:rPr>
          <w:rFonts w:ascii="Arial" w:cs="Arial" w:eastAsia="Arial" w:hAnsi="Arial"/>
          <w:color w:val="1E293B"/>
          <w:sz w:val="21"/>
          <w:szCs w:val="21"/>
        </w:rPr>
        <w:t xml:space="preserve">Import / Export &amp; Reporting Framework</w:t>
      </w:r>
    </w:p>
    <w:p>
      <w:pPr>
        <w:spacing w:after="140"/>
      </w:pPr>
      <w:r>
        <w:rPr>
          <w:rFonts w:ascii="Arial" w:cs="Arial" w:eastAsia="Arial" w:hAnsi="Arial"/>
          <w:b/>
          <w:bCs/>
          <w:color w:val="1A2E6B"/>
          <w:sz w:val="21"/>
          <w:szCs w:val="21"/>
        </w:rPr>
        <w:t xml:space="preserve">8.  </w:t>
      </w:r>
      <w:r>
        <w:rPr>
          <w:rFonts w:ascii="Arial" w:cs="Arial" w:eastAsia="Arial" w:hAnsi="Arial"/>
          <w:color w:val="1E293B"/>
          <w:sz w:val="21"/>
          <w:szCs w:val="21"/>
        </w:rPr>
        <w:t xml:space="preserve">Explicitly Out of Scope</w:t>
      </w:r>
    </w:p>
    <w:p>
      <w:pPr>
        <w:spacing w:after="140"/>
      </w:pPr>
      <w:r>
        <w:rPr>
          <w:rFonts w:ascii="Arial" w:cs="Arial" w:eastAsia="Arial" w:hAnsi="Arial"/>
          <w:b/>
          <w:bCs/>
          <w:color w:val="1A2E6B"/>
          <w:sz w:val="21"/>
          <w:szCs w:val="21"/>
        </w:rPr>
        <w:t xml:space="preserve">9.  </w:t>
      </w:r>
      <w:r>
        <w:rPr>
          <w:rFonts w:ascii="Arial" w:cs="Arial" w:eastAsia="Arial" w:hAnsi="Arial"/>
          <w:color w:val="1E293B"/>
          <w:sz w:val="21"/>
          <w:szCs w:val="21"/>
        </w:rPr>
        <w:t xml:space="preserve">Path to Production</w:t>
      </w:r>
    </w:p>
    <w:p>
      <w:pPr>
        <w:spacing w:after="140"/>
      </w:pPr>
      <w:r>
        <w:rPr>
          <w:rFonts w:ascii="Arial" w:cs="Arial" w:eastAsia="Arial" w:hAnsi="Arial"/>
          <w:b/>
          <w:bCs/>
          <w:color w:val="1A2E6B"/>
          <w:sz w:val="21"/>
          <w:szCs w:val="21"/>
        </w:rPr>
        <w:t xml:space="preserve">10.  </w:t>
      </w:r>
      <w:r>
        <w:rPr>
          <w:rFonts w:ascii="Arial" w:cs="Arial" w:eastAsia="Arial" w:hAnsi="Arial"/>
          <w:color w:val="1E293B"/>
          <w:sz w:val="21"/>
          <w:szCs w:val="21"/>
        </w:rPr>
        <w:t xml:space="preserve">Conclusion</w:t>
      </w:r>
    </w:p>
    <w:p>
      <w:r>
        <w:br w:type="page"/>
      </w:r>
    </w:p>
    <w:p>
      <w:pPr>
        <w:pStyle w:val="Heading1"/>
        <w:pBdr>
          <w:bottom w:val="single" w:color="1A2E6B" w:sz="6" w:space="4"/>
        </w:pBdr>
        <w:spacing w:after="200" w:before="480"/>
      </w:pPr>
      <w:r>
        <w:rPr>
          <w:rFonts w:ascii="Arial" w:cs="Arial" w:eastAsia="Arial" w:hAnsi="Arial"/>
          <w:b/>
          <w:bCs/>
          <w:color w:val="1A2E6B"/>
          <w:sz w:val="32"/>
          <w:szCs w:val="32"/>
        </w:rPr>
        <w:t xml:space="preserve">1. Executive Summary</w:t>
      </w:r>
    </w:p>
    <w:p>
      <w:pPr>
        <w:spacing w:after="120" w:before="0"/>
        <w:jc w:val="left"/>
      </w:pPr>
      <w:r>
        <w:rPr>
          <w:rFonts w:ascii="Arial" w:cs="Arial" w:eastAsia="Arial" w:hAnsi="Arial"/>
          <w:b w:val="false"/>
          <w:bCs w:val="false"/>
          <w:i w:val="false"/>
          <w:iCs w:val="false"/>
          <w:color w:val="1E293B"/>
          <w:sz w:val="22"/>
          <w:szCs w:val="22"/>
        </w:rPr>
        <w:t xml:space="preserve">ProsotaPMO is a browser-native, AI-powered project management platform built for any organisation that runs a structured Project Management Office (PMO) and needs disciplined control over schedule, cost, risk, and change — without the cost, complexity, or implementation burden of enterprise tools like Primavera P6 or SAP PPM.</w:t>
      </w:r>
    </w:p>
    <w:p>
      <w:pPr>
        <w:spacing w:after="120" w:before="0"/>
        <w:jc w:val="left"/>
      </w:pPr>
      <w:r>
        <w:rPr>
          <w:rFonts w:ascii="Arial" w:cs="Arial" w:eastAsia="Arial" w:hAnsi="Arial"/>
          <w:b w:val="false"/>
          <w:bCs w:val="false"/>
          <w:i w:val="false"/>
          <w:iCs w:val="false"/>
          <w:color w:val="1E293B"/>
          <w:sz w:val="22"/>
          <w:szCs w:val="22"/>
        </w:rPr>
        <w:t xml:space="preserve">This document records the complete scope of the working prototype built through a founder-AI collaboration model: Maro Sota directing product, domain, and commercial decisions; Claude (Anthropic) executing all engineering. The prototype is a single-file, fully interactive HTML/CSS/JavaScript application demonstrating every core workflow of the eventual production platform, including a genuinely novel cross-module data integration layer and four distinct AI capabilities embedded directly into the product.</w:t>
      </w:r>
    </w:p>
    <w:p>
      <w:pPr>
        <w:spacing w:after="120" w:before="0"/>
        <w:jc w:val="left"/>
      </w:pPr>
      <w:r>
        <w:rPr>
          <w:rFonts w:ascii="Arial" w:cs="Arial" w:eastAsia="Arial" w:hAnsi="Arial"/>
          <w:b w:val="false"/>
          <w:bCs w:val="false"/>
          <w:i w:val="false"/>
          <w:iCs w:val="false"/>
          <w:color w:val="1E293B"/>
          <w:sz w:val="22"/>
          <w:szCs w:val="22"/>
        </w:rPr>
        <w:t xml:space="preserve">The prototype is feature-complete against its intended scope. It is not a static mockup: every button, tab, modal, and data view is interactive and backed by realistic project data drawn from a real construction cost plan, adapted and anonymised for the prototype.</w:t>
      </w:r>
    </w:p>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24"/>
              <w:bottom w:val="single" w:color="2563EB" w:sz="4"/>
              <w:right w:val="single" w:color="2563EB" w:sz="4"/>
            </w:tcBorders>
            <w:shd w:fill="EFF6FF" w:val="clear"/>
            <w:tcMar>
              <w:top w:type="dxa" w:w="160"/>
              <w:left w:type="dxa" w:w="220"/>
              <w:bottom w:type="dxa" w:w="160"/>
              <w:right w:type="dxa" w:w="220"/>
            </w:tcMar>
          </w:tcPr>
          <w:p>
            <w:pPr>
              <w:spacing w:after="60"/>
            </w:pPr>
            <w:r>
              <w:rPr>
                <w:rFonts w:ascii="Arial" w:cs="Arial" w:eastAsia="Arial" w:hAnsi="Arial"/>
                <w:b/>
                <w:bCs/>
                <w:color w:val="2563EB"/>
                <w:sz w:val="21"/>
                <w:szCs w:val="21"/>
              </w:rPr>
              <w:t xml:space="preserve">What This Document Covers</w:t>
            </w:r>
          </w:p>
          <w:p>
            <w:pPr>
              <w:spacing w:after="0"/>
            </w:pPr>
            <w:r>
              <w:rPr>
                <w:rFonts w:ascii="Arial" w:cs="Arial" w:eastAsia="Arial" w:hAnsi="Arial"/>
                <w:color w:val="1E293B"/>
                <w:sz w:val="20"/>
                <w:szCs w:val="20"/>
              </w:rPr>
              <w:t xml:space="preserve">This is a full technical and functional scope record of the prototype as built: the eight core modules, the cross-module linking engine, the four-phase AI integration roadmap (causal reasoning, setup assistance, generative visuals), the import/export and reporting framework, and the architectural decisions and known limitations carried forward into production planning.</w:t>
            </w:r>
          </w:p>
        </w:tc>
      </w:tr>
    </w:tbl>
    <w:p>
      <w:pPr>
        <w:spacing w:after="120"/>
      </w:pPr>
    </w:p>
    <w:p>
      <w:pPr>
        <w:pStyle w:val="Heading2"/>
        <w:spacing w:after="140" w:before="320"/>
      </w:pPr>
      <w:r>
        <w:rPr>
          <w:rFonts w:ascii="Arial" w:cs="Arial" w:eastAsia="Arial" w:hAnsi="Arial"/>
          <w:b/>
          <w:bCs/>
          <w:color w:val="2563EB"/>
          <w:sz w:val="26"/>
          <w:szCs w:val="26"/>
        </w:rPr>
        <w:t xml:space="preserve">1.1 What Has Been Built</w:t>
      </w:r>
    </w:p>
    <w:p>
      <w:pPr>
        <w:pStyle w:val="ListParagraph"/>
        <w:numPr>
          <w:ilvl w:val="0"/>
          <w:numId w:val="2"/>
        </w:numPr>
        <w:spacing w:after="80"/>
      </w:pPr>
      <w:r>
        <w:rPr>
          <w:rFonts w:ascii="Arial" w:cs="Arial" w:eastAsia="Arial" w:hAnsi="Arial"/>
          <w:b w:val="false"/>
          <w:bCs w:val="false"/>
          <w:color w:val="1E293B"/>
          <w:sz w:val="21"/>
          <w:szCs w:val="21"/>
        </w:rPr>
        <w:t xml:space="preserve">A complete 8-module PMO platform: Project Selector, Controls Dashboard, Scheduling, Risk Register, Cost Plan, ICD Tracker, File Manager, Period Manager, plus a global Export Center</w:t>
      </w:r>
    </w:p>
    <w:p>
      <w:pPr>
        <w:pStyle w:val="ListParagraph"/>
        <w:numPr>
          <w:ilvl w:val="0"/>
          <w:numId w:val="2"/>
        </w:numPr>
        <w:spacing w:after="80"/>
      </w:pPr>
      <w:r>
        <w:rPr>
          <w:rFonts w:ascii="Arial" w:cs="Arial" w:eastAsia="Arial" w:hAnsi="Arial"/>
          <w:b w:val="false"/>
          <w:bCs w:val="false"/>
          <w:color w:val="1E293B"/>
          <w:sz w:val="21"/>
          <w:szCs w:val="21"/>
        </w:rPr>
        <w:t xml:space="preserve">A cross-module linking engine connecting Activities, Risks, Cost Elements, Issues, Change Requests, and Decisions as a typed relationship graph — not a cosmetic feature, but a genuine data architecture decision</w:t>
      </w:r>
    </w:p>
    <w:p>
      <w:pPr>
        <w:pStyle w:val="ListParagraph"/>
        <w:numPr>
          <w:ilvl w:val="0"/>
          <w:numId w:val="2"/>
        </w:numPr>
        <w:spacing w:after="80"/>
      </w:pPr>
      <w:r>
        <w:rPr>
          <w:rFonts w:ascii="Arial" w:cs="Arial" w:eastAsia="Arial" w:hAnsi="Arial"/>
          <w:b w:val="false"/>
          <w:bCs w:val="false"/>
          <w:color w:val="1E293B"/>
          <w:sz w:val="21"/>
          <w:szCs w:val="21"/>
        </w:rPr>
        <w:t xml:space="preserve">Four layers of embedded AI: a context-aware co-pilot, a causally-aware baseline narrative engine, a Setup Assistant that proposes risks/costs/links from imported data, and a Generative Visual Assistant that builds charts from real fact-table data on request</w:t>
      </w:r>
    </w:p>
    <w:p>
      <w:pPr>
        <w:pStyle w:val="ListParagraph"/>
        <w:numPr>
          <w:ilvl w:val="0"/>
          <w:numId w:val="2"/>
        </w:numPr>
        <w:spacing w:after="80"/>
      </w:pPr>
      <w:r>
        <w:rPr>
          <w:rFonts w:ascii="Arial" w:cs="Arial" w:eastAsia="Arial" w:hAnsi="Arial"/>
          <w:b w:val="false"/>
          <w:bCs w:val="false"/>
          <w:color w:val="1E293B"/>
          <w:sz w:val="21"/>
          <w:szCs w:val="21"/>
        </w:rPr>
        <w:t xml:space="preserve">A formal monthly Period Governance workflow (Live Update → Cut-off Freeze → Amendment Period → Baseline Incorporation) — a control discipline not found in any competing project controls tool</w:t>
      </w:r>
    </w:p>
    <w:p>
      <w:pPr>
        <w:pStyle w:val="ListParagraph"/>
        <w:numPr>
          <w:ilvl w:val="0"/>
          <w:numId w:val="2"/>
        </w:numPr>
        <w:spacing w:after="80"/>
      </w:pPr>
      <w:r>
        <w:rPr>
          <w:rFonts w:ascii="Arial" w:cs="Arial" w:eastAsia="Arial" w:hAnsi="Arial"/>
          <w:b w:val="false"/>
          <w:bCs w:val="false"/>
          <w:color w:val="1E293B"/>
          <w:sz w:val="21"/>
          <w:szCs w:val="21"/>
        </w:rPr>
        <w:t xml:space="preserve">Import/export tooling for industry-standard formats (XER, MPP, Asta PP, XML, XLSX) with field-mapping and conflict-resolution workflows modelled on real P6/MSP migration patterns</w:t>
      </w:r>
    </w:p>
    <w:p>
      <w:pPr>
        <w:pStyle w:val="ListParagraph"/>
        <w:numPr>
          <w:ilvl w:val="0"/>
          <w:numId w:val="2"/>
        </w:numPr>
        <w:spacing w:after="80"/>
      </w:pPr>
      <w:r>
        <w:rPr>
          <w:rFonts w:ascii="Arial" w:cs="Arial" w:eastAsia="Arial" w:hAnsi="Arial"/>
          <w:b w:val="false"/>
          <w:bCs w:val="false"/>
          <w:color w:val="1E293B"/>
          <w:sz w:val="21"/>
          <w:szCs w:val="21"/>
        </w:rPr>
        <w:t xml:space="preserve">Print/Preview and PDF generation framework, scoped per module, with layout and content customisation</w:t>
      </w:r>
    </w:p>
    <w:p>
      <w:pPr>
        <w:pStyle w:val="ListParagraph"/>
        <w:numPr>
          <w:ilvl w:val="0"/>
          <w:numId w:val="2"/>
        </w:numPr>
        <w:spacing w:after="80"/>
      </w:pPr>
      <w:r>
        <w:rPr>
          <w:rFonts w:ascii="Arial" w:cs="Arial" w:eastAsia="Arial" w:hAnsi="Arial"/>
          <w:b w:val="false"/>
          <w:bCs w:val="false"/>
          <w:color w:val="1E293B"/>
          <w:sz w:val="21"/>
          <w:szCs w:val="21"/>
        </w:rPr>
        <w:t xml:space="preserve">A global Excel/Power BI-ready data export centre built on a proper star-schema (fact_schedule, fact_risk, fact_cost, fact_icd, dim_period) with field-level selection</w:t>
      </w:r>
    </w:p>
    <w:p>
      <w:pPr>
        <w:spacing w:after="120"/>
      </w:pPr>
    </w:p>
    <w:p>
      <w:pPr>
        <w:pStyle w:val="Heading2"/>
        <w:spacing w:after="140" w:before="320"/>
      </w:pPr>
      <w:r>
        <w:rPr>
          <w:rFonts w:ascii="Arial" w:cs="Arial" w:eastAsia="Arial" w:hAnsi="Arial"/>
          <w:b/>
          <w:bCs/>
          <w:color w:val="2563EB"/>
          <w:sz w:val="26"/>
          <w:szCs w:val="26"/>
        </w:rPr>
        <w:t xml:space="preserve">1.2 Document Purpose</w:t>
      </w:r>
    </w:p>
    <w:p>
      <w:pPr>
        <w:spacing w:after="120" w:before="0"/>
        <w:jc w:val="left"/>
      </w:pPr>
      <w:r>
        <w:rPr>
          <w:rFonts w:ascii="Arial" w:cs="Arial" w:eastAsia="Arial" w:hAnsi="Arial"/>
          <w:b w:val="false"/>
          <w:bCs w:val="false"/>
          <w:i w:val="false"/>
          <w:iCs w:val="false"/>
          <w:color w:val="1E293B"/>
          <w:sz w:val="22"/>
          <w:szCs w:val="22"/>
        </w:rPr>
        <w:t xml:space="preserve">This scope document exists to:</w:t>
      </w:r>
    </w:p>
    <w:p>
      <w:pPr>
        <w:pStyle w:val="ListParagraph"/>
        <w:numPr>
          <w:ilvl w:val="0"/>
          <w:numId w:val="3"/>
        </w:numPr>
        <w:spacing w:after="80"/>
      </w:pPr>
      <w:r>
        <w:rPr>
          <w:rFonts w:ascii="Arial" w:cs="Arial" w:eastAsia="Arial" w:hAnsi="Arial"/>
          <w:color w:val="1E293B"/>
          <w:sz w:val="21"/>
          <w:szCs w:val="21"/>
        </w:rPr>
        <w:t xml:space="preserve">Provide a complete, auditable record of what was designed and built during the prototype phase, for handover into production planning.</w:t>
      </w:r>
    </w:p>
    <w:p>
      <w:pPr>
        <w:pStyle w:val="ListParagraph"/>
        <w:numPr>
          <w:ilvl w:val="0"/>
          <w:numId w:val="3"/>
        </w:numPr>
        <w:spacing w:after="80"/>
      </w:pPr>
      <w:r>
        <w:rPr>
          <w:rFonts w:ascii="Arial" w:cs="Arial" w:eastAsia="Arial" w:hAnsi="Arial"/>
          <w:color w:val="1E293B"/>
          <w:sz w:val="21"/>
          <w:szCs w:val="21"/>
        </w:rPr>
        <w:t xml:space="preserve">Distinguish clearly between what is fully functional in the prototype, what is illustrative/simulated pending a real backend, and what is explicitly out of scope at this stage.</w:t>
      </w:r>
    </w:p>
    <w:p>
      <w:pPr>
        <w:pStyle w:val="ListParagraph"/>
        <w:numPr>
          <w:ilvl w:val="0"/>
          <w:numId w:val="3"/>
        </w:numPr>
        <w:spacing w:after="80"/>
      </w:pPr>
      <w:r>
        <w:rPr>
          <w:rFonts w:ascii="Arial" w:cs="Arial" w:eastAsia="Arial" w:hAnsi="Arial"/>
          <w:color w:val="1E293B"/>
          <w:sz w:val="21"/>
          <w:szCs w:val="21"/>
        </w:rPr>
        <w:t xml:space="preserve">Capture the architectural and product decisions made — and the reasoning behind them — so they are not silently lost between prototype and production.</w:t>
      </w:r>
    </w:p>
    <w:p>
      <w:pPr>
        <w:pStyle w:val="ListParagraph"/>
        <w:numPr>
          <w:ilvl w:val="0"/>
          <w:numId w:val="3"/>
        </w:numPr>
        <w:spacing w:after="80"/>
      </w:pPr>
      <w:r>
        <w:rPr>
          <w:rFonts w:ascii="Arial" w:cs="Arial" w:eastAsia="Arial" w:hAnsi="Arial"/>
          <w:color w:val="1E293B"/>
          <w:sz w:val="21"/>
          <w:szCs w:val="21"/>
        </w:rPr>
        <w:t xml:space="preserve">Serve as a base reference for the production development roadmap and the existing ProsotaPMO business case.</w:t>
      </w:r>
    </w:p>
    <w:p>
      <w:pPr>
        <w:pStyle w:val="Heading1"/>
        <w:pBdr>
          <w:bottom w:val="single" w:color="1A2E6B" w:sz="6" w:space="4"/>
        </w:pBdr>
        <w:spacing w:after="200" w:before="480"/>
      </w:pPr>
      <w:r>
        <w:rPr>
          <w:rFonts w:ascii="Arial" w:cs="Arial" w:eastAsia="Arial" w:hAnsi="Arial"/>
          <w:b/>
          <w:bCs/>
          <w:color w:val="1A2E6B"/>
          <w:sz w:val="32"/>
          <w:szCs w:val="32"/>
        </w:rPr>
        <w:t xml:space="preserve">2. Platform Vision &amp; Positioning</w:t>
      </w:r>
    </w:p>
    <w:p>
      <w:pPr>
        <w:pStyle w:val="Heading2"/>
        <w:spacing w:after="140" w:before="320"/>
      </w:pPr>
      <w:r>
        <w:rPr>
          <w:rFonts w:ascii="Arial" w:cs="Arial" w:eastAsia="Arial" w:hAnsi="Arial"/>
          <w:b/>
          <w:bCs/>
          <w:color w:val="2563EB"/>
          <w:sz w:val="26"/>
          <w:szCs w:val="26"/>
        </w:rPr>
        <w:t xml:space="preserve">2.1 Vision Statement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A2E6B" w:sz="4"/>
              <w:left w:val="single" w:color="1A2E6B" w:sz="24"/>
              <w:bottom w:val="single" w:color="1A2E6B" w:sz="4"/>
              <w:right w:val="single" w:color="1A2E6B" w:sz="4"/>
            </w:tcBorders>
            <w:shd w:fill="EFF6FF" w:val="clear"/>
            <w:tcMar>
              <w:top w:type="dxa" w:w="160"/>
              <w:left w:type="dxa" w:w="220"/>
              <w:bottom w:type="dxa" w:w="160"/>
              <w:right w:type="dxa" w:w="220"/>
            </w:tcMar>
          </w:tcPr>
          <w:p>
            <w:pPr>
              <w:spacing w:after="60"/>
            </w:pPr>
            <w:r>
              <w:rPr>
                <w:rFonts w:ascii="Arial" w:cs="Arial" w:eastAsia="Arial" w:hAnsi="Arial"/>
                <w:b/>
                <w:bCs/>
                <w:color w:val="1A2E6B"/>
                <w:sz w:val="21"/>
                <w:szCs w:val="21"/>
              </w:rPr>
              <w:t xml:space="preserve">Vision</w:t>
            </w:r>
          </w:p>
          <w:p>
            <w:pPr>
              <w:spacing w:after="0"/>
            </w:pPr>
            <w:r>
              <w:rPr>
                <w:rFonts w:ascii="Arial" w:cs="Arial" w:eastAsia="Arial" w:hAnsi="Arial"/>
                <w:color w:val="1E293B"/>
                <w:sz w:val="20"/>
                <w:szCs w:val="20"/>
              </w:rPr>
              <w:t xml:space="preserve">To become the operating system for programme intelligence — a single platform where every project professional, from site team to executive board, manages, monitors, and improves programme performance in real time, regardless of sector or geography.</w:t>
            </w:r>
          </w:p>
        </w:tc>
      </w:tr>
    </w:tbl>
    <w:p>
      <w:pPr>
        <w:spacing w:after="120"/>
      </w:pPr>
    </w:p>
    <w:p>
      <w:pPr>
        <w:pStyle w:val="Heading2"/>
        <w:spacing w:after="140" w:before="320"/>
      </w:pPr>
      <w:r>
        <w:rPr>
          <w:rFonts w:ascii="Arial" w:cs="Arial" w:eastAsia="Arial" w:hAnsi="Arial"/>
          <w:b/>
          <w:bCs/>
          <w:color w:val="2563EB"/>
          <w:sz w:val="26"/>
          <w:szCs w:val="26"/>
        </w:rPr>
        <w:t xml:space="preserve">2.2 Sector Positioning</w:t>
      </w:r>
    </w:p>
    <w:p>
      <w:pPr>
        <w:spacing w:after="120" w:before="0"/>
        <w:jc w:val="left"/>
      </w:pPr>
      <w:r>
        <w:rPr>
          <w:rFonts w:ascii="Arial" w:cs="Arial" w:eastAsia="Arial" w:hAnsi="Arial"/>
          <w:b w:val="false"/>
          <w:bCs w:val="false"/>
          <w:i w:val="false"/>
          <w:iCs w:val="false"/>
          <w:color w:val="1E293B"/>
          <w:sz w:val="22"/>
          <w:szCs w:val="22"/>
        </w:rPr>
        <w:t xml:space="preserve">ProsotaPMO is deliberately built as a horizontal, sector-agnostic PMO platform. Construction and infrastructure project controls served as the design reference — given the depth of process rigour in that sector — but every module is built on universal project controls concepts (schedule, cost, risk, change, governance) that translate directly to defence, energy, pharmaceuticals, financial services, government, and technology programme environments. No BIM, IFC, or 4D-specific functionality is included by design; this keeps the platform's addressable market and engineering surface area broad rather than narrow.</w:t>
      </w:r>
    </w:p>
    <w:p>
      <w:pPr>
        <w:spacing w:after="80"/>
      </w:pPr>
    </w:p>
    <w:p>
      <w:pPr>
        <w:pStyle w:val="Heading2"/>
        <w:spacing w:after="140" w:before="320"/>
      </w:pPr>
      <w:r>
        <w:rPr>
          <w:rFonts w:ascii="Arial" w:cs="Arial" w:eastAsia="Arial" w:hAnsi="Arial"/>
          <w:b/>
          <w:bCs/>
          <w:color w:val="2563EB"/>
          <w:sz w:val="26"/>
          <w:szCs w:val="26"/>
        </w:rPr>
        <w:t xml:space="preserve">2.3 The Core Differentiators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Differentiator</w:t>
            </w:r>
          </w:p>
        </w:tc>
        <w:tc>
          <w:tcPr>
            <w:tcW w:type="dxa" w:w="610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Why It Matters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Cross-module linking graph</w:t>
            </w:r>
          </w:p>
        </w:tc>
        <w:tc>
          <w:tcPr>
            <w:tcW w:type="dxa" w:w="6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No competing tool (P6, MS Project, Smartsheet, Planview) lets a risk, a cost line, a schedule activity, and a change request reference the same underlying relationship. This is the foundation for genuine root-cause analysis.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Causally-aware AI narrative</w:t>
            </w:r>
          </w:p>
        </w:tc>
        <w:tc>
          <w:tcPr>
            <w:tcW w:type="dxa" w:w="6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The AI does not summarise four modules independently — it traces the linking graph to explain why metrics moved together, producing board-ready insight a human would otherwise have to manually piece together.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Period Governance workflow</w:t>
            </w:r>
          </w:p>
        </w:tc>
        <w:tc>
          <w:tcPr>
            <w:tcW w:type="dxa" w:w="6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The Live → Frozen → Amendment → Incorporated cycle is a genuine process innovation: it enforces a disciplined monthly reporting cadence that protects executive-facing data from being silently altered after a cut-off.</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AI Setup Assistant</w:t>
            </w:r>
          </w:p>
        </w:tc>
        <w:tc>
          <w:tcPr>
            <w:tcW w:type="dxa" w:w="6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Reduces the cold-start problem of populating a new PMO tool — proposes risks, cost lines, and links directly from an imported schedule, always requiring explicit human acceptance.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Generative Visual Assistant</w:t>
            </w:r>
          </w:p>
        </w:tc>
        <w:tc>
          <w:tcPr>
            <w:tcW w:type="dxa" w:w="6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Lets any user ask for a chart in plain language and receive one built from real, traceable project data — not a generic BI tool bolted on afterwards.</w:t>
            </w:r>
          </w:p>
        </w:tc>
      </w:tr>
    </w:tbl>
    <w:p>
      <w:pPr>
        <w:pStyle w:val="Heading1"/>
        <w:pBdr>
          <w:bottom w:val="single" w:color="1A2E6B" w:sz="6" w:space="4"/>
        </w:pBdr>
        <w:spacing w:after="200" w:before="480"/>
      </w:pPr>
      <w:r>
        <w:rPr>
          <w:rFonts w:ascii="Arial" w:cs="Arial" w:eastAsia="Arial" w:hAnsi="Arial"/>
          <w:b/>
          <w:bCs/>
          <w:color w:val="1A2E6B"/>
          <w:sz w:val="32"/>
          <w:szCs w:val="32"/>
        </w:rPr>
        <w:t xml:space="preserve">3. Technical Architecture (Prototype)</w:t>
      </w:r>
    </w:p>
    <w:p>
      <w:pPr>
        <w:pStyle w:val="Heading2"/>
        <w:spacing w:after="140" w:before="320"/>
      </w:pPr>
      <w:r>
        <w:rPr>
          <w:rFonts w:ascii="Arial" w:cs="Arial" w:eastAsia="Arial" w:hAnsi="Arial"/>
          <w:b/>
          <w:bCs/>
          <w:color w:val="2563EB"/>
          <w:sz w:val="26"/>
          <w:szCs w:val="26"/>
        </w:rPr>
        <w:t xml:space="preserve">3.1 Build Approach</w:t>
      </w:r>
    </w:p>
    <w:p>
      <w:pPr>
        <w:spacing w:after="120" w:before="0"/>
        <w:jc w:val="left"/>
      </w:pPr>
      <w:r>
        <w:rPr>
          <w:rFonts w:ascii="Arial" w:cs="Arial" w:eastAsia="Arial" w:hAnsi="Arial"/>
          <w:b w:val="false"/>
          <w:bCs w:val="false"/>
          <w:i w:val="false"/>
          <w:iCs w:val="false"/>
          <w:color w:val="1E293B"/>
          <w:sz w:val="22"/>
          <w:szCs w:val="22"/>
        </w:rPr>
        <w:t xml:space="preserve">The prototype is implemented as a single, self-contained HTML file (prosota-pmo.html) using vanilla HTML, CSS, and JavaScript — no build step, no framework dependency, no external services beyond the Anthropic API for AI features. This was a deliberate choice for the prototype phase: it allows the entire application to be inspected, modified, and demonstrated without any environment setup, and it forces every interaction to be explicit and traceable in the codebase.</w:t>
      </w:r>
    </w:p>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B45309" w:sz="4"/>
              <w:left w:val="single" w:color="B45309" w:sz="24"/>
              <w:bottom w:val="single" w:color="B45309" w:sz="4"/>
              <w:right w:val="single" w:color="B45309" w:sz="4"/>
            </w:tcBorders>
            <w:shd w:fill="FFF7ED" w:val="clear"/>
            <w:tcMar>
              <w:top w:type="dxa" w:w="160"/>
              <w:left w:type="dxa" w:w="220"/>
              <w:bottom w:type="dxa" w:w="160"/>
              <w:right w:type="dxa" w:w="220"/>
            </w:tcMar>
          </w:tcPr>
          <w:p>
            <w:pPr>
              <w:spacing w:after="60"/>
            </w:pPr>
            <w:r>
              <w:rPr>
                <w:rFonts w:ascii="Arial" w:cs="Arial" w:eastAsia="Arial" w:hAnsi="Arial"/>
                <w:b/>
                <w:bCs/>
                <w:color w:val="B45309"/>
                <w:sz w:val="21"/>
                <w:szCs w:val="21"/>
              </w:rPr>
              <w:t xml:space="preserve">Important Distinction</w:t>
            </w:r>
          </w:p>
          <w:p>
            <w:pPr>
              <w:spacing w:after="0"/>
            </w:pPr>
            <w:r>
              <w:rPr>
                <w:rFonts w:ascii="Arial" w:cs="Arial" w:eastAsia="Arial" w:hAnsi="Arial"/>
                <w:color w:val="1E293B"/>
                <w:sz w:val="20"/>
                <w:szCs w:val="20"/>
              </w:rPr>
              <w:t xml:space="preserve">This single-file approach is correct for a rapid, fully-interactive prototype but is explicitly NOT the intended production architecture. Production architecture (React/TypeScript frontend, FastAPI/PostgreSQL backend, proper multi-tenancy) is addressed separately in the existing ProsotaPMO Business Case document and is out of scope for this document.</w:t>
            </w:r>
          </w:p>
        </w:tc>
      </w:tr>
    </w:tbl>
    <w:p>
      <w:pPr>
        <w:spacing w:after="120"/>
      </w:pPr>
    </w:p>
    <w:p>
      <w:pPr>
        <w:pStyle w:val="Heading2"/>
        <w:spacing w:after="140" w:before="320"/>
      </w:pPr>
      <w:r>
        <w:rPr>
          <w:rFonts w:ascii="Arial" w:cs="Arial" w:eastAsia="Arial" w:hAnsi="Arial"/>
          <w:b/>
          <w:bCs/>
          <w:color w:val="2563EB"/>
          <w:sz w:val="26"/>
          <w:szCs w:val="26"/>
        </w:rPr>
        <w:t xml:space="preserve">3.2 File Structure &amp; Scale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Aspect</w:t>
            </w:r>
          </w:p>
        </w:tc>
        <w:tc>
          <w:tcPr>
            <w:tcW w:type="dxa" w:w="690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File</w:t>
            </w:r>
          </w:p>
        </w:tc>
        <w:tc>
          <w:tcPr>
            <w:tcW w:type="dxa" w:w="6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prosota-pmo.html — single file, ~6,400 lines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CSS</w:t>
            </w:r>
          </w:p>
        </w:tc>
        <w:tc>
          <w:tcPr>
            <w:tcW w:type="dxa" w:w="6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Embedded &lt;style&gt; block, ~340 selectors, custom property-based theme (navy/blue/teal/amber palette)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JavaScript</w:t>
            </w:r>
          </w:p>
        </w:tc>
        <w:tc>
          <w:tcPr>
            <w:tcW w:type="dxa" w:w="6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Embedded &lt;script&gt; block, ~94 functions, no external dependencies beyond fetch() to the Anthropic API</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Data</w:t>
            </w:r>
          </w:p>
        </w:tc>
        <w:tc>
          <w:tcPr>
            <w:tcW w:type="dxa" w:w="6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In-memory JavaScript objects/arrays seeded with realistic project data; no persistence layer (resets on page reload)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Views</w:t>
            </w:r>
          </w:p>
        </w:tc>
        <w:tc>
          <w:tcPr>
            <w:tcW w:type="dxa" w:w="6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9 top-level views (selector, dashboard, planner, risk, cost, files, tracker, period, export), navigated via a single-page-app pattern (showView())</w:t>
            </w:r>
          </w:p>
        </w:tc>
      </w:tr>
    </w:tbl>
    <w:p>
      <w:pPr>
        <w:spacing w:after="80"/>
      </w:pPr>
    </w:p>
    <w:p>
      <w:pPr>
        <w:pStyle w:val="Heading2"/>
        <w:spacing w:after="140" w:before="320"/>
      </w:pPr>
      <w:r>
        <w:rPr>
          <w:rFonts w:ascii="Arial" w:cs="Arial" w:eastAsia="Arial" w:hAnsi="Arial"/>
          <w:b/>
          <w:bCs/>
          <w:color w:val="2563EB"/>
          <w:sz w:val="26"/>
          <w:szCs w:val="26"/>
        </w:rPr>
        <w:t xml:space="preserve">3.3 Data Model — Source Material</w:t>
      </w:r>
    </w:p>
    <w:p>
      <w:pPr>
        <w:spacing w:after="120" w:before="0"/>
        <w:jc w:val="left"/>
      </w:pPr>
      <w:r>
        <w:rPr>
          <w:rFonts w:ascii="Arial" w:cs="Arial" w:eastAsia="Arial" w:hAnsi="Arial"/>
          <w:b w:val="false"/>
          <w:bCs w:val="false"/>
          <w:i w:val="false"/>
          <w:iCs w:val="false"/>
          <w:color w:val="1E293B"/>
          <w:sz w:val="22"/>
          <w:szCs w:val="22"/>
        </w:rPr>
        <w:t xml:space="preserve">The Cost Plan module's data structure, elemental breakdown, and unit-rate conventions were derived from a real, anonymised construction cost plan (Rev C, multi-storey car park / data centre composite), giving the prototype's financial data genuine industry credibility rather than placeholder numbers. Figures were adapted, not copied verbatim.</w:t>
      </w:r>
    </w:p>
    <w:p>
      <w:pPr>
        <w:spacing w:after="80"/>
      </w:pPr>
    </w:p>
    <w:p>
      <w:pPr>
        <w:pStyle w:val="Heading2"/>
        <w:spacing w:after="140" w:before="320"/>
      </w:pPr>
      <w:r>
        <w:rPr>
          <w:rFonts w:ascii="Arial" w:cs="Arial" w:eastAsia="Arial" w:hAnsi="Arial"/>
          <w:b/>
          <w:bCs/>
          <w:color w:val="2563EB"/>
          <w:sz w:val="26"/>
          <w:szCs w:val="26"/>
        </w:rPr>
        <w:t xml:space="preserve">3.4 Known Prototype-Stage Limitations</w:t>
      </w:r>
    </w:p>
    <w:p>
      <w:pPr>
        <w:spacing w:after="120" w:before="0"/>
        <w:jc w:val="left"/>
      </w:pPr>
      <w:r>
        <w:rPr>
          <w:rFonts w:ascii="Arial" w:cs="Arial" w:eastAsia="Arial" w:hAnsi="Arial"/>
          <w:b w:val="false"/>
          <w:bCs w:val="false"/>
          <w:i w:val="false"/>
          <w:iCs w:val="false"/>
          <w:color w:val="1E293B"/>
          <w:sz w:val="22"/>
          <w:szCs w:val="22"/>
        </w:rPr>
        <w:t xml:space="preserve">These are deliberate, acknowledged limitations of a prototype rather than defects, and are listed here for transparency ahead of production planning:</w:t>
      </w:r>
    </w:p>
    <w:p>
      <w:pPr>
        <w:pStyle w:val="ListParagraph"/>
        <w:numPr>
          <w:ilvl w:val="0"/>
          <w:numId w:val="2"/>
        </w:numPr>
        <w:spacing w:after="80"/>
      </w:pPr>
      <w:r>
        <w:rPr>
          <w:rFonts w:ascii="Arial" w:cs="Arial" w:eastAsia="Arial" w:hAnsi="Arial"/>
          <w:b w:val="false"/>
          <w:bCs w:val="false"/>
          <w:color w:val="1E293B"/>
          <w:sz w:val="21"/>
          <w:szCs w:val="21"/>
        </w:rPr>
        <w:t xml:space="preserve">No backend or database — all data is in-memory JavaScript and resets on every page reload</w:t>
      </w:r>
    </w:p>
    <w:p>
      <w:pPr>
        <w:pStyle w:val="ListParagraph"/>
        <w:numPr>
          <w:ilvl w:val="0"/>
          <w:numId w:val="2"/>
        </w:numPr>
        <w:spacing w:after="80"/>
      </w:pPr>
      <w:r>
        <w:rPr>
          <w:rFonts w:ascii="Arial" w:cs="Arial" w:eastAsia="Arial" w:hAnsi="Arial"/>
          <w:b w:val="false"/>
          <w:bCs w:val="false"/>
          <w:color w:val="1E293B"/>
          <w:sz w:val="21"/>
          <w:szCs w:val="21"/>
        </w:rPr>
        <w:t xml:space="preserve">No real authentication, multi-tenancy, or user permission model</w:t>
      </w:r>
    </w:p>
    <w:p>
      <w:pPr>
        <w:pStyle w:val="ListParagraph"/>
        <w:numPr>
          <w:ilvl w:val="0"/>
          <w:numId w:val="2"/>
        </w:numPr>
        <w:spacing w:after="80"/>
      </w:pPr>
      <w:r>
        <w:rPr>
          <w:rFonts w:ascii="Arial" w:cs="Arial" w:eastAsia="Arial" w:hAnsi="Arial"/>
          <w:b w:val="false"/>
          <w:bCs w:val="false"/>
          <w:color w:val="1E293B"/>
          <w:sz w:val="21"/>
          <w:szCs w:val="21"/>
        </w:rPr>
        <w:t xml:space="preserve">No real file import parsing — XER/MPP/XLSX import flows are fully designed UX (upload, field-mapping, conflict resolution) but operate on simulated/seeded results rather than parsing actual uploaded files</w:t>
      </w:r>
    </w:p>
    <w:p>
      <w:pPr>
        <w:pStyle w:val="ListParagraph"/>
        <w:numPr>
          <w:ilvl w:val="0"/>
          <w:numId w:val="2"/>
        </w:numPr>
        <w:spacing w:after="80"/>
      </w:pPr>
      <w:r>
        <w:rPr>
          <w:rFonts w:ascii="Arial" w:cs="Arial" w:eastAsia="Arial" w:hAnsi="Arial"/>
          <w:b w:val="false"/>
          <w:bCs w:val="false"/>
          <w:color w:val="1E293B"/>
          <w:sz w:val="21"/>
          <w:szCs w:val="21"/>
        </w:rPr>
        <w:t xml:space="preserve">AI features call the real Anthropic API and return genuine model output, but operate on a fixed, hard-coded project dataset rather than a live, queryable backend</w:t>
      </w:r>
    </w:p>
    <w:p>
      <w:pPr>
        <w:pStyle w:val="ListParagraph"/>
        <w:numPr>
          <w:ilvl w:val="0"/>
          <w:numId w:val="2"/>
        </w:numPr>
        <w:spacing w:after="80"/>
      </w:pPr>
      <w:r>
        <w:rPr>
          <w:rFonts w:ascii="Arial" w:cs="Arial" w:eastAsia="Arial" w:hAnsi="Arial"/>
          <w:b w:val="false"/>
          <w:bCs w:val="false"/>
          <w:color w:val="1E293B"/>
          <w:sz w:val="21"/>
          <w:szCs w:val="21"/>
        </w:rPr>
        <w:t xml:space="preserve">No real persistence of links, suggestions, or period state between sessions</w:t>
      </w:r>
    </w:p>
    <w:p>
      <w:pPr>
        <w:pStyle w:val="ListParagraph"/>
        <w:numPr>
          <w:ilvl w:val="0"/>
          <w:numId w:val="2"/>
        </w:numPr>
        <w:spacing w:after="80"/>
      </w:pPr>
      <w:r>
        <w:rPr>
          <w:rFonts w:ascii="Arial" w:cs="Arial" w:eastAsia="Arial" w:hAnsi="Arial"/>
          <w:b w:val="false"/>
          <w:bCs w:val="false"/>
          <w:color w:val="1E293B"/>
          <w:sz w:val="21"/>
          <w:szCs w:val="21"/>
        </w:rPr>
        <w:t xml:space="preserve">Single project context ("London Data Centre") is fully built; the second project shown in the selector ("Metro Rail Extension") is a placeholder card only</w:t>
      </w:r>
    </w:p>
    <w:p>
      <w:pPr>
        <w:pStyle w:val="Heading1"/>
        <w:pBdr>
          <w:bottom w:val="single" w:color="1A2E6B" w:sz="6" w:space="4"/>
        </w:pBdr>
        <w:spacing w:after="200" w:before="480"/>
      </w:pPr>
      <w:r>
        <w:rPr>
          <w:rFonts w:ascii="Arial" w:cs="Arial" w:eastAsia="Arial" w:hAnsi="Arial"/>
          <w:b/>
          <w:bCs/>
          <w:color w:val="1A2E6B"/>
          <w:sz w:val="32"/>
          <w:szCs w:val="32"/>
        </w:rPr>
        <w:t xml:space="preserve">4. Module-by-Module Scope</w:t>
      </w:r>
    </w:p>
    <w:p>
      <w:pPr>
        <w:spacing w:after="120" w:before="0"/>
        <w:jc w:val="left"/>
      </w:pPr>
      <w:r>
        <w:rPr>
          <w:rFonts w:ascii="Arial" w:cs="Arial" w:eastAsia="Arial" w:hAnsi="Arial"/>
          <w:b w:val="false"/>
          <w:bCs w:val="false"/>
          <w:i w:val="false"/>
          <w:iCs w:val="false"/>
          <w:color w:val="1E293B"/>
          <w:sz w:val="22"/>
          <w:szCs w:val="22"/>
        </w:rPr>
        <w:t xml:space="preserve">This section documents every module in functional detail: what it does, what is interactive, and what data it operates on. Modules are presented in the order they appear in the platform's left-hand navigation.</w:t>
      </w:r>
    </w:p>
    <w:p>
      <w:pPr>
        <w:pStyle w:val="Heading2"/>
        <w:spacing w:after="140" w:before="320"/>
      </w:pPr>
      <w:r>
        <w:rPr>
          <w:rFonts w:ascii="Arial" w:cs="Arial" w:eastAsia="Arial" w:hAnsi="Arial"/>
          <w:b/>
          <w:bCs/>
          <w:color w:val="2563EB"/>
          <w:sz w:val="26"/>
          <w:szCs w:val="26"/>
        </w:rPr>
        <w:t xml:space="preserve">4.1 Project Selector</w:t>
      </w:r>
    </w:p>
    <w:p>
      <w:pPr>
        <w:spacing w:after="120" w:before="0"/>
        <w:jc w:val="left"/>
      </w:pPr>
      <w:r>
        <w:rPr>
          <w:rFonts w:ascii="Arial" w:cs="Arial" w:eastAsia="Arial" w:hAnsi="Arial"/>
          <w:b w:val="false"/>
          <w:bCs w:val="false"/>
          <w:i w:val="false"/>
          <w:iCs w:val="false"/>
          <w:color w:val="1E293B"/>
          <w:sz w:val="22"/>
          <w:szCs w:val="22"/>
        </w:rPr>
        <w:t xml:space="preserve">Entry point of the application. Presents a searchable card grid of assigned projects with summary KPIs (overdue %, open items, change requests) and a 6-bar activity sparkline per card.</w:t>
      </w:r>
    </w:p>
    <w:p>
      <w:pPr>
        <w:pStyle w:val="ListParagraph"/>
        <w:numPr>
          <w:ilvl w:val="0"/>
          <w:numId w:val="2"/>
        </w:numPr>
        <w:spacing w:after="80"/>
      </w:pPr>
      <w:r>
        <w:rPr>
          <w:rFonts w:ascii="Arial" w:cs="Arial" w:eastAsia="Arial" w:hAnsi="Arial"/>
          <w:b w:val="false"/>
          <w:bCs w:val="false"/>
          <w:color w:val="1E293B"/>
          <w:sz w:val="21"/>
          <w:szCs w:val="21"/>
        </w:rPr>
        <w:t xml:space="preserve">Functional: project search, sort-by control, card click-through into the selected project's workspace</w:t>
      </w:r>
    </w:p>
    <w:p>
      <w:pPr>
        <w:pStyle w:val="ListParagraph"/>
        <w:numPr>
          <w:ilvl w:val="0"/>
          <w:numId w:val="2"/>
        </w:numPr>
        <w:spacing w:after="80"/>
      </w:pPr>
      <w:r>
        <w:rPr>
          <w:rFonts w:ascii="Arial" w:cs="Arial" w:eastAsia="Arial" w:hAnsi="Arial"/>
          <w:b w:val="false"/>
          <w:bCs w:val="false"/>
          <w:color w:val="1E293B"/>
          <w:sz w:val="21"/>
          <w:szCs w:val="21"/>
        </w:rPr>
        <w:t xml:space="preserve">Data: "London Data Centre" (Global Hosting Solutions) is the fully built project; "Metro Rail Extension" is a visual placeholder only</w:t>
      </w:r>
    </w:p>
    <w:p>
      <w:pPr>
        <w:spacing w:after="100"/>
      </w:pPr>
    </w:p>
    <w:p>
      <w:pPr>
        <w:pStyle w:val="Heading2"/>
        <w:spacing w:after="140" w:before="320"/>
      </w:pPr>
      <w:r>
        <w:rPr>
          <w:rFonts w:ascii="Arial" w:cs="Arial" w:eastAsia="Arial" w:hAnsi="Arial"/>
          <w:b/>
          <w:bCs/>
          <w:color w:val="2563EB"/>
          <w:sz w:val="26"/>
          <w:szCs w:val="26"/>
        </w:rPr>
        <w:t xml:space="preserve">4.2 Controls Dashboard</w:t>
      </w:r>
    </w:p>
    <w:p>
      <w:pPr>
        <w:spacing w:after="120" w:before="0"/>
        <w:jc w:val="left"/>
      </w:pPr>
      <w:r>
        <w:rPr>
          <w:rFonts w:ascii="Arial" w:cs="Arial" w:eastAsia="Arial" w:hAnsi="Arial"/>
          <w:b w:val="false"/>
          <w:bCs w:val="false"/>
          <w:i w:val="false"/>
          <w:iCs w:val="false"/>
          <w:color w:val="1E293B"/>
          <w:sz w:val="22"/>
          <w:szCs w:val="22"/>
        </w:rPr>
        <w:t xml:space="preserve">The platform's executive reporting surface, restructured into three tabs to keep related content together without proliferating top-level navigation.</w:t>
      </w:r>
    </w:p>
    <w:p>
      <w:pPr>
        <w:pStyle w:val="Heading3"/>
        <w:spacing w:after="100" w:before="220"/>
      </w:pPr>
      <w:r>
        <w:rPr>
          <w:rFonts w:ascii="Arial" w:cs="Arial" w:eastAsia="Arial" w:hAnsi="Arial"/>
          <w:b/>
          <w:bCs/>
          <w:color w:val="475569"/>
          <w:sz w:val="22"/>
          <w:szCs w:val="22"/>
        </w:rPr>
        <w:t xml:space="preserve">4.2.1 Tab 1 — Overview</w:t>
      </w:r>
    </w:p>
    <w:p>
      <w:pPr>
        <w:pStyle w:val="ListParagraph"/>
        <w:numPr>
          <w:ilvl w:val="0"/>
          <w:numId w:val="2"/>
        </w:numPr>
        <w:spacing w:after="80"/>
      </w:pPr>
      <w:r>
        <w:rPr>
          <w:rFonts w:ascii="Arial" w:cs="Arial" w:eastAsia="Arial" w:hAnsi="Arial"/>
          <w:b w:val="false"/>
          <w:bCs w:val="false"/>
          <w:color w:val="1E293B"/>
          <w:sz w:val="21"/>
          <w:szCs w:val="21"/>
        </w:rPr>
        <w:t xml:space="preserve">Generative Visual Assistant: free-text input plus 5 one-click suggestion chips; intent-matching engine maps natural language to 6 known chart queries (cost variance by package, risk exposure by category, SPI trend, open issues by priority, risk EMV vs cost variance, risk vs schedule float)</w:t>
      </w:r>
    </w:p>
    <w:p>
      <w:pPr>
        <w:pStyle w:val="ListParagraph"/>
        <w:numPr>
          <w:ilvl w:val="0"/>
          <w:numId w:val="2"/>
        </w:numPr>
        <w:spacing w:after="80"/>
      </w:pPr>
      <w:r>
        <w:rPr>
          <w:rFonts w:ascii="Arial" w:cs="Arial" w:eastAsia="Arial" w:hAnsi="Arial"/>
          <w:b w:val="false"/>
          <w:bCs w:val="false"/>
          <w:color w:val="1E293B"/>
          <w:sz w:val="21"/>
          <w:szCs w:val="21"/>
        </w:rPr>
        <w:t xml:space="preserve">Charts render as inline SVG (bar, line, and dual-line series) with no external charting library dependency</w:t>
      </w:r>
    </w:p>
    <w:p>
      <w:pPr>
        <w:pStyle w:val="ListParagraph"/>
        <w:numPr>
          <w:ilvl w:val="0"/>
          <w:numId w:val="2"/>
        </w:numPr>
        <w:spacing w:after="80"/>
      </w:pPr>
      <w:r>
        <w:rPr>
          <w:rFonts w:ascii="Arial" w:cs="Arial" w:eastAsia="Arial" w:hAnsi="Arial"/>
          <w:b w:val="false"/>
          <w:bCs w:val="false"/>
          <w:color w:val="1E293B"/>
          <w:sz w:val="21"/>
          <w:szCs w:val="21"/>
        </w:rPr>
        <w:t xml:space="preserve">Every generated chart card displays its data source explicitly (e.g. "fact_cost — grouped by element_group, summed variance") and can be dismissed</w:t>
      </w:r>
    </w:p>
    <w:p>
      <w:pPr>
        <w:pStyle w:val="ListParagraph"/>
        <w:numPr>
          <w:ilvl w:val="0"/>
          <w:numId w:val="2"/>
        </w:numPr>
        <w:spacing w:after="80"/>
      </w:pPr>
      <w:r>
        <w:rPr>
          <w:rFonts w:ascii="Arial" w:cs="Arial" w:eastAsia="Arial" w:hAnsi="Arial"/>
          <w:b w:val="false"/>
          <w:bCs w:val="false"/>
          <w:color w:val="1E293B"/>
          <w:sz w:val="21"/>
          <w:szCs w:val="21"/>
        </w:rPr>
        <w:t xml:space="preserve">Original KPI strip (Planned Finish, Issues Health, Change Requests, Schedule SPI) and supporting schedule/risk/cost visual cards retained beneath the AI assistant</w:t>
      </w:r>
    </w:p>
    <w:p>
      <w:pPr>
        <w:pStyle w:val="Heading3"/>
        <w:spacing w:after="100" w:before="220"/>
      </w:pPr>
      <w:r>
        <w:rPr>
          <w:rFonts w:ascii="Arial" w:cs="Arial" w:eastAsia="Arial" w:hAnsi="Arial"/>
          <w:b/>
          <w:bCs/>
          <w:color w:val="475569"/>
          <w:sz w:val="22"/>
          <w:szCs w:val="22"/>
        </w:rPr>
        <w:t xml:space="preserve">4.2.2 Tab 2 — Baseline Comparison</w:t>
      </w:r>
    </w:p>
    <w:p>
      <w:pPr>
        <w:pStyle w:val="ListParagraph"/>
        <w:numPr>
          <w:ilvl w:val="0"/>
          <w:numId w:val="2"/>
        </w:numPr>
        <w:spacing w:after="80"/>
      </w:pPr>
      <w:r>
        <w:rPr>
          <w:rFonts w:ascii="Arial" w:cs="Arial" w:eastAsia="Arial" w:hAnsi="Arial"/>
          <w:b w:val="false"/>
          <w:bCs w:val="false"/>
          <w:color w:val="1E293B"/>
          <w:sz w:val="21"/>
          <w:szCs w:val="21"/>
        </w:rPr>
        <w:t xml:space="preserve">Compare current period (2025-05, live) against any of four prior frozen baselines (Jan–Apr 2025) via dropdown</w:t>
      </w:r>
    </w:p>
    <w:p>
      <w:pPr>
        <w:pStyle w:val="ListParagraph"/>
        <w:numPr>
          <w:ilvl w:val="0"/>
          <w:numId w:val="2"/>
        </w:numPr>
        <w:spacing w:after="80"/>
      </w:pPr>
      <w:r>
        <w:rPr>
          <w:rFonts w:ascii="Arial" w:cs="Arial" w:eastAsia="Arial" w:hAnsi="Arial"/>
          <w:b w:val="false"/>
          <w:bCs w:val="false"/>
          <w:color w:val="1E293B"/>
          <w:sz w:val="21"/>
          <w:szCs w:val="21"/>
        </w:rPr>
        <w:t xml:space="preserve">Four module summary cards (Schedule, Risk, Cost, ICD) each showing 3 key metrics with delta arrows and a 5-period trend sparkline</w:t>
      </w:r>
    </w:p>
    <w:p>
      <w:pPr>
        <w:pStyle w:val="ListParagraph"/>
        <w:numPr>
          <w:ilvl w:val="0"/>
          <w:numId w:val="2"/>
        </w:numPr>
        <w:spacing w:after="80"/>
      </w:pPr>
      <w:r>
        <w:rPr>
          <w:rFonts w:ascii="Arial" w:cs="Arial" w:eastAsia="Arial" w:hAnsi="Arial"/>
          <w:b w:val="false"/>
          <w:bCs w:val="false"/>
          <w:color w:val="1E293B"/>
          <w:sz w:val="21"/>
          <w:szCs w:val="21"/>
        </w:rPr>
        <w:t xml:space="preserve">Five detail tabs (Overview, Schedule, Risk, Cost, ICD) with full metric tables comparing baseline vs current values, plus narrative "Key Movement" callouts per module</w:t>
      </w:r>
    </w:p>
    <w:p>
      <w:pPr>
        <w:pStyle w:val="ListParagraph"/>
        <w:numPr>
          <w:ilvl w:val="0"/>
          <w:numId w:val="2"/>
        </w:numPr>
        <w:spacing w:after="80"/>
      </w:pPr>
      <w:r>
        <w:rPr>
          <w:rFonts w:ascii="Arial" w:cs="Arial" w:eastAsia="Arial" w:hAnsi="Arial"/>
          <w:b w:val="false"/>
          <w:bCs w:val="false"/>
          <w:color w:val="1E293B"/>
          <w:sz w:val="21"/>
          <w:szCs w:val="21"/>
        </w:rPr>
        <w:t xml:space="preserve">AI Summary button generates a causally-aware, 3-paragraph written narrative using the cross-module linking graph (see Section 5) — explains root causes, not just isolated metric movements</w:t>
      </w:r>
    </w:p>
    <w:p>
      <w:pPr>
        <w:pStyle w:val="Heading3"/>
        <w:spacing w:after="100" w:before="220"/>
      </w:pPr>
      <w:r>
        <w:rPr>
          <w:rFonts w:ascii="Arial" w:cs="Arial" w:eastAsia="Arial" w:hAnsi="Arial"/>
          <w:b/>
          <w:bCs/>
          <w:color w:val="475569"/>
          <w:sz w:val="22"/>
          <w:szCs w:val="22"/>
        </w:rPr>
        <w:t xml:space="preserve">4.2.3 Tab 3 — AI Suggestions</w:t>
      </w:r>
    </w:p>
    <w:p>
      <w:pPr>
        <w:pStyle w:val="ListParagraph"/>
        <w:numPr>
          <w:ilvl w:val="0"/>
          <w:numId w:val="2"/>
        </w:numPr>
        <w:spacing w:after="80"/>
      </w:pPr>
      <w:r>
        <w:rPr>
          <w:rFonts w:ascii="Arial" w:cs="Arial" w:eastAsia="Arial" w:hAnsi="Arial"/>
          <w:b w:val="false"/>
          <w:bCs w:val="false"/>
          <w:color w:val="1E293B"/>
          <w:sz w:val="21"/>
          <w:szCs w:val="21"/>
        </w:rPr>
        <w:t xml:space="preserve">Embedded Setup Assistant inbox (see Section 6) — filterable by All / Risks / Cost / Links, with bulk Accept All / Dismiss All actions and a live pending-count badge on the tab itself</w:t>
      </w:r>
    </w:p>
    <w:p>
      <w:pPr>
        <w:spacing w:after="100"/>
      </w:pPr>
    </w:p>
    <w:p>
      <w:pPr>
        <w:pStyle w:val="Heading2"/>
        <w:spacing w:after="140" w:before="320"/>
      </w:pPr>
      <w:r>
        <w:rPr>
          <w:rFonts w:ascii="Arial" w:cs="Arial" w:eastAsia="Arial" w:hAnsi="Arial"/>
          <w:b/>
          <w:bCs/>
          <w:color w:val="2563EB"/>
          <w:sz w:val="26"/>
          <w:szCs w:val="26"/>
        </w:rPr>
        <w:t xml:space="preserve">4.3 Scheduling</w:t>
      </w:r>
    </w:p>
    <w:p>
      <w:pPr>
        <w:spacing w:after="120" w:before="0"/>
        <w:jc w:val="left"/>
      </w:pPr>
      <w:r>
        <w:rPr>
          <w:rFonts w:ascii="Arial" w:cs="Arial" w:eastAsia="Arial" w:hAnsi="Arial"/>
          <w:b w:val="false"/>
          <w:bCs w:val="false"/>
          <w:i w:val="false"/>
          <w:iCs w:val="false"/>
          <w:color w:val="1E293B"/>
          <w:sz w:val="22"/>
          <w:szCs w:val="22"/>
        </w:rPr>
        <w:t xml:space="preserve">A full Gantt-based programme view built around real Rev C activity data (substructure piling, superstructure steelwork, MEP, fitout, external works) with baseline comparison built into the core grid.</w:t>
      </w:r>
    </w:p>
    <w:p>
      <w:pPr>
        <w:pStyle w:val="ListParagraph"/>
        <w:numPr>
          <w:ilvl w:val="0"/>
          <w:numId w:val="2"/>
        </w:numPr>
        <w:spacing w:after="80"/>
      </w:pPr>
      <w:r>
        <w:rPr>
          <w:rFonts w:ascii="Arial" w:cs="Arial" w:eastAsia="Arial" w:hAnsi="Arial"/>
          <w:b w:val="false"/>
          <w:bCs w:val="false"/>
          <w:color w:val="1E293B"/>
          <w:sz w:val="21"/>
          <w:szCs w:val="21"/>
        </w:rPr>
        <w:t xml:space="preserve">Split-pane layout: resizable data grid (left) and scrollable Gantt chart (right), connected by a draggable splitter and per-column resize handles</w:t>
      </w:r>
    </w:p>
    <w:p>
      <w:pPr>
        <w:pStyle w:val="ListParagraph"/>
        <w:numPr>
          <w:ilvl w:val="0"/>
          <w:numId w:val="2"/>
        </w:numPr>
        <w:spacing w:after="80"/>
      </w:pPr>
      <w:r>
        <w:rPr>
          <w:rFonts w:ascii="Arial" w:cs="Arial" w:eastAsia="Arial" w:hAnsi="Arial"/>
          <w:b w:val="false"/>
          <w:bCs w:val="false"/>
          <w:color w:val="1E293B"/>
          <w:sz w:val="21"/>
          <w:szCs w:val="21"/>
        </w:rPr>
        <w:t xml:space="preserve">Grid columns: Activity, Duration, Baseline Start, Baseline Finish, Current Start, Current Finish, Variance (days), % Complete, Commentary — each independently resizable</w:t>
      </w:r>
    </w:p>
    <w:p>
      <w:pPr>
        <w:pStyle w:val="ListParagraph"/>
        <w:numPr>
          <w:ilvl w:val="0"/>
          <w:numId w:val="2"/>
        </w:numPr>
        <w:spacing w:after="80"/>
      </w:pPr>
      <w:r>
        <w:rPr>
          <w:rFonts w:ascii="Arial" w:cs="Arial" w:eastAsia="Arial" w:hAnsi="Arial"/>
          <w:b w:val="false"/>
          <w:bCs w:val="false"/>
          <w:color w:val="1E293B"/>
          <w:sz w:val="21"/>
          <w:szCs w:val="21"/>
        </w:rPr>
        <w:t xml:space="preserve">Gantt chart shows baseline ghost bars beneath live bars, a live data-date vertical marker, and colour-coded bars (on-schedule, delayed, critical) with a milestone diamond for Practical Completion</w:t>
      </w:r>
    </w:p>
    <w:p>
      <w:pPr>
        <w:pStyle w:val="ListParagraph"/>
        <w:numPr>
          <w:ilvl w:val="0"/>
          <w:numId w:val="2"/>
        </w:numPr>
        <w:spacing w:after="80"/>
      </w:pPr>
      <w:r>
        <w:rPr>
          <w:rFonts w:ascii="Arial" w:cs="Arial" w:eastAsia="Arial" w:hAnsi="Arial"/>
          <w:b w:val="false"/>
          <w:bCs w:val="false"/>
          <w:color w:val="1E293B"/>
          <w:sz w:val="21"/>
          <w:szCs w:val="21"/>
        </w:rPr>
        <w:t xml:space="preserve">Three schedule-management widgets: Reschedule (date-shift simulation with impact preview), Quality Check (DCMA 14-point analysis with pass/warn/fail scoring), Calendar (working-day patterns and non-working exceptions)</w:t>
      </w:r>
    </w:p>
    <w:p>
      <w:pPr>
        <w:pStyle w:val="ListParagraph"/>
        <w:numPr>
          <w:ilvl w:val="0"/>
          <w:numId w:val="2"/>
        </w:numPr>
        <w:spacing w:after="80"/>
      </w:pPr>
      <w:r>
        <w:rPr>
          <w:rFonts w:ascii="Arial" w:cs="Arial" w:eastAsia="Arial" w:hAnsi="Arial"/>
          <w:b w:val="false"/>
          <w:bCs w:val="false"/>
          <w:color w:val="1E293B"/>
          <w:sz w:val="21"/>
          <w:szCs w:val="21"/>
        </w:rPr>
        <w:t xml:space="preserve">Activity Detail panel: 5 tabs — Activity Details, Dates, Logic (predecessor/successor), Resources (with a resource-loading SVG chart), and Linked (cross-module relationships, see Section 5)</w:t>
      </w:r>
    </w:p>
    <w:p>
      <w:pPr>
        <w:pStyle w:val="ListParagraph"/>
        <w:numPr>
          <w:ilvl w:val="0"/>
          <w:numId w:val="2"/>
        </w:numPr>
        <w:spacing w:after="80"/>
      </w:pPr>
      <w:r>
        <w:rPr>
          <w:rFonts w:ascii="Arial" w:cs="Arial" w:eastAsia="Arial" w:hAnsi="Arial"/>
          <w:b w:val="false"/>
          <w:bCs w:val="false"/>
          <w:color w:val="1E293B"/>
          <w:sz w:val="21"/>
          <w:szCs w:val="21"/>
        </w:rPr>
        <w:t xml:space="preserve">Import/Export: dropdown menu for XER, MPP, Asta PP, XML import, and XER/MPP/PP/XML/XLSX export, each routing through a 3-step import wizard (Upload → Map Fields → Review &amp; Confirm) with simulated conflict resolution</w:t>
      </w:r>
    </w:p>
    <w:p>
      <w:pPr>
        <w:pStyle w:val="ListParagraph"/>
        <w:numPr>
          <w:ilvl w:val="0"/>
          <w:numId w:val="2"/>
        </w:numPr>
        <w:spacing w:after="80"/>
      </w:pPr>
      <w:r>
        <w:rPr>
          <w:rFonts w:ascii="Arial" w:cs="Arial" w:eastAsia="Arial" w:hAnsi="Arial"/>
          <w:b w:val="false"/>
          <w:bCs w:val="false"/>
          <w:color w:val="1E293B"/>
          <w:sz w:val="21"/>
          <w:szCs w:val="21"/>
        </w:rPr>
        <w:t xml:space="preserve">Print/Preview: dedicated modal with layout controls (orientation, paper size, date range), content toggles (baseline bars, critical path, data date, Commentary column), and PDF/Print actions</w:t>
      </w:r>
    </w:p>
    <w:p>
      <w:pPr>
        <w:spacing w:after="100"/>
      </w:pPr>
    </w:p>
    <w:p>
      <w:pPr>
        <w:pStyle w:val="Heading2"/>
        <w:spacing w:after="140" w:before="320"/>
      </w:pPr>
      <w:r>
        <w:rPr>
          <w:rFonts w:ascii="Arial" w:cs="Arial" w:eastAsia="Arial" w:hAnsi="Arial"/>
          <w:b/>
          <w:bCs/>
          <w:color w:val="2563EB"/>
          <w:sz w:val="26"/>
          <w:szCs w:val="26"/>
        </w:rPr>
        <w:t xml:space="preserve">4.4 Risk Register</w:t>
      </w:r>
    </w:p>
    <w:p>
      <w:pPr>
        <w:spacing w:after="120" w:before="0"/>
        <w:jc w:val="left"/>
      </w:pPr>
      <w:r>
        <w:rPr>
          <w:rFonts w:ascii="Arial" w:cs="Arial" w:eastAsia="Arial" w:hAnsi="Arial"/>
          <w:b w:val="false"/>
          <w:bCs w:val="false"/>
          <w:i w:val="false"/>
          <w:iCs w:val="false"/>
          <w:color w:val="1E293B"/>
          <w:sz w:val="22"/>
          <w:szCs w:val="22"/>
        </w:rPr>
        <w:t xml:space="preserve">A full ISO 31000-aligned risk register with qualitative and quantitative analysis.</w:t>
      </w:r>
    </w:p>
    <w:p>
      <w:pPr>
        <w:pStyle w:val="ListParagraph"/>
        <w:numPr>
          <w:ilvl w:val="0"/>
          <w:numId w:val="2"/>
        </w:numPr>
        <w:spacing w:after="80"/>
      </w:pPr>
      <w:r>
        <w:rPr>
          <w:rFonts w:ascii="Arial" w:cs="Arial" w:eastAsia="Arial" w:hAnsi="Arial"/>
          <w:b w:val="false"/>
          <w:bCs w:val="false"/>
          <w:color w:val="1E293B"/>
          <w:sz w:val="21"/>
          <w:szCs w:val="21"/>
        </w:rPr>
        <w:t xml:space="preserve">5×5 probability/impact heat matrix with EMV (Expected Monetary Value) quantification for cost and schedule impact</w:t>
      </w:r>
    </w:p>
    <w:p>
      <w:pPr>
        <w:pStyle w:val="ListParagraph"/>
        <w:numPr>
          <w:ilvl w:val="0"/>
          <w:numId w:val="2"/>
        </w:numPr>
        <w:spacing w:after="80"/>
      </w:pPr>
      <w:r>
        <w:rPr>
          <w:rFonts w:ascii="Arial" w:cs="Arial" w:eastAsia="Arial" w:hAnsi="Arial"/>
          <w:b w:val="false"/>
          <w:bCs w:val="false"/>
          <w:color w:val="1E293B"/>
          <w:sz w:val="21"/>
          <w:szCs w:val="21"/>
        </w:rPr>
        <w:t xml:space="preserve">Risk Detail panel: 6 tabs — General, Criteria &amp; Thresholds, Qualitative Analysis, Quantitative Analysis, Mitigation &amp; Response (with individual mitigation action tracking and progress bars), and Linked</w:t>
      </w:r>
    </w:p>
    <w:p>
      <w:pPr>
        <w:pStyle w:val="ListParagraph"/>
        <w:numPr>
          <w:ilvl w:val="0"/>
          <w:numId w:val="2"/>
        </w:numPr>
        <w:spacing w:after="80"/>
      </w:pPr>
      <w:r>
        <w:rPr>
          <w:rFonts w:ascii="Arial" w:cs="Arial" w:eastAsia="Arial" w:hAnsi="Arial"/>
          <w:b w:val="false"/>
          <w:bCs w:val="false"/>
          <w:color w:val="1E293B"/>
          <w:sz w:val="21"/>
          <w:szCs w:val="21"/>
        </w:rPr>
        <w:t xml:space="preserve">Pre/post-mitigation comparison built into the Quantitative Analysis tab</w:t>
      </w:r>
    </w:p>
    <w:p>
      <w:pPr>
        <w:pStyle w:val="ListParagraph"/>
        <w:numPr>
          <w:ilvl w:val="0"/>
          <w:numId w:val="2"/>
        </w:numPr>
        <w:spacing w:after="80"/>
      </w:pPr>
      <w:r>
        <w:rPr>
          <w:rFonts w:ascii="Arial" w:cs="Arial" w:eastAsia="Arial" w:hAnsi="Arial"/>
          <w:b w:val="false"/>
          <w:bCs w:val="false"/>
          <w:color w:val="1E293B"/>
          <w:sz w:val="21"/>
          <w:szCs w:val="21"/>
        </w:rPr>
        <w:t xml:space="preserve">Import/Export (XLSX, XML) and Print/Preview, following the same pattern established in Scheduling</w:t>
      </w:r>
    </w:p>
    <w:p>
      <w:pPr>
        <w:spacing w:after="100"/>
      </w:pPr>
    </w:p>
    <w:p>
      <w:pPr>
        <w:pStyle w:val="Heading2"/>
        <w:spacing w:after="140" w:before="320"/>
      </w:pPr>
      <w:r>
        <w:rPr>
          <w:rFonts w:ascii="Arial" w:cs="Arial" w:eastAsia="Arial" w:hAnsi="Arial"/>
          <w:b/>
          <w:bCs/>
          <w:color w:val="2563EB"/>
          <w:sz w:val="26"/>
          <w:szCs w:val="26"/>
        </w:rPr>
        <w:t xml:space="preserve">4.5 Cost Plan</w:t>
      </w:r>
    </w:p>
    <w:p>
      <w:pPr>
        <w:spacing w:after="120" w:before="0"/>
        <w:jc w:val="left"/>
      </w:pPr>
      <w:r>
        <w:rPr>
          <w:rFonts w:ascii="Arial" w:cs="Arial" w:eastAsia="Arial" w:hAnsi="Arial"/>
          <w:b w:val="false"/>
          <w:bCs w:val="false"/>
          <w:i w:val="false"/>
          <w:iCs w:val="false"/>
          <w:color w:val="1E293B"/>
          <w:sz w:val="22"/>
          <w:szCs w:val="22"/>
        </w:rPr>
        <w:t xml:space="preserve">An Elemental Cost Analysis structured exactly as a professional QS cost plan would be: 8 elemental groups (Substructure, Superstructure, Fire Protection, Roofing &amp; Cladding, Fitout, MEP, External Works, On Costs), each collapsible, with group-level and line-item-level detail.</w:t>
      </w:r>
    </w:p>
    <w:p>
      <w:pPr>
        <w:pStyle w:val="ListParagraph"/>
        <w:numPr>
          <w:ilvl w:val="0"/>
          <w:numId w:val="2"/>
        </w:numPr>
        <w:spacing w:after="80"/>
      </w:pPr>
      <w:r>
        <w:rPr>
          <w:rFonts w:ascii="Arial" w:cs="Arial" w:eastAsia="Arial" w:hAnsi="Arial"/>
          <w:b w:val="false"/>
          <w:bCs w:val="false"/>
          <w:color w:val="1E293B"/>
          <w:sz w:val="21"/>
          <w:szCs w:val="21"/>
        </w:rPr>
        <w:t xml:space="preserve">Every line item shows Total Cost, £/m², % of Total, Rev A Baseline, Variance, and Status (Approved / Over Budget / Saving / Monitor / Applied % / CR Pending / Credit)</w:t>
      </w:r>
    </w:p>
    <w:p>
      <w:pPr>
        <w:pStyle w:val="ListParagraph"/>
        <w:numPr>
          <w:ilvl w:val="0"/>
          <w:numId w:val="2"/>
        </w:numPr>
        <w:spacing w:after="80"/>
      </w:pPr>
      <w:r>
        <w:rPr>
          <w:rFonts w:ascii="Arial" w:cs="Arial" w:eastAsia="Arial" w:hAnsi="Arial"/>
          <w:b w:val="false"/>
          <w:bCs w:val="false"/>
          <w:color w:val="1E293B"/>
          <w:sz w:val="21"/>
          <w:szCs w:val="21"/>
        </w:rPr>
        <w:t xml:space="preserve">On Costs applied as genuine percentages (Prelims 15%, Construction Contingency 4%, Design Contingency 2%, OH&amp;P 5.6%, Insurance 1.3%) plus a Market Conditions Deduction credit line — directly reflecting real cost plan conventions</w:t>
      </w:r>
    </w:p>
    <w:p>
      <w:pPr>
        <w:pStyle w:val="ListParagraph"/>
        <w:numPr>
          <w:ilvl w:val="0"/>
          <w:numId w:val="2"/>
        </w:numPr>
        <w:spacing w:after="80"/>
      </w:pPr>
      <w:r>
        <w:rPr>
          <w:rFonts w:ascii="Arial" w:cs="Arial" w:eastAsia="Arial" w:hAnsi="Arial"/>
          <w:b w:val="false"/>
          <w:bCs w:val="false"/>
          <w:color w:val="1E293B"/>
          <w:sz w:val="21"/>
          <w:szCs w:val="21"/>
        </w:rPr>
        <w:t xml:space="preserve">Cost Detail panel: 5 tabs — General, Budget &amp; Versions (with a full item-level rate card showing Qty × Unit × Rate build-up and rate-revision flags), Forecast &amp; Phasing, Actuals &amp; Commitments (including Earned Value Metrics: BCWP, BCWS, ACWP, CPI, SPI, CV), Variance &amp; Narrative, and Linked</w:t>
      </w:r>
    </w:p>
    <w:p>
      <w:pPr>
        <w:pStyle w:val="ListParagraph"/>
        <w:numPr>
          <w:ilvl w:val="0"/>
          <w:numId w:val="2"/>
        </w:numPr>
        <w:spacing w:after="80"/>
      </w:pPr>
      <w:r>
        <w:rPr>
          <w:rFonts w:ascii="Arial" w:cs="Arial" w:eastAsia="Arial" w:hAnsi="Arial"/>
          <w:b w:val="false"/>
          <w:bCs w:val="false"/>
          <w:color w:val="1E293B"/>
          <w:sz w:val="21"/>
          <w:szCs w:val="21"/>
        </w:rPr>
        <w:t xml:space="preserve">Right-hand summary panel: £/m² and £/Space unit rate cards, full budget breakdown, Rev A vs Rev C uplift summary, and a ranked Top Variance Drivers list</w:t>
      </w:r>
    </w:p>
    <w:p>
      <w:pPr>
        <w:pStyle w:val="ListParagraph"/>
        <w:numPr>
          <w:ilvl w:val="0"/>
          <w:numId w:val="2"/>
        </w:numPr>
        <w:spacing w:after="80"/>
      </w:pPr>
      <w:r>
        <w:rPr>
          <w:rFonts w:ascii="Arial" w:cs="Arial" w:eastAsia="Arial" w:hAnsi="Arial"/>
          <w:b w:val="false"/>
          <w:bCs w:val="false"/>
          <w:color w:val="1E293B"/>
          <w:sz w:val="21"/>
          <w:szCs w:val="21"/>
        </w:rPr>
        <w:t xml:space="preserve">Import/Export (XLSX, XML) and Print/Preview with Cost-specific content options (baseline comparison column, unit rates, On Costs breakdown, rate card detail)</w:t>
      </w:r>
    </w:p>
    <w:p>
      <w:pPr>
        <w:spacing w:after="100"/>
      </w:pPr>
    </w:p>
    <w:p>
      <w:pPr>
        <w:pStyle w:val="Heading2"/>
        <w:spacing w:after="140" w:before="320"/>
      </w:pPr>
      <w:r>
        <w:rPr>
          <w:rFonts w:ascii="Arial" w:cs="Arial" w:eastAsia="Arial" w:hAnsi="Arial"/>
          <w:b/>
          <w:bCs/>
          <w:color w:val="2563EB"/>
          <w:sz w:val="26"/>
          <w:szCs w:val="26"/>
        </w:rPr>
        <w:t xml:space="preserve">4.6 ICD Tracker (Issues, Changes &amp; Decisions)</w:t>
      </w:r>
    </w:p>
    <w:p>
      <w:pPr>
        <w:spacing w:after="120" w:before="0"/>
        <w:jc w:val="left"/>
      </w:pPr>
      <w:r>
        <w:rPr>
          <w:rFonts w:ascii="Arial" w:cs="Arial" w:eastAsia="Arial" w:hAnsi="Arial"/>
          <w:b w:val="false"/>
          <w:bCs w:val="false"/>
          <w:i w:val="false"/>
          <w:iCs w:val="false"/>
          <w:color w:val="1E293B"/>
          <w:sz w:val="22"/>
          <w:szCs w:val="22"/>
        </w:rPr>
        <w:t xml:space="preserve">A unified tracker for three related-but-distinct item types within a single interface — a genuine UX innovation, since most tools handle issues, changes, and decisions as entirely separate modules or not at all.</w:t>
      </w:r>
    </w:p>
    <w:p>
      <w:pPr>
        <w:pStyle w:val="ListParagraph"/>
        <w:numPr>
          <w:ilvl w:val="0"/>
          <w:numId w:val="2"/>
        </w:numPr>
        <w:spacing w:after="80"/>
      </w:pPr>
      <w:r>
        <w:rPr>
          <w:rFonts w:ascii="Arial" w:cs="Arial" w:eastAsia="Arial" w:hAnsi="Arial"/>
          <w:b w:val="false"/>
          <w:bCs w:val="false"/>
          <w:color w:val="1E293B"/>
          <w:sz w:val="21"/>
          <w:szCs w:val="21"/>
        </w:rPr>
        <w:t xml:space="preserve">6 KPI cards at top, explicitly paired by domain: Open/Overdue Issues, Pending/Approved Changes, Pending/Made Decisions</w:t>
      </w:r>
    </w:p>
    <w:p>
      <w:pPr>
        <w:pStyle w:val="ListParagraph"/>
        <w:numPr>
          <w:ilvl w:val="0"/>
          <w:numId w:val="2"/>
        </w:numPr>
        <w:spacing w:after="80"/>
      </w:pPr>
      <w:r>
        <w:rPr>
          <w:rFonts w:ascii="Arial" w:cs="Arial" w:eastAsia="Arial" w:hAnsi="Arial"/>
          <w:b w:val="false"/>
          <w:bCs w:val="false"/>
          <w:color w:val="1E293B"/>
          <w:sz w:val="21"/>
          <w:szCs w:val="21"/>
        </w:rPr>
        <w:t xml:space="preserve">Three sub-tabs (Issues, Changes, Decisions) each with their own filtered table</w:t>
      </w:r>
    </w:p>
    <w:p>
      <w:pPr>
        <w:pStyle w:val="ListParagraph"/>
        <w:numPr>
          <w:ilvl w:val="0"/>
          <w:numId w:val="2"/>
        </w:numPr>
        <w:spacing w:after="80"/>
      </w:pPr>
      <w:r>
        <w:rPr>
          <w:rFonts w:ascii="Arial" w:cs="Arial" w:eastAsia="Arial" w:hAnsi="Arial"/>
          <w:b w:val="false"/>
          <w:bCs w:val="false"/>
          <w:color w:val="1E293B"/>
          <w:sz w:val="21"/>
          <w:szCs w:val="21"/>
        </w:rPr>
        <w:t xml:space="preserve">Type-adaptive Detail panel: the General tab dynamically rebuilds its entire field layout depending on whether the selected item is an Issue, Change Request, or Decision — different fields, different validation, different visual header colour per type</w:t>
      </w:r>
    </w:p>
    <w:p>
      <w:pPr>
        <w:pStyle w:val="ListParagraph"/>
        <w:numPr>
          <w:ilvl w:val="0"/>
          <w:numId w:val="2"/>
        </w:numPr>
        <w:spacing w:after="80"/>
      </w:pPr>
      <w:r>
        <w:rPr>
          <w:rFonts w:ascii="Arial" w:cs="Arial" w:eastAsia="Arial" w:hAnsi="Arial"/>
          <w:b w:val="false"/>
          <w:bCs w:val="false"/>
          <w:color w:val="1E293B"/>
          <w:sz w:val="21"/>
          <w:szCs w:val="21"/>
        </w:rPr>
        <w:t xml:space="preserve">6 detail tabs: General, Impact &amp; Links (programme/cost/quality impact assessment plus a compact linked-records preview), Actions &amp; Comments, History &amp; Audit, Notifications (watchers, notification preferences), and a dedicated Linked tab for full cross-module relationship management</w:t>
      </w:r>
    </w:p>
    <w:p>
      <w:pPr>
        <w:pStyle w:val="ListParagraph"/>
        <w:numPr>
          <w:ilvl w:val="0"/>
          <w:numId w:val="2"/>
        </w:numPr>
        <w:spacing w:after="80"/>
      </w:pPr>
      <w:r>
        <w:rPr>
          <w:rFonts w:ascii="Arial" w:cs="Arial" w:eastAsia="Arial" w:hAnsi="Arial"/>
          <w:b w:val="false"/>
          <w:bCs w:val="false"/>
          <w:color w:val="1E293B"/>
          <w:sz w:val="21"/>
          <w:szCs w:val="21"/>
        </w:rPr>
        <w:t xml:space="preserve">Import/Export (XLSX, XML) and Print/Preview with ICD-specific content options</w:t>
      </w:r>
    </w:p>
    <w:p>
      <w:pPr>
        <w:spacing w:after="100"/>
      </w:pPr>
    </w:p>
    <w:p>
      <w:pPr>
        <w:pStyle w:val="Heading2"/>
        <w:spacing w:after="140" w:before="320"/>
      </w:pPr>
      <w:r>
        <w:rPr>
          <w:rFonts w:ascii="Arial" w:cs="Arial" w:eastAsia="Arial" w:hAnsi="Arial"/>
          <w:b/>
          <w:bCs/>
          <w:color w:val="2563EB"/>
          <w:sz w:val="26"/>
          <w:szCs w:val="26"/>
        </w:rPr>
        <w:t xml:space="preserve">4.7 File Manager</w:t>
      </w:r>
    </w:p>
    <w:p>
      <w:pPr>
        <w:spacing w:after="120" w:before="0"/>
        <w:jc w:val="left"/>
      </w:pPr>
      <w:r>
        <w:rPr>
          <w:rFonts w:ascii="Arial" w:cs="Arial" w:eastAsia="Arial" w:hAnsi="Arial"/>
          <w:b w:val="false"/>
          <w:bCs w:val="false"/>
          <w:i w:val="false"/>
          <w:iCs w:val="false"/>
          <w:color w:val="1E293B"/>
          <w:sz w:val="22"/>
          <w:szCs w:val="22"/>
        </w:rPr>
        <w:t xml:space="preserve">A straightforward project file repository — folder hierarchy, file table with metadata, and a detail panel.</w:t>
      </w:r>
    </w:p>
    <w:p>
      <w:pPr>
        <w:pStyle w:val="ListParagraph"/>
        <w:numPr>
          <w:ilvl w:val="0"/>
          <w:numId w:val="2"/>
        </w:numPr>
        <w:spacing w:after="80"/>
      </w:pPr>
      <w:r>
        <w:rPr>
          <w:rFonts w:ascii="Arial" w:cs="Arial" w:eastAsia="Arial" w:hAnsi="Arial"/>
          <w:b w:val="false"/>
          <w:bCs w:val="false"/>
          <w:color w:val="1E293B"/>
          <w:sz w:val="21"/>
          <w:szCs w:val="21"/>
        </w:rPr>
        <w:t xml:space="preserve">File table: checkbox selection, name/type icon, size, uploaded by, uploaded date</w:t>
      </w:r>
    </w:p>
    <w:p>
      <w:pPr>
        <w:pStyle w:val="ListParagraph"/>
        <w:numPr>
          <w:ilvl w:val="0"/>
          <w:numId w:val="2"/>
        </w:numPr>
        <w:spacing w:after="80"/>
      </w:pPr>
      <w:r>
        <w:rPr>
          <w:rFonts w:ascii="Arial" w:cs="Arial" w:eastAsia="Arial" w:hAnsi="Arial"/>
          <w:b w:val="false"/>
          <w:bCs w:val="false"/>
          <w:color w:val="1E293B"/>
          <w:sz w:val="21"/>
          <w:szCs w:val="21"/>
        </w:rPr>
        <w:t xml:space="preserve">Detail panel: file metadata, description, upload info, file path, download and options actions</w:t>
      </w:r>
    </w:p>
    <w:p>
      <w:pPr>
        <w:pStyle w:val="ListParagraph"/>
        <w:numPr>
          <w:ilvl w:val="0"/>
          <w:numId w:val="2"/>
        </w:numPr>
        <w:spacing w:after="80"/>
      </w:pPr>
      <w:r>
        <w:rPr>
          <w:rFonts w:ascii="Arial" w:cs="Arial" w:eastAsia="Arial" w:hAnsi="Arial"/>
          <w:b w:val="false"/>
          <w:bCs w:val="false"/>
          <w:color w:val="1E293B"/>
          <w:sz w:val="21"/>
          <w:szCs w:val="21"/>
        </w:rPr>
        <w:t xml:space="preserve">Scope decision: kept as a single page with no tab restructuring — genuinely single-purpose with no competing content (see Section 6.5)</w:t>
      </w:r>
    </w:p>
    <w:p>
      <w:pPr>
        <w:spacing w:after="100"/>
      </w:pPr>
    </w:p>
    <w:p>
      <w:pPr>
        <w:pStyle w:val="Heading2"/>
        <w:spacing w:after="140" w:before="320"/>
      </w:pPr>
      <w:r>
        <w:rPr>
          <w:rFonts w:ascii="Arial" w:cs="Arial" w:eastAsia="Arial" w:hAnsi="Arial"/>
          <w:b/>
          <w:bCs/>
          <w:color w:val="2563EB"/>
          <w:sz w:val="26"/>
          <w:szCs w:val="26"/>
        </w:rPr>
        <w:t xml:space="preserve">4.8 Period Manager</w:t>
      </w:r>
    </w:p>
    <w:p>
      <w:pPr>
        <w:spacing w:after="120" w:before="0"/>
        <w:jc w:val="left"/>
      </w:pPr>
      <w:r>
        <w:rPr>
          <w:rFonts w:ascii="Arial" w:cs="Arial" w:eastAsia="Arial" w:hAnsi="Arial"/>
          <w:b w:val="false"/>
          <w:bCs w:val="false"/>
          <w:i w:val="false"/>
          <w:iCs w:val="false"/>
          <w:color w:val="1E293B"/>
          <w:sz w:val="22"/>
          <w:szCs w:val="22"/>
        </w:rPr>
        <w:t xml:space="preserve">Governs the monthly reporting cycle. This module's scope was deliberately narrowed during the session (see Section 9) after the Baseline Comparison Engine was relocated to the Controls Dashboard, leaving Period Manager focused purely on cycle state.</w:t>
      </w:r>
    </w:p>
    <w:p>
      <w:pPr>
        <w:pStyle w:val="ListParagraph"/>
        <w:numPr>
          <w:ilvl w:val="0"/>
          <w:numId w:val="2"/>
        </w:numPr>
        <w:spacing w:after="80"/>
      </w:pPr>
      <w:r>
        <w:rPr>
          <w:rFonts w:ascii="Arial" w:cs="Arial" w:eastAsia="Arial" w:hAnsi="Arial"/>
          <w:b w:val="false"/>
          <w:bCs w:val="false"/>
          <w:color w:val="1E293B"/>
          <w:sz w:val="21"/>
          <w:szCs w:val="21"/>
        </w:rPr>
        <w:t xml:space="preserve">4-week timeline visual: Week 1 (complete), Week 2 (complete), Week 3 (in progress, with live countdown to cut-off), Week 4 (amendment period, greyed until reached)</w:t>
      </w:r>
    </w:p>
    <w:p>
      <w:pPr>
        <w:pStyle w:val="ListParagraph"/>
        <w:numPr>
          <w:ilvl w:val="0"/>
          <w:numId w:val="2"/>
        </w:numPr>
        <w:spacing w:after="80"/>
      </w:pPr>
      <w:r>
        <w:rPr>
          <w:rFonts w:ascii="Arial" w:cs="Arial" w:eastAsia="Arial" w:hAnsi="Arial"/>
          <w:b w:val="false"/>
          <w:bCs w:val="false"/>
          <w:color w:val="1E293B"/>
          <w:sz w:val="21"/>
          <w:szCs w:val="21"/>
        </w:rPr>
        <w:t xml:space="preserve">Cut-off action banner: "Freeze Now" triggers the period state machine</w:t>
      </w:r>
    </w:p>
    <w:p>
      <w:pPr>
        <w:pStyle w:val="ListParagraph"/>
        <w:numPr>
          <w:ilvl w:val="0"/>
          <w:numId w:val="2"/>
        </w:numPr>
        <w:spacing w:after="80"/>
      </w:pPr>
      <w:r>
        <w:rPr>
          <w:rFonts w:ascii="Arial" w:cs="Arial" w:eastAsia="Arial" w:hAnsi="Arial"/>
          <w:b w:val="false"/>
          <w:bCs w:val="false"/>
          <w:color w:val="1E293B"/>
          <w:sz w:val="21"/>
          <w:szCs w:val="21"/>
        </w:rPr>
        <w:t xml:space="preserve">Period Data Checklist: per-module readiness status (Ready / Pending) for Scheduling, Risk, Cost, ICD, and Controls Dashboard sign-off</w:t>
      </w:r>
    </w:p>
    <w:p>
      <w:pPr>
        <w:pStyle w:val="ListParagraph"/>
        <w:numPr>
          <w:ilvl w:val="0"/>
          <w:numId w:val="2"/>
        </w:numPr>
        <w:spacing w:after="80"/>
      </w:pPr>
      <w:r>
        <w:rPr>
          <w:rFonts w:ascii="Arial" w:cs="Arial" w:eastAsia="Arial" w:hAnsi="Arial"/>
          <w:b w:val="false"/>
          <w:bCs w:val="false"/>
          <w:color w:val="1E293B"/>
          <w:sz w:val="21"/>
          <w:szCs w:val="21"/>
        </w:rPr>
        <w:t xml:space="preserve">Amendment Log panel (visible only once frozen): table of post-freeze changes with Accept/Defer resolution per item, and a "Confirm &amp; Open Next Cycle" action</w:t>
      </w:r>
    </w:p>
    <w:p>
      <w:pPr>
        <w:pStyle w:val="ListParagraph"/>
        <w:numPr>
          <w:ilvl w:val="0"/>
          <w:numId w:val="2"/>
        </w:numPr>
        <w:spacing w:after="80"/>
      </w:pPr>
      <w:r>
        <w:rPr>
          <w:rFonts w:ascii="Arial" w:cs="Arial" w:eastAsia="Arial" w:hAnsi="Arial"/>
          <w:b w:val="false"/>
          <w:bCs w:val="false"/>
          <w:color w:val="1E293B"/>
          <w:sz w:val="21"/>
          <w:szCs w:val="21"/>
        </w:rPr>
        <w:t xml:space="preserve">Three-state period state machine (live → frozen → incorporating) drives status-bar colour, available actions, and dashboard data-editability across the entire platform — not just within this module</w:t>
      </w:r>
    </w:p>
    <w:p>
      <w:pPr>
        <w:spacing w:after="100"/>
      </w:pPr>
    </w:p>
    <w:p>
      <w:pPr>
        <w:pStyle w:val="Heading2"/>
        <w:spacing w:after="140" w:before="320"/>
      </w:pPr>
      <w:r>
        <w:rPr>
          <w:rFonts w:ascii="Arial" w:cs="Arial" w:eastAsia="Arial" w:hAnsi="Arial"/>
          <w:b/>
          <w:bCs/>
          <w:color w:val="2563EB"/>
          <w:sz w:val="26"/>
          <w:szCs w:val="26"/>
        </w:rPr>
        <w:t xml:space="preserve">4.9 Export Center</w:t>
      </w:r>
    </w:p>
    <w:p>
      <w:pPr>
        <w:spacing w:after="120" w:before="0"/>
        <w:jc w:val="left"/>
      </w:pPr>
      <w:r>
        <w:rPr>
          <w:rFonts w:ascii="Arial" w:cs="Arial" w:eastAsia="Arial" w:hAnsi="Arial"/>
          <w:b w:val="false"/>
          <w:bCs w:val="false"/>
          <w:i w:val="false"/>
          <w:iCs w:val="false"/>
          <w:color w:val="1E293B"/>
          <w:sz w:val="22"/>
          <w:szCs w:val="22"/>
        </w:rPr>
        <w:t xml:space="preserve">A global, cross-module data export tool built on a proper analytical schema rather than ad-hoc per-module exports.</w:t>
      </w:r>
    </w:p>
    <w:p>
      <w:pPr>
        <w:pStyle w:val="ListParagraph"/>
        <w:numPr>
          <w:ilvl w:val="0"/>
          <w:numId w:val="2"/>
        </w:numPr>
        <w:spacing w:after="80"/>
      </w:pPr>
      <w:r>
        <w:rPr>
          <w:rFonts w:ascii="Arial" w:cs="Arial" w:eastAsia="Arial" w:hAnsi="Arial"/>
          <w:b w:val="false"/>
          <w:bCs w:val="false"/>
          <w:color w:val="1E293B"/>
          <w:sz w:val="21"/>
          <w:szCs w:val="21"/>
        </w:rPr>
        <w:t xml:space="preserve">Data source picker: All Modules master toggle or individual selection (Scheduling, Risk, Cost, ICD, Period Baselines, File Metadata) with live record counts</w:t>
      </w:r>
    </w:p>
    <w:p>
      <w:pPr>
        <w:pStyle w:val="ListParagraph"/>
        <w:numPr>
          <w:ilvl w:val="0"/>
          <w:numId w:val="2"/>
        </w:numPr>
        <w:spacing w:after="80"/>
      </w:pPr>
      <w:r>
        <w:rPr>
          <w:rFonts w:ascii="Arial" w:cs="Arial" w:eastAsia="Arial" w:hAnsi="Arial"/>
          <w:b w:val="false"/>
          <w:bCs w:val="false"/>
          <w:color w:val="1E293B"/>
          <w:sz w:val="21"/>
          <w:szCs w:val="21"/>
        </w:rPr>
        <w:t xml:space="preserve">Period scope selector: current period only, custom date range, or full history</w:t>
      </w:r>
    </w:p>
    <w:p>
      <w:pPr>
        <w:pStyle w:val="ListParagraph"/>
        <w:numPr>
          <w:ilvl w:val="0"/>
          <w:numId w:val="2"/>
        </w:numPr>
        <w:spacing w:after="80"/>
      </w:pPr>
      <w:r>
        <w:rPr>
          <w:rFonts w:ascii="Arial" w:cs="Arial" w:eastAsia="Arial" w:hAnsi="Arial"/>
          <w:b w:val="false"/>
          <w:bCs w:val="false"/>
          <w:color w:val="1E293B"/>
          <w:sz w:val="21"/>
          <w:szCs w:val="21"/>
        </w:rPr>
        <w:t xml:space="preserve">Format picker: Excel multi-tab workbook, Power BI star-schema bundle, per-table CSV, or JSON</w:t>
      </w:r>
    </w:p>
    <w:p>
      <w:pPr>
        <w:pStyle w:val="ListParagraph"/>
        <w:numPr>
          <w:ilvl w:val="0"/>
          <w:numId w:val="2"/>
        </w:numPr>
        <w:spacing w:after="80"/>
      </w:pPr>
      <w:r>
        <w:rPr>
          <w:rFonts w:ascii="Arial" w:cs="Arial" w:eastAsia="Arial" w:hAnsi="Arial"/>
          <w:b w:val="false"/>
          <w:bCs w:val="false"/>
          <w:color w:val="1E293B"/>
          <w:sz w:val="21"/>
          <w:szCs w:val="21"/>
        </w:rPr>
        <w:t xml:space="preserve">Table Schema panel (collapsible): visual field-picker per fact table — fact_schedule, fact_risk, fact_cost, fact_icd, dim_period — with individual field checkboxes, a table-level "select all" toggle, locked primary/foreign keys, and a live selected-field counter</w:t>
      </w:r>
    </w:p>
    <w:p>
      <w:pPr>
        <w:pStyle w:val="ListParagraph"/>
        <w:numPr>
          <w:ilvl w:val="0"/>
          <w:numId w:val="2"/>
        </w:numPr>
        <w:spacing w:after="80"/>
      </w:pPr>
      <w:r>
        <w:rPr>
          <w:rFonts w:ascii="Arial" w:cs="Arial" w:eastAsia="Arial" w:hAnsi="Arial"/>
          <w:b w:val="false"/>
          <w:bCs w:val="false"/>
          <w:color w:val="1E293B"/>
          <w:sz w:val="21"/>
          <w:szCs w:val="21"/>
        </w:rPr>
        <w:t xml:space="preserve">Live Data Preview: switchable table preview showing real sample rows per fact table</w:t>
      </w:r>
    </w:p>
    <w:p>
      <w:pPr>
        <w:pStyle w:val="ListParagraph"/>
        <w:numPr>
          <w:ilvl w:val="0"/>
          <w:numId w:val="2"/>
        </w:numPr>
        <w:spacing w:after="80"/>
      </w:pPr>
      <w:r>
        <w:rPr>
          <w:rFonts w:ascii="Arial" w:cs="Arial" w:eastAsia="Arial" w:hAnsi="Arial"/>
          <w:b w:val="false"/>
          <w:bCs w:val="false"/>
          <w:color w:val="1E293B"/>
          <w:sz w:val="21"/>
          <w:szCs w:val="21"/>
        </w:rPr>
        <w:t xml:space="preserve">Export History: log of past exports with module/period/timestamp/user, ready for re-download</w:t>
      </w:r>
    </w:p>
    <w:p>
      <w:pPr>
        <w:pStyle w:val="ListParagraph"/>
        <w:numPr>
          <w:ilvl w:val="0"/>
          <w:numId w:val="2"/>
        </w:numPr>
        <w:spacing w:after="80"/>
      </w:pPr>
      <w:r>
        <w:rPr>
          <w:rFonts w:ascii="Arial" w:cs="Arial" w:eastAsia="Arial" w:hAnsi="Arial"/>
          <w:b w:val="false"/>
          <w:bCs w:val="false"/>
          <w:color w:val="1E293B"/>
          <w:sz w:val="21"/>
          <w:szCs w:val="21"/>
        </w:rPr>
        <w:t xml:space="preserve">Separate Report/Slides export path: 8-slide PowerPoint/PDF deck builder (Cover, Controls KPIs, Schedule, Risk Heat Matrix, Cost Summary, ICD Summary, Baseline Comparison, AI Executive Summary) with template/branding options and a clickable slide-thumbnail preview</w:t>
      </w:r>
    </w:p>
    <w:p>
      <w:pPr>
        <w:pStyle w:val="Heading1"/>
        <w:pBdr>
          <w:bottom w:val="single" w:color="1A2E6B" w:sz="6" w:space="4"/>
        </w:pBdr>
        <w:spacing w:after="200" w:before="480"/>
      </w:pPr>
      <w:r>
        <w:rPr>
          <w:rFonts w:ascii="Arial" w:cs="Arial" w:eastAsia="Arial" w:hAnsi="Arial"/>
          <w:b/>
          <w:bCs/>
          <w:color w:val="1A2E6B"/>
          <w:sz w:val="32"/>
          <w:szCs w:val="32"/>
        </w:rPr>
        <w:t xml:space="preserve">5. Cross-Module Integration &amp; AI Roadmap</w:t>
      </w:r>
    </w:p>
    <w:p>
      <w:pPr>
        <w:spacing w:after="120" w:before="0"/>
        <w:jc w:val="left"/>
      </w:pPr>
      <w:r>
        <w:rPr>
          <w:rFonts w:ascii="Arial" w:cs="Arial" w:eastAsia="Arial" w:hAnsi="Arial"/>
          <w:b w:val="false"/>
          <w:bCs w:val="false"/>
          <w:i w:val="false"/>
          <w:iCs w:val="false"/>
          <w:color w:val="1E293B"/>
          <w:sz w:val="22"/>
          <w:szCs w:val="22"/>
        </w:rPr>
        <w:t xml:space="preserve">This is the most architecturally significant part of the prototype build. The platform began as eight visually-integrated but data-siloed modules. A four-phase roadmap was designed and implemented to move from “modules that share a navigation bar” to “modules that share a data graph and a layer of genuine AI reasoning.” Each phase is documented in full below.</w:t>
      </w:r>
    </w:p>
    <w:p>
      <w:pPr>
        <w:spacing w:after="8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6D28D9" w:sz="4"/>
              <w:left w:val="single" w:color="6D28D9" w:sz="24"/>
              <w:bottom w:val="single" w:color="6D28D9" w:sz="4"/>
              <w:right w:val="single" w:color="6D28D9" w:sz="4"/>
            </w:tcBorders>
            <w:shd w:fill="F5F3FF" w:val="clear"/>
            <w:tcMar>
              <w:top w:type="dxa" w:w="160"/>
              <w:left w:type="dxa" w:w="220"/>
              <w:bottom w:type="dxa" w:w="160"/>
              <w:right w:type="dxa" w:w="220"/>
            </w:tcMar>
          </w:tcPr>
          <w:p>
            <w:pPr>
              <w:spacing w:after="60"/>
            </w:pPr>
            <w:r>
              <w:rPr>
                <w:rFonts w:ascii="Arial" w:cs="Arial" w:eastAsia="Arial" w:hAnsi="Arial"/>
                <w:b/>
                <w:bCs/>
                <w:color w:val="6D28D9"/>
                <w:sz w:val="21"/>
                <w:szCs w:val="21"/>
              </w:rPr>
              <w:t xml:space="preserve">Design Principle Carried Through All Four Phases</w:t>
            </w:r>
          </w:p>
          <w:p>
            <w:pPr>
              <w:spacing w:after="0"/>
            </w:pPr>
            <w:r>
              <w:rPr>
                <w:rFonts w:ascii="Arial" w:cs="Arial" w:eastAsia="Arial" w:hAnsi="Arial"/>
                <w:color w:val="1E293B"/>
                <w:sz w:val="20"/>
                <w:szCs w:val="20"/>
              </w:rPr>
              <w:t xml:space="preserve">Every AI capability in this roadmap follows a strict propose-then-accept trust model. The AI never silently writes to live project data. Suggestions, generated visuals, and narratives are always clearly attributed to their data source and require explicit human action before anything is created, linked, or changed.</w:t>
            </w:r>
          </w:p>
        </w:tc>
      </w:tr>
    </w:tbl>
    <w:p>
      <w:pPr>
        <w:spacing w:after="120"/>
      </w:pPr>
    </w:p>
    <w:p>
      <w:pPr>
        <w:pStyle w:val="Heading2"/>
        <w:spacing w:after="140" w:before="320"/>
      </w:pPr>
      <w:r>
        <w:rPr>
          <w:rFonts w:ascii="Arial" w:cs="Arial" w:eastAsia="Arial" w:hAnsi="Arial"/>
          <w:b/>
          <w:bCs/>
          <w:color w:val="2563EB"/>
          <w:sz w:val="26"/>
          <w:szCs w:val="26"/>
        </w:rPr>
        <w:t xml:space="preserve">5.1 Phase 1 — Cross-Module Linking Infrastructure</w:t>
      </w:r>
    </w:p>
    <w:p>
      <w:pPr>
        <w:spacing w:after="120" w:before="0"/>
        <w:jc w:val="left"/>
      </w:pPr>
      <w:r>
        <w:rPr>
          <w:rFonts w:ascii="Arial" w:cs="Arial" w:eastAsia="Arial" w:hAnsi="Arial"/>
          <w:b w:val="false"/>
          <w:bCs w:val="false"/>
          <w:i w:val="false"/>
          <w:iCs w:val="false"/>
          <w:color w:val="1E293B"/>
          <w:sz w:val="22"/>
          <w:szCs w:val="22"/>
        </w:rPr>
        <w:t xml:space="preserve">A single graph-edge data model (LINK_GRAPH) was introduced beneath all four core modules, addressing every record as a {type, id} pair: activity, risk, cost_element, issue, change, or decision.</w:t>
      </w:r>
    </w:p>
    <w:p>
      <w:pPr>
        <w:pStyle w:val="Heading3"/>
        <w:spacing w:after="100" w:before="220"/>
      </w:pPr>
      <w:r>
        <w:rPr>
          <w:rFonts w:ascii="Arial" w:cs="Arial" w:eastAsia="Arial" w:hAnsi="Arial"/>
          <w:b/>
          <w:bCs/>
          <w:color w:val="475569"/>
          <w:sz w:val="22"/>
          <w:szCs w:val="22"/>
        </w:rPr>
        <w:t xml:space="preserve">Data Model</w:t>
      </w:r>
    </w:p>
    <w:p>
      <w:pPr>
        <w:pStyle w:val="ListParagraph"/>
        <w:numPr>
          <w:ilvl w:val="0"/>
          <w:numId w:val="2"/>
        </w:numPr>
        <w:spacing w:after="80"/>
      </w:pPr>
      <w:r>
        <w:rPr>
          <w:rFonts w:ascii="Arial" w:cs="Arial" w:eastAsia="Arial" w:hAnsi="Arial"/>
          <w:b w:val="false"/>
          <w:bCs w:val="false"/>
          <w:color w:val="1E293B"/>
          <w:sz w:val="21"/>
          <w:szCs w:val="21"/>
        </w:rPr>
        <w:t xml:space="preserve">Each link record stores: source {type, id}, target {type, id}, link type, and an optional note</w:t>
      </w:r>
    </w:p>
    <w:p>
      <w:pPr>
        <w:pStyle w:val="ListParagraph"/>
        <w:numPr>
          <w:ilvl w:val="0"/>
          <w:numId w:val="2"/>
        </w:numPr>
        <w:spacing w:after="80"/>
      </w:pPr>
      <w:r>
        <w:rPr>
          <w:rFonts w:ascii="Arial" w:cs="Arial" w:eastAsia="Arial" w:hAnsi="Arial"/>
          <w:b w:val="false"/>
          <w:bCs w:val="false"/>
          <w:color w:val="1E293B"/>
          <w:sz w:val="21"/>
          <w:szCs w:val="21"/>
        </w:rPr>
        <w:t xml:space="preserve">Four typed relationships: Causes, Impacts, Mitigates, Relates To — each with a distinct icon and colour, shown as visible tags rather than unlabelled connections (an explicit design decision, see Section 6.1)</w:t>
      </w:r>
    </w:p>
    <w:p>
      <w:pPr>
        <w:pStyle w:val="ListParagraph"/>
        <w:numPr>
          <w:ilvl w:val="0"/>
          <w:numId w:val="2"/>
        </w:numPr>
        <w:spacing w:after="80"/>
      </w:pPr>
      <w:r>
        <w:rPr>
          <w:rFonts w:ascii="Arial" w:cs="Arial" w:eastAsia="Arial" w:hAnsi="Arial"/>
          <w:b w:val="false"/>
          <w:bCs w:val="false"/>
          <w:color w:val="1E293B"/>
          <w:sz w:val="21"/>
          <w:szCs w:val="21"/>
        </w:rPr>
        <w:t xml:space="preserve">Seeded with 12 realistic links reflecting the project's actual narrative — e.g. an underground service clash issue (ISS-004) causes a risk (R1012), which impacts both a schedule activity (A1005) and a cost element (1.2), which in turn connects to a change request (CR-001) and a pending decision (DEC-001)</w:t>
      </w:r>
    </w:p>
    <w:p>
      <w:pPr>
        <w:pStyle w:val="Heading3"/>
        <w:spacing w:after="100" w:before="220"/>
      </w:pPr>
      <w:r>
        <w:rPr>
          <w:rFonts w:ascii="Arial" w:cs="Arial" w:eastAsia="Arial" w:hAnsi="Arial"/>
          <w:b/>
          <w:bCs/>
          <w:color w:val="475569"/>
          <w:sz w:val="22"/>
          <w:szCs w:val="22"/>
        </w:rPr>
        <w:t xml:space="preserve">User Interface</w:t>
      </w:r>
    </w:p>
    <w:p>
      <w:pPr>
        <w:pStyle w:val="ListParagraph"/>
        <w:numPr>
          <w:ilvl w:val="0"/>
          <w:numId w:val="2"/>
        </w:numPr>
        <w:spacing w:after="80"/>
      </w:pPr>
      <w:r>
        <w:rPr>
          <w:rFonts w:ascii="Arial" w:cs="Arial" w:eastAsia="Arial" w:hAnsi="Arial"/>
          <w:b w:val="false"/>
          <w:bCs w:val="false"/>
          <w:color w:val="1E293B"/>
          <w:sz w:val="21"/>
          <w:szCs w:val="21"/>
        </w:rPr>
        <w:t xml:space="preserve">A dedicated “Linked” tab was added to all four module detail panels (Activity Details, Risk, Cost Element, ICD item) — a deliberate decision over an inline section, to give cross-module relationships equal standing with each module's own native data (see Section 6.2)</w:t>
      </w:r>
    </w:p>
    <w:p>
      <w:pPr>
        <w:pStyle w:val="ListParagraph"/>
        <w:numPr>
          <w:ilvl w:val="0"/>
          <w:numId w:val="2"/>
        </w:numPr>
        <w:spacing w:after="80"/>
      </w:pPr>
      <w:r>
        <w:rPr>
          <w:rFonts w:ascii="Arial" w:cs="Arial" w:eastAsia="Arial" w:hAnsi="Arial"/>
          <w:b w:val="false"/>
          <w:bCs w:val="false"/>
          <w:color w:val="1E293B"/>
          <w:sz w:val="21"/>
          <w:szCs w:val="21"/>
        </w:rPr>
        <w:t xml:space="preserve">Each linked record renders as a clickable chip showing record type icon, ID, relationship tag, and a short note; clicking navigates directly to that record in its home module</w:t>
      </w:r>
    </w:p>
    <w:p>
      <w:pPr>
        <w:pStyle w:val="ListParagraph"/>
        <w:numPr>
          <w:ilvl w:val="0"/>
          <w:numId w:val="2"/>
        </w:numPr>
        <w:spacing w:after="80"/>
      </w:pPr>
      <w:r>
        <w:rPr>
          <w:rFonts w:ascii="Arial" w:cs="Arial" w:eastAsia="Arial" w:hAnsi="Arial"/>
          <w:b w:val="false"/>
          <w:bCs w:val="false"/>
          <w:color w:val="1E293B"/>
          <w:sz w:val="21"/>
          <w:szCs w:val="21"/>
        </w:rPr>
        <w:t xml:space="preserve">A cross-module Link Picker modal: 2-step flow — search across all record types, then choose relationship type and an optional note</w:t>
      </w:r>
    </w:p>
    <w:p>
      <w:pPr>
        <w:pStyle w:val="ListParagraph"/>
        <w:numPr>
          <w:ilvl w:val="0"/>
          <w:numId w:val="2"/>
        </w:numPr>
        <w:spacing w:after="80"/>
      </w:pPr>
      <w:r>
        <w:rPr>
          <w:rFonts w:ascii="Arial" w:cs="Arial" w:eastAsia="Arial" w:hAnsi="Arial"/>
          <w:b w:val="false"/>
          <w:bCs w:val="false"/>
          <w:color w:val="1E293B"/>
          <w:sz w:val="21"/>
          <w:szCs w:val="21"/>
        </w:rPr>
        <w:t xml:space="preserve">Unlink action with a single confirmation click per relationship</w:t>
      </w:r>
    </w:p>
    <w:p>
      <w:pPr>
        <w:spacing w:after="100"/>
      </w:pPr>
    </w:p>
    <w:p>
      <w:pPr>
        <w:pStyle w:val="Heading2"/>
        <w:spacing w:after="140" w:before="320"/>
      </w:pPr>
      <w:r>
        <w:rPr>
          <w:rFonts w:ascii="Arial" w:cs="Arial" w:eastAsia="Arial" w:hAnsi="Arial"/>
          <w:b/>
          <w:bCs/>
          <w:color w:val="2563EB"/>
          <w:sz w:val="26"/>
          <w:szCs w:val="26"/>
        </w:rPr>
        <w:t xml:space="preserve">5.2 Phase 2 — Causally-Aware Baseline Narrative</w:t>
      </w:r>
    </w:p>
    <w:p>
      <w:pPr>
        <w:spacing w:after="120" w:before="0"/>
        <w:jc w:val="left"/>
      </w:pPr>
      <w:r>
        <w:rPr>
          <w:rFonts w:ascii="Arial" w:cs="Arial" w:eastAsia="Arial" w:hAnsi="Arial"/>
          <w:b w:val="false"/>
          <w:bCs w:val="false"/>
          <w:i w:val="false"/>
          <w:iCs w:val="false"/>
          <w:color w:val="1E293B"/>
          <w:sz w:val="22"/>
          <w:szCs w:val="22"/>
        </w:rPr>
        <w:t xml:space="preserve">With the linking graph in place, the existing Baseline Comparison AI Summary (previously four independent module paragraphs) was rebuilt to reason across the graph rather than within isolated silos.</w:t>
      </w:r>
    </w:p>
    <w:p>
      <w:pPr>
        <w:pStyle w:val="Heading3"/>
        <w:spacing w:after="100" w:before="220"/>
      </w:pPr>
      <w:r>
        <w:rPr>
          <w:rFonts w:ascii="Arial" w:cs="Arial" w:eastAsia="Arial" w:hAnsi="Arial"/>
          <w:b/>
          <w:bCs/>
          <w:color w:val="475569"/>
          <w:sz w:val="22"/>
          <w:szCs w:val="22"/>
        </w:rPr>
        <w:t xml:space="preserve">Causal Chain Engine</w:t>
      </w:r>
    </w:p>
    <w:p>
      <w:pPr>
        <w:pStyle w:val="ListParagraph"/>
        <w:numPr>
          <w:ilvl w:val="0"/>
          <w:numId w:val="2"/>
        </w:numPr>
        <w:spacing w:after="80"/>
      </w:pPr>
      <w:r>
        <w:rPr>
          <w:rFonts w:ascii="Arial" w:cs="Arial" w:eastAsia="Arial" w:hAnsi="Arial"/>
          <w:b w:val="false"/>
          <w:bCs w:val="false"/>
          <w:color w:val="1E293B"/>
          <w:sz w:val="21"/>
          <w:szCs w:val="21"/>
        </w:rPr>
        <w:t xml:space="preserve">A graph-traversal algorithm (findCausalChains) walks the link graph outward from every node up to 4 hops deep, surfacing the longest, most cross-module-spanning chains as the most significant root-cause narratives</w:t>
      </w:r>
    </w:p>
    <w:p>
      <w:pPr>
        <w:pStyle w:val="ListParagraph"/>
        <w:numPr>
          <w:ilvl w:val="0"/>
          <w:numId w:val="2"/>
        </w:numPr>
        <w:spacing w:after="80"/>
      </w:pPr>
      <w:r>
        <w:rPr>
          <w:rFonts w:ascii="Arial" w:cs="Arial" w:eastAsia="Arial" w:hAnsi="Arial"/>
          <w:b w:val="false"/>
          <w:bCs w:val="false"/>
          <w:color w:val="1E293B"/>
          <w:sz w:val="21"/>
          <w:szCs w:val="21"/>
        </w:rPr>
        <w:t xml:space="preserve">De-duplicates overlapping chains and ranks by length, capped to keep AI prompts fast and cost-efficient</w:t>
      </w:r>
    </w:p>
    <w:p>
      <w:pPr>
        <w:pStyle w:val="ListParagraph"/>
        <w:numPr>
          <w:ilvl w:val="0"/>
          <w:numId w:val="2"/>
        </w:numPr>
        <w:spacing w:after="80"/>
      </w:pPr>
      <w:r>
        <w:rPr>
          <w:rFonts w:ascii="Arial" w:cs="Arial" w:eastAsia="Arial" w:hAnsi="Arial"/>
          <w:b w:val="false"/>
          <w:bCs w:val="false"/>
          <w:color w:val="1E293B"/>
          <w:sz w:val="21"/>
          <w:szCs w:val="21"/>
        </w:rPr>
        <w:t xml:space="preserve">A human-readable chain description function (describeChain) converts a traced path into a plain sentence, e.g. “ISS-004 (Underground service clash) caused R1012 (Underground Utilities) which impacts A1005 (Drainage &amp; Cut/Fill)...”</w:t>
      </w:r>
    </w:p>
    <w:p>
      <w:pPr>
        <w:pStyle w:val="Heading3"/>
        <w:spacing w:after="100" w:before="220"/>
      </w:pPr>
      <w:r>
        <w:rPr>
          <w:rFonts w:ascii="Arial" w:cs="Arial" w:eastAsia="Arial" w:hAnsi="Arial"/>
          <w:b/>
          <w:bCs/>
          <w:color w:val="475569"/>
          <w:sz w:val="22"/>
          <w:szCs w:val="22"/>
        </w:rPr>
        <w:t xml:space="preserve">AI Narrative Upgrade</w:t>
      </w:r>
    </w:p>
    <w:p>
      <w:pPr>
        <w:pStyle w:val="ListParagraph"/>
        <w:numPr>
          <w:ilvl w:val="0"/>
          <w:numId w:val="2"/>
        </w:numPr>
        <w:spacing w:after="80"/>
      </w:pPr>
      <w:r>
        <w:rPr>
          <w:rFonts w:ascii="Arial" w:cs="Arial" w:eastAsia="Arial" w:hAnsi="Arial"/>
          <w:b w:val="false"/>
          <w:bCs w:val="false"/>
          <w:color w:val="1E293B"/>
          <w:sz w:val="21"/>
          <w:szCs w:val="21"/>
        </w:rPr>
        <w:t xml:space="preserve">The AI Summary prompt now receives the traced causal chains as structured input alongside raw metric movements, and is explicitly instructed to: (1) trace the single most significant root-cause chain end-to-end, (2) cover secondary connected movements, (3) prioritise recommended actions by which chain carries the greatest unresolved exposure</w:t>
      </w:r>
    </w:p>
    <w:p>
      <w:pPr>
        <w:pStyle w:val="ListParagraph"/>
        <w:numPr>
          <w:ilvl w:val="0"/>
          <w:numId w:val="2"/>
        </w:numPr>
        <w:spacing w:after="80"/>
      </w:pPr>
      <w:r>
        <w:rPr>
          <w:rFonts w:ascii="Arial" w:cs="Arial" w:eastAsia="Arial" w:hAnsi="Arial"/>
          <w:b w:val="false"/>
          <w:bCs w:val="false"/>
          <w:color w:val="1E293B"/>
          <w:sz w:val="21"/>
          <w:szCs w:val="21"/>
        </w:rPr>
        <w:t xml:space="preserve">The always-on ProsotaAI co-pilot panel was also enriched: every conversation now silently includes the top 3 relevant causal chains for the current context, so questions asked in any single module can draw on cross-module reasoning</w:t>
      </w:r>
    </w:p>
    <w:p>
      <w:pPr>
        <w:pStyle w:val="Heading3"/>
        <w:spacing w:after="100" w:before="220"/>
      </w:pPr>
      <w:r>
        <w:rPr>
          <w:rFonts w:ascii="Arial" w:cs="Arial" w:eastAsia="Arial" w:hAnsi="Arial"/>
          <w:b/>
          <w:bCs/>
          <w:color w:val="475569"/>
          <w:sz w:val="22"/>
          <w:szCs w:val="22"/>
        </w:rPr>
        <w:t xml:space="preserve">UI Iteration</w:t>
      </w:r>
    </w:p>
    <w:p>
      <w:pPr>
        <w:pStyle w:val="ListParagraph"/>
        <w:numPr>
          <w:ilvl w:val="0"/>
          <w:numId w:val="2"/>
        </w:numPr>
        <w:spacing w:after="80"/>
      </w:pPr>
      <w:r>
        <w:rPr>
          <w:rFonts w:ascii="Arial" w:cs="Arial" w:eastAsia="Arial" w:hAnsi="Arial"/>
          <w:b w:val="false"/>
          <w:bCs w:val="false"/>
          <w:color w:val="1E293B"/>
          <w:sz w:val="21"/>
          <w:szCs w:val="21"/>
        </w:rPr>
        <w:t xml:space="preserve">An initial version exposed the traced chains as a visible chip-and-arrow diagram directly in the Baseline Comparison tab. User testing during the build session found this cluttered and difficult to parse at a glance</w:t>
      </w:r>
    </w:p>
    <w:p>
      <w:pPr>
        <w:pStyle w:val="ListParagraph"/>
        <w:numPr>
          <w:ilvl w:val="0"/>
          <w:numId w:val="2"/>
        </w:numPr>
        <w:spacing w:after="80"/>
      </w:pPr>
      <w:r>
        <w:rPr>
          <w:rFonts w:ascii="Arial" w:cs="Arial" w:eastAsia="Arial" w:hAnsi="Arial"/>
          <w:b w:val="false"/>
          <w:bCs w:val="false"/>
          <w:color w:val="1E293B"/>
          <w:sz w:val="21"/>
          <w:szCs w:val="21"/>
        </w:rPr>
        <w:t xml:space="preserve">Resolved by removing the visible diagram entirely (see Section 6.3) — the causal tracing now runs silently in the background and surfaces only through the AI's written narrative, which is the cleaner and more genuinely useful presentation of the same underlying reasoning</w:t>
      </w:r>
    </w:p>
    <w:p>
      <w:pPr>
        <w:spacing w:after="100"/>
      </w:pPr>
    </w:p>
    <w:p>
      <w:pPr>
        <w:pStyle w:val="Heading2"/>
        <w:spacing w:after="140" w:before="320"/>
      </w:pPr>
      <w:r>
        <w:rPr>
          <w:rFonts w:ascii="Arial" w:cs="Arial" w:eastAsia="Arial" w:hAnsi="Arial"/>
          <w:b/>
          <w:bCs/>
          <w:color w:val="2563EB"/>
          <w:sz w:val="26"/>
          <w:szCs w:val="26"/>
        </w:rPr>
        <w:t xml:space="preserve">5.3 Phase 3 — AI Setup Assistant</w:t>
      </w:r>
    </w:p>
    <w:p>
      <w:pPr>
        <w:spacing w:after="120" w:before="0"/>
        <w:jc w:val="left"/>
      </w:pPr>
      <w:r>
        <w:rPr>
          <w:rFonts w:ascii="Arial" w:cs="Arial" w:eastAsia="Arial" w:hAnsi="Arial"/>
          <w:b w:val="false"/>
          <w:bCs w:val="false"/>
          <w:i w:val="false"/>
          <w:iCs w:val="false"/>
          <w:color w:val="1E293B"/>
          <w:sz w:val="22"/>
          <w:szCs w:val="22"/>
        </w:rPr>
        <w:t xml:space="preserve">A suggestion engine that proposes new risks, cost elements, and cross-module links based on imported data — directly addressing the cold-start problem of populating a new PMO platform.</w:t>
      </w:r>
    </w:p>
    <w:p>
      <w:pPr>
        <w:pStyle w:val="Heading3"/>
        <w:spacing w:after="100" w:before="220"/>
      </w:pPr>
      <w:r>
        <w:rPr>
          <w:rFonts w:ascii="Arial" w:cs="Arial" w:eastAsia="Arial" w:hAnsi="Arial"/>
          <w:b/>
          <w:bCs/>
          <w:color w:val="475569"/>
          <w:sz w:val="22"/>
          <w:szCs w:val="22"/>
        </w:rPr>
        <w:t xml:space="preserve">Trigger Model</w:t>
      </w:r>
    </w:p>
    <w:p>
      <w:pPr>
        <w:pStyle w:val="ListParagraph"/>
        <w:numPr>
          <w:ilvl w:val="0"/>
          <w:numId w:val="2"/>
        </w:numPr>
        <w:spacing w:after="80"/>
      </w:pPr>
      <w:r>
        <w:rPr>
          <w:rFonts w:ascii="Arial" w:cs="Arial" w:eastAsia="Arial" w:hAnsi="Arial"/>
          <w:b w:val="false"/>
          <w:bCs w:val="false"/>
          <w:color w:val="1E293B"/>
          <w:sz w:val="21"/>
          <w:szCs w:val="21"/>
        </w:rPr>
        <w:t xml:space="preserve">Fires once per import event (Scheduling import, Cost import, Risk import), each scoped to its own rule set</w:t>
      </w:r>
    </w:p>
    <w:p>
      <w:pPr>
        <w:pStyle w:val="ListParagraph"/>
        <w:numPr>
          <w:ilvl w:val="0"/>
          <w:numId w:val="2"/>
        </w:numPr>
        <w:spacing w:after="80"/>
      </w:pPr>
      <w:r>
        <w:rPr>
          <w:rFonts w:ascii="Arial" w:cs="Arial" w:eastAsia="Arial" w:hAnsi="Arial"/>
          <w:b w:val="false"/>
          <w:bCs w:val="false"/>
          <w:color w:val="1E293B"/>
          <w:sz w:val="21"/>
          <w:szCs w:val="21"/>
        </w:rPr>
        <w:t xml:space="preserve">Hard-capped at 5 ranked suggestions per trigger to avoid suggestion fatigue — a deliberate constraint agreed before implementation began</w:t>
      </w:r>
    </w:p>
    <w:p>
      <w:pPr>
        <w:pStyle w:val="Heading3"/>
        <w:spacing w:after="100" w:before="220"/>
      </w:pPr>
      <w:r>
        <w:rPr>
          <w:rFonts w:ascii="Arial" w:cs="Arial" w:eastAsia="Arial" w:hAnsi="Arial"/>
          <w:b/>
          <w:bCs/>
          <w:color w:val="475569"/>
          <w:sz w:val="22"/>
          <w:szCs w:val="22"/>
        </w:rPr>
        <w:t xml:space="preserve">Suggestion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00"/>
      </w:tblGrid>
      <w:tr>
        <w:trPr>
          <w:tblHeader/>
        </w:trPr>
        <w:tc>
          <w:tcPr>
            <w:tcW w:type="dxa" w:w="200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Kind</w:t>
            </w:r>
          </w:p>
        </w:tc>
        <w:tc>
          <w:tcPr>
            <w:tcW w:type="dxa" w:w="330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Example</w:t>
            </w:r>
          </w:p>
        </w:tc>
        <w:tc>
          <w:tcPr>
            <w:tcW w:type="dxa" w:w="400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Trigger Logic</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New Risk</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“Ground Condition Risk — Piling”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Detected piling/foundation activity in imported schedule; proposes category, rating, probability, and EMV</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New Cost Element</w:t>
            </w:r>
          </w:p>
        </w:tc>
        <w:tc>
          <w:tcPr>
            <w:tcW w:type="dxa" w:w="3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“Cost Element: Decking (Split Deck)”</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Detected schedule activity with no matching cost line item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Suggested Link</w:t>
            </w:r>
          </w:p>
        </w:tc>
        <w:tc>
          <w:tcPr>
            <w:tcW w:type="dxa" w:w="3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“Link R1019 (Site Safety) to A1002 (Piling)”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Existing risk with no schedule link, matched against currently active work</w:t>
            </w:r>
          </w:p>
        </w:tc>
      </w:tr>
    </w:tbl>
    <w:p>
      <w:pPr>
        <w:spacing w:after="80"/>
      </w:pPr>
    </w:p>
    <w:p>
      <w:pPr>
        <w:pStyle w:val="Heading3"/>
        <w:spacing w:after="100" w:before="220"/>
      </w:pPr>
      <w:r>
        <w:rPr>
          <w:rFonts w:ascii="Arial" w:cs="Arial" w:eastAsia="Arial" w:hAnsi="Arial"/>
          <w:b/>
          <w:bCs/>
          <w:color w:val="475569"/>
          <w:sz w:val="22"/>
          <w:szCs w:val="22"/>
        </w:rPr>
        <w:t xml:space="preserve">Trust Model</w:t>
      </w:r>
    </w:p>
    <w:p>
      <w:pPr>
        <w:pStyle w:val="ListParagraph"/>
        <w:numPr>
          <w:ilvl w:val="0"/>
          <w:numId w:val="2"/>
        </w:numPr>
        <w:spacing w:after="80"/>
      </w:pPr>
      <w:r>
        <w:rPr>
          <w:rFonts w:ascii="Arial" w:cs="Arial" w:eastAsia="Arial" w:hAnsi="Arial"/>
          <w:b w:val="false"/>
          <w:bCs w:val="false"/>
          <w:color w:val="1E293B"/>
          <w:sz w:val="21"/>
          <w:szCs w:val="21"/>
        </w:rPr>
        <w:t xml:space="preserve">Every suggestion card shows an explicit “✨ Why ProsotaAI suggested this” rationale and a source tag (e.g. “Detected from A1002 in imported schedule”)</w:t>
      </w:r>
    </w:p>
    <w:p>
      <w:pPr>
        <w:pStyle w:val="ListParagraph"/>
        <w:numPr>
          <w:ilvl w:val="0"/>
          <w:numId w:val="2"/>
        </w:numPr>
        <w:spacing w:after="80"/>
      </w:pPr>
      <w:r>
        <w:rPr>
          <w:rFonts w:ascii="Arial" w:cs="Arial" w:eastAsia="Arial" w:hAnsi="Arial"/>
          <w:b w:val="false"/>
          <w:bCs w:val="false"/>
          <w:color w:val="1E293B"/>
          <w:sz w:val="21"/>
          <w:szCs w:val="21"/>
        </w:rPr>
        <w:t xml:space="preserve">Three actions per card: Accept, Edit First, Dismiss — nothing is ever auto-written</w:t>
      </w:r>
    </w:p>
    <w:p>
      <w:pPr>
        <w:pStyle w:val="ListParagraph"/>
        <w:numPr>
          <w:ilvl w:val="0"/>
          <w:numId w:val="2"/>
        </w:numPr>
        <w:spacing w:after="80"/>
      </w:pPr>
      <w:r>
        <w:rPr>
          <w:rFonts w:ascii="Arial" w:cs="Arial" w:eastAsia="Arial" w:hAnsi="Arial"/>
          <w:b w:val="false"/>
          <w:bCs w:val="false"/>
          <w:color w:val="1E293B"/>
          <w:sz w:val="21"/>
          <w:szCs w:val="21"/>
        </w:rPr>
        <w:t xml:space="preserve">Accepting a Link suggestion genuinely writes to the linking graph and refreshes the relevant UI live; accepting a Risk/Cost suggestion confirms intent via notification (full form pre-fill is a production-phase increment)</w:t>
      </w:r>
    </w:p>
    <w:p>
      <w:pPr>
        <w:pStyle w:val="Heading3"/>
        <w:spacing w:after="100" w:before="220"/>
      </w:pPr>
      <w:r>
        <w:rPr>
          <w:rFonts w:ascii="Arial" w:cs="Arial" w:eastAsia="Arial" w:hAnsi="Arial"/>
          <w:b/>
          <w:bCs/>
          <w:color w:val="475569"/>
          <w:sz w:val="22"/>
          <w:szCs w:val="22"/>
        </w:rPr>
        <w:t xml:space="preserve">Inbox UI</w:t>
      </w:r>
    </w:p>
    <w:p>
      <w:pPr>
        <w:pStyle w:val="ListParagraph"/>
        <w:numPr>
          <w:ilvl w:val="0"/>
          <w:numId w:val="2"/>
        </w:numPr>
        <w:spacing w:after="80"/>
      </w:pPr>
      <w:r>
        <w:rPr>
          <w:rFonts w:ascii="Arial" w:cs="Arial" w:eastAsia="Arial" w:hAnsi="Arial"/>
          <w:b w:val="false"/>
          <w:bCs w:val="false"/>
          <w:color w:val="1E293B"/>
          <w:sz w:val="21"/>
          <w:szCs w:val="21"/>
        </w:rPr>
        <w:t xml:space="preserve">Embedded as the third tab of the Controls Dashboard (relocated from an initial standalone sidebar page — see Section 6.4), with filter tabs (All / Risks / Cost / Links) and bulk Accept All / Dismiss All actions scoped to the active filter</w:t>
      </w:r>
    </w:p>
    <w:p>
      <w:pPr>
        <w:spacing w:after="100"/>
      </w:pPr>
    </w:p>
    <w:p>
      <w:pPr>
        <w:pStyle w:val="Heading2"/>
        <w:spacing w:after="140" w:before="320"/>
      </w:pPr>
      <w:r>
        <w:rPr>
          <w:rFonts w:ascii="Arial" w:cs="Arial" w:eastAsia="Arial" w:hAnsi="Arial"/>
          <w:b/>
          <w:bCs/>
          <w:color w:val="2563EB"/>
          <w:sz w:val="26"/>
          <w:szCs w:val="26"/>
        </w:rPr>
        <w:t xml:space="preserve">5.4 Phase 4 — Generative Visual Assistant</w:t>
      </w:r>
    </w:p>
    <w:p>
      <w:pPr>
        <w:spacing w:after="120" w:before="0"/>
        <w:jc w:val="left"/>
      </w:pPr>
      <w:r>
        <w:rPr>
          <w:rFonts w:ascii="Arial" w:cs="Arial" w:eastAsia="Arial" w:hAnsi="Arial"/>
          <w:b w:val="false"/>
          <w:bCs w:val="false"/>
          <w:i w:val="false"/>
          <w:iCs w:val="false"/>
          <w:color w:val="1E293B"/>
          <w:sz w:val="22"/>
          <w:szCs w:val="22"/>
        </w:rPr>
        <w:t xml:space="preserve">A chat-style “Ask for a Visual” input on the Controls Dashboard Overview tab, allowing any user to request a chart in plain language.</w:t>
      </w:r>
    </w:p>
    <w:p>
      <w:pPr>
        <w:pStyle w:val="Heading3"/>
        <w:spacing w:after="100" w:before="220"/>
      </w:pPr>
      <w:r>
        <w:rPr>
          <w:rFonts w:ascii="Arial" w:cs="Arial" w:eastAsia="Arial" w:hAnsi="Arial"/>
          <w:b/>
          <w:bCs/>
          <w:color w:val="475569"/>
          <w:sz w:val="22"/>
          <w:szCs w:val="22"/>
        </w:rPr>
        <w:t xml:space="preserve">Design Constraint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B91C1C" w:sz="4"/>
              <w:left w:val="single" w:color="B91C1C" w:sz="24"/>
              <w:bottom w:val="single" w:color="B91C1C" w:sz="4"/>
              <w:right w:val="single" w:color="B91C1C" w:sz="4"/>
            </w:tcBorders>
            <w:shd w:fill="FEF2F2" w:val="clear"/>
            <w:tcMar>
              <w:top w:type="dxa" w:w="160"/>
              <w:left w:type="dxa" w:w="220"/>
              <w:bottom w:type="dxa" w:w="160"/>
              <w:right w:type="dxa" w:w="220"/>
            </w:tcMar>
          </w:tcPr>
          <w:p>
            <w:pPr>
              <w:spacing w:after="60"/>
            </w:pPr>
            <w:r>
              <w:rPr>
                <w:rFonts w:ascii="Arial" w:cs="Arial" w:eastAsia="Arial" w:hAnsi="Arial"/>
                <w:b/>
                <w:bCs/>
                <w:color w:val="B91C1C"/>
                <w:sz w:val="21"/>
                <w:szCs w:val="21"/>
              </w:rPr>
              <w:t xml:space="preserve">Intent-Matching, Not Free-Form Generation</w:t>
            </w:r>
          </w:p>
          <w:p>
            <w:pPr>
              <w:spacing w:after="0"/>
            </w:pPr>
            <w:r>
              <w:rPr>
                <w:rFonts w:ascii="Arial" w:cs="Arial" w:eastAsia="Arial" w:hAnsi="Arial"/>
                <w:color w:val="1E293B"/>
                <w:sz w:val="20"/>
                <w:szCs w:val="20"/>
              </w:rPr>
              <w:t xml:space="preserve">The AI's role is strictly limited to mapping a natural-language request to one of six pre-defined, real data queries. There is no path for it to fabricate a number. If a query does not match a known pattern, the assistant says so explicitly and asks for a more specific phrasing rather than guessing or inventing a chart.</w:t>
            </w:r>
          </w:p>
        </w:tc>
      </w:tr>
    </w:tbl>
    <w:p>
      <w:pPr>
        <w:spacing w:after="80"/>
      </w:pPr>
    </w:p>
    <w:p>
      <w:pPr>
        <w:pStyle w:val="ListParagraph"/>
        <w:numPr>
          <w:ilvl w:val="0"/>
          <w:numId w:val="2"/>
        </w:numPr>
        <w:spacing w:after="80"/>
      </w:pPr>
      <w:r>
        <w:rPr>
          <w:rFonts w:ascii="Arial" w:cs="Arial" w:eastAsia="Arial" w:hAnsi="Arial"/>
          <w:b w:val="false"/>
          <w:bCs w:val="false"/>
          <w:color w:val="1E293B"/>
          <w:sz w:val="21"/>
          <w:szCs w:val="21"/>
        </w:rPr>
        <w:t xml:space="preserve">Six supported intents: cost variance by package, risk exposure by category, SPI trend across periods, open issues by priority, risk EMV vs cost variance, risk exposure vs schedule float</w:t>
      </w:r>
    </w:p>
    <w:p>
      <w:pPr>
        <w:pStyle w:val="ListParagraph"/>
        <w:numPr>
          <w:ilvl w:val="0"/>
          <w:numId w:val="2"/>
        </w:numPr>
        <w:spacing w:after="80"/>
      </w:pPr>
      <w:r>
        <w:rPr>
          <w:rFonts w:ascii="Arial" w:cs="Arial" w:eastAsia="Arial" w:hAnsi="Arial"/>
          <w:b w:val="false"/>
          <w:bCs w:val="false"/>
          <w:color w:val="1E293B"/>
          <w:sz w:val="21"/>
          <w:szCs w:val="21"/>
        </w:rPr>
        <w:t xml:space="preserve">All chart data is read from genuine fact tables (FACT_COST, FACT_RISK, FACT_ICD, FACT_PERIOD_TREND) mirroring the exact schema used by the Export Center, so generated charts are always traceable back to a real data source</w:t>
      </w:r>
    </w:p>
    <w:p>
      <w:pPr>
        <w:pStyle w:val="ListParagraph"/>
        <w:numPr>
          <w:ilvl w:val="0"/>
          <w:numId w:val="2"/>
        </w:numPr>
        <w:spacing w:after="80"/>
      </w:pPr>
      <w:r>
        <w:rPr>
          <w:rFonts w:ascii="Arial" w:cs="Arial" w:eastAsia="Arial" w:hAnsi="Arial"/>
          <w:b w:val="false"/>
          <w:bCs w:val="false"/>
          <w:color w:val="1E293B"/>
          <w:sz w:val="21"/>
          <w:szCs w:val="21"/>
        </w:rPr>
        <w:t xml:space="preserve">Three chart renderers, implemented as inline SVG with no external library dependency: bar charts, line charts with target reference lines, and dual-line comparison charts</w:t>
      </w:r>
    </w:p>
    <w:p>
      <w:pPr>
        <w:pStyle w:val="ListParagraph"/>
        <w:numPr>
          <w:ilvl w:val="0"/>
          <w:numId w:val="2"/>
        </w:numPr>
        <w:spacing w:after="80"/>
      </w:pPr>
      <w:r>
        <w:rPr>
          <w:rFonts w:ascii="Arial" w:cs="Arial" w:eastAsia="Arial" w:hAnsi="Arial"/>
          <w:b w:val="false"/>
          <w:bCs w:val="false"/>
          <w:color w:val="1E293B"/>
          <w:sz w:val="21"/>
          <w:szCs w:val="21"/>
        </w:rPr>
        <w:t xml:space="preserve">Every generated card displays its data source explicitly and can be individually dismissed; cards stack with most recent first, with a brief simulated-latency loading state for realism</w:t>
      </w:r>
    </w:p>
    <w:p>
      <w:pPr>
        <w:pStyle w:val="Heading1"/>
        <w:pBdr>
          <w:bottom w:val="single" w:color="1A2E6B" w:sz="6" w:space="4"/>
        </w:pBdr>
        <w:spacing w:after="200" w:before="480"/>
      </w:pPr>
      <w:r>
        <w:rPr>
          <w:rFonts w:ascii="Arial" w:cs="Arial" w:eastAsia="Arial" w:hAnsi="Arial"/>
          <w:b/>
          <w:bCs/>
          <w:color w:val="1A2E6B"/>
          <w:sz w:val="32"/>
          <w:szCs w:val="32"/>
        </w:rPr>
        <w:t xml:space="preserve">6. Key Design Decisions Log</w:t>
      </w:r>
    </w:p>
    <w:p>
      <w:pPr>
        <w:spacing w:after="120" w:before="0"/>
        <w:jc w:val="left"/>
      </w:pPr>
      <w:r>
        <w:rPr>
          <w:rFonts w:ascii="Arial" w:cs="Arial" w:eastAsia="Arial" w:hAnsi="Arial"/>
          <w:b w:val="false"/>
          <w:bCs w:val="false"/>
          <w:i w:val="false"/>
          <w:iCs w:val="false"/>
          <w:color w:val="1E293B"/>
          <w:sz w:val="22"/>
          <w:szCs w:val="22"/>
        </w:rPr>
        <w:t xml:space="preserve">Several decisions made during the build session materially shaped the platform's structure. They are recorded here because the reasoning behind them is as valuable for production planning as the resulting feature.</w:t>
      </w:r>
    </w:p>
    <w:p>
      <w:pPr>
        <w:spacing w:after="60"/>
      </w:pPr>
    </w:p>
    <w:p>
      <w:pPr>
        <w:pStyle w:val="Heading2"/>
        <w:spacing w:after="140" w:before="320"/>
      </w:pPr>
      <w:r>
        <w:rPr>
          <w:rFonts w:ascii="Arial" w:cs="Arial" w:eastAsia="Arial" w:hAnsi="Arial"/>
          <w:b/>
          <w:bCs/>
          <w:color w:val="2563EB"/>
          <w:sz w:val="26"/>
          <w:szCs w:val="26"/>
        </w:rPr>
        <w:t xml:space="preserve">6.1 Typed Relationship Tags, Not Unlabelled Links</w:t>
      </w:r>
    </w:p>
    <w:p>
      <w:pPr>
        <w:spacing w:after="120" w:before="0"/>
        <w:jc w:val="left"/>
      </w:pPr>
      <w:r>
        <w:rPr>
          <w:rFonts w:ascii="Arial" w:cs="Arial" w:eastAsia="Arial" w:hAnsi="Arial"/>
          <w:b w:val="false"/>
          <w:bCs w:val="false"/>
          <w:i w:val="false"/>
          <w:iCs w:val="false"/>
          <w:color w:val="1E293B"/>
          <w:sz w:val="22"/>
          <w:szCs w:val="22"/>
        </w:rPr>
        <w:t xml:space="preserve">When designing the cross-module linking engine, the option of simple unlabelled connections was considered against full typed relationships (Causes / Impacts / Mitigates / Relates To) shown as visible tags. Typed relationships were chosen deliberately: an unlabelled link between a risk and a cost element tells the user nothing about direction or nature of the relationship, whereas a labelled “impacts” tag makes the AI's later causal narrative immediately verifiable by a human reading the same graph.</w:t>
      </w:r>
    </w:p>
    <w:p>
      <w:pPr>
        <w:spacing w:after="80"/>
      </w:pPr>
    </w:p>
    <w:p>
      <w:pPr>
        <w:pStyle w:val="Heading2"/>
        <w:spacing w:after="140" w:before="320"/>
      </w:pPr>
      <w:r>
        <w:rPr>
          <w:rFonts w:ascii="Arial" w:cs="Arial" w:eastAsia="Arial" w:hAnsi="Arial"/>
          <w:b/>
          <w:bCs/>
          <w:color w:val="2563EB"/>
          <w:sz w:val="26"/>
          <w:szCs w:val="26"/>
        </w:rPr>
        <w:t xml:space="preserve">6.2 Dedicated “Linked” Tab, Not an Inline Section</w:t>
      </w:r>
    </w:p>
    <w:p>
      <w:pPr>
        <w:spacing w:after="120" w:before="0"/>
        <w:jc w:val="left"/>
      </w:pPr>
      <w:r>
        <w:rPr>
          <w:rFonts w:ascii="Arial" w:cs="Arial" w:eastAsia="Arial" w:hAnsi="Arial"/>
          <w:b w:val="false"/>
          <w:bCs w:val="false"/>
          <w:i w:val="false"/>
          <w:iCs w:val="false"/>
          <w:color w:val="1E293B"/>
          <w:sz w:val="22"/>
          <w:szCs w:val="22"/>
        </w:rPr>
        <w:t xml:space="preserve">Cross-module relationships could have been shown as a small inline block within each module's existing General/Details tab. A dedicated tab was chosen instead, giving linked records equal visual standing with a module's own native fields, and leaving room for the relationship list to grow without crowding the primary data entry experience.</w:t>
      </w:r>
    </w:p>
    <w:p>
      <w:pPr>
        <w:spacing w:after="80"/>
      </w:pPr>
    </w:p>
    <w:p>
      <w:pPr>
        <w:pStyle w:val="Heading2"/>
        <w:spacing w:after="140" w:before="320"/>
      </w:pPr>
      <w:r>
        <w:rPr>
          <w:rFonts w:ascii="Arial" w:cs="Arial" w:eastAsia="Arial" w:hAnsi="Arial"/>
          <w:b/>
          <w:bCs/>
          <w:color w:val="2563EB"/>
          <w:sz w:val="26"/>
          <w:szCs w:val="26"/>
        </w:rPr>
        <w:t xml:space="preserve">6.3 Removing the Visible Causal Chain Diagram</w:t>
      </w:r>
    </w:p>
    <w:p>
      <w:pPr>
        <w:spacing w:after="120" w:before="0"/>
        <w:jc w:val="left"/>
      </w:pPr>
      <w:r>
        <w:rPr>
          <w:rFonts w:ascii="Arial" w:cs="Arial" w:eastAsia="Arial" w:hAnsi="Arial"/>
          <w:b w:val="false"/>
          <w:bCs w:val="false"/>
          <w:i w:val="false"/>
          <w:iCs w:val="false"/>
          <w:color w:val="1E293B"/>
          <w:sz w:val="22"/>
          <w:szCs w:val="22"/>
        </w:rPr>
        <w:t xml:space="preserve">Phase 2 initially rendered the traced causal chains as a visible chip-and-arrow diagram directly on the Baseline Comparison tab, intended to make the AI's reasoning auditable at a glance. In practice this proved cluttered — multiple overlapping chains, each four to eight chips long, were difficult to read quickly even with relationship labels and chain numbering added. The diagram was removed entirely; the causal tracing now runs as a background process and surfaces exclusively through the AI's written narrative when the user clicks AI Summary. This was a direct response to in-session feedback and is recorded as a reminder that not every internal reasoning step benefits from being made visible in the UI.</w:t>
      </w:r>
    </w:p>
    <w:p>
      <w:pPr>
        <w:spacing w:after="80"/>
      </w:pPr>
    </w:p>
    <w:p>
      <w:pPr>
        <w:pStyle w:val="Heading2"/>
        <w:spacing w:after="140" w:before="320"/>
      </w:pPr>
      <w:r>
        <w:rPr>
          <w:rFonts w:ascii="Arial" w:cs="Arial" w:eastAsia="Arial" w:hAnsi="Arial"/>
          <w:b/>
          <w:bCs/>
          <w:color w:val="2563EB"/>
          <w:sz w:val="26"/>
          <w:szCs w:val="26"/>
        </w:rPr>
        <w:t xml:space="preserve">6.4 Consolidating AI Suggestions Into the Dashboard</w:t>
      </w:r>
    </w:p>
    <w:p>
      <w:pPr>
        <w:spacing w:after="120" w:before="0"/>
        <w:jc w:val="left"/>
      </w:pPr>
      <w:r>
        <w:rPr>
          <w:rFonts w:ascii="Arial" w:cs="Arial" w:eastAsia="Arial" w:hAnsi="Arial"/>
          <w:b w:val="false"/>
          <w:bCs w:val="false"/>
          <w:i w:val="false"/>
          <w:iCs w:val="false"/>
          <w:color w:val="1E293B"/>
          <w:sz w:val="22"/>
          <w:szCs w:val="22"/>
        </w:rPr>
        <w:t xml:space="preserve">AI Suggestions was initially built as a standalone ninth navigation item with its own page and sidebar badge. It was subsequently folded into the Controls Dashboard as a third tab, on the basis that proliferating top-level navigation items for every new capability works against the platform's stated goal of being approachable rather than overwhelming. The badge count was preserved on the dashboard tab itself rather than the sidebar, after the sidebar shortcut icon was found to read ambiguously as a separate page; it was removed in favour of a single, clear path to the feature.</w:t>
      </w:r>
    </w:p>
    <w:p>
      <w:pPr>
        <w:spacing w:after="80"/>
      </w:pPr>
    </w:p>
    <w:p>
      <w:pPr>
        <w:pStyle w:val="Heading2"/>
        <w:spacing w:after="140" w:before="320"/>
      </w:pPr>
      <w:r>
        <w:rPr>
          <w:rFonts w:ascii="Arial" w:cs="Arial" w:eastAsia="Arial" w:hAnsi="Arial"/>
          <w:b/>
          <w:bCs/>
          <w:color w:val="2563EB"/>
          <w:sz w:val="26"/>
          <w:szCs w:val="26"/>
        </w:rPr>
        <w:t xml:space="preserve">6.5 Period Manager and File Manager Left as Single Pages</w:t>
      </w:r>
    </w:p>
    <w:p>
      <w:pPr>
        <w:spacing w:after="120" w:before="0"/>
        <w:jc w:val="left"/>
      </w:pPr>
      <w:r>
        <w:rPr>
          <w:rFonts w:ascii="Arial" w:cs="Arial" w:eastAsia="Arial" w:hAnsi="Arial"/>
          <w:b w:val="false"/>
          <w:bCs w:val="false"/>
          <w:i w:val="false"/>
          <w:iCs w:val="false"/>
          <w:color w:val="1E293B"/>
          <w:sz w:val="22"/>
          <w:szCs w:val="22"/>
        </w:rPr>
        <w:t xml:space="preserve">Following the Controls Dashboard tab restructure, the same treatment was considered for Period Manager and File Manager. File Manager was assessed as genuinely single-purpose — a file browser with a detail panel and no competing content — and left untouched. Period Manager, having already had its Baseline Comparison content relocated to the Dashboard, was assessed to have exactly two remaining sections (the 4-week cycle/checklist, and the Amendment Log, the latter only visible during Week 4). This was judged lean enough to remain a single page rather than introduce tabs for the sake of consistency alone.</w:t>
      </w:r>
    </w:p>
    <w:p>
      <w:pPr>
        <w:spacing w:after="80"/>
      </w:pPr>
    </w:p>
    <w:p>
      <w:pPr>
        <w:pStyle w:val="Heading2"/>
        <w:spacing w:after="140" w:before="320"/>
      </w:pPr>
      <w:r>
        <w:rPr>
          <w:rFonts w:ascii="Arial" w:cs="Arial" w:eastAsia="Arial" w:hAnsi="Arial"/>
          <w:b/>
          <w:bCs/>
          <w:color w:val="2563EB"/>
          <w:sz w:val="26"/>
          <w:szCs w:val="26"/>
        </w:rPr>
        <w:t xml:space="preserve">6.6 Founder-AI Development Model</w:t>
      </w:r>
    </w:p>
    <w:p>
      <w:pPr>
        <w:spacing w:after="120" w:before="0"/>
        <w:jc w:val="left"/>
      </w:pPr>
      <w:r>
        <w:rPr>
          <w:rFonts w:ascii="Arial" w:cs="Arial" w:eastAsia="Arial" w:hAnsi="Arial"/>
          <w:b w:val="false"/>
          <w:bCs w:val="false"/>
          <w:i w:val="false"/>
          <w:iCs w:val="false"/>
          <w:color w:val="1E293B"/>
          <w:sz w:val="22"/>
          <w:szCs w:val="22"/>
        </w:rPr>
        <w:t xml:space="preserve">The platform's existing business case documents a structural decision to build via founder-AI collaboration rather than a conventional engineering team — reducing Phase 1 capital requirement from a conventional £850,000–£950,000 to approximately £285,000. This prototype is the direct evidence underpinning that business case: every module, workflow, and AI capability described in this document was built through exactly that collaboration model, in a single continuous working session.</w:t>
      </w:r>
    </w:p>
    <w:p>
      <w:pPr>
        <w:pStyle w:val="Heading1"/>
        <w:pBdr>
          <w:bottom w:val="single" w:color="1A2E6B" w:sz="6" w:space="4"/>
        </w:pBdr>
        <w:spacing w:after="200" w:before="480"/>
      </w:pPr>
      <w:r>
        <w:rPr>
          <w:rFonts w:ascii="Arial" w:cs="Arial" w:eastAsia="Arial" w:hAnsi="Arial"/>
          <w:b/>
          <w:bCs/>
          <w:color w:val="1A2E6B"/>
          <w:sz w:val="32"/>
          <w:szCs w:val="32"/>
        </w:rPr>
        <w:t xml:space="preserve">7. Import / Export &amp; Reporting Framework</w:t>
      </w:r>
    </w:p>
    <w:p>
      <w:pPr>
        <w:spacing w:after="120" w:before="0"/>
        <w:jc w:val="left"/>
      </w:pPr>
      <w:r>
        <w:rPr>
          <w:rFonts w:ascii="Arial" w:cs="Arial" w:eastAsia="Arial" w:hAnsi="Arial"/>
          <w:b w:val="false"/>
          <w:bCs w:val="false"/>
          <w:i w:val="false"/>
          <w:iCs w:val="false"/>
          <w:color w:val="1E293B"/>
          <w:sz w:val="22"/>
          <w:szCs w:val="22"/>
        </w:rPr>
        <w:t xml:space="preserve">A consistent pattern was established across Scheduling, Risk, Cost, and ICD for data interchange and reporting, designed to feel native to project controls professionals already familiar with Primavera P6 and Microsoft Project workflows.</w:t>
      </w:r>
    </w:p>
    <w:p>
      <w:pPr>
        <w:spacing w:after="60"/>
      </w:pPr>
    </w:p>
    <w:p>
      <w:pPr>
        <w:pStyle w:val="Heading2"/>
        <w:spacing w:after="140" w:before="320"/>
      </w:pPr>
      <w:r>
        <w:rPr>
          <w:rFonts w:ascii="Arial" w:cs="Arial" w:eastAsia="Arial" w:hAnsi="Arial"/>
          <w:b/>
          <w:bCs/>
          <w:color w:val="2563EB"/>
          <w:sz w:val="26"/>
          <w:szCs w:val="26"/>
        </w:rPr>
        <w:t xml:space="preserve">7.1 Import Wizard Pattern</w:t>
      </w:r>
    </w:p>
    <w:p>
      <w:pPr>
        <w:spacing w:after="120" w:before="0"/>
        <w:jc w:val="left"/>
      </w:pPr>
      <w:r>
        <w:rPr>
          <w:rFonts w:ascii="Arial" w:cs="Arial" w:eastAsia="Arial" w:hAnsi="Arial"/>
          <w:b w:val="false"/>
          <w:bCs w:val="false"/>
          <w:i w:val="false"/>
          <w:iCs w:val="false"/>
          <w:color w:val="1E293B"/>
          <w:sz w:val="22"/>
          <w:szCs w:val="22"/>
        </w:rPr>
        <w:t xml:space="preserve">A shared 3-step modal flow, parameterised per module:</w:t>
      </w:r>
    </w:p>
    <w:p>
      <w:pPr>
        <w:pStyle w:val="ListParagraph"/>
        <w:numPr>
          <w:ilvl w:val="0"/>
          <w:numId w:val="3"/>
        </w:numPr>
        <w:spacing w:after="80"/>
      </w:pPr>
      <w:r>
        <w:rPr>
          <w:rFonts w:ascii="Arial" w:cs="Arial" w:eastAsia="Arial" w:hAnsi="Arial"/>
          <w:color w:val="1E293B"/>
          <w:sz w:val="21"/>
          <w:szCs w:val="21"/>
        </w:rPr>
        <w:t xml:space="preserve">Upload — drag-and-drop or browse, with format-aware file-type messaging and an explicit warning that nothing overwrites live data until confirmed</w:t>
      </w:r>
    </w:p>
    <w:p>
      <w:pPr>
        <w:pStyle w:val="ListParagraph"/>
        <w:numPr>
          <w:ilvl w:val="0"/>
          <w:numId w:val="3"/>
        </w:numPr>
        <w:spacing w:after="80"/>
      </w:pPr>
      <w:r>
        <w:rPr>
          <w:rFonts w:ascii="Arial" w:cs="Arial" w:eastAsia="Arial" w:hAnsi="Arial"/>
          <w:color w:val="1E293B"/>
          <w:sz w:val="21"/>
          <w:szCs w:val="21"/>
        </w:rPr>
        <w:t xml:space="preserve">Map Fields — auto-detected source-to-platform field mapping table, editable per field, with toggles for baseline dates, logic relationships, and resource/cost import where relevant</w:t>
      </w:r>
    </w:p>
    <w:p>
      <w:pPr>
        <w:pStyle w:val="ListParagraph"/>
        <w:numPr>
          <w:ilvl w:val="0"/>
          <w:numId w:val="3"/>
        </w:numPr>
        <w:spacing w:after="80"/>
      </w:pPr>
      <w:r>
        <w:rPr>
          <w:rFonts w:ascii="Arial" w:cs="Arial" w:eastAsia="Arial" w:hAnsi="Arial"/>
          <w:color w:val="1E293B"/>
          <w:sz w:val="21"/>
          <w:szCs w:val="21"/>
        </w:rPr>
        <w:t xml:space="preserve">Review &amp; Confirm — summary cards (records matched / new / conflicting) and a conflict-resolution table allowing per-record “keep incoming” or “keep current” choices</w:t>
      </w:r>
    </w:p>
    <w:p>
      <w:pPr>
        <w:spacing w:after="60"/>
      </w:pPr>
    </w:p>
    <w:p>
      <w:pPr>
        <w:pStyle w:val="Heading2"/>
        <w:spacing w:after="140" w:before="320"/>
      </w:pPr>
      <w:r>
        <w:rPr>
          <w:rFonts w:ascii="Arial" w:cs="Arial" w:eastAsia="Arial" w:hAnsi="Arial"/>
          <w:b/>
          <w:bCs/>
          <w:color w:val="2563EB"/>
          <w:sz w:val="26"/>
          <w:szCs w:val="26"/>
        </w:rPr>
        <w:t xml:space="preserve">7.2 Supported Formats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00"/>
      </w:tblGrid>
      <w:tr>
        <w:trPr>
          <w:tblHeader/>
        </w:trPr>
        <w:tc>
          <w:tcPr>
            <w:tcW w:type="dxa" w:w="220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Module</w:t>
            </w:r>
          </w:p>
        </w:tc>
        <w:tc>
          <w:tcPr>
            <w:tcW w:type="dxa" w:w="370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Import Formats</w:t>
            </w:r>
          </w:p>
        </w:tc>
        <w:tc>
          <w:tcPr>
            <w:tcW w:type="dxa" w:w="340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Export Formats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Scheduling</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Primavera P6 (.xer), Microsoft Project (.mpp), Asta Powerproject (.pp), Project XML (.xml)</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Same four, plus Excel (.xlsx)</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Cost Plan</w:t>
            </w:r>
          </w:p>
        </w:tc>
        <w:tc>
          <w:tcPr>
            <w:tcW w:type="dxa" w:w="3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Excel (.xlsx), Cost Plan XML (.xml)</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Same two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Risk Register</w:t>
            </w:r>
          </w:p>
        </w:tc>
        <w:tc>
          <w:tcPr>
            <w:tcW w:type="dxa" w:w="3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Excel (.xlsx), Risk Register XML (.xml)</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Same two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ICD Tracker</w:t>
            </w:r>
          </w:p>
        </w:tc>
        <w:tc>
          <w:tcPr>
            <w:tcW w:type="dxa" w:w="3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Excel (.xlsx), ICD XML (.xml)</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Same two</w:t>
            </w:r>
          </w:p>
        </w:tc>
      </w:tr>
    </w:tbl>
    <w:p>
      <w:pPr>
        <w:spacing w:after="80"/>
      </w:pPr>
    </w:p>
    <w:p>
      <w:pPr>
        <w:pStyle w:val="Heading2"/>
        <w:spacing w:after="140" w:before="320"/>
      </w:pPr>
      <w:r>
        <w:rPr>
          <w:rFonts w:ascii="Arial" w:cs="Arial" w:eastAsia="Arial" w:hAnsi="Arial"/>
          <w:b/>
          <w:bCs/>
          <w:color w:val="2563EB"/>
          <w:sz w:val="26"/>
          <w:szCs w:val="26"/>
        </w:rPr>
        <w:t xml:space="preserve">7.3 Print / Preview Framework</w:t>
      </w:r>
    </w:p>
    <w:p>
      <w:pPr>
        <w:spacing w:after="120" w:before="0"/>
        <w:jc w:val="left"/>
      </w:pPr>
      <w:r>
        <w:rPr>
          <w:rFonts w:ascii="Arial" w:cs="Arial" w:eastAsia="Arial" w:hAnsi="Arial"/>
          <w:b w:val="false"/>
          <w:bCs w:val="false"/>
          <w:i w:val="false"/>
          <w:iCs w:val="false"/>
          <w:color w:val="1E293B"/>
          <w:sz w:val="22"/>
          <w:szCs w:val="22"/>
        </w:rPr>
        <w:t xml:space="preserve">A shared print modal pattern, also parameterised per module, with a live-updating preview canvas:</w:t>
      </w:r>
    </w:p>
    <w:p>
      <w:pPr>
        <w:pStyle w:val="ListParagraph"/>
        <w:numPr>
          <w:ilvl w:val="0"/>
          <w:numId w:val="2"/>
        </w:numPr>
        <w:spacing w:after="80"/>
      </w:pPr>
      <w:r>
        <w:rPr>
          <w:rFonts w:ascii="Arial" w:cs="Arial" w:eastAsia="Arial" w:hAnsi="Arial"/>
          <w:b w:val="false"/>
          <w:bCs w:val="false"/>
          <w:color w:val="1E293B"/>
          <w:sz w:val="21"/>
          <w:szCs w:val="21"/>
        </w:rPr>
        <w:t xml:space="preserve">Layout controls: orientation, paper size (A3/A4/A1/Letter/Tabloid as relevant), date range or data scope</w:t>
      </w:r>
    </w:p>
    <w:p>
      <w:pPr>
        <w:pStyle w:val="ListParagraph"/>
        <w:numPr>
          <w:ilvl w:val="0"/>
          <w:numId w:val="2"/>
        </w:numPr>
        <w:spacing w:after="80"/>
      </w:pPr>
      <w:r>
        <w:rPr>
          <w:rFonts w:ascii="Arial" w:cs="Arial" w:eastAsia="Arial" w:hAnsi="Arial"/>
          <w:b w:val="false"/>
          <w:bCs w:val="false"/>
          <w:color w:val="1E293B"/>
          <w:sz w:val="21"/>
          <w:szCs w:val="21"/>
        </w:rPr>
        <w:t xml:space="preserve">Content toggles specific to each module — e.g. Scheduling offers baseline bars, critical path highlighting, and Commentary column visibility; Risk Register offers heat matrix and EMV column inclusion; Cost Plan offers unit-rate and rate-card detail</w:t>
      </w:r>
    </w:p>
    <w:p>
      <w:pPr>
        <w:pStyle w:val="ListParagraph"/>
        <w:numPr>
          <w:ilvl w:val="0"/>
          <w:numId w:val="2"/>
        </w:numPr>
        <w:spacing w:after="80"/>
      </w:pPr>
      <w:r>
        <w:rPr>
          <w:rFonts w:ascii="Arial" w:cs="Arial" w:eastAsia="Arial" w:hAnsi="Arial"/>
          <w:b w:val="false"/>
          <w:bCs w:val="false"/>
          <w:color w:val="1E293B"/>
          <w:sz w:val="21"/>
          <w:szCs w:val="21"/>
        </w:rPr>
        <w:t xml:space="preserve">Header/footer controls: project logo and title block, revision/date stamp, page numbers</w:t>
      </w:r>
    </w:p>
    <w:p>
      <w:pPr>
        <w:pStyle w:val="ListParagraph"/>
        <w:numPr>
          <w:ilvl w:val="0"/>
          <w:numId w:val="2"/>
        </w:numPr>
        <w:spacing w:after="80"/>
      </w:pPr>
      <w:r>
        <w:rPr>
          <w:rFonts w:ascii="Arial" w:cs="Arial" w:eastAsia="Arial" w:hAnsi="Arial"/>
          <w:b w:val="false"/>
          <w:bCs w:val="false"/>
          <w:color w:val="1E293B"/>
          <w:sz w:val="21"/>
          <w:szCs w:val="21"/>
        </w:rPr>
        <w:t xml:space="preserve">Output actions: Save as PDF or send to Print</w:t>
      </w:r>
    </w:p>
    <w:p>
      <w:pPr>
        <w:spacing w:after="80"/>
      </w:pPr>
    </w:p>
    <w:p>
      <w:pPr>
        <w:pStyle w:val="Heading2"/>
        <w:spacing w:after="140" w:before="320"/>
      </w:pPr>
      <w:r>
        <w:rPr>
          <w:rFonts w:ascii="Arial" w:cs="Arial" w:eastAsia="Arial" w:hAnsi="Arial"/>
          <w:b/>
          <w:bCs/>
          <w:color w:val="2563EB"/>
          <w:sz w:val="26"/>
          <w:szCs w:val="26"/>
        </w:rPr>
        <w:t xml:space="preserve">7.4 Global Export Center</w:t>
      </w:r>
    </w:p>
    <w:p>
      <w:pPr>
        <w:spacing w:after="120" w:before="0"/>
        <w:jc w:val="left"/>
      </w:pPr>
      <w:r>
        <w:rPr>
          <w:rFonts w:ascii="Arial" w:cs="Arial" w:eastAsia="Arial" w:hAnsi="Arial"/>
          <w:b w:val="false"/>
          <w:bCs w:val="false"/>
          <w:i w:val="false"/>
          <w:iCs w:val="false"/>
          <w:color w:val="1E293B"/>
          <w:sz w:val="22"/>
          <w:szCs w:val="22"/>
        </w:rPr>
        <w:t xml:space="preserve">Distinct from per-module export, the Export Center (Section 4.9) provides a cross-module, schema-driven data dump intended for Excel and Power BI consumption, plus a separate PowerPoint/PDF report-deck builder. This is the natural destination for any organisation-wide reporting need that spans more than one module.</w:t>
      </w:r>
    </w:p>
    <w:p>
      <w:pPr>
        <w:pStyle w:val="Heading1"/>
        <w:pBdr>
          <w:bottom w:val="single" w:color="1A2E6B" w:sz="6" w:space="4"/>
        </w:pBdr>
        <w:spacing w:after="200" w:before="480"/>
      </w:pPr>
      <w:r>
        <w:rPr>
          <w:rFonts w:ascii="Arial" w:cs="Arial" w:eastAsia="Arial" w:hAnsi="Arial"/>
          <w:b/>
          <w:bCs/>
          <w:color w:val="1A2E6B"/>
          <w:sz w:val="32"/>
          <w:szCs w:val="32"/>
        </w:rPr>
        <w:t xml:space="preserve">8. Explicitly Out of Scope</w:t>
      </w:r>
    </w:p>
    <w:p>
      <w:pPr>
        <w:spacing w:after="120" w:before="0"/>
        <w:jc w:val="left"/>
      </w:pPr>
      <w:r>
        <w:rPr>
          <w:rFonts w:ascii="Arial" w:cs="Arial" w:eastAsia="Arial" w:hAnsi="Arial"/>
          <w:b w:val="false"/>
          <w:bCs w:val="false"/>
          <w:i w:val="false"/>
          <w:iCs w:val="false"/>
          <w:color w:val="1E293B"/>
          <w:sz w:val="22"/>
          <w:szCs w:val="22"/>
        </w:rPr>
        <w:t xml:space="preserve">To avoid ambiguity during handover into production planning, the following are explicitly out of scope for this prototype and were never attempted:</w:t>
      </w:r>
    </w:p>
    <w:p>
      <w:pPr>
        <w:spacing w:after="60"/>
      </w:pPr>
    </w:p>
    <w:p>
      <w:pPr>
        <w:pStyle w:val="ListParagraph"/>
        <w:numPr>
          <w:ilvl w:val="0"/>
          <w:numId w:val="2"/>
        </w:numPr>
        <w:spacing w:after="80"/>
      </w:pPr>
      <w:r>
        <w:rPr>
          <w:rFonts w:ascii="Arial" w:cs="Arial" w:eastAsia="Arial" w:hAnsi="Arial"/>
          <w:b w:val="false"/>
          <w:bCs w:val="false"/>
          <w:color w:val="1E293B"/>
          <w:sz w:val="21"/>
          <w:szCs w:val="21"/>
        </w:rPr>
        <w:t xml:space="preserve">BIM, IFC, or 4D simulation functionality of any kind — a deliberate positioning decision to keep the platform horizontal and sector-agnostic (see Section 2.2)</w:t>
      </w:r>
    </w:p>
    <w:p>
      <w:pPr>
        <w:pStyle w:val="ListParagraph"/>
        <w:numPr>
          <w:ilvl w:val="0"/>
          <w:numId w:val="2"/>
        </w:numPr>
        <w:spacing w:after="80"/>
      </w:pPr>
      <w:r>
        <w:rPr>
          <w:rFonts w:ascii="Arial" w:cs="Arial" w:eastAsia="Arial" w:hAnsi="Arial"/>
          <w:b w:val="false"/>
          <w:bCs w:val="false"/>
          <w:color w:val="1E293B"/>
          <w:sz w:val="21"/>
          <w:szCs w:val="21"/>
        </w:rPr>
        <w:t xml:space="preserve">Real backend, database, authentication, or multi-tenancy — the prototype is a frontend-only demonstration of UX and workflow</w:t>
      </w:r>
    </w:p>
    <w:p>
      <w:pPr>
        <w:pStyle w:val="ListParagraph"/>
        <w:numPr>
          <w:ilvl w:val="0"/>
          <w:numId w:val="2"/>
        </w:numPr>
        <w:spacing w:after="80"/>
      </w:pPr>
      <w:r>
        <w:rPr>
          <w:rFonts w:ascii="Arial" w:cs="Arial" w:eastAsia="Arial" w:hAnsi="Arial"/>
          <w:b w:val="false"/>
          <w:bCs w:val="false"/>
          <w:color w:val="1E293B"/>
          <w:sz w:val="21"/>
          <w:szCs w:val="21"/>
        </w:rPr>
        <w:t xml:space="preserve">Real file parsing for any import format — the import wizards demonstrate the complete intended UX but operate on simulated results</w:t>
      </w:r>
    </w:p>
    <w:p>
      <w:pPr>
        <w:pStyle w:val="ListParagraph"/>
        <w:numPr>
          <w:ilvl w:val="0"/>
          <w:numId w:val="2"/>
        </w:numPr>
        <w:spacing w:after="80"/>
      </w:pPr>
      <w:r>
        <w:rPr>
          <w:rFonts w:ascii="Arial" w:cs="Arial" w:eastAsia="Arial" w:hAnsi="Arial"/>
          <w:b w:val="false"/>
          <w:bCs w:val="false"/>
          <w:color w:val="1E293B"/>
          <w:sz w:val="21"/>
          <w:szCs w:val="21"/>
        </w:rPr>
        <w:t xml:space="preserve">Persistence of any kind between page sessions — all state (links, suggestions, period status) resets on reload</w:t>
      </w:r>
    </w:p>
    <w:p>
      <w:pPr>
        <w:pStyle w:val="ListParagraph"/>
        <w:numPr>
          <w:ilvl w:val="0"/>
          <w:numId w:val="2"/>
        </w:numPr>
        <w:spacing w:after="80"/>
      </w:pPr>
      <w:r>
        <w:rPr>
          <w:rFonts w:ascii="Arial" w:cs="Arial" w:eastAsia="Arial" w:hAnsi="Arial"/>
          <w:b w:val="false"/>
          <w:bCs w:val="false"/>
          <w:color w:val="1E293B"/>
          <w:sz w:val="21"/>
          <w:szCs w:val="21"/>
        </w:rPr>
        <w:t xml:space="preserve">Mobile-responsive layout — the prototype targets desktop/laptop screens only</w:t>
      </w:r>
    </w:p>
    <w:p>
      <w:pPr>
        <w:pStyle w:val="ListParagraph"/>
        <w:numPr>
          <w:ilvl w:val="0"/>
          <w:numId w:val="2"/>
        </w:numPr>
        <w:spacing w:after="80"/>
      </w:pPr>
      <w:r>
        <w:rPr>
          <w:rFonts w:ascii="Arial" w:cs="Arial" w:eastAsia="Arial" w:hAnsi="Arial"/>
          <w:b w:val="false"/>
          <w:bCs w:val="false"/>
          <w:color w:val="1E293B"/>
          <w:sz w:val="21"/>
          <w:szCs w:val="21"/>
        </w:rPr>
        <w:t xml:space="preserve">A second fully-built project (“Metro Rail Extension” exists only as a placeholder selector card)</w:t>
      </w:r>
    </w:p>
    <w:p>
      <w:pPr>
        <w:pStyle w:val="ListParagraph"/>
        <w:numPr>
          <w:ilvl w:val="0"/>
          <w:numId w:val="2"/>
        </w:numPr>
        <w:spacing w:after="80"/>
      </w:pPr>
      <w:r>
        <w:rPr>
          <w:rFonts w:ascii="Arial" w:cs="Arial" w:eastAsia="Arial" w:hAnsi="Arial"/>
          <w:b w:val="false"/>
          <w:bCs w:val="false"/>
          <w:color w:val="1E293B"/>
          <w:sz w:val="21"/>
          <w:szCs w:val="21"/>
        </w:rPr>
        <w:t xml:space="preserve">Any integration with third-party systems (Oracle Primavera Cloud, Power BI service, Salesforce, etc.) — these remain documented intentions in the existing business case, not built capability</w:t>
      </w:r>
    </w:p>
    <w:p>
      <w:pPr>
        <w:pStyle w:val="ListParagraph"/>
        <w:numPr>
          <w:ilvl w:val="0"/>
          <w:numId w:val="2"/>
        </w:numPr>
        <w:spacing w:after="80"/>
      </w:pPr>
      <w:r>
        <w:rPr>
          <w:rFonts w:ascii="Arial" w:cs="Arial" w:eastAsia="Arial" w:hAnsi="Arial"/>
          <w:b w:val="false"/>
          <w:bCs w:val="false"/>
          <w:color w:val="1E293B"/>
          <w:sz w:val="21"/>
          <w:szCs w:val="21"/>
        </w:rPr>
        <w:t xml:space="preserve">Accessibility (WCAG) compliance — not yet audited or addressed in the prototype</w:t>
      </w:r>
    </w:p>
    <w:p>
      <w:pPr>
        <w:pStyle w:val="Heading1"/>
        <w:pBdr>
          <w:bottom w:val="single" w:color="1A2E6B" w:sz="6" w:space="4"/>
        </w:pBdr>
        <w:spacing w:after="200" w:before="480"/>
      </w:pPr>
      <w:r>
        <w:rPr>
          <w:rFonts w:ascii="Arial" w:cs="Arial" w:eastAsia="Arial" w:hAnsi="Arial"/>
          <w:b/>
          <w:bCs/>
          <w:color w:val="1A2E6B"/>
          <w:sz w:val="32"/>
          <w:szCs w:val="32"/>
        </w:rPr>
        <w:t xml:space="preserve">9. Path to Production</w:t>
      </w:r>
    </w:p>
    <w:p>
      <w:pPr>
        <w:spacing w:after="120" w:before="0"/>
        <w:jc w:val="left"/>
      </w:pPr>
      <w:r>
        <w:rPr>
          <w:rFonts w:ascii="Arial" w:cs="Arial" w:eastAsia="Arial" w:hAnsi="Arial"/>
          <w:b w:val="false"/>
          <w:bCs w:val="false"/>
          <w:i w:val="false"/>
          <w:iCs w:val="false"/>
          <w:color w:val="1E293B"/>
          <w:sz w:val="22"/>
          <w:szCs w:val="22"/>
        </w:rPr>
        <w:t xml:space="preserve">This prototype is the product specification for production engineering, not the production codebase itself. The existing ProsotaPMO Business Case (v3.0) sets out the full production roadmap, technical architecture, and financial plan; the relationship between the two documents is summarised here for clarity.</w:t>
      </w:r>
    </w:p>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This Document Covers</w:t>
            </w:r>
          </w:p>
        </w:tc>
        <w:tc>
          <w:tcPr>
            <w:tcW w:type="dxa" w:w="4650"/>
            <w:tcBorders>
              <w:top w:val="single" w:color="CBD5E1" w:sz="1"/>
              <w:left w:val="single" w:color="CBD5E1" w:sz="1"/>
              <w:bottom w:val="single" w:color="CBD5E1" w:sz="1"/>
              <w:right w:val="single" w:color="CBD5E1" w:sz="1"/>
            </w:tcBorders>
            <w:shd w:fill="1A2E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The Business Case Covers</w:t>
            </w:r>
          </w:p>
        </w:tc>
      </w:tr>
      <w:tr>
        <w:tc>
          <w:tcPr>
            <w:tcW w:type="dxa" w:w="46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Complete functional scope of every module, as built and demonstrated</w:t>
            </w:r>
          </w:p>
        </w:tc>
        <w:tc>
          <w:tcPr>
            <w:tcW w:type="dxa" w:w="46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Phase 1–3 development roadmap, sprint-by-sprint, for the production build</w:t>
            </w:r>
          </w:p>
        </w:tc>
      </w:tr>
      <w:tr>
        <w:tc>
          <w:tcPr>
            <w:tcW w:type="dxa" w:w="46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The cross-module linking data model and AI integration design</w:t>
            </w:r>
          </w:p>
        </w:tc>
        <w:tc>
          <w:tcPr>
            <w:tcW w:type="dxa" w:w="46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Production technical architecture (React/TypeScript, FastAPI/PostgreSQL, multi-tenancy)</w:t>
            </w:r>
          </w:p>
        </w:tc>
      </w:tr>
      <w:tr>
        <w:tc>
          <w:tcPr>
            <w:tcW w:type="dxa" w:w="46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Design decisions made and the reasoning behind them</w:t>
            </w:r>
          </w:p>
        </w:tc>
        <w:tc>
          <w:tcPr>
            <w:tcW w:type="dxa" w:w="46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Financial projections, pricing model, and investment phasing</w:t>
            </w:r>
          </w:p>
        </w:tc>
      </w:tr>
      <w:tr>
        <w:tc>
          <w:tcPr>
            <w:tcW w:type="dxa" w:w="46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What is explicitly out of scope at prototype stage</w:t>
            </w:r>
          </w:p>
        </w:tc>
        <w:tc>
          <w:tcPr>
            <w:tcW w:type="dxa" w:w="46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Go-to-market strategy, team structure, and risk register for the business</w:t>
            </w:r>
          </w:p>
        </w:tc>
      </w:tr>
    </w:tbl>
    <w:p>
      <w:pPr>
        <w:spacing w:after="80"/>
      </w:pPr>
    </w:p>
    <w:p>
      <w:pPr>
        <w:spacing w:after="120" w:before="0"/>
        <w:jc w:val="left"/>
      </w:pPr>
      <w:r>
        <w:rPr>
          <w:rFonts w:ascii="Arial" w:cs="Arial" w:eastAsia="Arial" w:hAnsi="Arial"/>
          <w:b w:val="false"/>
          <w:bCs w:val="false"/>
          <w:i w:val="false"/>
          <w:iCs w:val="false"/>
          <w:color w:val="1E293B"/>
          <w:sz w:val="22"/>
          <w:szCs w:val="22"/>
        </w:rPr>
        <w:t xml:space="preserve">Production engineering should treat every module described in Section 4, the linking data model in Section 5.1, and the AI prompt structures in Section 5.2–5.4 as the authoritative behavioural specification — the prototype's HTML/CSS/JS implementation is illustrative of intended UX, not a codebase to be lifted directly into the production stack.</w:t>
      </w:r>
    </w:p>
    <w:p>
      <w:pPr>
        <w:pStyle w:val="Heading1"/>
        <w:pBdr>
          <w:bottom w:val="single" w:color="1A2E6B" w:sz="6" w:space="4"/>
        </w:pBdr>
        <w:spacing w:after="200" w:before="480"/>
      </w:pPr>
      <w:r>
        <w:rPr>
          <w:rFonts w:ascii="Arial" w:cs="Arial" w:eastAsia="Arial" w:hAnsi="Arial"/>
          <w:b/>
          <w:bCs/>
          <w:color w:val="1A2E6B"/>
          <w:sz w:val="32"/>
          <w:szCs w:val="32"/>
        </w:rPr>
        <w:t xml:space="preserve">10. Conclusion</w:t>
      </w:r>
    </w:p>
    <w:p>
      <w:pPr>
        <w:spacing w:after="120" w:before="0"/>
        <w:jc w:val="left"/>
      </w:pPr>
      <w:r>
        <w:rPr>
          <w:rFonts w:ascii="Arial" w:cs="Arial" w:eastAsia="Arial" w:hAnsi="Arial"/>
          <w:b w:val="false"/>
          <w:bCs w:val="false"/>
          <w:i w:val="false"/>
          <w:iCs w:val="false"/>
          <w:color w:val="1E293B"/>
          <w:sz w:val="22"/>
          <w:szCs w:val="22"/>
        </w:rPr>
        <w:t xml:space="preserve">The ProsotaPMO prototype, as documented in this scope record, demonstrates a complete, internally consistent vision for a horizontal, AI-native PMO platform: eight integrated modules, a genuine cross-module data relationship layer, four distinct and carefully-scoped AI capabilities, and a consistent import/export and reporting framework spanning the entire product.</w:t>
      </w:r>
    </w:p>
    <w:p>
      <w:pPr>
        <w:spacing w:after="120" w:before="0"/>
        <w:jc w:val="left"/>
      </w:pPr>
      <w:r>
        <w:rPr>
          <w:rFonts w:ascii="Arial" w:cs="Arial" w:eastAsia="Arial" w:hAnsi="Arial"/>
          <w:b w:val="false"/>
          <w:bCs w:val="false"/>
          <w:i w:val="false"/>
          <w:iCs w:val="false"/>
          <w:color w:val="1E293B"/>
          <w:sz w:val="22"/>
          <w:szCs w:val="22"/>
        </w:rPr>
        <w:t xml:space="preserve">Every feature described in this document is interactive and demonstrable in the delivered prototype file. The design decisions recorded in Section 6 — particularly the willingness to remove a built feature (the visible causal chain diagram) and consolidate navigation (AI Suggestions into the Dashboard) when user feedback indicated they did not serve the product — reflect an iterative, feedback-driven build process rather than a fixed specification executed without revision.</w:t>
      </w:r>
    </w:p>
    <w:p>
      <w:pPr>
        <w:spacing w:after="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A2E6B" w:sz="4"/>
              <w:left w:val="single" w:color="1A2E6B" w:sz="24"/>
              <w:bottom w:val="single" w:color="1A2E6B" w:sz="4"/>
              <w:right w:val="single" w:color="1A2E6B" w:sz="4"/>
            </w:tcBorders>
            <w:shd w:fill="EFF6FF" w:val="clear"/>
            <w:tcMar>
              <w:top w:type="dxa" w:w="160"/>
              <w:left w:type="dxa" w:w="220"/>
              <w:bottom w:type="dxa" w:w="160"/>
              <w:right w:type="dxa" w:w="220"/>
            </w:tcMar>
          </w:tcPr>
          <w:p>
            <w:pPr>
              <w:spacing w:after="60"/>
            </w:pPr>
            <w:r>
              <w:rPr>
                <w:rFonts w:ascii="Arial" w:cs="Arial" w:eastAsia="Arial" w:hAnsi="Arial"/>
                <w:b/>
                <w:bCs/>
                <w:color w:val="1A2E6B"/>
                <w:sz w:val="21"/>
                <w:szCs w:val="21"/>
              </w:rPr>
              <w:t xml:space="preserve">Final Statement</w:t>
            </w:r>
          </w:p>
          <w:p>
            <w:pPr>
              <w:spacing w:after="0"/>
            </w:pPr>
            <w:r>
              <w:rPr>
                <w:rFonts w:ascii="Arial" w:cs="Arial" w:eastAsia="Arial" w:hAnsi="Arial"/>
                <w:color w:val="1E293B"/>
                <w:sz w:val="20"/>
                <w:szCs w:val="20"/>
              </w:rPr>
              <w:t xml:space="preserve">This prototype is the working proof behind ProsotaPMO's business case: that a founder with deep domain expertise, directing an AI engineering partner, can produce a genuinely differentiated, full-featured PMO platform prototype in a single continuous build process — with the underlying causal reasoning, suggestion engine, and generative visual capability to credibly claim the platform is AI-native, not AI-decorated.</w:t>
            </w:r>
          </w:p>
        </w:tc>
      </w:tr>
    </w:tbl>
    <w:p>
      <w:pPr>
        <w:spacing w:after="100"/>
      </w:pPr>
    </w:p>
    <w:p>
      <w:pPr>
        <w:spacing w:after="120" w:before="0"/>
        <w:jc w:val="left"/>
      </w:pPr>
      <w:r>
        <w:rPr>
          <w:rFonts w:ascii="Arial" w:cs="Arial" w:eastAsia="Arial" w:hAnsi="Arial"/>
          <w:b w:val="false"/>
          <w:bCs w:val="false"/>
          <w:i/>
          <w:iCs/>
          <w:color w:val="475569"/>
          <w:sz w:val="19"/>
          <w:szCs w:val="19"/>
        </w:rPr>
        <w:t xml:space="preserve">Document prepared by Claude (Anthropic) as AI Development Partner to Prosota Consulting Ltd.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6"/>
        <w:szCs w:val="16"/>
      </w:rPr>
      <w:t xml:space="preserve">ProsotaPMO — Project Scope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2E6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ProsotaPMO — Project Scope Document</dc:title>
  <dc:creator>Claude (Anthropic)</dc:creator>
  <cp:lastModifiedBy>Un-named</cp:lastModifiedBy>
  <cp:revision>1</cp:revision>
  <dcterms:created xsi:type="dcterms:W3CDTF">2026-06-30T13:51:27.089Z</dcterms:created>
  <dcterms:modified xsi:type="dcterms:W3CDTF">2026-06-30T13:51:27.090Z</dcterms:modified>
</cp:coreProperties>
</file>

<file path=docProps/custom.xml><?xml version="1.0" encoding="utf-8"?>
<Properties xmlns="http://schemas.openxmlformats.org/officeDocument/2006/custom-properties" xmlns:vt="http://schemas.openxmlformats.org/officeDocument/2006/docPropsVTypes"/>
</file>