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Debian 10 to RHEL Migration Automation</w:t>
      </w:r>
    </w:p>
    <w:p>
      <w:pPr>
        <w:jc w:val="center"/>
      </w:pPr>
      <w:r>
        <w:rPr>
          <w:i/>
          <w:sz w:val="22"/>
        </w:rPr>
        <w:t>Architecture, Operating Model, and Team Responsibilities</w:t>
      </w:r>
    </w:p>
    <w:p>
      <w:r>
        <w:t>Status: Architecture proposal for review  |  Owner: Cloud Engineering  |  Date: October 22, 2026</w:t>
      </w:r>
    </w:p>
    <w:p>
      <w:pPr>
        <w:pStyle w:val="Heading1"/>
      </w:pPr>
      <w:r>
        <w:t>1. Purpose</w:t>
      </w:r>
    </w:p>
    <w:p>
      <w:r>
        <w:t>This document defines the proposed approach for migrating eligible Google Cloud Compute Engine virtual machines from Debian 10 to the organization-approved RHEL image. The objective is to standardize the migration process, reduce manual infrastructure work, preserve rollback options, and clearly separate infrastructure automation from guest operating-system and application-data activities.</w:t>
      </w:r>
    </w:p>
    <w:p>
      <w:r>
        <w:t>The implementation will use GitHub Actions for infrastructure orchestration and the organization-approved authentication method, Workload Identity Federation (WIF). Service-account JSON keys will not be used.</w:t>
      </w:r>
    </w:p>
    <w:p>
      <w:pPr>
        <w:pStyle w:val="Heading1"/>
      </w:pPr>
      <w:r>
        <w:t>2. Scope and design principles</w:t>
      </w:r>
    </w:p>
    <w:p>
      <w:pPr>
        <w:pStyle w:val="ListBullet"/>
      </w:pPr>
      <w:r>
        <w:t>Migrate one VM per workflow execution to limit blast radius and support VM-specific validation and rollback.</w:t>
      </w:r>
    </w:p>
    <w:p>
      <w:pPr>
        <w:pStyle w:val="ListBullet"/>
      </w:pPr>
      <w:r>
        <w:t>Use the approved RHEL image and follow existing organizational security, networking, CMEK, and access requirements.</w:t>
      </w:r>
    </w:p>
    <w:p>
      <w:pPr>
        <w:pStyle w:val="ListBullet"/>
      </w:pPr>
      <w:r>
        <w:t>Keep the original Debian boot disk and required snapshots. The workflows will not automatically delete disks or snapshots.</w:t>
      </w:r>
    </w:p>
    <w:p>
      <w:pPr>
        <w:pStyle w:val="ListBullet"/>
      </w:pPr>
      <w:r>
        <w:t>Separate application-data migration from infrastructure cutover; a new RHEL boot disk does not contain the files, applications, or configuration from the Debian disk.</w:t>
      </w:r>
    </w:p>
    <w:p>
      <w:pPr>
        <w:pStyle w:val="ListBullet"/>
      </w:pPr>
      <w:r>
        <w:t>Use explicit status tracking, approvals, audit logs, preflight checks, and idempotent operations.</w:t>
      </w:r>
    </w:p>
    <w:p>
      <w:pPr>
        <w:pStyle w:val="ListBullet"/>
      </w:pPr>
      <w:r>
        <w:t>Do not assume that a successful VM boot means the application has been validated.</w:t>
      </w:r>
    </w:p>
    <w:p>
      <w:pPr>
        <w:pStyle w:val="Heading1"/>
      </w:pPr>
      <w:r>
        <w:t>3. Proposed solution overview</w:t>
      </w:r>
    </w:p>
    <w:p>
      <w:r>
        <w:t>The solution will use two GitHub Actions entry-point workflows that share common infrastructure logic. The first handles VMs assessed as not requiring data migration. The second handles VMs that require a manual, workload-specific data-migration activity and an explicit sign-off before cutover.</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Workflow</w:t>
            </w:r>
          </w:p>
        </w:tc>
        <w:tc>
          <w:tcPr>
            <w:tcW w:type="dxa" w:w="3312"/>
            <w:vAlign w:val="center"/>
          </w:tcPr>
          <w:p>
            <w:r>
              <w:t>Eligibility</w:t>
            </w:r>
          </w:p>
        </w:tc>
        <w:tc>
          <w:tcPr>
            <w:tcW w:type="dxa" w:w="3312"/>
            <w:vAlign w:val="center"/>
          </w:tcPr>
          <w:p>
            <w:r>
              <w:t>Expected behavior</w:t>
            </w:r>
          </w:p>
        </w:tc>
      </w:tr>
      <w:tr>
        <w:tc>
          <w:tcPr>
            <w:tcW w:type="dxa" w:w="3312"/>
            <w:vAlign w:val="center"/>
          </w:tcPr>
          <w:p>
            <w:r>
              <w:t>Workflow A — Standard migration</w:t>
            </w:r>
          </w:p>
        </w:tc>
        <w:tc>
          <w:tcPr>
            <w:tcW w:type="dxa" w:w="3312"/>
            <w:vAlign w:val="center"/>
          </w:tcPr>
          <w:p>
            <w:r>
              <w:t>Build-team assessment confirms no data transfer is required.</w:t>
            </w:r>
          </w:p>
        </w:tc>
        <w:tc>
          <w:tcPr>
            <w:tcW w:type="dxa" w:w="3312"/>
            <w:vAlign w:val="center"/>
          </w:tcPr>
          <w:p>
            <w:r>
              <w:t>Run pre-checks, backup and RHEL disk preparation, required approvals, cutover, and validation.</w:t>
            </w:r>
          </w:p>
        </w:tc>
      </w:tr>
      <w:tr>
        <w:tc>
          <w:tcPr>
            <w:tcW w:type="dxa" w:w="3312"/>
            <w:vAlign w:val="center"/>
          </w:tcPr>
          <w:p>
            <w:r>
              <w:t>Workflow B — Data migration required</w:t>
            </w:r>
          </w:p>
        </w:tc>
        <w:tc>
          <w:tcPr>
            <w:tcW w:type="dxa" w:w="3312"/>
            <w:vAlign w:val="center"/>
          </w:tcPr>
          <w:p>
            <w:r>
              <w:t>Application data, local configuration, dependencies, or other items must be transferred or recreated.</w:t>
            </w:r>
          </w:p>
        </w:tc>
        <w:tc>
          <w:tcPr>
            <w:tcW w:type="dxa" w:w="3312"/>
            <w:vAlign w:val="center"/>
          </w:tcPr>
          <w:p>
            <w:r>
              <w:t>Run pre-checks and preparation, record a pending data-migration state, wait for separate sign-off, then validate readiness and perform cutover.</w:t>
            </w:r>
          </w:p>
        </w:tc>
      </w:tr>
    </w:tbl>
    <w:p>
      <w:pPr>
        <w:pStyle w:val="Heading1"/>
      </w:pPr>
      <w:r>
        <w:t>4. VM inventory and eligibility assessment</w:t>
      </w:r>
    </w:p>
    <w:p>
      <w:r>
        <w:t>Before a VM is scheduled for migration, Cloud Operations will coordinate with the build team to inspect the guest OS and collect the information needed to determine its migration path. The inventory should be maintained in the agreed change-management record or controlled inventory source.</w:t>
      </w:r>
    </w:p>
    <w:p>
      <w:r>
        <w:t>Minimum inventory fields:</w:t>
      </w:r>
    </w:p>
    <w:p>
      <w:pPr>
        <w:pStyle w:val="ListBullet"/>
      </w:pPr>
      <w:r>
        <w:t>Project ID, VM name, zone, environment, and current operating system.</w:t>
      </w:r>
    </w:p>
    <w:p>
      <w:pPr>
        <w:pStyle w:val="ListBullet"/>
      </w:pPr>
      <w:r>
        <w:t>Boot disk and attached data-disk identifiers; relevant disk encryption and CMEK details.</w:t>
      </w:r>
    </w:p>
    <w:p>
      <w:pPr>
        <w:pStyle w:val="ListBullet"/>
      </w:pPr>
      <w:r>
        <w:t>Guest inspection status, assessment date, assessment owner, and findings.</w:t>
      </w:r>
    </w:p>
    <w:p>
      <w:pPr>
        <w:pStyle w:val="ListBullet"/>
      </w:pPr>
      <w:r>
        <w:t>Classification: Ready for standard migration; Data migration required; or On hold / investigation required.</w:t>
      </w:r>
    </w:p>
    <w:p>
      <w:pPr>
        <w:pStyle w:val="ListBullet"/>
      </w:pPr>
      <w:r>
        <w:t>Application or service owner, data-transfer plan where applicable, and validation owner.</w:t>
      </w:r>
    </w:p>
    <w:p>
      <w:pPr>
        <w:pStyle w:val="ListBullet"/>
      </w:pPr>
      <w:r>
        <w:t>Workflow run or migration ID, approval status, migration status, and cleanup status.</w:t>
      </w:r>
    </w:p>
    <w:p>
      <w:r>
        <w:t>Google Cloud API checks can validate VM and disk configuration but cannot, by themselves, prove that no application data exists inside the guest OS. A VM must not be classified as safe for the standard path solely because its cloud configuration appears normal. If guest inspection is unavailable, incomplete, or inconclusive, the VM remains on hold.</w:t>
      </w:r>
    </w:p>
    <w:p>
      <w:pPr>
        <w:pStyle w:val="Heading1"/>
      </w:pPr>
      <w:r>
        <w:t>5. Workflow A — Standard migration (no data transfer required)</w:t>
      </w:r>
    </w:p>
    <w:p>
      <w:pPr>
        <w:pStyle w:val="ListNumber"/>
      </w:pPr>
      <w:r>
        <w:rPr>
          <w:b/>
        </w:rPr>
        <w:t xml:space="preserve">Trigger and identify: </w:t>
      </w:r>
      <w:r>
        <w:t>Cloud Operations starts the workflow for one VM and supplies the project ID, VM name, zone, and environment. The workflow records a unique migration identifier.</w:t>
      </w:r>
    </w:p>
    <w:p>
      <w:pPr>
        <w:pStyle w:val="ListNumber"/>
      </w:pPr>
      <w:r>
        <w:rPr>
          <w:b/>
        </w:rPr>
        <w:t xml:space="preserve">Preflight checks: </w:t>
      </w:r>
      <w:r>
        <w:t>Verify the VM exists, the expected boot disk is attached, the VM is in an allowed state, the caller has required permissions, the approved RHEL image is available, and required network, service-account, disk, encryption, and configuration prerequisites are satisfied.</w:t>
      </w:r>
    </w:p>
    <w:p>
      <w:pPr>
        <w:pStyle w:val="ListNumber"/>
      </w:pPr>
      <w:r>
        <w:rPr>
          <w:b/>
        </w:rPr>
        <w:t xml:space="preserve">Eligibility verification: </w:t>
      </w:r>
      <w:r>
        <w:t>Confirm that the approved inventory/assessment classifies the VM as eligible for standard migration. Reject missing, stale, or conflicting assessment information.</w:t>
      </w:r>
    </w:p>
    <w:p>
      <w:pPr>
        <w:pStyle w:val="ListNumber"/>
      </w:pPr>
      <w:r>
        <w:rPr>
          <w:b/>
        </w:rPr>
        <w:t xml:space="preserve">Backup and preparation: </w:t>
      </w:r>
      <w:r>
        <w:t>Create required snapshots and prepare a separate RHEL boot disk using the approved image and required settings. Record the resource identifiers and verify successful completion.</w:t>
      </w:r>
    </w:p>
    <w:p>
      <w:pPr>
        <w:pStyle w:val="ListNumber"/>
      </w:pPr>
      <w:r>
        <w:rPr>
          <w:b/>
        </w:rPr>
        <w:t xml:space="preserve">Cutover approval: </w:t>
      </w:r>
      <w:r>
        <w:t>For production, require the applicable manual approval before replacing the boot disk. Non-production may proceed automatically only when all policy-required checks pass.</w:t>
      </w:r>
    </w:p>
    <w:p>
      <w:pPr>
        <w:pStyle w:val="ListNumber"/>
      </w:pPr>
      <w:r>
        <w:rPr>
          <w:b/>
        </w:rPr>
        <w:t xml:space="preserve">Boot-disk replacement: </w:t>
      </w:r>
      <w:r>
        <w:t>Perform the supported stop/detach/attach/start sequence. Preserve the original Debian disk and any data disks. Recheck the VM and disk identities before destructive or state-changing operations.</w:t>
      </w:r>
    </w:p>
    <w:p>
      <w:pPr>
        <w:pStyle w:val="ListNumber"/>
      </w:pPr>
      <w:r>
        <w:rPr>
          <w:b/>
        </w:rPr>
        <w:t xml:space="preserve">Validation: </w:t>
      </w:r>
      <w:r>
        <w:t>Check that the VM starts on RHEL and complete agreed OS, service, and application validation. Application validation must be performed by the designated application/build owner where Cloud Engineering does not own the workload.</w:t>
      </w:r>
    </w:p>
    <w:p>
      <w:pPr>
        <w:pStyle w:val="ListNumber"/>
      </w:pPr>
      <w:r>
        <w:rPr>
          <w:b/>
        </w:rPr>
        <w:t xml:space="preserve">Closeout: </w:t>
      </w:r>
      <w:r>
        <w:t>Record the outcome and retain the original Debian disk and required snapshots. Do not perform automatic cleanup.</w:t>
      </w:r>
    </w:p>
    <w:p>
      <w:pPr>
        <w:pStyle w:val="Heading1"/>
      </w:pPr>
      <w:r>
        <w:t>6. Workflow B — Migration requiring application-data work</w:t>
      </w:r>
    </w:p>
    <w:p>
      <w:pPr>
        <w:pStyle w:val="ListNumber"/>
      </w:pPr>
      <w:r>
        <w:rPr>
          <w:b/>
        </w:rPr>
        <w:t xml:space="preserve">Trigger and preflight: </w:t>
      </w:r>
      <w:r>
        <w:t>Cloud Operations starts the workflow for one VM. The workflow validates the VM, records the migration ID, and verifies that the approved assessment identifies data migration as required.</w:t>
      </w:r>
    </w:p>
    <w:p>
      <w:pPr>
        <w:pStyle w:val="ListNumber"/>
      </w:pPr>
      <w:r>
        <w:rPr>
          <w:b/>
        </w:rPr>
        <w:t xml:space="preserve">Backup and preparation: </w:t>
      </w:r>
      <w:r>
        <w:t>Create required snapshots and prepare the RHEL boot disk when the assessment and chosen migration plan permit. Keep the original Debian VM and boot disk unchanged until the approved cutover window.</w:t>
      </w:r>
    </w:p>
    <w:p>
      <w:pPr>
        <w:pStyle w:val="ListNumber"/>
      </w:pPr>
      <w:r>
        <w:rPr>
          <w:b/>
        </w:rPr>
        <w:t xml:space="preserve">Handoff state: </w:t>
      </w:r>
      <w:r>
        <w:t>Record WAITING_FOR_DATA_MIGRATION with the VM identity, resource IDs, assessment, expected work, and responsible team. End the preparation run rather than keeping a GitHub-hosted runner waiting indefinitely.</w:t>
      </w:r>
    </w:p>
    <w:p>
      <w:pPr>
        <w:pStyle w:val="ListNumber"/>
      </w:pPr>
      <w:r>
        <w:rPr>
          <w:b/>
        </w:rPr>
        <w:t xml:space="preserve">Build-team data migration: </w:t>
      </w:r>
      <w:r>
        <w:t>Using approved management tools and a workload-specific plan, the build team identifies, transfers, restores, or recreates required application files, data, configuration, and dependencies. The exact method depends on the workload; a generic file copy is not assumed to be sufficient.</w:t>
      </w:r>
    </w:p>
    <w:p>
      <w:pPr>
        <w:pStyle w:val="ListNumber"/>
      </w:pPr>
      <w:r>
        <w:rPr>
          <w:b/>
        </w:rPr>
        <w:t xml:space="preserve">Verification and sign-off: </w:t>
      </w:r>
      <w:r>
        <w:t>The build team records what was migrated and how it was verified. Cloud Operations confirms completion and provides the required approval to proceed. Incomplete or ambiguous results keep the VM on hold.</w:t>
      </w:r>
    </w:p>
    <w:p>
      <w:pPr>
        <w:pStyle w:val="ListNumber"/>
      </w:pPr>
      <w:r>
        <w:rPr>
          <w:b/>
        </w:rPr>
        <w:t xml:space="preserve">Resume and revalidate: </w:t>
      </w:r>
      <w:r>
        <w:t>A continuation run validates the migration ID, VM identity, approvals, data-migration sign-off, current disk configuration, and backup readiness. It rejects stale approvals or unexpected infrastructure changes.</w:t>
      </w:r>
    </w:p>
    <w:p>
      <w:pPr>
        <w:pStyle w:val="ListNumber"/>
      </w:pPr>
      <w:r>
        <w:rPr>
          <w:b/>
        </w:rPr>
        <w:t xml:space="preserve">Cutover and validation: </w:t>
      </w:r>
      <w:r>
        <w:t>Perform the approved boot-disk replacement and validate RHEL and the application. Follow the agreed maintenance window and consistency requirements; stop applications or the VM when needed for a safe final data synchronization.</w:t>
      </w:r>
    </w:p>
    <w:p>
      <w:pPr>
        <w:pStyle w:val="ListNumber"/>
      </w:pPr>
      <w:r>
        <w:rPr>
          <w:b/>
        </w:rPr>
        <w:t xml:space="preserve">Closeout: </w:t>
      </w:r>
      <w:r>
        <w:t>Record the result and retain the original Debian disk and required snapshots for rollback. Cleanup remains a separate manual process.</w:t>
      </w:r>
    </w:p>
    <w:p>
      <w:pPr>
        <w:pStyle w:val="Heading1"/>
      </w:pPr>
      <w:r>
        <w:t>7. VM states and handoff</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State</w:t>
            </w:r>
          </w:p>
        </w:tc>
        <w:tc>
          <w:tcPr>
            <w:tcW w:type="dxa" w:w="3312"/>
          </w:tcPr>
          <w:p>
            <w:r>
              <w:t>Meaning</w:t>
            </w:r>
          </w:p>
        </w:tc>
        <w:tc>
          <w:tcPr>
            <w:tcW w:type="dxa" w:w="3312"/>
          </w:tcPr>
          <w:p>
            <w:r>
              <w:t>Expected VM condition</w:t>
            </w:r>
          </w:p>
        </w:tc>
      </w:tr>
      <w:tr>
        <w:tc>
          <w:tcPr>
            <w:tcW w:type="dxa" w:w="3312"/>
          </w:tcPr>
          <w:p>
            <w:r>
              <w:t>PRECHECK</w:t>
            </w:r>
          </w:p>
        </w:tc>
        <w:tc>
          <w:tcPr>
            <w:tcW w:type="dxa" w:w="3312"/>
          </w:tcPr>
          <w:p>
            <w:r>
              <w:t>Infrastructure and eligibility checks are running.</w:t>
            </w:r>
          </w:p>
        </w:tc>
        <w:tc>
          <w:tcPr>
            <w:tcW w:type="dxa" w:w="3312"/>
          </w:tcPr>
          <w:p>
            <w:r>
              <w:t>Original Debian VM remains unchanged.</w:t>
            </w:r>
          </w:p>
        </w:tc>
      </w:tr>
      <w:tr>
        <w:tc>
          <w:tcPr>
            <w:tcW w:type="dxa" w:w="3312"/>
          </w:tcPr>
          <w:p>
            <w:r>
              <w:t>BACKUP_PREPARED</w:t>
            </w:r>
          </w:p>
        </w:tc>
        <w:tc>
          <w:tcPr>
            <w:tcW w:type="dxa" w:w="3312"/>
          </w:tcPr>
          <w:p>
            <w:r>
              <w:t>Required snapshots and RHEL disk preparation have completed.</w:t>
            </w:r>
          </w:p>
        </w:tc>
        <w:tc>
          <w:tcPr>
            <w:tcW w:type="dxa" w:w="3312"/>
          </w:tcPr>
          <w:p>
            <w:r>
              <w:t>Original Debian VM remains on its Debian boot disk.</w:t>
            </w:r>
          </w:p>
        </w:tc>
      </w:tr>
      <w:tr>
        <w:tc>
          <w:tcPr>
            <w:tcW w:type="dxa" w:w="3312"/>
          </w:tcPr>
          <w:p>
            <w:r>
              <w:t>WAITING_FOR_DATA_MIGRATION</w:t>
            </w:r>
          </w:p>
        </w:tc>
        <w:tc>
          <w:tcPr>
            <w:tcW w:type="dxa" w:w="3312"/>
          </w:tcPr>
          <w:p>
            <w:r>
              <w:t>Build-team work and sign-off are outstanding.</w:t>
            </w:r>
          </w:p>
        </w:tc>
        <w:tc>
          <w:tcPr>
            <w:tcW w:type="dxa" w:w="3312"/>
          </w:tcPr>
          <w:p>
            <w:r>
              <w:t>Normally remains on Debian; workload-specific maintenance may be required.</w:t>
            </w:r>
          </w:p>
        </w:tc>
      </w:tr>
      <w:tr>
        <w:tc>
          <w:tcPr>
            <w:tcW w:type="dxa" w:w="3312"/>
          </w:tcPr>
          <w:p>
            <w:r>
              <w:t>READY_FOR_CUTOVER</w:t>
            </w:r>
          </w:p>
        </w:tc>
        <w:tc>
          <w:tcPr>
            <w:tcW w:type="dxa" w:w="3312"/>
          </w:tcPr>
          <w:p>
            <w:r>
              <w:t>Required assessment, backup, data sign-off, and approvals are valid.</w:t>
            </w:r>
          </w:p>
        </w:tc>
        <w:tc>
          <w:tcPr>
            <w:tcW w:type="dxa" w:w="3312"/>
          </w:tcPr>
          <w:p>
            <w:r>
              <w:t>Original boot disk remains in place until cutover.</w:t>
            </w:r>
          </w:p>
        </w:tc>
      </w:tr>
      <w:tr>
        <w:tc>
          <w:tcPr>
            <w:tcW w:type="dxa" w:w="3312"/>
          </w:tcPr>
          <w:p>
            <w:r>
              <w:t>CUTOVER_IN_PROGRESS</w:t>
            </w:r>
          </w:p>
        </w:tc>
        <w:tc>
          <w:tcPr>
            <w:tcW w:type="dxa" w:w="3312"/>
          </w:tcPr>
          <w:p>
            <w:r>
              <w:t>VM is stopped and boot disk is being changed.</w:t>
            </w:r>
          </w:p>
        </w:tc>
        <w:tc>
          <w:tcPr>
            <w:tcW w:type="dxa" w:w="3312"/>
          </w:tcPr>
          <w:p>
            <w:r>
              <w:t>Temporary downtime expected.</w:t>
            </w:r>
          </w:p>
        </w:tc>
      </w:tr>
      <w:tr>
        <w:tc>
          <w:tcPr>
            <w:tcW w:type="dxa" w:w="3312"/>
          </w:tcPr>
          <w:p>
            <w:r>
              <w:t>VALIDATION</w:t>
            </w:r>
          </w:p>
        </w:tc>
        <w:tc>
          <w:tcPr>
            <w:tcW w:type="dxa" w:w="3312"/>
          </w:tcPr>
          <w:p>
            <w:r>
              <w:t>RHEL boot and service/application checks are in progress.</w:t>
            </w:r>
          </w:p>
        </w:tc>
        <w:tc>
          <w:tcPr>
            <w:tcW w:type="dxa" w:w="3312"/>
          </w:tcPr>
          <w:p>
            <w:r>
              <w:t>VM should be running on the RHEL boot disk.</w:t>
            </w:r>
          </w:p>
        </w:tc>
      </w:tr>
      <w:tr>
        <w:tc>
          <w:tcPr>
            <w:tcW w:type="dxa" w:w="3312"/>
          </w:tcPr>
          <w:p>
            <w:r>
              <w:t>SUCCEEDED</w:t>
            </w:r>
          </w:p>
        </w:tc>
        <w:tc>
          <w:tcPr>
            <w:tcW w:type="dxa" w:w="3312"/>
          </w:tcPr>
          <w:p>
            <w:r>
              <w:t>Required validation passed.</w:t>
            </w:r>
          </w:p>
        </w:tc>
        <w:tc>
          <w:tcPr>
            <w:tcW w:type="dxa" w:w="3312"/>
          </w:tcPr>
          <w:p>
            <w:r>
              <w:t>RHEL active; Debian disk and snapshots retained.</w:t>
            </w:r>
          </w:p>
        </w:tc>
      </w:tr>
      <w:tr>
        <w:tc>
          <w:tcPr>
            <w:tcW w:type="dxa" w:w="3312"/>
          </w:tcPr>
          <w:p>
            <w:r>
              <w:t>FAILED_ROLLBACK_REQUIRED</w:t>
            </w:r>
          </w:p>
        </w:tc>
        <w:tc>
          <w:tcPr>
            <w:tcW w:type="dxa" w:w="3312"/>
          </w:tcPr>
          <w:p>
            <w:r>
              <w:t>A guarded stage failed or validation did not pass.</w:t>
            </w:r>
          </w:p>
        </w:tc>
        <w:tc>
          <w:tcPr>
            <w:tcW w:type="dxa" w:w="3312"/>
          </w:tcPr>
          <w:p>
            <w:r>
              <w:t>Stop further progression; retain all recovery resources and follow rollback procedure.</w:t>
            </w:r>
          </w:p>
        </w:tc>
      </w:tr>
      <w:tr>
        <w:tc>
          <w:tcPr>
            <w:tcW w:type="dxa" w:w="3312"/>
          </w:tcPr>
          <w:p>
            <w:r>
              <w:t>ON_HOLD</w:t>
            </w:r>
          </w:p>
        </w:tc>
        <w:tc>
          <w:tcPr>
            <w:tcW w:type="dxa" w:w="3312"/>
          </w:tcPr>
          <w:p>
            <w:r>
              <w:t>Assessment, access, backup, or data status is incomplete or uncertain.</w:t>
            </w:r>
          </w:p>
        </w:tc>
        <w:tc>
          <w:tcPr>
            <w:tcW w:type="dxa" w:w="3312"/>
          </w:tcPr>
          <w:p>
            <w:r>
              <w:t>No cutover is permitted.</w:t>
            </w:r>
          </w:p>
        </w:tc>
      </w:tr>
    </w:tbl>
    <w:p>
      <w:pPr>
        <w:pStyle w:val="Heading1"/>
      </w:pPr>
      <w:r>
        <w:t>8. Team responsibilities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Team</w:t>
            </w:r>
          </w:p>
        </w:tc>
        <w:tc>
          <w:tcPr>
            <w:tcW w:type="dxa" w:w="3312"/>
          </w:tcPr>
          <w:p>
            <w:r>
              <w:t>Responsibilities</w:t>
            </w:r>
          </w:p>
        </w:tc>
        <w:tc>
          <w:tcPr>
            <w:tcW w:type="dxa" w:w="3312"/>
          </w:tcPr>
          <w:p>
            <w:r>
              <w:t>Not assumed</w:t>
            </w:r>
          </w:p>
        </w:tc>
      </w:tr>
      <w:tr>
        <w:tc>
          <w:tcPr>
            <w:tcW w:type="dxa" w:w="3312"/>
          </w:tcPr>
          <w:p>
            <w:r>
              <w:t>Cloud Engineering</w:t>
            </w:r>
          </w:p>
        </w:tc>
        <w:tc>
          <w:tcPr>
            <w:tcW w:type="dxa" w:w="3312"/>
          </w:tcPr>
          <w:p>
            <w:r>
              <w:t>Own workflow design, shared infrastructure logic, preflight checks, WIF integration, logging, state tracking, safe cutover controls, and rollback automation/procedure.</w:t>
            </w:r>
          </w:p>
        </w:tc>
        <w:tc>
          <w:tcPr>
            <w:tcW w:type="dxa" w:w="3312"/>
          </w:tcPr>
          <w:p>
            <w:r>
              <w:t>Does not own guest OS patching or application-specific data correctness.</w:t>
            </w:r>
          </w:p>
        </w:tc>
      </w:tr>
      <w:tr>
        <w:tc>
          <w:tcPr>
            <w:tcW w:type="dxa" w:w="3312"/>
          </w:tcPr>
          <w:p>
            <w:r>
              <w:t>Cloud Operations</w:t>
            </w:r>
          </w:p>
        </w:tc>
        <w:tc>
          <w:tcPr>
            <w:tcW w:type="dxa" w:w="3312"/>
          </w:tcPr>
          <w:p>
            <w:r>
              <w:t>Maintain/coordinate inventory, initiate one-VM runs, coordinate build and application owners, manage approvals, confirm operational readiness, and coordinate manual cleanup.</w:t>
            </w:r>
          </w:p>
        </w:tc>
        <w:tc>
          <w:tcPr>
            <w:tcW w:type="dxa" w:w="3312"/>
          </w:tcPr>
          <w:p>
            <w:r>
              <w:t>Does not approve cutover when required assessment or evidence is missing.</w:t>
            </w:r>
          </w:p>
        </w:tc>
      </w:tr>
      <w:tr>
        <w:tc>
          <w:tcPr>
            <w:tcW w:type="dxa" w:w="3312"/>
          </w:tcPr>
          <w:p>
            <w:r>
              <w:t>Build team</w:t>
            </w:r>
          </w:p>
        </w:tc>
        <w:tc>
          <w:tcPr>
            <w:tcW w:type="dxa" w:w="3312"/>
          </w:tcPr>
          <w:p>
            <w:r>
              <w:t>Perform guest-level inspection using approved tools; identify local data, services, and dependencies; execute the agreed data-transfer or rebuild procedure; provide evidence and sign-off.</w:t>
            </w:r>
          </w:p>
        </w:tc>
        <w:tc>
          <w:tcPr>
            <w:tcW w:type="dxa" w:w="3312"/>
          </w:tcPr>
          <w:p>
            <w:r>
              <w:t>Tool access alone is not considered proof that a workload is safe or migrated.</w:t>
            </w:r>
          </w:p>
        </w:tc>
      </w:tr>
      <w:tr>
        <w:tc>
          <w:tcPr>
            <w:tcW w:type="dxa" w:w="3312"/>
          </w:tcPr>
          <w:p>
            <w:r>
              <w:t>Application/service owner</w:t>
            </w:r>
          </w:p>
        </w:tc>
        <w:tc>
          <w:tcPr>
            <w:tcW w:type="dxa" w:w="3312"/>
          </w:tcPr>
          <w:p>
            <w:r>
              <w:t>Define application acceptance criteria and validate application behavior and data integrity after migration.</w:t>
            </w:r>
          </w:p>
        </w:tc>
        <w:tc>
          <w:tcPr>
            <w:tcW w:type="dxa" w:w="3312"/>
          </w:tcPr>
          <w:p>
            <w:r>
              <w:t>Infrastructure health alone is not application acceptance.</w:t>
            </w:r>
          </w:p>
        </w:tc>
      </w:tr>
      <w:tr>
        <w:tc>
          <w:tcPr>
            <w:tcW w:type="dxa" w:w="3312"/>
          </w:tcPr>
          <w:p>
            <w:r>
              <w:t>Change approver / designated owner</w:t>
            </w:r>
          </w:p>
        </w:tc>
        <w:tc>
          <w:tcPr>
            <w:tcW w:type="dxa" w:w="3312"/>
          </w:tcPr>
          <w:p>
            <w:r>
              <w:t>Approve production cutover and any later cleanup under organizational change and retention policy.</w:t>
            </w:r>
          </w:p>
        </w:tc>
        <w:tc>
          <w:tcPr>
            <w:tcW w:type="dxa" w:w="3312"/>
          </w:tcPr>
          <w:p>
            <w:r>
              <w:t>Cleanup is not included in either automated migration workflow.</w:t>
            </w:r>
          </w:p>
        </w:tc>
      </w:tr>
    </w:tbl>
    <w:p>
      <w:pPr>
        <w:pStyle w:val="Heading1"/>
      </w:pPr>
      <w:r>
        <w:t>9. Backup, rollback, and cleanup</w:t>
      </w:r>
    </w:p>
    <w:p>
      <w:pPr>
        <w:pStyle w:val="ListBullet"/>
      </w:pPr>
      <w:r>
        <w:t>The original Debian boot disk must remain available until migration validation and the required retention period/sign-off are complete.</w:t>
      </w:r>
    </w:p>
    <w:p>
      <w:pPr>
        <w:pStyle w:val="ListBullet"/>
      </w:pPr>
      <w:r>
        <w:t>Snapshots are recovery aids; snapshot timing and application consistency must match workload requirements. Running-VM snapshots may be crash-consistent rather than application-consistent.</w:t>
      </w:r>
    </w:p>
    <w:p>
      <w:pPr>
        <w:pStyle w:val="ListBullet"/>
      </w:pPr>
      <w:r>
        <w:t>If validation fails, stop further progression and follow the approved rollback sequence: stop the VM, restore the original Debian boot disk as boot disk, restore the expected VM configuration, start the VM, and validate service recovery.</w:t>
      </w:r>
    </w:p>
    <w:p>
      <w:pPr>
        <w:pStyle w:val="ListBullet"/>
      </w:pPr>
      <w:r>
        <w:t>The workflow must never automatically delete the Debian boot disk, snapshots, or other recovery resources.</w:t>
      </w:r>
    </w:p>
    <w:p>
      <w:pPr>
        <w:pStyle w:val="ListBullet"/>
      </w:pPr>
      <w:r>
        <w:t>Cleanup must be a separate manual action with explicit authorization, retention checks, and confirmation that rollback is no longer required.</w:t>
      </w:r>
    </w:p>
    <w:p>
      <w:pPr>
        <w:pStyle w:val="Heading1"/>
      </w:pPr>
      <w:r>
        <w:t>10. Security and operational controls</w:t>
      </w:r>
    </w:p>
    <w:p>
      <w:pPr>
        <w:pStyle w:val="ListBullet"/>
      </w:pPr>
      <w:r>
        <w:t>Use Workload Identity Federation for GitHub Actions authentication; do not use service-account JSON keys.</w:t>
      </w:r>
    </w:p>
    <w:p>
      <w:pPr>
        <w:pStyle w:val="ListBullet"/>
      </w:pPr>
      <w:r>
        <w:t>Apply least privilege where feasible and verify permissions explicitly in preflight checks.</w:t>
      </w:r>
    </w:p>
    <w:p>
      <w:pPr>
        <w:pStyle w:val="ListBullet"/>
      </w:pPr>
      <w:r>
        <w:t>Respect private networking, shared VPC, CMEK, approved image, service account, tags, metadata, and attached-disk requirements.</w:t>
      </w:r>
    </w:p>
    <w:p>
      <w:pPr>
        <w:pStyle w:val="ListBullet"/>
      </w:pPr>
      <w:r>
        <w:t>Use a per-VM concurrency lock so two runs cannot change the same VM at once.</w:t>
      </w:r>
    </w:p>
    <w:p>
      <w:pPr>
        <w:pStyle w:val="ListBullet"/>
      </w:pPr>
      <w:r>
        <w:t>Make operations idempotent and recheck current GCP state before each state-changing stage.</w:t>
      </w:r>
    </w:p>
    <w:p>
      <w:pPr>
        <w:pStyle w:val="ListBullet"/>
      </w:pPr>
      <w:r>
        <w:t>Persist migration state in a durable, access-controlled location; do not rely on local runner files or shell variables across jobs.</w:t>
      </w:r>
    </w:p>
    <w:p>
      <w:pPr>
        <w:pStyle w:val="ListBullet"/>
      </w:pPr>
      <w:r>
        <w:t>Log actions and resource IDs without exposing secrets or sensitive application data.</w:t>
      </w:r>
    </w:p>
    <w:p>
      <w:pPr>
        <w:pStyle w:val="ListBullet"/>
      </w:pPr>
      <w:r>
        <w:t>Use bounded retries and timeouts; do not blindly retry cutover operations whose outcome is uncertain.</w:t>
      </w:r>
    </w:p>
    <w:p>
      <w:pPr>
        <w:pStyle w:val="Heading1"/>
      </w:pPr>
      <w:r>
        <w:t>11. Terraform and configuration drift</w:t>
      </w:r>
    </w:p>
    <w:p>
      <w:r>
        <w:t>Boot-disk replacement may create drift between the live VM and its Terraform configuration or state. Before migration, the owning team must review the actual Terraform module and lifecycle behavior. Coordinate or freeze applies during cutover, then reconcile configuration/state to the intended RHEL end state. Review a Terraform plan before applying any changes to avoid unintentionally recreating the VM or altering attached disks.</w:t>
      </w:r>
    </w:p>
    <w:p>
      <w:pPr>
        <w:pStyle w:val="Heading1"/>
      </w:pPr>
      <w:r>
        <w:t>12. Failure handling and acceptance criteria</w:t>
      </w:r>
    </w:p>
    <w:p>
      <w:r>
        <w:t>The workflow must stop and hold the VM if any required check fails, including:</w:t>
      </w:r>
    </w:p>
    <w:p>
      <w:pPr>
        <w:pStyle w:val="ListBullet"/>
      </w:pPr>
      <w:r>
        <w:t>Missing or stale guest-level assessment.</w:t>
      </w:r>
    </w:p>
    <w:p>
      <w:pPr>
        <w:pStyle w:val="ListBullet"/>
      </w:pPr>
      <w:r>
        <w:t>Unexpected boot disk or attached-disk changes.</w:t>
      </w:r>
    </w:p>
    <w:p>
      <w:pPr>
        <w:pStyle w:val="ListBullet"/>
      </w:pPr>
      <w:r>
        <w:t>Snapshot or RHEL disk preparation failure.</w:t>
      </w:r>
    </w:p>
    <w:p>
      <w:pPr>
        <w:pStyle w:val="ListBullet"/>
      </w:pPr>
      <w:r>
        <w:t>Required approval or data-migration sign-off missing or mismatched.</w:t>
      </w:r>
    </w:p>
    <w:p>
      <w:pPr>
        <w:pStyle w:val="ListBullet"/>
      </w:pPr>
      <w:r>
        <w:t>Permission, image, network, CMEK, or configuration prerequisites not met.</w:t>
      </w:r>
    </w:p>
    <w:p>
      <w:pPr>
        <w:pStyle w:val="ListBullet"/>
      </w:pPr>
      <w:r>
        <w:t>VM boot or application validation failure.</w:t>
      </w:r>
    </w:p>
    <w:p>
      <w:r>
        <w:t>A migration is successful only when:</w:t>
      </w:r>
    </w:p>
    <w:p>
      <w:pPr>
        <w:pStyle w:val="ListBullet"/>
      </w:pPr>
      <w:r>
        <w:t>The VM is running from the intended RHEL boot disk.</w:t>
      </w:r>
    </w:p>
    <w:p>
      <w:pPr>
        <w:pStyle w:val="ListBullet"/>
      </w:pPr>
      <w:r>
        <w:t>Expected VM configuration and required attached disks are present.</w:t>
      </w:r>
    </w:p>
    <w:p>
      <w:pPr>
        <w:pStyle w:val="ListBullet"/>
      </w:pPr>
      <w:r>
        <w:t>Required OS and service checks pass.</w:t>
      </w:r>
    </w:p>
    <w:p>
      <w:pPr>
        <w:pStyle w:val="ListBullet"/>
      </w:pPr>
      <w:r>
        <w:t>The designated application/service owner confirms acceptance where applicable.</w:t>
      </w:r>
    </w:p>
    <w:p>
      <w:pPr>
        <w:pStyle w:val="ListBullet"/>
      </w:pPr>
      <w:r>
        <w:t>The original Debian disk and required snapshots remain available and their identifiers are recorded.</w:t>
      </w:r>
    </w:p>
    <w:p>
      <w:pPr>
        <w:pStyle w:val="ListBullet"/>
      </w:pPr>
      <w:r>
        <w:t>The migration record and audit trail show the final state and approvals.</w:t>
      </w:r>
    </w:p>
    <w:p>
      <w:pPr>
        <w:pStyle w:val="Heading1"/>
      </w:pPr>
      <w:r>
        <w:t>13. Items to confirm before implementation</w:t>
      </w:r>
    </w:p>
    <w:p>
      <w:pPr>
        <w:pStyle w:val="ListBullet"/>
      </w:pPr>
      <w:r>
        <w:t>Approved RHEL image identifier and required image/project access.</w:t>
      </w:r>
    </w:p>
    <w:p>
      <w:pPr>
        <w:pStyle w:val="ListBullet"/>
      </w:pPr>
      <w:r>
        <w:t>Exact VM configuration fields that must be preserved, including service account, scopes, tags, metadata, network interfaces, attached data disks, and CMEK settings.</w:t>
      </w:r>
    </w:p>
    <w:p>
      <w:pPr>
        <w:pStyle w:val="ListBullet"/>
      </w:pPr>
      <w:r>
        <w:t>Approved guest-inspection execution method and the build team's ability to run a supplied utility or pipeline step.</w:t>
      </w:r>
    </w:p>
    <w:p>
      <w:pPr>
        <w:pStyle w:val="ListBullet"/>
      </w:pPr>
      <w:r>
        <w:t>Data-migration evidence and sign-off format, including how continuation is triggered and authenticated.</w:t>
      </w:r>
    </w:p>
    <w:p>
      <w:pPr>
        <w:pStyle w:val="ListBullet"/>
      </w:pPr>
      <w:r>
        <w:t>Application validation owner and acceptance criteria.</w:t>
      </w:r>
    </w:p>
    <w:p>
      <w:pPr>
        <w:pStyle w:val="ListBullet"/>
      </w:pPr>
      <w:r>
        <w:t>Snapshot consistency requirements and whether a maintenance window or application quiescence is required for each workload class.</w:t>
      </w:r>
    </w:p>
    <w:p>
      <w:pPr>
        <w:pStyle w:val="ListBullet"/>
      </w:pPr>
      <w:r>
        <w:t>Terraform ownership, state reconciliation procedure, and change freeze expectations.</w:t>
      </w:r>
    </w:p>
    <w:p>
      <w:pPr>
        <w:pStyle w:val="ListBullet"/>
      </w:pPr>
      <w:r>
        <w:t>Retention period and manual cleanup approval process.</w:t>
      </w:r>
    </w:p>
    <w:p>
      <w:pPr>
        <w:pStyle w:val="Heading1"/>
      </w:pPr>
      <w:r>
        <w:t>14. Implementation sequence</w:t>
      </w:r>
    </w:p>
    <w:p>
      <w:pPr>
        <w:pStyle w:val="ListNumber"/>
      </w:pPr>
      <w:r>
        <w:t>Agree the inventory fields, eligibility classifications, workflow inputs, status store, and approval model.</w:t>
      </w:r>
    </w:p>
    <w:p>
      <w:pPr>
        <w:pStyle w:val="ListNumber"/>
      </w:pPr>
      <w:r>
        <w:t>Implement and test read-only GCP preflight/inventory logic.</w:t>
      </w:r>
    </w:p>
    <w:p>
      <w:pPr>
        <w:pStyle w:val="ListNumber"/>
      </w:pPr>
      <w:r>
        <w:t>Define and test the build-team inspection report and sign-off contract.</w:t>
      </w:r>
    </w:p>
    <w:p>
      <w:pPr>
        <w:pStyle w:val="ListNumber"/>
      </w:pPr>
      <w:r>
        <w:t>Implement shared backup, RHEL disk preparation, cutover, validation, and rollback controls in a non-production project.</w:t>
      </w:r>
    </w:p>
    <w:p>
      <w:pPr>
        <w:pStyle w:val="ListNumber"/>
      </w:pPr>
      <w:r>
        <w:t>Create the two workflow entry points using shared reusable logic.</w:t>
      </w:r>
    </w:p>
    <w:p>
      <w:pPr>
        <w:pStyle w:val="ListNumber"/>
      </w:pPr>
      <w:r>
        <w:t>Pilot with one low-risk non-production VM, review logs and failure handling, then expand in controlled stages.</w:t>
      </w:r>
    </w:p>
    <w:p/>
    <w:p>
      <w:pPr>
        <w:jc w:val="center"/>
      </w:pPr>
      <w:r>
        <w:rPr>
          <w:i/>
          <w:color w:val="5A5A5A"/>
        </w:rPr>
        <w:t>End of proposal</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